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B92D9A">
      <w:pPr>
        <w:widowControl/>
        <w:tabs>
          <w:tab w:val="center" w:pos="4153"/>
        </w:tabs>
        <w:spacing w:line="440" w:lineRule="exact"/>
        <w:jc w:val="center"/>
        <w:rPr>
          <w:rFonts w:hint="eastAsia" w:ascii="宋体" w:hAnsi="宋体" w:eastAsia="仿宋"/>
          <w:color w:val="000000"/>
          <w:sz w:val="36"/>
          <w:szCs w:val="36"/>
          <w:highlight w:val="none"/>
        </w:rPr>
      </w:pPr>
      <w:bookmarkStart w:id="865" w:name="_GoBack"/>
      <w:bookmarkEnd w:id="865"/>
    </w:p>
    <w:p w14:paraId="30955DFB">
      <w:pPr>
        <w:widowControl/>
        <w:tabs>
          <w:tab w:val="center" w:pos="4153"/>
        </w:tabs>
        <w:spacing w:line="440" w:lineRule="exact"/>
        <w:jc w:val="center"/>
        <w:rPr>
          <w:rFonts w:hint="eastAsia" w:ascii="宋体" w:hAnsi="宋体" w:eastAsia="仿宋"/>
          <w:color w:val="000000"/>
          <w:sz w:val="36"/>
          <w:szCs w:val="36"/>
          <w:highlight w:val="none"/>
        </w:rPr>
      </w:pPr>
    </w:p>
    <w:p w14:paraId="454BE3DF">
      <w:pPr>
        <w:widowControl/>
        <w:tabs>
          <w:tab w:val="center" w:pos="4153"/>
        </w:tabs>
        <w:spacing w:line="440" w:lineRule="exact"/>
        <w:jc w:val="center"/>
        <w:rPr>
          <w:rFonts w:hint="eastAsia" w:ascii="宋体" w:hAnsi="宋体" w:eastAsia="仿宋"/>
          <w:color w:val="000000"/>
          <w:sz w:val="36"/>
          <w:szCs w:val="36"/>
          <w:highlight w:val="none"/>
        </w:rPr>
      </w:pPr>
    </w:p>
    <w:p w14:paraId="3C235FB8">
      <w:pPr>
        <w:widowControl/>
        <w:tabs>
          <w:tab w:val="center" w:pos="4153"/>
        </w:tabs>
        <w:spacing w:line="440" w:lineRule="exact"/>
        <w:jc w:val="center"/>
        <w:rPr>
          <w:rFonts w:hint="eastAsia" w:ascii="宋体" w:hAnsi="宋体" w:eastAsia="仿宋"/>
          <w:color w:val="000000"/>
          <w:sz w:val="36"/>
          <w:szCs w:val="36"/>
          <w:highlight w:val="none"/>
        </w:rPr>
      </w:pPr>
    </w:p>
    <w:p w14:paraId="23D56672">
      <w:pPr>
        <w:widowControl/>
        <w:tabs>
          <w:tab w:val="center" w:pos="4153"/>
        </w:tabs>
        <w:spacing w:line="440" w:lineRule="exact"/>
        <w:jc w:val="center"/>
        <w:rPr>
          <w:rFonts w:hint="eastAsia" w:ascii="宋体" w:hAnsi="宋体" w:eastAsia="仿宋"/>
          <w:color w:val="000000"/>
          <w:sz w:val="36"/>
          <w:szCs w:val="36"/>
          <w:highlight w:val="none"/>
        </w:rPr>
      </w:pPr>
    </w:p>
    <w:p w14:paraId="76D03311">
      <w:pPr>
        <w:widowControl/>
        <w:spacing w:line="360" w:lineRule="auto"/>
        <w:jc w:val="center"/>
        <w:rPr>
          <w:rFonts w:hint="eastAsia" w:eastAsia="仿宋"/>
          <w:b/>
          <w:color w:val="000000"/>
          <w:sz w:val="44"/>
          <w:szCs w:val="44"/>
          <w:highlight w:val="none"/>
          <w:lang w:eastAsia="zh-CN"/>
        </w:rPr>
      </w:pPr>
      <w:r>
        <w:rPr>
          <w:rFonts w:hint="eastAsia" w:eastAsia="仿宋"/>
          <w:color w:val="000000"/>
          <w:sz w:val="44"/>
          <w:szCs w:val="44"/>
          <w:highlight w:val="none"/>
          <w:lang w:eastAsia="zh-CN"/>
        </w:rPr>
        <w:t>安徽省疾控中心省结核病参比实验室耐药检测能力提升</w:t>
      </w:r>
    </w:p>
    <w:p w14:paraId="79139FC8">
      <w:pPr>
        <w:widowControl/>
        <w:jc w:val="center"/>
        <w:rPr>
          <w:rFonts w:hint="eastAsia" w:ascii="宋体" w:hAnsi="宋体" w:eastAsia="仿宋"/>
          <w:b/>
          <w:color w:val="000000"/>
          <w:sz w:val="72"/>
          <w:highlight w:val="none"/>
        </w:rPr>
      </w:pPr>
      <w:r>
        <w:rPr>
          <w:rFonts w:hint="eastAsia" w:ascii="宋体" w:hAnsi="宋体" w:eastAsia="仿宋"/>
          <w:b/>
          <w:color w:val="000000"/>
          <w:sz w:val="72"/>
          <w:highlight w:val="none"/>
        </w:rPr>
        <w:t>招标文件</w:t>
      </w:r>
    </w:p>
    <w:p w14:paraId="387E94B7">
      <w:pPr>
        <w:widowControl/>
        <w:jc w:val="center"/>
        <w:rPr>
          <w:rFonts w:hint="eastAsia" w:ascii="宋体" w:hAnsi="宋体" w:eastAsia="仿宋"/>
          <w:b/>
          <w:color w:val="000000"/>
          <w:sz w:val="72"/>
          <w:highlight w:val="none"/>
        </w:rPr>
      </w:pPr>
      <w:r>
        <w:rPr>
          <w:rFonts w:hint="eastAsia" w:ascii="宋体" w:hAnsi="宋体" w:eastAsia="仿宋"/>
          <w:b/>
          <w:color w:val="000000"/>
          <w:sz w:val="72"/>
          <w:highlight w:val="none"/>
        </w:rPr>
        <w:t>货物类</w:t>
      </w:r>
    </w:p>
    <w:p w14:paraId="198D2ABE">
      <w:pPr>
        <w:widowControl/>
        <w:jc w:val="center"/>
        <w:rPr>
          <w:rFonts w:hint="eastAsia" w:ascii="宋体" w:hAnsi="宋体" w:eastAsia="仿宋"/>
          <w:b/>
          <w:color w:val="000000"/>
          <w:sz w:val="72"/>
          <w:highlight w:val="none"/>
        </w:rPr>
      </w:pPr>
    </w:p>
    <w:p w14:paraId="5B10E0D9">
      <w:pPr>
        <w:widowControl/>
        <w:spacing w:line="360" w:lineRule="auto"/>
        <w:jc w:val="center"/>
        <w:rPr>
          <w:rFonts w:hint="eastAsia" w:ascii="宋体" w:hAnsi="宋体" w:eastAsia="仿宋"/>
          <w:b/>
          <w:color w:val="000000"/>
          <w:sz w:val="28"/>
          <w:szCs w:val="28"/>
          <w:highlight w:val="none"/>
          <w:lang w:eastAsia="zh-CN"/>
        </w:rPr>
      </w:pPr>
      <w:r>
        <w:rPr>
          <w:rFonts w:hint="eastAsia" w:ascii="宋体" w:hAnsi="宋体" w:eastAsia="仿宋"/>
          <w:b/>
          <w:color w:val="000000"/>
          <w:sz w:val="28"/>
          <w:szCs w:val="28"/>
          <w:highlight w:val="none"/>
        </w:rPr>
        <w:t>项目编号：</w:t>
      </w:r>
      <w:r>
        <w:rPr>
          <w:rFonts w:hint="eastAsia" w:ascii="宋体" w:hAnsi="宋体" w:eastAsia="仿宋"/>
          <w:b/>
          <w:color w:val="000000"/>
          <w:sz w:val="28"/>
          <w:szCs w:val="28"/>
          <w:highlight w:val="none"/>
          <w:lang w:eastAsia="zh-CN"/>
        </w:rPr>
        <w:t>ZF2025-36-1936</w:t>
      </w:r>
    </w:p>
    <w:p w14:paraId="2623AD07">
      <w:pPr>
        <w:widowControl/>
        <w:tabs>
          <w:tab w:val="center" w:pos="4153"/>
        </w:tabs>
        <w:spacing w:line="480" w:lineRule="auto"/>
        <w:jc w:val="center"/>
        <w:rPr>
          <w:rFonts w:hint="eastAsia" w:ascii="宋体" w:hAnsi="宋体" w:eastAsia="仿宋"/>
          <w:color w:val="000000"/>
          <w:sz w:val="36"/>
          <w:szCs w:val="36"/>
          <w:highlight w:val="none"/>
        </w:rPr>
      </w:pPr>
    </w:p>
    <w:p w14:paraId="0562BDCF">
      <w:pPr>
        <w:widowControl/>
        <w:tabs>
          <w:tab w:val="center" w:pos="4153"/>
        </w:tabs>
        <w:spacing w:line="480" w:lineRule="auto"/>
        <w:jc w:val="center"/>
        <w:rPr>
          <w:rFonts w:hint="eastAsia" w:ascii="宋体" w:hAnsi="宋体" w:eastAsia="仿宋"/>
          <w:color w:val="000000"/>
          <w:sz w:val="36"/>
          <w:szCs w:val="36"/>
          <w:highlight w:val="none"/>
        </w:rPr>
      </w:pPr>
    </w:p>
    <w:p w14:paraId="0322793C">
      <w:pPr>
        <w:widowControl/>
        <w:tabs>
          <w:tab w:val="center" w:pos="4153"/>
        </w:tabs>
        <w:spacing w:line="480" w:lineRule="auto"/>
        <w:jc w:val="center"/>
        <w:rPr>
          <w:rFonts w:hint="eastAsia" w:ascii="宋体" w:hAnsi="宋体" w:eastAsia="仿宋"/>
          <w:color w:val="000000"/>
          <w:sz w:val="36"/>
          <w:szCs w:val="36"/>
          <w:highlight w:val="none"/>
        </w:rPr>
      </w:pPr>
    </w:p>
    <w:p w14:paraId="18733522">
      <w:pPr>
        <w:widowControl/>
        <w:tabs>
          <w:tab w:val="center" w:pos="4153"/>
        </w:tabs>
        <w:spacing w:line="480" w:lineRule="auto"/>
        <w:jc w:val="center"/>
        <w:rPr>
          <w:rFonts w:hint="eastAsia" w:ascii="宋体" w:hAnsi="宋体" w:eastAsia="仿宋"/>
          <w:color w:val="000000"/>
          <w:sz w:val="36"/>
          <w:szCs w:val="36"/>
          <w:highlight w:val="none"/>
        </w:rPr>
      </w:pPr>
    </w:p>
    <w:p w14:paraId="349A9066">
      <w:pPr>
        <w:widowControl/>
        <w:tabs>
          <w:tab w:val="center" w:pos="4153"/>
        </w:tabs>
        <w:spacing w:line="480" w:lineRule="auto"/>
        <w:jc w:val="center"/>
        <w:rPr>
          <w:rFonts w:hint="eastAsia" w:ascii="宋体" w:hAnsi="宋体" w:eastAsia="仿宋"/>
          <w:color w:val="000000"/>
          <w:sz w:val="36"/>
          <w:szCs w:val="36"/>
          <w:highlight w:val="none"/>
        </w:rPr>
      </w:pPr>
    </w:p>
    <w:p w14:paraId="644A528C">
      <w:pPr>
        <w:widowControl/>
        <w:tabs>
          <w:tab w:val="center" w:pos="4153"/>
        </w:tabs>
        <w:spacing w:line="480" w:lineRule="auto"/>
        <w:ind w:firstLine="1699" w:firstLineChars="531"/>
        <w:rPr>
          <w:rFonts w:hint="eastAsia" w:ascii="宋体" w:hAnsi="宋体" w:eastAsia="仿宋"/>
          <w:color w:val="000000"/>
          <w:sz w:val="32"/>
          <w:szCs w:val="36"/>
          <w:highlight w:val="none"/>
        </w:rPr>
      </w:pPr>
      <w:r>
        <w:rPr>
          <w:rFonts w:hint="eastAsia" w:ascii="宋体" w:hAnsi="宋体" w:eastAsia="仿宋"/>
          <w:color w:val="000000"/>
          <w:sz w:val="32"/>
          <w:szCs w:val="36"/>
          <w:highlight w:val="none"/>
        </w:rPr>
        <w:t>采   购   人：安徽省疾病预防控制中心</w:t>
      </w:r>
    </w:p>
    <w:p w14:paraId="7485A2A5">
      <w:pPr>
        <w:widowControl/>
        <w:tabs>
          <w:tab w:val="center" w:pos="4153"/>
        </w:tabs>
        <w:spacing w:line="480" w:lineRule="auto"/>
        <w:ind w:firstLine="1699" w:firstLineChars="531"/>
        <w:rPr>
          <w:rFonts w:hint="eastAsia" w:ascii="宋体" w:hAnsi="宋体" w:eastAsia="仿宋"/>
          <w:color w:val="000000"/>
          <w:sz w:val="32"/>
          <w:szCs w:val="36"/>
          <w:highlight w:val="none"/>
        </w:rPr>
      </w:pPr>
      <w:r>
        <w:rPr>
          <w:rFonts w:hint="eastAsia" w:ascii="宋体" w:hAnsi="宋体" w:eastAsia="仿宋"/>
          <w:color w:val="000000"/>
          <w:sz w:val="32"/>
          <w:szCs w:val="36"/>
          <w:highlight w:val="none"/>
        </w:rPr>
        <w:t>采购代理机构：安徽省招标集团股份有限公司</w:t>
      </w:r>
    </w:p>
    <w:p w14:paraId="1D5DCE4E">
      <w:pPr>
        <w:widowControl/>
        <w:tabs>
          <w:tab w:val="center" w:pos="4153"/>
        </w:tabs>
        <w:spacing w:line="480" w:lineRule="auto"/>
        <w:jc w:val="center"/>
        <w:rPr>
          <w:rFonts w:hint="eastAsia" w:ascii="宋体" w:hAnsi="宋体" w:eastAsia="仿宋"/>
          <w:color w:val="000000"/>
          <w:sz w:val="36"/>
          <w:szCs w:val="36"/>
          <w:highlight w:val="none"/>
        </w:rPr>
      </w:pPr>
      <w:r>
        <w:rPr>
          <w:rFonts w:ascii="宋体" w:hAnsi="宋体" w:eastAsia="仿宋"/>
          <w:color w:val="000000"/>
          <w:sz w:val="36"/>
          <w:szCs w:val="36"/>
          <w:highlight w:val="none"/>
        </w:rPr>
        <w:t>2025年</w:t>
      </w:r>
      <w:r>
        <w:rPr>
          <w:rFonts w:hint="eastAsia" w:ascii="宋体" w:hAnsi="宋体" w:eastAsia="仿宋"/>
          <w:color w:val="000000"/>
          <w:sz w:val="36"/>
          <w:szCs w:val="36"/>
          <w:highlight w:val="none"/>
          <w:lang w:val="en-US" w:eastAsia="zh-CN"/>
        </w:rPr>
        <w:t>11</w:t>
      </w:r>
      <w:r>
        <w:rPr>
          <w:rFonts w:ascii="宋体" w:hAnsi="宋体" w:eastAsia="仿宋"/>
          <w:color w:val="000000"/>
          <w:sz w:val="36"/>
          <w:szCs w:val="36"/>
          <w:highlight w:val="none"/>
        </w:rPr>
        <w:t>月</w:t>
      </w:r>
    </w:p>
    <w:p w14:paraId="3DB74FA9">
      <w:pPr>
        <w:widowControl/>
        <w:tabs>
          <w:tab w:val="center" w:pos="4153"/>
        </w:tabs>
        <w:spacing w:line="480" w:lineRule="auto"/>
        <w:ind w:firstLine="849" w:firstLineChars="236"/>
        <w:rPr>
          <w:rFonts w:ascii="宋体" w:hAnsi="宋体" w:eastAsia="仿宋"/>
          <w:color w:val="000000"/>
          <w:sz w:val="36"/>
          <w:szCs w:val="36"/>
          <w:highlight w:val="none"/>
        </w:rPr>
        <w:sectPr>
          <w:headerReference r:id="rId4" w:type="first"/>
          <w:footerReference r:id="rId7" w:type="first"/>
          <w:footerReference r:id="rId5" w:type="default"/>
          <w:headerReference r:id="rId3" w:type="even"/>
          <w:footerReference r:id="rId6" w:type="even"/>
          <w:footnotePr>
            <w:numFmt w:val="decimalEnclosedCircleChinese"/>
            <w:numRestart w:val="eachPage"/>
          </w:footnotePr>
          <w:pgSz w:w="11906" w:h="16838"/>
          <w:pgMar w:top="1134" w:right="1134" w:bottom="1134" w:left="1134" w:header="851" w:footer="851" w:gutter="0"/>
          <w:cols w:space="720" w:num="1"/>
          <w:docGrid w:linePitch="312" w:charSpace="0"/>
        </w:sectPr>
      </w:pPr>
    </w:p>
    <w:p w14:paraId="2271BFD7">
      <w:pPr>
        <w:widowControl/>
        <w:tabs>
          <w:tab w:val="center" w:pos="4153"/>
        </w:tabs>
        <w:spacing w:line="480" w:lineRule="auto"/>
        <w:jc w:val="center"/>
        <w:outlineLvl w:val="0"/>
        <w:rPr>
          <w:rFonts w:hint="eastAsia" w:ascii="宋体" w:hAnsi="宋体" w:eastAsia="仿宋"/>
          <w:color w:val="000000"/>
          <w:sz w:val="44"/>
          <w:szCs w:val="52"/>
          <w:highlight w:val="none"/>
        </w:rPr>
      </w:pPr>
      <w:r>
        <w:rPr>
          <w:rFonts w:hint="eastAsia" w:ascii="宋体" w:hAnsi="宋体" w:eastAsia="仿宋"/>
          <w:color w:val="000000"/>
          <w:sz w:val="44"/>
          <w:szCs w:val="52"/>
          <w:highlight w:val="none"/>
        </w:rPr>
        <w:t>目  录</w:t>
      </w:r>
    </w:p>
    <w:p w14:paraId="4DFA345D">
      <w:pPr>
        <w:pStyle w:val="32"/>
        <w:tabs>
          <w:tab w:val="right" w:leader="dot" w:pos="9638"/>
        </w:tabs>
        <w:rPr>
          <w:rFonts w:hint="eastAsia" w:ascii="仿宋" w:hAnsi="仿宋" w:eastAsia="仿宋" w:cs="仿宋"/>
          <w:color w:val="000000"/>
          <w:sz w:val="28"/>
          <w:szCs w:val="28"/>
          <w:highlight w:val="none"/>
          <w:lang/>
        </w:rPr>
      </w:pPr>
      <w:r>
        <w:rPr>
          <w:rFonts w:ascii="Times New Roman" w:hAnsi="Times New Roman" w:eastAsia="仿宋"/>
          <w:color w:val="000000"/>
          <w:sz w:val="28"/>
          <w:szCs w:val="28"/>
          <w:highlight w:val="none"/>
        </w:rPr>
        <w:fldChar w:fldCharType="begin"/>
      </w:r>
      <w:r>
        <w:rPr>
          <w:rFonts w:ascii="Times New Roman" w:hAnsi="Times New Roman" w:eastAsia="仿宋"/>
          <w:color w:val="000000"/>
          <w:sz w:val="28"/>
          <w:szCs w:val="28"/>
          <w:highlight w:val="none"/>
        </w:rPr>
        <w:instrText xml:space="preserve"> TOC \o "1-1" \h \z \u </w:instrText>
      </w:r>
      <w:r>
        <w:rPr>
          <w:rFonts w:ascii="Times New Roman" w:hAnsi="Times New Roman" w:eastAsia="仿宋"/>
          <w:color w:val="000000"/>
          <w:sz w:val="28"/>
          <w:szCs w:val="28"/>
          <w:highlight w:val="none"/>
        </w:rPr>
        <w:fldChar w:fldCharType="separate"/>
      </w:r>
      <w:r>
        <w:rPr>
          <w:rFonts w:hint="eastAsia" w:ascii="仿宋" w:hAnsi="仿宋" w:eastAsia="仿宋" w:cs="仿宋"/>
          <w:color w:val="000000"/>
          <w:sz w:val="28"/>
          <w:szCs w:val="28"/>
          <w:highlight w:val="none"/>
          <w:lang/>
        </w:rPr>
        <w:fldChar w:fldCharType="begin"/>
      </w:r>
      <w:r>
        <w:rPr>
          <w:rFonts w:hint="eastAsia" w:ascii="仿宋" w:hAnsi="仿宋" w:eastAsia="仿宋" w:cs="仿宋"/>
          <w:color w:val="000000"/>
          <w:sz w:val="28"/>
          <w:szCs w:val="28"/>
          <w:highlight w:val="none"/>
          <w:lang/>
        </w:rPr>
        <w:instrText xml:space="preserve"> HYPERLINK \l _Toc1434 </w:instrText>
      </w:r>
      <w:r>
        <w:rPr>
          <w:rFonts w:hint="eastAsia" w:ascii="仿宋" w:hAnsi="仿宋" w:eastAsia="仿宋" w:cs="仿宋"/>
          <w:color w:val="000000"/>
          <w:sz w:val="28"/>
          <w:szCs w:val="28"/>
          <w:highlight w:val="none"/>
          <w:lang/>
        </w:rPr>
        <w:fldChar w:fldCharType="separate"/>
      </w:r>
      <w:r>
        <w:rPr>
          <w:rFonts w:hint="eastAsia" w:ascii="仿宋" w:hAnsi="仿宋" w:eastAsia="仿宋" w:cs="仿宋"/>
          <w:color w:val="000000"/>
          <w:sz w:val="28"/>
          <w:szCs w:val="28"/>
          <w:highlight w:val="none"/>
          <w:lang/>
        </w:rPr>
        <w:t>第一章  招标公告</w:t>
      </w:r>
      <w:r>
        <w:rPr>
          <w:rFonts w:hint="eastAsia" w:ascii="仿宋" w:hAnsi="仿宋" w:eastAsia="仿宋" w:cs="仿宋"/>
          <w:color w:val="000000"/>
          <w:sz w:val="28"/>
          <w:szCs w:val="28"/>
          <w:highlight w:val="none"/>
          <w:lang/>
        </w:rPr>
        <w:tab/>
      </w:r>
      <w:r>
        <w:rPr>
          <w:rFonts w:hint="eastAsia" w:ascii="仿宋" w:hAnsi="仿宋" w:eastAsia="仿宋" w:cs="仿宋"/>
          <w:color w:val="000000"/>
          <w:sz w:val="28"/>
          <w:szCs w:val="28"/>
          <w:highlight w:val="none"/>
          <w:lang/>
        </w:rPr>
        <w:fldChar w:fldCharType="begin"/>
      </w:r>
      <w:r>
        <w:rPr>
          <w:rFonts w:hint="eastAsia" w:ascii="仿宋" w:hAnsi="仿宋" w:eastAsia="仿宋" w:cs="仿宋"/>
          <w:color w:val="000000"/>
          <w:sz w:val="28"/>
          <w:szCs w:val="28"/>
          <w:highlight w:val="none"/>
          <w:lang/>
        </w:rPr>
        <w:instrText xml:space="preserve"> PAGEREF _Toc1434 \h </w:instrText>
      </w:r>
      <w:r>
        <w:rPr>
          <w:rFonts w:hint="eastAsia" w:ascii="仿宋" w:hAnsi="仿宋" w:eastAsia="仿宋" w:cs="仿宋"/>
          <w:color w:val="000000"/>
          <w:sz w:val="28"/>
          <w:szCs w:val="28"/>
          <w:highlight w:val="none"/>
          <w:lang/>
        </w:rPr>
        <w:fldChar w:fldCharType="separate"/>
      </w:r>
      <w:r>
        <w:rPr>
          <w:rFonts w:hint="eastAsia" w:ascii="仿宋" w:hAnsi="仿宋" w:eastAsia="仿宋" w:cs="仿宋"/>
          <w:color w:val="000000"/>
          <w:sz w:val="28"/>
          <w:szCs w:val="28"/>
          <w:highlight w:val="none"/>
          <w:lang/>
        </w:rPr>
        <w:t>1</w:t>
      </w:r>
      <w:r>
        <w:rPr>
          <w:rFonts w:hint="eastAsia" w:ascii="仿宋" w:hAnsi="仿宋" w:eastAsia="仿宋" w:cs="仿宋"/>
          <w:color w:val="000000"/>
          <w:sz w:val="28"/>
          <w:szCs w:val="28"/>
          <w:highlight w:val="none"/>
          <w:lang/>
        </w:rPr>
        <w:fldChar w:fldCharType="end"/>
      </w:r>
      <w:r>
        <w:rPr>
          <w:rFonts w:hint="eastAsia" w:ascii="仿宋" w:hAnsi="仿宋" w:eastAsia="仿宋" w:cs="仿宋"/>
          <w:color w:val="000000"/>
          <w:sz w:val="28"/>
          <w:szCs w:val="28"/>
          <w:highlight w:val="none"/>
          <w:lang/>
        </w:rPr>
        <w:fldChar w:fldCharType="end"/>
      </w:r>
    </w:p>
    <w:p w14:paraId="1EFDEEAF">
      <w:pPr>
        <w:pStyle w:val="32"/>
        <w:tabs>
          <w:tab w:val="right" w:leader="dot" w:pos="9638"/>
        </w:tabs>
        <w:rPr>
          <w:rFonts w:hint="eastAsia" w:ascii="仿宋" w:hAnsi="仿宋" w:eastAsia="仿宋" w:cs="仿宋"/>
          <w:color w:val="000000"/>
          <w:sz w:val="28"/>
          <w:szCs w:val="28"/>
          <w:highlight w:val="none"/>
          <w:lang/>
        </w:rPr>
      </w:pPr>
      <w:r>
        <w:rPr>
          <w:rFonts w:hint="eastAsia" w:ascii="仿宋" w:hAnsi="仿宋" w:eastAsia="仿宋" w:cs="仿宋"/>
          <w:color w:val="000000"/>
          <w:sz w:val="28"/>
          <w:szCs w:val="28"/>
          <w:highlight w:val="none"/>
          <w:lang/>
        </w:rPr>
        <w:fldChar w:fldCharType="begin"/>
      </w:r>
      <w:r>
        <w:rPr>
          <w:rFonts w:hint="eastAsia" w:ascii="仿宋" w:hAnsi="仿宋" w:eastAsia="仿宋" w:cs="仿宋"/>
          <w:color w:val="000000"/>
          <w:sz w:val="28"/>
          <w:szCs w:val="28"/>
          <w:highlight w:val="none"/>
          <w:lang/>
        </w:rPr>
        <w:instrText xml:space="preserve"> HYPERLINK \l _Toc26870 </w:instrText>
      </w:r>
      <w:r>
        <w:rPr>
          <w:rFonts w:hint="eastAsia" w:ascii="仿宋" w:hAnsi="仿宋" w:eastAsia="仿宋" w:cs="仿宋"/>
          <w:color w:val="000000"/>
          <w:sz w:val="28"/>
          <w:szCs w:val="28"/>
          <w:highlight w:val="none"/>
          <w:lang/>
        </w:rPr>
        <w:fldChar w:fldCharType="separate"/>
      </w:r>
      <w:r>
        <w:rPr>
          <w:rFonts w:hint="eastAsia" w:ascii="仿宋" w:hAnsi="仿宋" w:eastAsia="仿宋" w:cs="仿宋"/>
          <w:color w:val="000000"/>
          <w:sz w:val="28"/>
          <w:szCs w:val="28"/>
          <w:highlight w:val="none"/>
          <w:lang/>
        </w:rPr>
        <w:t>第二章  投标人须知</w:t>
      </w:r>
      <w:r>
        <w:rPr>
          <w:rFonts w:hint="eastAsia" w:ascii="仿宋" w:hAnsi="仿宋" w:eastAsia="仿宋" w:cs="仿宋"/>
          <w:color w:val="000000"/>
          <w:sz w:val="28"/>
          <w:szCs w:val="28"/>
          <w:highlight w:val="none"/>
          <w:lang/>
        </w:rPr>
        <w:tab/>
      </w:r>
      <w:r>
        <w:rPr>
          <w:rFonts w:hint="eastAsia" w:ascii="仿宋" w:hAnsi="仿宋" w:eastAsia="仿宋" w:cs="仿宋"/>
          <w:color w:val="000000"/>
          <w:sz w:val="28"/>
          <w:szCs w:val="28"/>
          <w:highlight w:val="none"/>
          <w:lang/>
        </w:rPr>
        <w:fldChar w:fldCharType="begin"/>
      </w:r>
      <w:r>
        <w:rPr>
          <w:rFonts w:hint="eastAsia" w:ascii="仿宋" w:hAnsi="仿宋" w:eastAsia="仿宋" w:cs="仿宋"/>
          <w:color w:val="000000"/>
          <w:sz w:val="28"/>
          <w:szCs w:val="28"/>
          <w:highlight w:val="none"/>
          <w:lang/>
        </w:rPr>
        <w:instrText xml:space="preserve"> PAGEREF _Toc26870 \h </w:instrText>
      </w:r>
      <w:r>
        <w:rPr>
          <w:rFonts w:hint="eastAsia" w:ascii="仿宋" w:hAnsi="仿宋" w:eastAsia="仿宋" w:cs="仿宋"/>
          <w:color w:val="000000"/>
          <w:sz w:val="28"/>
          <w:szCs w:val="28"/>
          <w:highlight w:val="none"/>
          <w:lang/>
        </w:rPr>
        <w:fldChar w:fldCharType="separate"/>
      </w:r>
      <w:r>
        <w:rPr>
          <w:rFonts w:hint="eastAsia" w:ascii="仿宋" w:hAnsi="仿宋" w:eastAsia="仿宋" w:cs="仿宋"/>
          <w:color w:val="000000"/>
          <w:sz w:val="28"/>
          <w:szCs w:val="28"/>
          <w:highlight w:val="none"/>
          <w:lang/>
        </w:rPr>
        <w:t>5</w:t>
      </w:r>
      <w:r>
        <w:rPr>
          <w:rFonts w:hint="eastAsia" w:ascii="仿宋" w:hAnsi="仿宋" w:eastAsia="仿宋" w:cs="仿宋"/>
          <w:color w:val="000000"/>
          <w:sz w:val="28"/>
          <w:szCs w:val="28"/>
          <w:highlight w:val="none"/>
          <w:lang/>
        </w:rPr>
        <w:fldChar w:fldCharType="end"/>
      </w:r>
      <w:r>
        <w:rPr>
          <w:rFonts w:hint="eastAsia" w:ascii="仿宋" w:hAnsi="仿宋" w:eastAsia="仿宋" w:cs="仿宋"/>
          <w:color w:val="000000"/>
          <w:sz w:val="28"/>
          <w:szCs w:val="28"/>
          <w:highlight w:val="none"/>
          <w:lang/>
        </w:rPr>
        <w:fldChar w:fldCharType="end"/>
      </w:r>
    </w:p>
    <w:p w14:paraId="69F2BC35">
      <w:pPr>
        <w:pStyle w:val="32"/>
        <w:tabs>
          <w:tab w:val="right" w:leader="dot" w:pos="9638"/>
        </w:tabs>
        <w:rPr>
          <w:rFonts w:hint="eastAsia" w:ascii="仿宋" w:hAnsi="仿宋" w:eastAsia="仿宋" w:cs="仿宋"/>
          <w:color w:val="000000"/>
          <w:sz w:val="28"/>
          <w:szCs w:val="28"/>
          <w:highlight w:val="none"/>
          <w:lang/>
        </w:rPr>
      </w:pPr>
      <w:r>
        <w:rPr>
          <w:rFonts w:hint="eastAsia" w:ascii="仿宋" w:hAnsi="仿宋" w:eastAsia="仿宋" w:cs="仿宋"/>
          <w:color w:val="000000"/>
          <w:sz w:val="28"/>
          <w:szCs w:val="28"/>
          <w:highlight w:val="none"/>
          <w:lang/>
        </w:rPr>
        <w:fldChar w:fldCharType="begin"/>
      </w:r>
      <w:r>
        <w:rPr>
          <w:rFonts w:hint="eastAsia" w:ascii="仿宋" w:hAnsi="仿宋" w:eastAsia="仿宋" w:cs="仿宋"/>
          <w:color w:val="000000"/>
          <w:sz w:val="28"/>
          <w:szCs w:val="28"/>
          <w:highlight w:val="none"/>
          <w:lang/>
        </w:rPr>
        <w:instrText xml:space="preserve"> HYPERLINK \l _Toc24366 </w:instrText>
      </w:r>
      <w:r>
        <w:rPr>
          <w:rFonts w:hint="eastAsia" w:ascii="仿宋" w:hAnsi="仿宋" w:eastAsia="仿宋" w:cs="仿宋"/>
          <w:color w:val="000000"/>
          <w:sz w:val="28"/>
          <w:szCs w:val="28"/>
          <w:highlight w:val="none"/>
          <w:lang/>
        </w:rPr>
        <w:fldChar w:fldCharType="separate"/>
      </w:r>
      <w:r>
        <w:rPr>
          <w:rFonts w:hint="eastAsia" w:ascii="仿宋" w:hAnsi="仿宋" w:eastAsia="仿宋" w:cs="仿宋"/>
          <w:color w:val="000000"/>
          <w:sz w:val="28"/>
          <w:szCs w:val="28"/>
          <w:highlight w:val="none"/>
          <w:lang/>
        </w:rPr>
        <w:t>第三章  采购需</w:t>
      </w:r>
      <w:bookmarkStart w:id="0" w:name="_Hlt196230264"/>
      <w:r>
        <w:rPr>
          <w:rFonts w:hint="eastAsia" w:ascii="仿宋" w:hAnsi="仿宋" w:eastAsia="仿宋" w:cs="仿宋"/>
          <w:color w:val="000000"/>
          <w:sz w:val="28"/>
          <w:szCs w:val="28"/>
          <w:highlight w:val="none"/>
          <w:lang/>
        </w:rPr>
        <w:t>求</w:t>
      </w:r>
      <w:bookmarkEnd w:id="0"/>
      <w:r>
        <w:rPr>
          <w:rFonts w:hint="eastAsia" w:ascii="仿宋" w:hAnsi="仿宋" w:eastAsia="仿宋" w:cs="仿宋"/>
          <w:color w:val="000000"/>
          <w:sz w:val="28"/>
          <w:szCs w:val="28"/>
          <w:highlight w:val="none"/>
          <w:lang/>
        </w:rPr>
        <w:tab/>
      </w:r>
      <w:r>
        <w:rPr>
          <w:rFonts w:hint="eastAsia" w:ascii="仿宋" w:hAnsi="仿宋" w:eastAsia="仿宋" w:cs="仿宋"/>
          <w:color w:val="000000"/>
          <w:sz w:val="28"/>
          <w:szCs w:val="28"/>
          <w:highlight w:val="none"/>
          <w:lang/>
        </w:rPr>
        <w:fldChar w:fldCharType="begin"/>
      </w:r>
      <w:r>
        <w:rPr>
          <w:rFonts w:hint="eastAsia" w:ascii="仿宋" w:hAnsi="仿宋" w:eastAsia="仿宋" w:cs="仿宋"/>
          <w:color w:val="000000"/>
          <w:sz w:val="28"/>
          <w:szCs w:val="28"/>
          <w:highlight w:val="none"/>
          <w:lang/>
        </w:rPr>
        <w:instrText xml:space="preserve"> PAGEREF _Toc24366 \h </w:instrText>
      </w:r>
      <w:r>
        <w:rPr>
          <w:rFonts w:hint="eastAsia" w:ascii="仿宋" w:hAnsi="仿宋" w:eastAsia="仿宋" w:cs="仿宋"/>
          <w:color w:val="000000"/>
          <w:sz w:val="28"/>
          <w:szCs w:val="28"/>
          <w:highlight w:val="none"/>
          <w:lang/>
        </w:rPr>
        <w:fldChar w:fldCharType="separate"/>
      </w:r>
      <w:r>
        <w:rPr>
          <w:rFonts w:hint="eastAsia" w:ascii="仿宋" w:hAnsi="仿宋" w:eastAsia="仿宋" w:cs="仿宋"/>
          <w:color w:val="000000"/>
          <w:sz w:val="28"/>
          <w:szCs w:val="28"/>
          <w:highlight w:val="none"/>
          <w:lang/>
        </w:rPr>
        <w:t>32</w:t>
      </w:r>
      <w:r>
        <w:rPr>
          <w:rFonts w:hint="eastAsia" w:ascii="仿宋" w:hAnsi="仿宋" w:eastAsia="仿宋" w:cs="仿宋"/>
          <w:color w:val="000000"/>
          <w:sz w:val="28"/>
          <w:szCs w:val="28"/>
          <w:highlight w:val="none"/>
          <w:lang/>
        </w:rPr>
        <w:fldChar w:fldCharType="end"/>
      </w:r>
      <w:r>
        <w:rPr>
          <w:rFonts w:hint="eastAsia" w:ascii="仿宋" w:hAnsi="仿宋" w:eastAsia="仿宋" w:cs="仿宋"/>
          <w:color w:val="000000"/>
          <w:sz w:val="28"/>
          <w:szCs w:val="28"/>
          <w:highlight w:val="none"/>
          <w:lang/>
        </w:rPr>
        <w:fldChar w:fldCharType="end"/>
      </w:r>
    </w:p>
    <w:p w14:paraId="75983F27">
      <w:pPr>
        <w:pStyle w:val="32"/>
        <w:tabs>
          <w:tab w:val="right" w:leader="dot" w:pos="9638"/>
        </w:tabs>
        <w:rPr>
          <w:rFonts w:hint="eastAsia" w:ascii="仿宋" w:hAnsi="仿宋" w:eastAsia="仿宋" w:cs="仿宋"/>
          <w:color w:val="000000"/>
          <w:sz w:val="28"/>
          <w:szCs w:val="28"/>
          <w:highlight w:val="none"/>
          <w:lang/>
        </w:rPr>
      </w:pPr>
      <w:r>
        <w:rPr>
          <w:rFonts w:hint="eastAsia" w:ascii="仿宋" w:hAnsi="仿宋" w:eastAsia="仿宋" w:cs="仿宋"/>
          <w:color w:val="000000"/>
          <w:sz w:val="28"/>
          <w:szCs w:val="28"/>
          <w:highlight w:val="none"/>
          <w:lang/>
        </w:rPr>
        <w:fldChar w:fldCharType="begin"/>
      </w:r>
      <w:r>
        <w:rPr>
          <w:rFonts w:hint="eastAsia" w:ascii="仿宋" w:hAnsi="仿宋" w:eastAsia="仿宋" w:cs="仿宋"/>
          <w:color w:val="000000"/>
          <w:sz w:val="28"/>
          <w:szCs w:val="28"/>
          <w:highlight w:val="none"/>
          <w:lang/>
        </w:rPr>
        <w:instrText xml:space="preserve"> HYPERLINK \l _Toc9357 </w:instrText>
      </w:r>
      <w:r>
        <w:rPr>
          <w:rFonts w:hint="eastAsia" w:ascii="仿宋" w:hAnsi="仿宋" w:eastAsia="仿宋" w:cs="仿宋"/>
          <w:color w:val="000000"/>
          <w:sz w:val="28"/>
          <w:szCs w:val="28"/>
          <w:highlight w:val="none"/>
          <w:lang/>
        </w:rPr>
        <w:fldChar w:fldCharType="separate"/>
      </w:r>
      <w:r>
        <w:rPr>
          <w:rFonts w:hint="eastAsia" w:ascii="仿宋" w:hAnsi="仿宋" w:eastAsia="仿宋" w:cs="仿宋"/>
          <w:color w:val="000000"/>
          <w:sz w:val="28"/>
          <w:szCs w:val="28"/>
          <w:highlight w:val="none"/>
          <w:lang/>
        </w:rPr>
        <w:t>第四章  资格审查和评标办法（综合评分法）</w:t>
      </w:r>
      <w:r>
        <w:rPr>
          <w:rFonts w:hint="eastAsia" w:ascii="仿宋" w:hAnsi="仿宋" w:eastAsia="仿宋" w:cs="仿宋"/>
          <w:color w:val="000000"/>
          <w:sz w:val="28"/>
          <w:szCs w:val="28"/>
          <w:highlight w:val="none"/>
          <w:lang/>
        </w:rPr>
        <w:tab/>
      </w:r>
      <w:r>
        <w:rPr>
          <w:rFonts w:hint="eastAsia" w:ascii="仿宋" w:hAnsi="仿宋" w:eastAsia="仿宋" w:cs="仿宋"/>
          <w:color w:val="000000"/>
          <w:sz w:val="28"/>
          <w:szCs w:val="28"/>
          <w:highlight w:val="none"/>
          <w:lang/>
        </w:rPr>
        <w:fldChar w:fldCharType="begin"/>
      </w:r>
      <w:r>
        <w:rPr>
          <w:rFonts w:hint="eastAsia" w:ascii="仿宋" w:hAnsi="仿宋" w:eastAsia="仿宋" w:cs="仿宋"/>
          <w:color w:val="000000"/>
          <w:sz w:val="28"/>
          <w:szCs w:val="28"/>
          <w:highlight w:val="none"/>
          <w:lang/>
        </w:rPr>
        <w:instrText xml:space="preserve"> PAGEREF _Toc9357 \h </w:instrText>
      </w:r>
      <w:r>
        <w:rPr>
          <w:rFonts w:hint="eastAsia" w:ascii="仿宋" w:hAnsi="仿宋" w:eastAsia="仿宋" w:cs="仿宋"/>
          <w:color w:val="000000"/>
          <w:sz w:val="28"/>
          <w:szCs w:val="28"/>
          <w:highlight w:val="none"/>
          <w:lang/>
        </w:rPr>
        <w:fldChar w:fldCharType="separate"/>
      </w:r>
      <w:r>
        <w:rPr>
          <w:rFonts w:hint="eastAsia" w:ascii="仿宋" w:hAnsi="仿宋" w:eastAsia="仿宋" w:cs="仿宋"/>
          <w:color w:val="000000"/>
          <w:sz w:val="28"/>
          <w:szCs w:val="28"/>
          <w:highlight w:val="none"/>
          <w:lang/>
        </w:rPr>
        <w:t>45</w:t>
      </w:r>
      <w:r>
        <w:rPr>
          <w:rFonts w:hint="eastAsia" w:ascii="仿宋" w:hAnsi="仿宋" w:eastAsia="仿宋" w:cs="仿宋"/>
          <w:color w:val="000000"/>
          <w:sz w:val="28"/>
          <w:szCs w:val="28"/>
          <w:highlight w:val="none"/>
          <w:lang/>
        </w:rPr>
        <w:fldChar w:fldCharType="end"/>
      </w:r>
      <w:r>
        <w:rPr>
          <w:rFonts w:hint="eastAsia" w:ascii="仿宋" w:hAnsi="仿宋" w:eastAsia="仿宋" w:cs="仿宋"/>
          <w:color w:val="000000"/>
          <w:sz w:val="28"/>
          <w:szCs w:val="28"/>
          <w:highlight w:val="none"/>
          <w:lang/>
        </w:rPr>
        <w:fldChar w:fldCharType="end"/>
      </w:r>
    </w:p>
    <w:p w14:paraId="43E8BA02">
      <w:pPr>
        <w:pStyle w:val="32"/>
        <w:tabs>
          <w:tab w:val="right" w:leader="dot" w:pos="9638"/>
        </w:tabs>
        <w:rPr>
          <w:rFonts w:hint="eastAsia" w:ascii="仿宋" w:hAnsi="仿宋" w:eastAsia="仿宋" w:cs="仿宋"/>
          <w:color w:val="000000"/>
          <w:sz w:val="28"/>
          <w:szCs w:val="28"/>
          <w:highlight w:val="none"/>
          <w:lang/>
        </w:rPr>
      </w:pPr>
      <w:r>
        <w:rPr>
          <w:rFonts w:hint="eastAsia" w:ascii="仿宋" w:hAnsi="仿宋" w:eastAsia="仿宋" w:cs="仿宋"/>
          <w:color w:val="000000"/>
          <w:sz w:val="28"/>
          <w:szCs w:val="28"/>
          <w:highlight w:val="none"/>
          <w:lang/>
        </w:rPr>
        <w:fldChar w:fldCharType="begin"/>
      </w:r>
      <w:r>
        <w:rPr>
          <w:rFonts w:hint="eastAsia" w:ascii="仿宋" w:hAnsi="仿宋" w:eastAsia="仿宋" w:cs="仿宋"/>
          <w:color w:val="000000"/>
          <w:sz w:val="28"/>
          <w:szCs w:val="28"/>
          <w:highlight w:val="none"/>
          <w:lang/>
        </w:rPr>
        <w:instrText xml:space="preserve"> HYPERLINK \l _Toc395 </w:instrText>
      </w:r>
      <w:r>
        <w:rPr>
          <w:rFonts w:hint="eastAsia" w:ascii="仿宋" w:hAnsi="仿宋" w:eastAsia="仿宋" w:cs="仿宋"/>
          <w:color w:val="000000"/>
          <w:sz w:val="28"/>
          <w:szCs w:val="28"/>
          <w:highlight w:val="none"/>
          <w:lang/>
        </w:rPr>
        <w:fldChar w:fldCharType="separate"/>
      </w:r>
      <w:r>
        <w:rPr>
          <w:rFonts w:hint="eastAsia" w:ascii="仿宋" w:hAnsi="仿宋" w:eastAsia="仿宋" w:cs="仿宋"/>
          <w:color w:val="000000"/>
          <w:sz w:val="28"/>
          <w:szCs w:val="28"/>
          <w:highlight w:val="none"/>
          <w:lang/>
        </w:rPr>
        <w:t>第五章  合同条款及格式</w:t>
      </w:r>
      <w:r>
        <w:rPr>
          <w:rFonts w:hint="eastAsia" w:ascii="仿宋" w:hAnsi="仿宋" w:eastAsia="仿宋" w:cs="仿宋"/>
          <w:color w:val="000000"/>
          <w:sz w:val="28"/>
          <w:szCs w:val="28"/>
          <w:highlight w:val="none"/>
          <w:lang/>
        </w:rPr>
        <w:tab/>
      </w:r>
      <w:r>
        <w:rPr>
          <w:rFonts w:hint="eastAsia" w:ascii="仿宋" w:hAnsi="仿宋" w:eastAsia="仿宋" w:cs="仿宋"/>
          <w:color w:val="000000"/>
          <w:sz w:val="28"/>
          <w:szCs w:val="28"/>
          <w:highlight w:val="none"/>
          <w:lang/>
        </w:rPr>
        <w:fldChar w:fldCharType="begin"/>
      </w:r>
      <w:r>
        <w:rPr>
          <w:rFonts w:hint="eastAsia" w:ascii="仿宋" w:hAnsi="仿宋" w:eastAsia="仿宋" w:cs="仿宋"/>
          <w:color w:val="000000"/>
          <w:sz w:val="28"/>
          <w:szCs w:val="28"/>
          <w:highlight w:val="none"/>
          <w:lang/>
        </w:rPr>
        <w:instrText xml:space="preserve"> PAGEREF _Toc395 \h </w:instrText>
      </w:r>
      <w:r>
        <w:rPr>
          <w:rFonts w:hint="eastAsia" w:ascii="仿宋" w:hAnsi="仿宋" w:eastAsia="仿宋" w:cs="仿宋"/>
          <w:color w:val="000000"/>
          <w:sz w:val="28"/>
          <w:szCs w:val="28"/>
          <w:highlight w:val="none"/>
          <w:lang/>
        </w:rPr>
        <w:fldChar w:fldCharType="separate"/>
      </w:r>
      <w:r>
        <w:rPr>
          <w:rFonts w:hint="eastAsia" w:ascii="仿宋" w:hAnsi="仿宋" w:eastAsia="仿宋" w:cs="仿宋"/>
          <w:color w:val="000000"/>
          <w:sz w:val="28"/>
          <w:szCs w:val="28"/>
          <w:highlight w:val="none"/>
          <w:lang/>
        </w:rPr>
        <w:t>58</w:t>
      </w:r>
      <w:r>
        <w:rPr>
          <w:rFonts w:hint="eastAsia" w:ascii="仿宋" w:hAnsi="仿宋" w:eastAsia="仿宋" w:cs="仿宋"/>
          <w:color w:val="000000"/>
          <w:sz w:val="28"/>
          <w:szCs w:val="28"/>
          <w:highlight w:val="none"/>
          <w:lang/>
        </w:rPr>
        <w:fldChar w:fldCharType="end"/>
      </w:r>
      <w:r>
        <w:rPr>
          <w:rFonts w:hint="eastAsia" w:ascii="仿宋" w:hAnsi="仿宋" w:eastAsia="仿宋" w:cs="仿宋"/>
          <w:color w:val="000000"/>
          <w:sz w:val="28"/>
          <w:szCs w:val="28"/>
          <w:highlight w:val="none"/>
          <w:lang/>
        </w:rPr>
        <w:fldChar w:fldCharType="end"/>
      </w:r>
    </w:p>
    <w:p w14:paraId="5BB4EDEB">
      <w:pPr>
        <w:pStyle w:val="32"/>
        <w:tabs>
          <w:tab w:val="right" w:leader="dot" w:pos="9638"/>
        </w:tabs>
        <w:rPr>
          <w:color w:val="000000"/>
          <w:highlight w:val="none"/>
          <w:lang/>
        </w:rPr>
      </w:pPr>
      <w:r>
        <w:rPr>
          <w:rFonts w:hint="eastAsia" w:ascii="仿宋" w:hAnsi="仿宋" w:eastAsia="仿宋" w:cs="仿宋"/>
          <w:color w:val="000000"/>
          <w:sz w:val="28"/>
          <w:szCs w:val="28"/>
          <w:highlight w:val="none"/>
          <w:lang/>
        </w:rPr>
        <w:fldChar w:fldCharType="begin"/>
      </w:r>
      <w:r>
        <w:rPr>
          <w:rFonts w:hint="eastAsia" w:ascii="仿宋" w:hAnsi="仿宋" w:eastAsia="仿宋" w:cs="仿宋"/>
          <w:color w:val="000000"/>
          <w:sz w:val="28"/>
          <w:szCs w:val="28"/>
          <w:highlight w:val="none"/>
          <w:lang/>
        </w:rPr>
        <w:instrText xml:space="preserve"> HYPERLINK \l _Toc13236 </w:instrText>
      </w:r>
      <w:r>
        <w:rPr>
          <w:rFonts w:hint="eastAsia" w:ascii="仿宋" w:hAnsi="仿宋" w:eastAsia="仿宋" w:cs="仿宋"/>
          <w:color w:val="000000"/>
          <w:sz w:val="28"/>
          <w:szCs w:val="28"/>
          <w:highlight w:val="none"/>
          <w:lang/>
        </w:rPr>
        <w:fldChar w:fldCharType="separate"/>
      </w:r>
      <w:r>
        <w:rPr>
          <w:rFonts w:hint="eastAsia" w:ascii="仿宋" w:hAnsi="仿宋" w:eastAsia="仿宋" w:cs="仿宋"/>
          <w:color w:val="000000"/>
          <w:sz w:val="28"/>
          <w:szCs w:val="28"/>
          <w:highlight w:val="none"/>
          <w:lang/>
        </w:rPr>
        <w:t>第六章  投标文件格式</w:t>
      </w:r>
      <w:r>
        <w:rPr>
          <w:rFonts w:hint="eastAsia" w:ascii="仿宋" w:hAnsi="仿宋" w:eastAsia="仿宋" w:cs="仿宋"/>
          <w:color w:val="000000"/>
          <w:sz w:val="28"/>
          <w:szCs w:val="28"/>
          <w:highlight w:val="none"/>
          <w:lang/>
        </w:rPr>
        <w:tab/>
      </w:r>
      <w:r>
        <w:rPr>
          <w:rFonts w:hint="eastAsia" w:ascii="仿宋" w:hAnsi="仿宋" w:eastAsia="仿宋" w:cs="仿宋"/>
          <w:color w:val="000000"/>
          <w:sz w:val="28"/>
          <w:szCs w:val="28"/>
          <w:highlight w:val="none"/>
          <w:lang/>
        </w:rPr>
        <w:fldChar w:fldCharType="begin"/>
      </w:r>
      <w:r>
        <w:rPr>
          <w:rFonts w:hint="eastAsia" w:ascii="仿宋" w:hAnsi="仿宋" w:eastAsia="仿宋" w:cs="仿宋"/>
          <w:color w:val="000000"/>
          <w:sz w:val="28"/>
          <w:szCs w:val="28"/>
          <w:highlight w:val="none"/>
          <w:lang/>
        </w:rPr>
        <w:instrText xml:space="preserve"> PAGEREF _Toc13236 \h </w:instrText>
      </w:r>
      <w:r>
        <w:rPr>
          <w:rFonts w:hint="eastAsia" w:ascii="仿宋" w:hAnsi="仿宋" w:eastAsia="仿宋" w:cs="仿宋"/>
          <w:color w:val="000000"/>
          <w:sz w:val="28"/>
          <w:szCs w:val="28"/>
          <w:highlight w:val="none"/>
          <w:lang/>
        </w:rPr>
        <w:fldChar w:fldCharType="separate"/>
      </w:r>
      <w:r>
        <w:rPr>
          <w:rFonts w:hint="eastAsia" w:ascii="仿宋" w:hAnsi="仿宋" w:eastAsia="仿宋" w:cs="仿宋"/>
          <w:color w:val="000000"/>
          <w:sz w:val="28"/>
          <w:szCs w:val="28"/>
          <w:highlight w:val="none"/>
          <w:lang/>
        </w:rPr>
        <w:t>73</w:t>
      </w:r>
      <w:r>
        <w:rPr>
          <w:rFonts w:hint="eastAsia" w:ascii="仿宋" w:hAnsi="仿宋" w:eastAsia="仿宋" w:cs="仿宋"/>
          <w:color w:val="000000"/>
          <w:sz w:val="28"/>
          <w:szCs w:val="28"/>
          <w:highlight w:val="none"/>
          <w:lang/>
        </w:rPr>
        <w:fldChar w:fldCharType="end"/>
      </w:r>
      <w:r>
        <w:rPr>
          <w:rFonts w:hint="eastAsia" w:ascii="仿宋" w:hAnsi="仿宋" w:eastAsia="仿宋" w:cs="仿宋"/>
          <w:color w:val="000000"/>
          <w:sz w:val="28"/>
          <w:szCs w:val="28"/>
          <w:highlight w:val="none"/>
          <w:lang/>
        </w:rPr>
        <w:fldChar w:fldCharType="end"/>
      </w:r>
    </w:p>
    <w:p w14:paraId="6943FAF3">
      <w:pPr>
        <w:widowControl/>
        <w:spacing w:line="360" w:lineRule="auto"/>
        <w:rPr>
          <w:rFonts w:hint="eastAsia" w:ascii="宋体" w:hAnsi="宋体" w:eastAsia="仿宋"/>
          <w:color w:val="000000"/>
          <w:sz w:val="52"/>
          <w:szCs w:val="52"/>
          <w:highlight w:val="none"/>
        </w:rPr>
      </w:pPr>
      <w:r>
        <w:rPr>
          <w:rFonts w:eastAsia="仿宋"/>
          <w:color w:val="000000"/>
          <w:szCs w:val="28"/>
          <w:highlight w:val="none"/>
        </w:rPr>
        <w:fldChar w:fldCharType="end"/>
      </w:r>
    </w:p>
    <w:p w14:paraId="356DA21D">
      <w:pPr>
        <w:widowControl/>
        <w:tabs>
          <w:tab w:val="center" w:pos="4153"/>
        </w:tabs>
        <w:spacing w:line="480" w:lineRule="auto"/>
        <w:jc w:val="center"/>
        <w:rPr>
          <w:rFonts w:ascii="宋体" w:hAnsi="宋体" w:eastAsia="仿宋"/>
          <w:color w:val="000000"/>
          <w:sz w:val="52"/>
          <w:szCs w:val="52"/>
          <w:highlight w:val="none"/>
        </w:rPr>
        <w:sectPr>
          <w:headerReference r:id="rId8" w:type="first"/>
          <w:footerReference r:id="rId10" w:type="first"/>
          <w:footerReference r:id="rId9"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p w14:paraId="5E800CF7">
      <w:pPr>
        <w:pStyle w:val="2"/>
        <w:widowControl/>
        <w:spacing w:before="0" w:after="0" w:line="240" w:lineRule="auto"/>
        <w:jc w:val="center"/>
        <w:rPr>
          <w:rFonts w:hint="eastAsia" w:ascii="宋体" w:hAnsi="宋体" w:eastAsia="仿宋"/>
          <w:color w:val="000000"/>
          <w:highlight w:val="none"/>
        </w:rPr>
      </w:pPr>
      <w:bookmarkStart w:id="1" w:name="_Toc1434"/>
      <w:bookmarkStart w:id="2" w:name="_Toc466024489"/>
      <w:r>
        <w:rPr>
          <w:rFonts w:hint="eastAsia" w:ascii="宋体" w:hAnsi="宋体" w:eastAsia="仿宋"/>
          <w:color w:val="000000"/>
          <w:highlight w:val="none"/>
        </w:rPr>
        <w:t>第一章  招标公告</w:t>
      </w:r>
      <w:bookmarkEnd w:id="1"/>
      <w:bookmarkEnd w:id="2"/>
    </w:p>
    <w:p w14:paraId="26945565">
      <w:pPr>
        <w:rPr>
          <w:rFonts w:hint="eastAsia" w:eastAsia="仿宋"/>
          <w:color w:val="000000"/>
          <w:highlight w:val="none"/>
        </w:rPr>
      </w:pPr>
    </w:p>
    <w:p w14:paraId="27103D32">
      <w:pPr>
        <w:widowControl/>
        <w:spacing w:before="120" w:beforeLines="50" w:after="120" w:afterLines="50" w:line="400" w:lineRule="exact"/>
        <w:jc w:val="center"/>
        <w:rPr>
          <w:rFonts w:ascii="宋体" w:hAnsi="宋体" w:eastAsia="仿宋"/>
          <w:color w:val="000000"/>
          <w:sz w:val="28"/>
          <w:szCs w:val="28"/>
          <w:highlight w:val="none"/>
        </w:rPr>
      </w:pPr>
      <w:bookmarkStart w:id="3" w:name="OLE_LINK1"/>
      <w:r>
        <w:rPr>
          <w:rFonts w:hint="eastAsia" w:ascii="宋体" w:hAnsi="宋体" w:eastAsia="仿宋"/>
          <w:color w:val="000000"/>
          <w:sz w:val="28"/>
          <w:szCs w:val="28"/>
          <w:highlight w:val="none"/>
          <w:lang w:eastAsia="zh-CN"/>
        </w:rPr>
        <w:t>安徽省疾控中心省结核病参比实验室耐药检测能力提升</w:t>
      </w:r>
      <w:r>
        <w:rPr>
          <w:rFonts w:ascii="宋体" w:hAnsi="宋体" w:eastAsia="仿宋"/>
          <w:color w:val="000000"/>
          <w:sz w:val="28"/>
          <w:szCs w:val="28"/>
          <w:highlight w:val="none"/>
        </w:rPr>
        <w:t>招标公告</w:t>
      </w:r>
    </w:p>
    <w:p w14:paraId="63850CF5">
      <w:pPr>
        <w:rPr>
          <w:rFonts w:eastAsia="仿宋"/>
          <w:color w:val="000000"/>
          <w:sz w:val="28"/>
          <w:szCs w:val="28"/>
          <w:highlight w:val="none"/>
        </w:rPr>
      </w:pPr>
    </w:p>
    <w:p w14:paraId="47BFCF0A">
      <w:pPr>
        <w:pBdr>
          <w:top w:val="single" w:color="auto" w:sz="4" w:space="1"/>
          <w:left w:val="single" w:color="auto" w:sz="4" w:space="4"/>
          <w:bottom w:val="single" w:color="auto" w:sz="4" w:space="13"/>
          <w:right w:val="single" w:color="auto" w:sz="4" w:space="4"/>
        </w:pBdr>
        <w:adjustRightInd w:val="0"/>
        <w:snapToGrid w:val="0"/>
        <w:spacing w:line="360" w:lineRule="auto"/>
        <w:ind w:firstLine="560" w:firstLineChars="200"/>
        <w:rPr>
          <w:rFonts w:ascii="宋体" w:hAnsi="宋体" w:eastAsia="仿宋"/>
          <w:color w:val="000000"/>
          <w:sz w:val="28"/>
          <w:szCs w:val="28"/>
          <w:highlight w:val="none"/>
        </w:rPr>
      </w:pPr>
      <w:r>
        <w:rPr>
          <w:rFonts w:hint="eastAsia" w:ascii="宋体" w:hAnsi="宋体" w:eastAsia="仿宋"/>
          <w:color w:val="000000"/>
          <w:sz w:val="28"/>
          <w:szCs w:val="28"/>
          <w:highlight w:val="none"/>
        </w:rPr>
        <w:t>项目概况</w:t>
      </w:r>
    </w:p>
    <w:p w14:paraId="7055FCB1">
      <w:pPr>
        <w:pBdr>
          <w:top w:val="single" w:color="auto" w:sz="4" w:space="1"/>
          <w:left w:val="single" w:color="auto" w:sz="4" w:space="4"/>
          <w:bottom w:val="single" w:color="auto" w:sz="4" w:space="13"/>
          <w:right w:val="single" w:color="auto" w:sz="4" w:space="4"/>
        </w:pBdr>
        <w:adjustRightInd w:val="0"/>
        <w:snapToGrid w:val="0"/>
        <w:spacing w:line="360" w:lineRule="auto"/>
        <w:ind w:firstLine="560" w:firstLineChars="200"/>
        <w:rPr>
          <w:rFonts w:ascii="宋体" w:hAnsi="宋体" w:eastAsia="仿宋"/>
          <w:color w:val="000000"/>
          <w:sz w:val="28"/>
          <w:szCs w:val="28"/>
          <w:highlight w:val="none"/>
        </w:rPr>
      </w:pPr>
      <w:r>
        <w:rPr>
          <w:rFonts w:hint="eastAsia" w:ascii="楷体" w:hAnsi="楷体" w:eastAsia="仿宋"/>
          <w:color w:val="000000"/>
          <w:sz w:val="28"/>
          <w:szCs w:val="28"/>
          <w:highlight w:val="none"/>
          <w:lang w:eastAsia="zh-CN"/>
        </w:rPr>
        <w:t>安徽省疾控中心省结核病参比实验室耐药检测能力提升</w:t>
      </w:r>
      <w:r>
        <w:rPr>
          <w:rFonts w:hint="eastAsia" w:ascii="宋体" w:hAnsi="宋体" w:eastAsia="仿宋"/>
          <w:color w:val="000000"/>
          <w:sz w:val="28"/>
          <w:szCs w:val="28"/>
          <w:highlight w:val="none"/>
        </w:rPr>
        <w:t>招标项目</w:t>
      </w:r>
      <w:r>
        <w:rPr>
          <w:rFonts w:hint="eastAsia" w:ascii="仿宋" w:hAnsi="仿宋" w:eastAsia="仿宋" w:cs="仿宋"/>
          <w:color w:val="000000"/>
          <w:sz w:val="28"/>
          <w:szCs w:val="28"/>
          <w:highlight w:val="none"/>
        </w:rPr>
        <w:t>的潜在投标人应在“优质采招标采购平台（www.yzczb.com）”或“优质采云采购平台（www.youzhicai.com）”获取招标文件，并于</w:t>
      </w:r>
      <w:r>
        <w:rPr>
          <w:rFonts w:hint="eastAsia" w:ascii="楷体" w:hAnsi="楷体" w:eastAsia="仿宋"/>
          <w:color w:val="000000"/>
          <w:sz w:val="28"/>
          <w:szCs w:val="28"/>
          <w:highlight w:val="none"/>
          <w:lang w:eastAsia="zh-CN"/>
        </w:rPr>
        <w:t>2025年</w:t>
      </w:r>
      <w:r>
        <w:rPr>
          <w:rFonts w:hint="eastAsia" w:ascii="楷体" w:hAnsi="楷体" w:eastAsia="仿宋"/>
          <w:color w:val="000000"/>
          <w:sz w:val="28"/>
          <w:szCs w:val="28"/>
          <w:highlight w:val="none"/>
          <w:lang w:val="en-US" w:eastAsia="zh-CN"/>
        </w:rPr>
        <w:t>12</w:t>
      </w:r>
      <w:r>
        <w:rPr>
          <w:rFonts w:hint="eastAsia" w:ascii="楷体" w:hAnsi="楷体" w:eastAsia="仿宋"/>
          <w:color w:val="000000"/>
          <w:sz w:val="28"/>
          <w:szCs w:val="28"/>
          <w:highlight w:val="none"/>
          <w:lang w:eastAsia="zh-CN"/>
        </w:rPr>
        <w:t>月</w:t>
      </w:r>
      <w:r>
        <w:rPr>
          <w:rFonts w:hint="eastAsia" w:ascii="楷体" w:hAnsi="楷体" w:eastAsia="仿宋"/>
          <w:color w:val="000000"/>
          <w:sz w:val="28"/>
          <w:szCs w:val="28"/>
          <w:highlight w:val="none"/>
          <w:lang w:val="en-US" w:eastAsia="zh-CN"/>
        </w:rPr>
        <w:t>11</w:t>
      </w:r>
      <w:r>
        <w:rPr>
          <w:rFonts w:hint="eastAsia" w:ascii="楷体" w:hAnsi="楷体" w:eastAsia="仿宋"/>
          <w:color w:val="000000"/>
          <w:sz w:val="28"/>
          <w:szCs w:val="28"/>
          <w:highlight w:val="none"/>
          <w:lang w:eastAsia="zh-CN"/>
        </w:rPr>
        <w:t>日14点30分</w:t>
      </w:r>
      <w:r>
        <w:rPr>
          <w:rFonts w:hint="eastAsia" w:ascii="宋体" w:hAnsi="宋体" w:eastAsia="仿宋"/>
          <w:bCs/>
          <w:color w:val="000000"/>
          <w:sz w:val="28"/>
          <w:szCs w:val="28"/>
          <w:highlight w:val="none"/>
        </w:rPr>
        <w:t>（北京时间）前递交投标</w:t>
      </w:r>
      <w:r>
        <w:rPr>
          <w:rFonts w:ascii="宋体" w:hAnsi="宋体" w:eastAsia="仿宋"/>
          <w:bCs/>
          <w:color w:val="000000"/>
          <w:sz w:val="28"/>
          <w:szCs w:val="28"/>
          <w:highlight w:val="none"/>
        </w:rPr>
        <w:t>文件</w:t>
      </w:r>
      <w:r>
        <w:rPr>
          <w:rFonts w:hint="eastAsia" w:ascii="宋体" w:hAnsi="宋体" w:eastAsia="仿宋"/>
          <w:color w:val="000000"/>
          <w:sz w:val="28"/>
          <w:szCs w:val="28"/>
          <w:highlight w:val="none"/>
        </w:rPr>
        <w:t>。</w:t>
      </w:r>
    </w:p>
    <w:p w14:paraId="25853536">
      <w:pPr>
        <w:rPr>
          <w:rFonts w:ascii="宋体" w:hAnsi="宋体" w:eastAsia="仿宋"/>
          <w:color w:val="000000"/>
          <w:sz w:val="28"/>
          <w:szCs w:val="28"/>
          <w:highlight w:val="none"/>
        </w:rPr>
      </w:pPr>
    </w:p>
    <w:p w14:paraId="29CF1263">
      <w:pPr>
        <w:pStyle w:val="3"/>
        <w:widowControl/>
        <w:adjustRightInd w:val="0"/>
        <w:snapToGrid w:val="0"/>
        <w:spacing w:before="48" w:beforeLines="20" w:after="48" w:afterLines="20" w:line="360" w:lineRule="auto"/>
        <w:ind w:firstLine="504" w:firstLineChars="180"/>
        <w:rPr>
          <w:rStyle w:val="106"/>
          <w:rFonts w:hAnsi="宋体"/>
          <w:color w:val="000000"/>
          <w:sz w:val="28"/>
          <w:szCs w:val="28"/>
          <w:highlight w:val="none"/>
        </w:rPr>
      </w:pPr>
      <w:bookmarkStart w:id="4" w:name="_Toc35393621"/>
      <w:bookmarkStart w:id="5" w:name="_Toc35393790"/>
      <w:bookmarkStart w:id="6" w:name="_Toc28359079"/>
      <w:bookmarkStart w:id="7" w:name="_Toc28359002"/>
      <w:bookmarkStart w:id="8" w:name="_Hlk24379207"/>
      <w:r>
        <w:rPr>
          <w:rStyle w:val="106"/>
          <w:rFonts w:hint="eastAsia" w:hAnsi="宋体"/>
          <w:color w:val="000000"/>
          <w:sz w:val="28"/>
          <w:szCs w:val="28"/>
          <w:highlight w:val="none"/>
        </w:rPr>
        <w:t>一、项目基本情况</w:t>
      </w:r>
      <w:bookmarkEnd w:id="4"/>
      <w:bookmarkEnd w:id="5"/>
      <w:bookmarkEnd w:id="6"/>
      <w:bookmarkEnd w:id="7"/>
    </w:p>
    <w:p w14:paraId="2547A8CB">
      <w:pPr>
        <w:adjustRightInd w:val="0"/>
        <w:snapToGrid w:val="0"/>
        <w:spacing w:line="360" w:lineRule="auto"/>
        <w:ind w:firstLine="560" w:firstLineChars="200"/>
        <w:rPr>
          <w:rFonts w:hint="eastAsia" w:ascii="宋体" w:hAnsi="宋体" w:eastAsia="仿宋"/>
          <w:color w:val="000000"/>
          <w:sz w:val="28"/>
          <w:szCs w:val="28"/>
          <w:highlight w:val="none"/>
          <w:u w:val="single"/>
          <w:lang w:eastAsia="zh-CN"/>
        </w:rPr>
      </w:pPr>
      <w:r>
        <w:rPr>
          <w:rFonts w:hint="eastAsia" w:ascii="宋体" w:hAnsi="宋体" w:eastAsia="仿宋"/>
          <w:color w:val="000000"/>
          <w:sz w:val="28"/>
          <w:szCs w:val="28"/>
          <w:highlight w:val="none"/>
        </w:rPr>
        <w:t>项目编号：</w:t>
      </w:r>
      <w:r>
        <w:rPr>
          <w:rFonts w:hint="eastAsia" w:ascii="楷体" w:hAnsi="楷体" w:eastAsia="仿宋"/>
          <w:color w:val="000000"/>
          <w:sz w:val="28"/>
          <w:szCs w:val="28"/>
          <w:highlight w:val="none"/>
          <w:lang w:eastAsia="zh-CN"/>
        </w:rPr>
        <w:t>ZF2025-36-1936</w:t>
      </w:r>
    </w:p>
    <w:p w14:paraId="72C16D12">
      <w:pPr>
        <w:adjustRightInd w:val="0"/>
        <w:snapToGrid w:val="0"/>
        <w:spacing w:line="360" w:lineRule="auto"/>
        <w:ind w:firstLine="560" w:firstLineChars="200"/>
        <w:rPr>
          <w:rFonts w:hint="eastAsia" w:ascii="宋体" w:hAnsi="宋体" w:eastAsia="仿宋"/>
          <w:color w:val="000000"/>
          <w:sz w:val="28"/>
          <w:szCs w:val="28"/>
          <w:highlight w:val="none"/>
          <w:u w:val="single"/>
          <w:lang w:eastAsia="zh-CN"/>
        </w:rPr>
      </w:pPr>
      <w:r>
        <w:rPr>
          <w:rFonts w:hint="eastAsia" w:ascii="宋体" w:hAnsi="宋体" w:eastAsia="仿宋"/>
          <w:color w:val="000000"/>
          <w:sz w:val="28"/>
          <w:szCs w:val="28"/>
          <w:highlight w:val="none"/>
        </w:rPr>
        <w:t>项目名称：</w:t>
      </w:r>
      <w:r>
        <w:rPr>
          <w:rFonts w:hint="eastAsia" w:ascii="楷体" w:hAnsi="楷体" w:eastAsia="仿宋"/>
          <w:color w:val="000000"/>
          <w:sz w:val="28"/>
          <w:szCs w:val="28"/>
          <w:highlight w:val="none"/>
          <w:lang w:eastAsia="zh-CN"/>
        </w:rPr>
        <w:t>安徽省疾控中心省结核病参比实验室耐药检测能力提升</w:t>
      </w:r>
    </w:p>
    <w:bookmarkEnd w:id="8"/>
    <w:p w14:paraId="250372A7">
      <w:pPr>
        <w:adjustRightInd w:val="0"/>
        <w:snapToGrid w:val="0"/>
        <w:spacing w:line="360" w:lineRule="auto"/>
        <w:ind w:firstLine="560" w:firstLineChars="200"/>
        <w:rPr>
          <w:rFonts w:hint="eastAsia" w:ascii="宋体" w:hAnsi="宋体" w:eastAsia="仿宋"/>
          <w:color w:val="000000"/>
          <w:sz w:val="28"/>
          <w:szCs w:val="28"/>
          <w:highlight w:val="none"/>
          <w:lang w:eastAsia="zh-CN"/>
        </w:rPr>
      </w:pPr>
      <w:r>
        <w:rPr>
          <w:rFonts w:hint="eastAsia" w:ascii="宋体" w:hAnsi="宋体" w:eastAsia="仿宋"/>
          <w:color w:val="000000"/>
          <w:sz w:val="28"/>
          <w:szCs w:val="28"/>
          <w:highlight w:val="none"/>
        </w:rPr>
        <w:t>预算金额：</w:t>
      </w:r>
      <w:r>
        <w:rPr>
          <w:rFonts w:hint="eastAsia" w:ascii="宋体" w:hAnsi="宋体" w:eastAsia="仿宋"/>
          <w:color w:val="000000"/>
          <w:sz w:val="28"/>
          <w:szCs w:val="28"/>
          <w:highlight w:val="none"/>
          <w:lang w:eastAsia="zh-CN"/>
        </w:rPr>
        <w:t>280万元，共分为</w:t>
      </w:r>
      <w:r>
        <w:rPr>
          <w:rFonts w:hint="eastAsia" w:ascii="宋体" w:hAnsi="宋体" w:eastAsia="仿宋"/>
          <w:color w:val="000000"/>
          <w:sz w:val="28"/>
          <w:szCs w:val="28"/>
          <w:highlight w:val="none"/>
          <w:lang w:val="en-US" w:eastAsia="zh-CN"/>
        </w:rPr>
        <w:t>2</w:t>
      </w:r>
      <w:r>
        <w:rPr>
          <w:rFonts w:hint="eastAsia" w:ascii="宋体" w:hAnsi="宋体" w:eastAsia="仿宋"/>
          <w:color w:val="000000"/>
          <w:sz w:val="28"/>
          <w:szCs w:val="28"/>
          <w:highlight w:val="none"/>
          <w:lang w:eastAsia="zh-CN"/>
        </w:rPr>
        <w:t>个包，第1包:</w:t>
      </w:r>
      <w:r>
        <w:rPr>
          <w:rFonts w:hint="eastAsia" w:ascii="宋体" w:hAnsi="宋体" w:eastAsia="仿宋"/>
          <w:color w:val="000000"/>
          <w:sz w:val="28"/>
          <w:szCs w:val="28"/>
          <w:highlight w:val="none"/>
          <w:lang w:val="en-US" w:eastAsia="zh-CN"/>
        </w:rPr>
        <w:t>160</w:t>
      </w:r>
      <w:r>
        <w:rPr>
          <w:rFonts w:hint="eastAsia" w:ascii="宋体" w:hAnsi="宋体" w:eastAsia="仿宋"/>
          <w:color w:val="000000"/>
          <w:sz w:val="28"/>
          <w:szCs w:val="28"/>
          <w:highlight w:val="none"/>
          <w:lang w:eastAsia="zh-CN"/>
        </w:rPr>
        <w:t>万元；第2包:</w:t>
      </w:r>
      <w:r>
        <w:rPr>
          <w:rFonts w:hint="eastAsia" w:ascii="宋体" w:hAnsi="宋体" w:eastAsia="仿宋"/>
          <w:color w:val="000000"/>
          <w:sz w:val="28"/>
          <w:szCs w:val="28"/>
          <w:highlight w:val="none"/>
          <w:lang w:val="en-US" w:eastAsia="zh-CN"/>
        </w:rPr>
        <w:t>120</w:t>
      </w:r>
      <w:r>
        <w:rPr>
          <w:rFonts w:hint="eastAsia" w:ascii="宋体" w:hAnsi="宋体" w:eastAsia="仿宋"/>
          <w:color w:val="000000"/>
          <w:sz w:val="28"/>
          <w:szCs w:val="28"/>
          <w:highlight w:val="none"/>
          <w:lang w:eastAsia="zh-CN"/>
        </w:rPr>
        <w:t>万元</w:t>
      </w:r>
    </w:p>
    <w:p w14:paraId="23A18E9A">
      <w:pPr>
        <w:adjustRightInd w:val="0"/>
        <w:snapToGrid w:val="0"/>
        <w:spacing w:line="360" w:lineRule="auto"/>
        <w:ind w:firstLine="560" w:firstLineChars="200"/>
        <w:rPr>
          <w:rFonts w:hint="eastAsia" w:ascii="宋体" w:hAnsi="宋体" w:eastAsia="仿宋"/>
          <w:color w:val="000000"/>
          <w:sz w:val="28"/>
          <w:szCs w:val="28"/>
          <w:highlight w:val="none"/>
          <w:lang w:eastAsia="zh-CN"/>
        </w:rPr>
      </w:pPr>
      <w:r>
        <w:rPr>
          <w:rFonts w:hint="eastAsia" w:ascii="宋体" w:hAnsi="宋体" w:eastAsia="仿宋"/>
          <w:color w:val="000000"/>
          <w:sz w:val="28"/>
          <w:szCs w:val="28"/>
          <w:highlight w:val="none"/>
        </w:rPr>
        <w:t>最高限价：</w:t>
      </w:r>
      <w:r>
        <w:rPr>
          <w:rFonts w:hint="eastAsia" w:ascii="宋体" w:hAnsi="宋体" w:eastAsia="仿宋"/>
          <w:color w:val="000000"/>
          <w:sz w:val="28"/>
          <w:szCs w:val="28"/>
          <w:highlight w:val="none"/>
          <w:lang w:eastAsia="zh-CN"/>
        </w:rPr>
        <w:t>280万元，共分为</w:t>
      </w:r>
      <w:r>
        <w:rPr>
          <w:rFonts w:hint="eastAsia" w:ascii="宋体" w:hAnsi="宋体" w:eastAsia="仿宋"/>
          <w:color w:val="000000"/>
          <w:sz w:val="28"/>
          <w:szCs w:val="28"/>
          <w:highlight w:val="none"/>
          <w:lang w:val="en-US" w:eastAsia="zh-CN"/>
        </w:rPr>
        <w:t>2</w:t>
      </w:r>
      <w:r>
        <w:rPr>
          <w:rFonts w:hint="eastAsia" w:ascii="宋体" w:hAnsi="宋体" w:eastAsia="仿宋"/>
          <w:color w:val="000000"/>
          <w:sz w:val="28"/>
          <w:szCs w:val="28"/>
          <w:highlight w:val="none"/>
          <w:lang w:eastAsia="zh-CN"/>
        </w:rPr>
        <w:t>个包，第1包:</w:t>
      </w:r>
      <w:r>
        <w:rPr>
          <w:rFonts w:hint="eastAsia" w:ascii="宋体" w:hAnsi="宋体" w:eastAsia="仿宋"/>
          <w:color w:val="000000"/>
          <w:sz w:val="28"/>
          <w:szCs w:val="28"/>
          <w:highlight w:val="none"/>
          <w:lang w:val="en-US" w:eastAsia="zh-CN"/>
        </w:rPr>
        <w:t>160</w:t>
      </w:r>
      <w:r>
        <w:rPr>
          <w:rFonts w:hint="eastAsia" w:ascii="宋体" w:hAnsi="宋体" w:eastAsia="仿宋"/>
          <w:color w:val="000000"/>
          <w:sz w:val="28"/>
          <w:szCs w:val="28"/>
          <w:highlight w:val="none"/>
          <w:lang w:eastAsia="zh-CN"/>
        </w:rPr>
        <w:t>万元；第2包:</w:t>
      </w:r>
      <w:r>
        <w:rPr>
          <w:rFonts w:hint="eastAsia" w:ascii="宋体" w:hAnsi="宋体" w:eastAsia="仿宋"/>
          <w:color w:val="000000"/>
          <w:sz w:val="28"/>
          <w:szCs w:val="28"/>
          <w:highlight w:val="none"/>
          <w:lang w:val="en-US" w:eastAsia="zh-CN"/>
        </w:rPr>
        <w:t>120</w:t>
      </w:r>
      <w:r>
        <w:rPr>
          <w:rFonts w:hint="eastAsia" w:ascii="宋体" w:hAnsi="宋体" w:eastAsia="仿宋"/>
          <w:color w:val="000000"/>
          <w:sz w:val="28"/>
          <w:szCs w:val="28"/>
          <w:highlight w:val="none"/>
          <w:lang w:eastAsia="zh-CN"/>
        </w:rPr>
        <w:t>万元</w:t>
      </w:r>
    </w:p>
    <w:p w14:paraId="18E5EBC8">
      <w:pPr>
        <w:adjustRightInd w:val="0"/>
        <w:snapToGrid w:val="0"/>
        <w:spacing w:line="360" w:lineRule="auto"/>
        <w:ind w:firstLine="560" w:firstLineChars="200"/>
        <w:rPr>
          <w:rFonts w:ascii="宋体" w:hAnsi="宋体" w:eastAsia="仿宋"/>
          <w:color w:val="000000"/>
          <w:sz w:val="28"/>
          <w:szCs w:val="28"/>
          <w:highlight w:val="none"/>
        </w:rPr>
      </w:pPr>
      <w:r>
        <w:rPr>
          <w:rFonts w:hint="eastAsia" w:ascii="宋体" w:hAnsi="宋体" w:eastAsia="仿宋"/>
          <w:color w:val="000000"/>
          <w:sz w:val="28"/>
          <w:szCs w:val="28"/>
          <w:highlight w:val="none"/>
        </w:rPr>
        <w:t>采购需求：</w:t>
      </w:r>
      <w:r>
        <w:rPr>
          <w:rFonts w:hint="eastAsia" w:ascii="楷体" w:hAnsi="楷体" w:eastAsia="仿宋"/>
          <w:color w:val="000000"/>
          <w:sz w:val="28"/>
          <w:szCs w:val="28"/>
          <w:highlight w:val="none"/>
          <w:lang w:eastAsia="zh-CN"/>
        </w:rPr>
        <w:t>安徽省疾控中心省结核病参比实验室耐药检测能力提升</w:t>
      </w:r>
      <w:r>
        <w:rPr>
          <w:rFonts w:hint="eastAsia" w:ascii="宋体" w:hAnsi="宋体" w:eastAsia="仿宋" w:cs="Times New Roman"/>
          <w:color w:val="000000"/>
          <w:sz w:val="28"/>
          <w:szCs w:val="28"/>
          <w:highlight w:val="none"/>
        </w:rPr>
        <w:t>共分为</w:t>
      </w:r>
      <w:r>
        <w:rPr>
          <w:rFonts w:hint="eastAsia" w:ascii="宋体" w:hAnsi="宋体" w:eastAsia="仿宋" w:cs="Times New Roman"/>
          <w:color w:val="000000"/>
          <w:sz w:val="28"/>
          <w:szCs w:val="28"/>
          <w:highlight w:val="none"/>
          <w:lang w:val="en-US" w:eastAsia="zh-CN"/>
        </w:rPr>
        <w:t>2</w:t>
      </w:r>
      <w:r>
        <w:rPr>
          <w:rFonts w:hint="eastAsia" w:ascii="宋体" w:hAnsi="宋体" w:eastAsia="仿宋" w:cs="Times New Roman"/>
          <w:color w:val="000000"/>
          <w:sz w:val="28"/>
          <w:szCs w:val="28"/>
          <w:highlight w:val="none"/>
        </w:rPr>
        <w:t>个包，第1包:</w:t>
      </w:r>
      <w:r>
        <w:rPr>
          <w:rFonts w:hint="eastAsia" w:ascii="宋体" w:hAnsi="宋体" w:eastAsia="仿宋"/>
          <w:color w:val="000000"/>
          <w:sz w:val="28"/>
          <w:szCs w:val="28"/>
          <w:highlight w:val="none"/>
          <w:lang w:val="en-US" w:eastAsia="zh-CN"/>
        </w:rPr>
        <w:t>结核分枝杆菌测序系统1套；</w:t>
      </w:r>
      <w:r>
        <w:rPr>
          <w:rFonts w:hint="eastAsia" w:ascii="宋体" w:hAnsi="宋体" w:eastAsia="仿宋" w:cs="Times New Roman"/>
          <w:color w:val="000000"/>
          <w:sz w:val="28"/>
          <w:szCs w:val="28"/>
          <w:highlight w:val="none"/>
        </w:rPr>
        <w:t>第2包:</w:t>
      </w:r>
      <w:r>
        <w:rPr>
          <w:rFonts w:hint="eastAsia" w:ascii="宋体" w:hAnsi="宋体" w:eastAsia="仿宋"/>
          <w:color w:val="000000"/>
          <w:sz w:val="28"/>
          <w:szCs w:val="28"/>
          <w:highlight w:val="none"/>
        </w:rPr>
        <w:t>结核分枝杆菌蛋白转印系统</w:t>
      </w:r>
      <w:r>
        <w:rPr>
          <w:rFonts w:hint="eastAsia" w:ascii="宋体" w:hAnsi="宋体" w:eastAsia="仿宋"/>
          <w:color w:val="000000"/>
          <w:sz w:val="28"/>
          <w:szCs w:val="28"/>
          <w:highlight w:val="none"/>
          <w:lang w:val="en-US" w:eastAsia="zh-CN"/>
        </w:rPr>
        <w:t>1套和耐药结核分枝杆菌全自动分子检测系统1套</w:t>
      </w:r>
      <w:r>
        <w:rPr>
          <w:rFonts w:hint="eastAsia" w:ascii="宋体" w:hAnsi="宋体" w:eastAsia="仿宋"/>
          <w:color w:val="000000"/>
          <w:sz w:val="28"/>
          <w:szCs w:val="28"/>
          <w:highlight w:val="none"/>
        </w:rPr>
        <w:t>。</w:t>
      </w:r>
    </w:p>
    <w:p w14:paraId="4EC2D051">
      <w:pPr>
        <w:adjustRightInd w:val="0"/>
        <w:snapToGrid w:val="0"/>
        <w:spacing w:line="360" w:lineRule="auto"/>
        <w:ind w:firstLine="560" w:firstLineChars="200"/>
        <w:rPr>
          <w:rFonts w:ascii="宋体" w:hAnsi="宋体" w:eastAsia="仿宋"/>
          <w:color w:val="000000"/>
          <w:sz w:val="28"/>
          <w:szCs w:val="28"/>
          <w:highlight w:val="none"/>
        </w:rPr>
      </w:pPr>
      <w:r>
        <w:rPr>
          <w:rFonts w:hint="eastAsia" w:ascii="宋体" w:hAnsi="宋体" w:eastAsia="仿宋"/>
          <w:color w:val="000000"/>
          <w:sz w:val="28"/>
          <w:szCs w:val="28"/>
          <w:highlight w:val="none"/>
        </w:rPr>
        <w:t>合同履行期限：合同签订后30日内供货安装调试完毕。</w:t>
      </w:r>
    </w:p>
    <w:p w14:paraId="547B7A86">
      <w:pPr>
        <w:adjustRightInd w:val="0"/>
        <w:snapToGrid w:val="0"/>
        <w:spacing w:line="360" w:lineRule="auto"/>
        <w:ind w:firstLine="560" w:firstLineChars="200"/>
        <w:rPr>
          <w:rFonts w:ascii="宋体" w:hAnsi="宋体" w:eastAsia="仿宋"/>
          <w:color w:val="000000"/>
          <w:sz w:val="28"/>
          <w:szCs w:val="28"/>
          <w:highlight w:val="none"/>
        </w:rPr>
      </w:pPr>
      <w:r>
        <w:rPr>
          <w:rFonts w:hint="eastAsia" w:ascii="宋体" w:hAnsi="宋体" w:eastAsia="仿宋"/>
          <w:color w:val="000000"/>
          <w:sz w:val="28"/>
          <w:szCs w:val="28"/>
          <w:highlight w:val="none"/>
        </w:rPr>
        <w:t>本项目</w:t>
      </w:r>
      <w:r>
        <w:rPr>
          <w:rFonts w:hint="eastAsia" w:ascii="楷体" w:hAnsi="楷体" w:eastAsia="仿宋"/>
          <w:color w:val="000000"/>
          <w:sz w:val="28"/>
          <w:szCs w:val="28"/>
          <w:highlight w:val="none"/>
        </w:rPr>
        <w:t>不接受</w:t>
      </w:r>
      <w:r>
        <w:rPr>
          <w:rFonts w:hint="eastAsia" w:ascii="宋体" w:hAnsi="宋体" w:eastAsia="仿宋"/>
          <w:color w:val="000000"/>
          <w:sz w:val="28"/>
          <w:szCs w:val="28"/>
          <w:highlight w:val="none"/>
        </w:rPr>
        <w:t>联合体投标。</w:t>
      </w:r>
      <w:bookmarkStart w:id="9" w:name="_Toc28359003"/>
      <w:bookmarkStart w:id="10" w:name="_Toc35393622"/>
      <w:bookmarkStart w:id="11" w:name="_Toc28359080"/>
      <w:bookmarkStart w:id="12" w:name="_Toc35393791"/>
    </w:p>
    <w:p w14:paraId="1DB76648">
      <w:pPr>
        <w:pStyle w:val="3"/>
        <w:widowControl/>
        <w:adjustRightInd w:val="0"/>
        <w:snapToGrid w:val="0"/>
        <w:spacing w:before="48" w:beforeLines="20" w:after="48" w:afterLines="20" w:line="360" w:lineRule="auto"/>
        <w:ind w:firstLine="560" w:firstLineChars="200"/>
        <w:rPr>
          <w:rStyle w:val="106"/>
          <w:rFonts w:hAnsi="宋体"/>
          <w:color w:val="000000"/>
          <w:sz w:val="28"/>
          <w:szCs w:val="28"/>
          <w:highlight w:val="none"/>
        </w:rPr>
      </w:pPr>
      <w:r>
        <w:rPr>
          <w:rStyle w:val="106"/>
          <w:rFonts w:hint="eastAsia" w:hAnsi="宋体"/>
          <w:color w:val="000000"/>
          <w:sz w:val="28"/>
          <w:szCs w:val="28"/>
          <w:highlight w:val="none"/>
        </w:rPr>
        <w:t>二、申请人的资格要求：</w:t>
      </w:r>
      <w:bookmarkEnd w:id="9"/>
      <w:bookmarkEnd w:id="10"/>
      <w:bookmarkEnd w:id="11"/>
      <w:bookmarkEnd w:id="12"/>
    </w:p>
    <w:p w14:paraId="2D1C126D">
      <w:pPr>
        <w:adjustRightInd w:val="0"/>
        <w:snapToGrid w:val="0"/>
        <w:spacing w:line="360" w:lineRule="auto"/>
        <w:ind w:firstLine="560" w:firstLineChars="200"/>
        <w:rPr>
          <w:rFonts w:ascii="宋体" w:hAnsi="宋体" w:eastAsia="仿宋"/>
          <w:color w:val="000000"/>
          <w:sz w:val="28"/>
          <w:szCs w:val="28"/>
          <w:highlight w:val="none"/>
        </w:rPr>
      </w:pPr>
      <w:r>
        <w:rPr>
          <w:rFonts w:hint="eastAsia" w:ascii="宋体" w:hAnsi="宋体" w:eastAsia="仿宋"/>
          <w:color w:val="000000"/>
          <w:sz w:val="28"/>
          <w:szCs w:val="28"/>
          <w:highlight w:val="none"/>
        </w:rPr>
        <w:t>1.满足《中华人民共和国政府采购法》第二十二条规定；</w:t>
      </w:r>
    </w:p>
    <w:p w14:paraId="41A7E24D">
      <w:pPr>
        <w:adjustRightInd w:val="0"/>
        <w:snapToGrid w:val="0"/>
        <w:spacing w:line="360" w:lineRule="auto"/>
        <w:ind w:firstLine="560" w:firstLineChars="200"/>
        <w:rPr>
          <w:rFonts w:hint="eastAsia" w:ascii="楷体" w:hAnsi="楷体" w:eastAsia="楷体"/>
          <w:i/>
          <w:color w:val="000000"/>
          <w:sz w:val="28"/>
          <w:szCs w:val="28"/>
          <w:highlight w:val="none"/>
          <w:u w:val="single"/>
        </w:rPr>
      </w:pPr>
      <w:bookmarkStart w:id="13" w:name="_Toc28359004"/>
      <w:bookmarkStart w:id="14" w:name="_Toc28359081"/>
      <w:r>
        <w:rPr>
          <w:rFonts w:hint="eastAsia" w:ascii="宋体" w:hAnsi="宋体" w:eastAsia="仿宋"/>
          <w:color w:val="000000"/>
          <w:sz w:val="28"/>
          <w:szCs w:val="28"/>
          <w:highlight w:val="none"/>
        </w:rPr>
        <w:t>2.落实政府采购政策需满足的资格要求：无；</w:t>
      </w:r>
    </w:p>
    <w:p w14:paraId="4CAB925F">
      <w:pPr>
        <w:adjustRightInd w:val="0"/>
        <w:snapToGrid w:val="0"/>
        <w:spacing w:line="360" w:lineRule="auto"/>
        <w:ind w:firstLine="560" w:firstLineChars="200"/>
        <w:rPr>
          <w:rFonts w:hint="eastAsia" w:ascii="宋体" w:hAnsi="宋体" w:eastAsia="仿宋" w:cs="宋体"/>
          <w:color w:val="000000"/>
          <w:sz w:val="28"/>
          <w:szCs w:val="28"/>
          <w:highlight w:val="none"/>
        </w:rPr>
      </w:pPr>
      <w:bookmarkStart w:id="15" w:name="_Toc35393623"/>
      <w:bookmarkStart w:id="16" w:name="_Toc35393792"/>
      <w:r>
        <w:rPr>
          <w:rFonts w:hint="eastAsia" w:ascii="宋体" w:hAnsi="宋体" w:eastAsia="仿宋" w:cs="宋体"/>
          <w:color w:val="000000"/>
          <w:sz w:val="28"/>
          <w:szCs w:val="28"/>
          <w:highlight w:val="none"/>
        </w:rPr>
        <w:t>3.本项目的特定资格要求：</w:t>
      </w:r>
    </w:p>
    <w:p w14:paraId="5AFEB27D">
      <w:pPr>
        <w:adjustRightInd w:val="0"/>
        <w:snapToGrid w:val="0"/>
        <w:spacing w:line="360" w:lineRule="auto"/>
        <w:ind w:firstLine="560" w:firstLineChars="200"/>
        <w:rPr>
          <w:rFonts w:hint="eastAsia" w:ascii="楷体" w:hAnsi="楷体" w:eastAsia="仿宋" w:cs="楷体"/>
          <w:color w:val="000000"/>
          <w:sz w:val="28"/>
          <w:szCs w:val="28"/>
          <w:highlight w:val="none"/>
          <w:lang w:eastAsia="zh-CN"/>
        </w:rPr>
      </w:pPr>
      <w:r>
        <w:rPr>
          <w:rFonts w:hint="eastAsia" w:ascii="楷体" w:hAnsi="楷体" w:eastAsia="仿宋" w:cs="楷体"/>
          <w:color w:val="000000"/>
          <w:sz w:val="28"/>
          <w:szCs w:val="28"/>
          <w:highlight w:val="none"/>
        </w:rPr>
        <w:t>3.1资质要求：</w:t>
      </w:r>
      <w:r>
        <w:rPr>
          <w:rFonts w:hint="eastAsia" w:ascii="楷体" w:hAnsi="楷体" w:eastAsia="仿宋" w:cs="楷体"/>
          <w:color w:val="000000"/>
          <w:sz w:val="28"/>
          <w:szCs w:val="28"/>
          <w:highlight w:val="none"/>
          <w:lang w:val="en-US" w:eastAsia="zh-CN"/>
        </w:rPr>
        <w:t>所投</w:t>
      </w:r>
      <w:r>
        <w:rPr>
          <w:rFonts w:hint="eastAsia" w:ascii="楷体" w:hAnsi="楷体" w:eastAsia="仿宋" w:cs="楷体"/>
          <w:color w:val="000000"/>
          <w:sz w:val="28"/>
          <w:szCs w:val="28"/>
          <w:highlight w:val="none"/>
        </w:rPr>
        <w:t>产品</w:t>
      </w:r>
      <w:r>
        <w:rPr>
          <w:rFonts w:hint="eastAsia" w:ascii="楷体" w:hAnsi="楷体" w:eastAsia="仿宋" w:cs="楷体"/>
          <w:color w:val="000000"/>
          <w:sz w:val="28"/>
          <w:szCs w:val="28"/>
          <w:highlight w:val="none"/>
          <w:lang w:val="en-US" w:eastAsia="zh-CN"/>
        </w:rPr>
        <w:t>若</w:t>
      </w:r>
      <w:r>
        <w:rPr>
          <w:rFonts w:hint="eastAsia" w:ascii="楷体" w:hAnsi="楷体" w:eastAsia="仿宋" w:cs="楷体"/>
          <w:color w:val="000000"/>
          <w:sz w:val="28"/>
          <w:szCs w:val="28"/>
          <w:highlight w:val="none"/>
        </w:rPr>
        <w:t>依法纳入医疗器械管理时，须具有医疗器械生产或医疗器械经营资格</w:t>
      </w:r>
      <w:r>
        <w:rPr>
          <w:rFonts w:hint="eastAsia" w:ascii="楷体" w:hAnsi="楷体" w:eastAsia="仿宋" w:cs="楷体"/>
          <w:color w:val="000000"/>
          <w:sz w:val="28"/>
          <w:szCs w:val="28"/>
          <w:highlight w:val="none"/>
          <w:lang w:eastAsia="zh-CN"/>
        </w:rPr>
        <w:t>（</w:t>
      </w:r>
      <w:r>
        <w:rPr>
          <w:rFonts w:hint="eastAsia" w:ascii="楷体" w:hAnsi="楷体" w:eastAsia="仿宋" w:cs="楷体"/>
          <w:color w:val="000000"/>
          <w:sz w:val="28"/>
          <w:szCs w:val="28"/>
          <w:highlight w:val="none"/>
          <w:lang w:val="en-US" w:eastAsia="zh-CN"/>
        </w:rPr>
        <w:t>本项目第2包含有医疗器械</w:t>
      </w:r>
      <w:r>
        <w:rPr>
          <w:rFonts w:hint="eastAsia" w:ascii="楷体" w:hAnsi="楷体" w:eastAsia="仿宋" w:cs="楷体"/>
          <w:color w:val="000000"/>
          <w:sz w:val="28"/>
          <w:szCs w:val="28"/>
          <w:highlight w:val="none"/>
          <w:lang w:eastAsia="zh-CN"/>
        </w:rPr>
        <w:t>）。</w:t>
      </w:r>
    </w:p>
    <w:p w14:paraId="78582727">
      <w:pPr>
        <w:adjustRightInd w:val="0"/>
        <w:snapToGrid w:val="0"/>
        <w:spacing w:line="360" w:lineRule="auto"/>
        <w:ind w:firstLine="560" w:firstLineChars="200"/>
        <w:rPr>
          <w:rFonts w:hint="eastAsia" w:ascii="楷体" w:hAnsi="楷体" w:eastAsia="仿宋" w:cs="楷体"/>
          <w:color w:val="000000"/>
          <w:sz w:val="28"/>
          <w:szCs w:val="28"/>
          <w:highlight w:val="none"/>
        </w:rPr>
      </w:pPr>
      <w:r>
        <w:rPr>
          <w:rFonts w:hint="eastAsia" w:ascii="楷体" w:hAnsi="楷体" w:eastAsia="仿宋" w:cs="楷体"/>
          <w:color w:val="000000"/>
          <w:sz w:val="28"/>
          <w:szCs w:val="28"/>
          <w:highlight w:val="none"/>
        </w:rPr>
        <w:t>3.</w:t>
      </w:r>
      <w:r>
        <w:rPr>
          <w:rFonts w:ascii="楷体" w:hAnsi="楷体" w:eastAsia="仿宋" w:cs="楷体"/>
          <w:color w:val="000000"/>
          <w:sz w:val="28"/>
          <w:szCs w:val="28"/>
          <w:highlight w:val="none"/>
        </w:rPr>
        <w:t>2</w:t>
      </w:r>
      <w:r>
        <w:rPr>
          <w:rFonts w:hint="eastAsia" w:ascii="楷体" w:hAnsi="楷体" w:eastAsia="仿宋" w:cs="楷体"/>
          <w:color w:val="000000"/>
          <w:sz w:val="28"/>
          <w:szCs w:val="28"/>
          <w:highlight w:val="none"/>
        </w:rPr>
        <w:t>信誉要求</w:t>
      </w:r>
    </w:p>
    <w:p w14:paraId="6A631BE7">
      <w:pPr>
        <w:adjustRightInd w:val="0"/>
        <w:snapToGrid w:val="0"/>
        <w:spacing w:line="360" w:lineRule="auto"/>
        <w:ind w:firstLine="560" w:firstLineChars="200"/>
        <w:rPr>
          <w:rFonts w:hint="eastAsia" w:ascii="楷体" w:hAnsi="楷体" w:eastAsia="仿宋" w:cs="楷体"/>
          <w:color w:val="000000"/>
          <w:sz w:val="28"/>
          <w:szCs w:val="28"/>
          <w:highlight w:val="none"/>
        </w:rPr>
      </w:pPr>
      <w:r>
        <w:rPr>
          <w:rFonts w:hint="eastAsia" w:ascii="楷体" w:hAnsi="楷体" w:eastAsia="仿宋" w:cs="楷体"/>
          <w:color w:val="000000"/>
          <w:sz w:val="28"/>
          <w:szCs w:val="28"/>
          <w:highlight w:val="none"/>
        </w:rPr>
        <w:t>截至提交投标文件截止时间，投标人（含其不具有独立法人资格的分支机构）存在下列有效情形之一的，其投标文件按无效处理。</w:t>
      </w:r>
    </w:p>
    <w:p w14:paraId="4A197815">
      <w:pPr>
        <w:adjustRightInd w:val="0"/>
        <w:snapToGrid w:val="0"/>
        <w:spacing w:line="360" w:lineRule="auto"/>
        <w:ind w:firstLine="560" w:firstLineChars="200"/>
        <w:rPr>
          <w:rFonts w:hint="eastAsia" w:ascii="楷体" w:hAnsi="楷体" w:eastAsia="仿宋" w:cs="楷体"/>
          <w:color w:val="000000"/>
          <w:sz w:val="28"/>
          <w:szCs w:val="28"/>
          <w:highlight w:val="none"/>
        </w:rPr>
      </w:pPr>
      <w:r>
        <w:rPr>
          <w:rFonts w:hint="eastAsia" w:ascii="楷体" w:hAnsi="楷体" w:eastAsia="仿宋" w:cs="楷体"/>
          <w:color w:val="000000"/>
          <w:sz w:val="28"/>
          <w:szCs w:val="28"/>
          <w:highlight w:val="none"/>
        </w:rPr>
        <w:t>（1）被人民法院列入失信被执行人名单的；</w:t>
      </w:r>
    </w:p>
    <w:p w14:paraId="54EE7F1F">
      <w:pPr>
        <w:adjustRightInd w:val="0"/>
        <w:snapToGrid w:val="0"/>
        <w:spacing w:line="360" w:lineRule="auto"/>
        <w:ind w:firstLine="560" w:firstLineChars="200"/>
        <w:rPr>
          <w:rFonts w:hint="eastAsia" w:ascii="楷体" w:hAnsi="楷体" w:eastAsia="仿宋" w:cs="楷体"/>
          <w:color w:val="000000"/>
          <w:sz w:val="28"/>
          <w:szCs w:val="28"/>
          <w:highlight w:val="none"/>
        </w:rPr>
      </w:pPr>
      <w:r>
        <w:rPr>
          <w:rFonts w:hint="eastAsia" w:ascii="楷体" w:hAnsi="楷体" w:eastAsia="仿宋" w:cs="楷体"/>
          <w:color w:val="000000"/>
          <w:sz w:val="28"/>
          <w:szCs w:val="28"/>
          <w:highlight w:val="none"/>
        </w:rPr>
        <w:t>（2）被税务机关列入重大税收违法案件当事人名单的；</w:t>
      </w:r>
    </w:p>
    <w:p w14:paraId="2E8D97C4">
      <w:pPr>
        <w:adjustRightInd w:val="0"/>
        <w:snapToGrid w:val="0"/>
        <w:spacing w:line="360" w:lineRule="auto"/>
        <w:ind w:firstLine="560" w:firstLineChars="200"/>
        <w:rPr>
          <w:rFonts w:hint="eastAsia" w:ascii="楷体" w:hAnsi="楷体" w:eastAsia="仿宋" w:cs="楷体"/>
          <w:color w:val="000000"/>
          <w:sz w:val="28"/>
          <w:szCs w:val="28"/>
          <w:highlight w:val="none"/>
        </w:rPr>
      </w:pPr>
      <w:r>
        <w:rPr>
          <w:rFonts w:hint="eastAsia" w:ascii="楷体" w:hAnsi="楷体" w:eastAsia="仿宋" w:cs="楷体"/>
          <w:color w:val="000000"/>
          <w:sz w:val="28"/>
          <w:szCs w:val="28"/>
          <w:highlight w:val="none"/>
        </w:rPr>
        <w:t>（3）被财政部门列入政府采购严重违法失信名单的；</w:t>
      </w:r>
    </w:p>
    <w:p w14:paraId="7672E8AC">
      <w:pPr>
        <w:adjustRightInd w:val="0"/>
        <w:snapToGrid w:val="0"/>
        <w:spacing w:line="360" w:lineRule="auto"/>
        <w:ind w:firstLine="560" w:firstLineChars="200"/>
        <w:rPr>
          <w:rFonts w:hint="eastAsia" w:ascii="楷体" w:hAnsi="楷体" w:eastAsia="仿宋" w:cs="楷体"/>
          <w:color w:val="000000"/>
          <w:sz w:val="28"/>
          <w:szCs w:val="28"/>
          <w:highlight w:val="none"/>
        </w:rPr>
      </w:pPr>
      <w:r>
        <w:rPr>
          <w:rFonts w:hint="eastAsia" w:ascii="楷体" w:hAnsi="楷体" w:eastAsia="仿宋" w:cs="楷体"/>
          <w:color w:val="000000"/>
          <w:sz w:val="28"/>
          <w:szCs w:val="28"/>
          <w:highlight w:val="none"/>
        </w:rPr>
        <w:t>（4）被市场监督管理部门（或工商行政管理部门）列入经营异常名录（未按照《企业信息公示暂行条例》（国务院令第654号）第八条规定的期限公示年度报告被列入经营异常名录的除外）或者严重违法失信企业名单的。</w:t>
      </w:r>
    </w:p>
    <w:p w14:paraId="28B865EB">
      <w:pPr>
        <w:adjustRightInd w:val="0"/>
        <w:snapToGrid w:val="0"/>
        <w:spacing w:line="360" w:lineRule="auto"/>
        <w:ind w:firstLine="560" w:firstLineChars="200"/>
        <w:rPr>
          <w:rFonts w:hint="eastAsia" w:ascii="楷体" w:hAnsi="楷体" w:eastAsia="仿宋" w:cs="楷体"/>
          <w:color w:val="000000"/>
          <w:sz w:val="28"/>
          <w:szCs w:val="28"/>
          <w:highlight w:val="none"/>
        </w:rPr>
      </w:pPr>
      <w:r>
        <w:rPr>
          <w:rFonts w:hint="eastAsia" w:ascii="楷体" w:hAnsi="楷体" w:eastAsia="仿宋" w:cs="楷体"/>
          <w:color w:val="000000"/>
          <w:sz w:val="28"/>
          <w:szCs w:val="28"/>
          <w:highlight w:val="none"/>
        </w:rPr>
        <w:t>注：“有效”是指“情形”规定的程度、起止期间处于有效状态。投标人为联合体的，对投标人的要求视同对联合体成员的要求。</w:t>
      </w:r>
    </w:p>
    <w:p w14:paraId="5ED5196C">
      <w:pPr>
        <w:pStyle w:val="3"/>
        <w:widowControl/>
        <w:adjustRightInd w:val="0"/>
        <w:snapToGrid w:val="0"/>
        <w:spacing w:before="48" w:beforeLines="20" w:after="48" w:afterLines="20" w:line="360" w:lineRule="auto"/>
        <w:ind w:firstLine="560" w:firstLineChars="200"/>
        <w:rPr>
          <w:rStyle w:val="106"/>
          <w:rFonts w:hAnsi="宋体"/>
          <w:color w:val="000000"/>
          <w:sz w:val="28"/>
          <w:szCs w:val="28"/>
          <w:highlight w:val="none"/>
        </w:rPr>
      </w:pPr>
      <w:r>
        <w:rPr>
          <w:rStyle w:val="106"/>
          <w:rFonts w:hint="eastAsia" w:hAnsi="宋体"/>
          <w:color w:val="000000"/>
          <w:sz w:val="28"/>
          <w:szCs w:val="28"/>
          <w:highlight w:val="none"/>
        </w:rPr>
        <w:t>三、获取招标文件</w:t>
      </w:r>
      <w:bookmarkEnd w:id="13"/>
      <w:bookmarkEnd w:id="14"/>
      <w:bookmarkEnd w:id="15"/>
      <w:bookmarkEnd w:id="16"/>
    </w:p>
    <w:p w14:paraId="19238831">
      <w:pPr>
        <w:adjustRightInd w:val="0"/>
        <w:snapToGrid w:val="0"/>
        <w:spacing w:line="360" w:lineRule="auto"/>
        <w:ind w:firstLine="540"/>
        <w:rPr>
          <w:rFonts w:hint="eastAsia" w:ascii="宋体" w:hAnsi="宋体" w:eastAsia="仿宋" w:cs="宋体"/>
          <w:color w:val="000000"/>
          <w:sz w:val="28"/>
          <w:szCs w:val="28"/>
          <w:highlight w:val="none"/>
        </w:rPr>
      </w:pPr>
      <w:r>
        <w:rPr>
          <w:rFonts w:hint="eastAsia" w:ascii="宋体" w:hAnsi="宋体" w:eastAsia="仿宋" w:cs="宋体"/>
          <w:color w:val="000000"/>
          <w:sz w:val="28"/>
          <w:szCs w:val="28"/>
          <w:highlight w:val="none"/>
        </w:rPr>
        <w:t>时间：202</w:t>
      </w:r>
      <w:r>
        <w:rPr>
          <w:rFonts w:ascii="宋体" w:hAnsi="宋体" w:eastAsia="仿宋" w:cs="宋体"/>
          <w:color w:val="000000"/>
          <w:sz w:val="28"/>
          <w:szCs w:val="28"/>
          <w:highlight w:val="none"/>
        </w:rPr>
        <w:t>5</w:t>
      </w:r>
      <w:r>
        <w:rPr>
          <w:rFonts w:hint="eastAsia" w:ascii="宋体" w:hAnsi="宋体" w:eastAsia="仿宋" w:cs="宋体"/>
          <w:color w:val="000000"/>
          <w:sz w:val="28"/>
          <w:szCs w:val="28"/>
          <w:highlight w:val="none"/>
        </w:rPr>
        <w:t>年</w:t>
      </w:r>
      <w:r>
        <w:rPr>
          <w:rFonts w:hint="eastAsia" w:ascii="宋体" w:hAnsi="宋体" w:eastAsia="仿宋" w:cs="宋体"/>
          <w:color w:val="000000"/>
          <w:sz w:val="28"/>
          <w:szCs w:val="28"/>
          <w:highlight w:val="none"/>
          <w:lang w:val="en-US" w:eastAsia="zh-CN"/>
        </w:rPr>
        <w:t>11</w:t>
      </w:r>
      <w:r>
        <w:rPr>
          <w:rFonts w:hint="eastAsia" w:ascii="宋体" w:hAnsi="宋体" w:eastAsia="仿宋" w:cs="宋体"/>
          <w:color w:val="000000"/>
          <w:sz w:val="28"/>
          <w:szCs w:val="28"/>
          <w:highlight w:val="none"/>
        </w:rPr>
        <w:t>月</w:t>
      </w:r>
      <w:r>
        <w:rPr>
          <w:rFonts w:hint="eastAsia" w:ascii="宋体" w:hAnsi="宋体" w:eastAsia="仿宋" w:cs="宋体"/>
          <w:color w:val="000000"/>
          <w:sz w:val="28"/>
          <w:szCs w:val="28"/>
          <w:highlight w:val="none"/>
          <w:lang w:val="en-US" w:eastAsia="zh-CN"/>
        </w:rPr>
        <w:t>21</w:t>
      </w:r>
      <w:r>
        <w:rPr>
          <w:rFonts w:hint="eastAsia" w:ascii="宋体" w:hAnsi="宋体" w:eastAsia="仿宋" w:cs="宋体"/>
          <w:color w:val="000000"/>
          <w:sz w:val="28"/>
          <w:szCs w:val="28"/>
          <w:highlight w:val="none"/>
        </w:rPr>
        <w:t>日至202</w:t>
      </w:r>
      <w:r>
        <w:rPr>
          <w:rFonts w:ascii="宋体" w:hAnsi="宋体" w:eastAsia="仿宋" w:cs="宋体"/>
          <w:color w:val="000000"/>
          <w:sz w:val="28"/>
          <w:szCs w:val="28"/>
          <w:highlight w:val="none"/>
        </w:rPr>
        <w:t>5</w:t>
      </w:r>
      <w:r>
        <w:rPr>
          <w:rFonts w:hint="eastAsia" w:ascii="宋体" w:hAnsi="宋体" w:eastAsia="仿宋" w:cs="宋体"/>
          <w:color w:val="000000"/>
          <w:sz w:val="28"/>
          <w:szCs w:val="28"/>
          <w:highlight w:val="none"/>
        </w:rPr>
        <w:t>年</w:t>
      </w:r>
      <w:r>
        <w:rPr>
          <w:rFonts w:hint="eastAsia" w:ascii="宋体" w:hAnsi="宋体" w:eastAsia="仿宋" w:cs="宋体"/>
          <w:color w:val="000000"/>
          <w:sz w:val="28"/>
          <w:szCs w:val="28"/>
          <w:highlight w:val="none"/>
          <w:lang w:val="en-US" w:eastAsia="zh-CN"/>
        </w:rPr>
        <w:t>11</w:t>
      </w:r>
      <w:r>
        <w:rPr>
          <w:rFonts w:hint="eastAsia" w:ascii="宋体" w:hAnsi="宋体" w:eastAsia="仿宋" w:cs="宋体"/>
          <w:color w:val="000000"/>
          <w:sz w:val="28"/>
          <w:szCs w:val="28"/>
          <w:highlight w:val="none"/>
        </w:rPr>
        <w:t>月</w:t>
      </w:r>
      <w:r>
        <w:rPr>
          <w:rFonts w:hint="eastAsia" w:ascii="宋体" w:hAnsi="宋体" w:eastAsia="仿宋" w:cs="宋体"/>
          <w:color w:val="000000"/>
          <w:sz w:val="28"/>
          <w:szCs w:val="28"/>
          <w:highlight w:val="none"/>
          <w:lang w:val="en-US" w:eastAsia="zh-CN"/>
        </w:rPr>
        <w:t>28</w:t>
      </w:r>
      <w:r>
        <w:rPr>
          <w:rFonts w:hint="eastAsia" w:ascii="宋体" w:hAnsi="宋体" w:eastAsia="仿宋" w:cs="宋体"/>
          <w:color w:val="000000"/>
          <w:sz w:val="28"/>
          <w:szCs w:val="28"/>
          <w:highlight w:val="none"/>
        </w:rPr>
        <w:t>日。</w:t>
      </w:r>
    </w:p>
    <w:p w14:paraId="439C8FBE">
      <w:pPr>
        <w:adjustRightInd w:val="0"/>
        <w:snapToGrid w:val="0"/>
        <w:spacing w:line="360" w:lineRule="auto"/>
        <w:ind w:firstLine="540"/>
        <w:rPr>
          <w:rFonts w:eastAsia="仿宋"/>
          <w:color w:val="000000"/>
          <w:sz w:val="28"/>
          <w:szCs w:val="28"/>
          <w:highlight w:val="none"/>
        </w:rPr>
      </w:pPr>
      <w:r>
        <w:rPr>
          <w:rFonts w:hint="eastAsia" w:eastAsia="仿宋"/>
          <w:color w:val="000000"/>
          <w:sz w:val="28"/>
          <w:szCs w:val="28"/>
          <w:highlight w:val="none"/>
        </w:rPr>
        <w:t>地点：</w:t>
      </w:r>
      <w:r>
        <w:rPr>
          <w:rFonts w:hint="eastAsia" w:ascii="楷体" w:hAnsi="楷体" w:eastAsia="仿宋"/>
          <w:color w:val="000000"/>
          <w:sz w:val="28"/>
          <w:szCs w:val="28"/>
          <w:highlight w:val="none"/>
        </w:rPr>
        <w:t>“优质</w:t>
      </w:r>
      <w:r>
        <w:rPr>
          <w:rFonts w:hint="eastAsia" w:ascii="仿宋" w:hAnsi="仿宋" w:eastAsia="仿宋" w:cs="仿宋"/>
          <w:color w:val="000000"/>
          <w:sz w:val="28"/>
          <w:szCs w:val="28"/>
          <w:highlight w:val="none"/>
        </w:rPr>
        <w:t>采招标采购平台（www.yzczb.com）”或“优质采云采购平台（www.youzhicai.com）</w:t>
      </w:r>
      <w:r>
        <w:rPr>
          <w:rFonts w:hint="eastAsia" w:ascii="楷体" w:hAnsi="楷体" w:eastAsia="仿宋"/>
          <w:color w:val="000000"/>
          <w:sz w:val="28"/>
          <w:szCs w:val="28"/>
          <w:highlight w:val="none"/>
        </w:rPr>
        <w:t>”</w:t>
      </w:r>
    </w:p>
    <w:p w14:paraId="127AD1E0">
      <w:pPr>
        <w:adjustRightInd w:val="0"/>
        <w:snapToGrid w:val="0"/>
        <w:spacing w:line="360" w:lineRule="auto"/>
        <w:ind w:firstLine="540"/>
        <w:rPr>
          <w:rFonts w:ascii="宋体" w:hAnsi="宋体" w:eastAsia="仿宋" w:cs="宋体"/>
          <w:color w:val="000000"/>
          <w:sz w:val="28"/>
          <w:szCs w:val="28"/>
          <w:highlight w:val="none"/>
        </w:rPr>
      </w:pPr>
      <w:r>
        <w:rPr>
          <w:rFonts w:hint="eastAsia" w:ascii="宋体" w:hAnsi="宋体" w:eastAsia="仿宋" w:cs="宋体"/>
          <w:color w:val="000000"/>
          <w:sz w:val="28"/>
          <w:szCs w:val="28"/>
          <w:highlight w:val="none"/>
        </w:rPr>
        <w:t>方式：</w:t>
      </w:r>
      <w:r>
        <w:rPr>
          <w:rFonts w:hint="eastAsia" w:ascii="楷体" w:hAnsi="楷体" w:eastAsia="仿宋"/>
          <w:color w:val="000000"/>
          <w:sz w:val="28"/>
          <w:szCs w:val="28"/>
          <w:highlight w:val="none"/>
        </w:rPr>
        <w:t>在线下载</w:t>
      </w:r>
    </w:p>
    <w:p w14:paraId="3BE6BAB1">
      <w:pPr>
        <w:adjustRightInd w:val="0"/>
        <w:snapToGrid w:val="0"/>
        <w:spacing w:line="360" w:lineRule="auto"/>
        <w:ind w:firstLine="540"/>
        <w:rPr>
          <w:rFonts w:hint="eastAsia" w:ascii="宋体" w:hAnsi="宋体" w:eastAsia="仿宋" w:cs="宋体"/>
          <w:color w:val="000000"/>
          <w:sz w:val="28"/>
          <w:szCs w:val="28"/>
          <w:highlight w:val="none"/>
          <w:u w:val="single"/>
        </w:rPr>
      </w:pPr>
      <w:r>
        <w:rPr>
          <w:rFonts w:hint="eastAsia" w:ascii="宋体" w:hAnsi="宋体" w:eastAsia="仿宋" w:cs="宋体"/>
          <w:color w:val="000000"/>
          <w:sz w:val="28"/>
          <w:szCs w:val="28"/>
          <w:highlight w:val="none"/>
        </w:rPr>
        <w:t>售价(元)：0</w:t>
      </w:r>
    </w:p>
    <w:p w14:paraId="6E618F52">
      <w:pPr>
        <w:pStyle w:val="3"/>
        <w:widowControl/>
        <w:adjustRightInd w:val="0"/>
        <w:snapToGrid w:val="0"/>
        <w:spacing w:before="48" w:beforeLines="20" w:after="48" w:afterLines="20" w:line="360" w:lineRule="auto"/>
        <w:ind w:firstLine="560" w:firstLineChars="200"/>
        <w:rPr>
          <w:rStyle w:val="106"/>
          <w:rFonts w:hAnsi="宋体"/>
          <w:color w:val="000000"/>
          <w:sz w:val="28"/>
          <w:szCs w:val="28"/>
          <w:highlight w:val="none"/>
        </w:rPr>
      </w:pPr>
      <w:bookmarkStart w:id="17" w:name="_Toc28359005"/>
      <w:bookmarkStart w:id="18" w:name="_Toc28359082"/>
      <w:bookmarkStart w:id="19" w:name="_Toc35393624"/>
      <w:bookmarkStart w:id="20" w:name="_Toc35393793"/>
      <w:r>
        <w:rPr>
          <w:rStyle w:val="106"/>
          <w:rFonts w:hint="eastAsia" w:hAnsi="宋体"/>
          <w:color w:val="000000"/>
          <w:sz w:val="28"/>
          <w:szCs w:val="28"/>
          <w:highlight w:val="none"/>
        </w:rPr>
        <w:t>四、提交投标文件</w:t>
      </w:r>
      <w:bookmarkEnd w:id="17"/>
      <w:bookmarkEnd w:id="18"/>
      <w:r>
        <w:rPr>
          <w:rStyle w:val="106"/>
          <w:rFonts w:hint="eastAsia" w:hAnsi="宋体"/>
          <w:color w:val="000000"/>
          <w:sz w:val="28"/>
          <w:szCs w:val="28"/>
          <w:highlight w:val="none"/>
        </w:rPr>
        <w:t>截止时间、开标时间和地点</w:t>
      </w:r>
      <w:bookmarkEnd w:id="19"/>
      <w:bookmarkEnd w:id="20"/>
    </w:p>
    <w:p w14:paraId="77EBCB46">
      <w:pPr>
        <w:adjustRightInd w:val="0"/>
        <w:snapToGrid w:val="0"/>
        <w:spacing w:line="360" w:lineRule="auto"/>
        <w:ind w:firstLine="660" w:firstLineChars="236"/>
        <w:rPr>
          <w:rFonts w:ascii="楷体" w:hAnsi="楷体" w:eastAsia="仿宋"/>
          <w:color w:val="000000"/>
          <w:sz w:val="28"/>
          <w:szCs w:val="28"/>
          <w:highlight w:val="none"/>
          <w:u w:val="single"/>
        </w:rPr>
      </w:pPr>
      <w:r>
        <w:rPr>
          <w:rFonts w:hint="eastAsia" w:ascii="宋体" w:hAnsi="宋体" w:eastAsia="仿宋"/>
          <w:bCs/>
          <w:color w:val="000000"/>
          <w:sz w:val="28"/>
          <w:szCs w:val="28"/>
          <w:highlight w:val="none"/>
          <w:lang w:eastAsia="zh-CN"/>
        </w:rPr>
        <w:t>2025年</w:t>
      </w:r>
      <w:r>
        <w:rPr>
          <w:rFonts w:hint="eastAsia" w:ascii="宋体" w:hAnsi="宋体" w:eastAsia="仿宋"/>
          <w:bCs/>
          <w:color w:val="000000"/>
          <w:sz w:val="28"/>
          <w:szCs w:val="28"/>
          <w:highlight w:val="none"/>
          <w:lang w:val="en-US" w:eastAsia="zh-CN"/>
        </w:rPr>
        <w:t>1</w:t>
      </w:r>
      <w:r>
        <w:rPr>
          <w:rFonts w:hint="eastAsia" w:ascii="宋体" w:hAnsi="宋体" w:eastAsia="仿宋"/>
          <w:bCs/>
          <w:color w:val="000000"/>
          <w:sz w:val="28"/>
          <w:szCs w:val="28"/>
          <w:highlight w:val="none"/>
          <w:lang w:val="en-US" w:eastAsia="zh-CN"/>
        </w:rPr>
        <w:t>2</w:t>
      </w:r>
      <w:r>
        <w:rPr>
          <w:rFonts w:hint="eastAsia" w:ascii="宋体" w:hAnsi="宋体" w:eastAsia="仿宋"/>
          <w:bCs/>
          <w:color w:val="000000"/>
          <w:sz w:val="28"/>
          <w:szCs w:val="28"/>
          <w:highlight w:val="none"/>
          <w:lang w:eastAsia="zh-CN"/>
        </w:rPr>
        <w:t>月</w:t>
      </w:r>
      <w:r>
        <w:rPr>
          <w:rFonts w:hint="eastAsia" w:ascii="宋体" w:hAnsi="宋体" w:eastAsia="仿宋"/>
          <w:bCs/>
          <w:color w:val="000000"/>
          <w:sz w:val="28"/>
          <w:szCs w:val="28"/>
          <w:highlight w:val="none"/>
          <w:lang w:val="en-US" w:eastAsia="zh-CN"/>
        </w:rPr>
        <w:t>1</w:t>
      </w:r>
      <w:r>
        <w:rPr>
          <w:rFonts w:hint="eastAsia" w:ascii="宋体" w:hAnsi="宋体" w:eastAsia="仿宋"/>
          <w:bCs/>
          <w:color w:val="000000"/>
          <w:sz w:val="28"/>
          <w:szCs w:val="28"/>
          <w:highlight w:val="none"/>
          <w:lang w:val="en-US" w:eastAsia="zh-CN"/>
        </w:rPr>
        <w:t>1</w:t>
      </w:r>
      <w:r>
        <w:rPr>
          <w:rFonts w:hint="eastAsia" w:ascii="宋体" w:hAnsi="宋体" w:eastAsia="仿宋"/>
          <w:bCs/>
          <w:color w:val="000000"/>
          <w:sz w:val="28"/>
          <w:szCs w:val="28"/>
          <w:highlight w:val="none"/>
          <w:lang w:eastAsia="zh-CN"/>
        </w:rPr>
        <w:t>日14点30分</w:t>
      </w:r>
      <w:r>
        <w:rPr>
          <w:rFonts w:hint="eastAsia" w:ascii="宋体" w:hAnsi="宋体" w:eastAsia="仿宋"/>
          <w:bCs/>
          <w:color w:val="000000"/>
          <w:sz w:val="28"/>
          <w:szCs w:val="28"/>
          <w:highlight w:val="none"/>
        </w:rPr>
        <w:t>（北京时间）</w:t>
      </w:r>
    </w:p>
    <w:p w14:paraId="0B441374">
      <w:pPr>
        <w:adjustRightInd w:val="0"/>
        <w:snapToGrid w:val="0"/>
        <w:spacing w:line="360" w:lineRule="auto"/>
        <w:ind w:firstLine="660" w:firstLineChars="236"/>
        <w:rPr>
          <w:rFonts w:ascii="宋体" w:hAnsi="宋体" w:eastAsia="仿宋"/>
          <w:color w:val="000000"/>
          <w:sz w:val="28"/>
          <w:szCs w:val="28"/>
          <w:highlight w:val="none"/>
        </w:rPr>
      </w:pPr>
      <w:r>
        <w:rPr>
          <w:rFonts w:hint="eastAsia" w:ascii="宋体" w:hAnsi="宋体" w:eastAsia="仿宋"/>
          <w:color w:val="000000"/>
          <w:sz w:val="28"/>
          <w:szCs w:val="28"/>
          <w:highlight w:val="none"/>
        </w:rPr>
        <w:t>地点：</w:t>
      </w:r>
      <w:bookmarkStart w:id="21" w:name="_Hlk44253880"/>
      <w:r>
        <w:rPr>
          <w:rFonts w:hint="eastAsia" w:ascii="楷体" w:hAnsi="楷体" w:eastAsia="仿宋"/>
          <w:color w:val="000000"/>
          <w:sz w:val="28"/>
          <w:szCs w:val="28"/>
          <w:highlight w:val="none"/>
        </w:rPr>
        <w:t>线上开标：</w:t>
      </w:r>
      <w:r>
        <w:rPr>
          <w:rFonts w:hint="eastAsia" w:ascii="仿宋" w:hAnsi="仿宋" w:eastAsia="仿宋" w:cs="仿宋"/>
          <w:color w:val="000000"/>
          <w:sz w:val="28"/>
          <w:szCs w:val="28"/>
          <w:highlight w:val="none"/>
        </w:rPr>
        <w:t>“优质采招标采购平台（www.yzczb.com）”或“优质采云采购平台（www.youzhicai.com）”</w:t>
      </w:r>
      <w:bookmarkEnd w:id="21"/>
      <w:r>
        <w:rPr>
          <w:rFonts w:ascii="宋体" w:hAnsi="宋体" w:eastAsia="仿宋"/>
          <w:color w:val="000000"/>
          <w:sz w:val="28"/>
          <w:szCs w:val="28"/>
          <w:highlight w:val="none"/>
        </w:rPr>
        <w:t xml:space="preserve"> </w:t>
      </w:r>
    </w:p>
    <w:p w14:paraId="0C007022">
      <w:pPr>
        <w:pStyle w:val="3"/>
        <w:widowControl/>
        <w:adjustRightInd w:val="0"/>
        <w:snapToGrid w:val="0"/>
        <w:spacing w:before="48" w:beforeLines="20" w:after="48" w:afterLines="20" w:line="360" w:lineRule="auto"/>
        <w:ind w:firstLine="560" w:firstLineChars="200"/>
        <w:rPr>
          <w:rStyle w:val="106"/>
          <w:rFonts w:hAnsi="宋体"/>
          <w:color w:val="000000"/>
          <w:sz w:val="28"/>
          <w:szCs w:val="28"/>
          <w:highlight w:val="none"/>
        </w:rPr>
      </w:pPr>
      <w:bookmarkStart w:id="22" w:name="_Toc28359007"/>
      <w:bookmarkStart w:id="23" w:name="_Toc28359084"/>
      <w:bookmarkStart w:id="24" w:name="_Toc35393625"/>
      <w:bookmarkStart w:id="25" w:name="_Toc35393794"/>
      <w:r>
        <w:rPr>
          <w:rStyle w:val="106"/>
          <w:rFonts w:hint="eastAsia" w:hAnsi="宋体"/>
          <w:color w:val="000000"/>
          <w:sz w:val="28"/>
          <w:szCs w:val="28"/>
          <w:highlight w:val="none"/>
        </w:rPr>
        <w:t>五、公告期限</w:t>
      </w:r>
      <w:bookmarkEnd w:id="22"/>
      <w:bookmarkEnd w:id="23"/>
      <w:bookmarkEnd w:id="24"/>
      <w:bookmarkEnd w:id="25"/>
    </w:p>
    <w:p w14:paraId="6C0604E3">
      <w:pPr>
        <w:adjustRightInd w:val="0"/>
        <w:snapToGrid w:val="0"/>
        <w:spacing w:line="360" w:lineRule="auto"/>
        <w:ind w:firstLine="660" w:firstLineChars="236"/>
        <w:rPr>
          <w:rFonts w:ascii="宋体" w:hAnsi="宋体" w:eastAsia="仿宋" w:cs="宋体"/>
          <w:color w:val="000000"/>
          <w:kern w:val="0"/>
          <w:sz w:val="28"/>
          <w:szCs w:val="28"/>
          <w:highlight w:val="none"/>
        </w:rPr>
      </w:pPr>
      <w:r>
        <w:rPr>
          <w:rFonts w:hint="eastAsia" w:ascii="宋体" w:hAnsi="宋体" w:eastAsia="仿宋" w:cs="宋体"/>
          <w:color w:val="000000"/>
          <w:kern w:val="0"/>
          <w:sz w:val="28"/>
          <w:szCs w:val="28"/>
          <w:highlight w:val="none"/>
        </w:rPr>
        <w:t>自本公告发布之日起5个工作日。</w:t>
      </w:r>
    </w:p>
    <w:p w14:paraId="79D09CB8">
      <w:pPr>
        <w:pStyle w:val="3"/>
        <w:widowControl/>
        <w:adjustRightInd w:val="0"/>
        <w:snapToGrid w:val="0"/>
        <w:spacing w:before="48" w:beforeLines="20" w:after="48" w:afterLines="20" w:line="360" w:lineRule="auto"/>
        <w:ind w:firstLine="560" w:firstLineChars="200"/>
        <w:rPr>
          <w:rStyle w:val="106"/>
          <w:rFonts w:hAnsi="宋体"/>
          <w:color w:val="000000"/>
          <w:sz w:val="28"/>
          <w:szCs w:val="28"/>
          <w:highlight w:val="none"/>
        </w:rPr>
      </w:pPr>
      <w:bookmarkStart w:id="26" w:name="_Toc35393626"/>
      <w:bookmarkStart w:id="27" w:name="_Toc35393795"/>
      <w:r>
        <w:rPr>
          <w:rStyle w:val="106"/>
          <w:rFonts w:hint="eastAsia" w:hAnsi="宋体"/>
          <w:color w:val="000000"/>
          <w:sz w:val="28"/>
          <w:szCs w:val="28"/>
          <w:highlight w:val="none"/>
        </w:rPr>
        <w:t>六、其他补充事宜</w:t>
      </w:r>
      <w:bookmarkEnd w:id="26"/>
      <w:bookmarkEnd w:id="27"/>
    </w:p>
    <w:p w14:paraId="3DB252DB">
      <w:pPr>
        <w:widowControl/>
        <w:topLinePunct/>
        <w:spacing w:line="360" w:lineRule="auto"/>
        <w:ind w:firstLine="560" w:firstLineChars="200"/>
        <w:rPr>
          <w:rFonts w:hint="eastAsia" w:ascii="宋体" w:hAnsi="宋体" w:eastAsia="仿宋"/>
          <w:color w:val="000000"/>
          <w:sz w:val="28"/>
          <w:szCs w:val="28"/>
          <w:highlight w:val="none"/>
        </w:rPr>
      </w:pPr>
      <w:r>
        <w:rPr>
          <w:rFonts w:hint="eastAsia" w:ascii="宋体" w:hAnsi="宋体" w:eastAsia="仿宋"/>
          <w:color w:val="000000"/>
          <w:sz w:val="28"/>
          <w:szCs w:val="28"/>
          <w:highlight w:val="none"/>
        </w:rPr>
        <w:t>1.本项目相关信息同时在“安徽省政府采购网、优质采招标采购平台（www.yzczb.com）和优质采云采购平台（www.youzhicai.com）”等媒介上发布；</w:t>
      </w:r>
    </w:p>
    <w:p w14:paraId="5F2601A3">
      <w:pPr>
        <w:widowControl/>
        <w:topLinePunct/>
        <w:spacing w:line="360" w:lineRule="auto"/>
        <w:ind w:firstLine="560" w:firstLineChars="200"/>
        <w:rPr>
          <w:rFonts w:hint="eastAsia" w:ascii="宋体" w:hAnsi="宋体" w:eastAsia="仿宋"/>
          <w:color w:val="000000"/>
          <w:sz w:val="28"/>
          <w:szCs w:val="28"/>
          <w:highlight w:val="none"/>
        </w:rPr>
      </w:pPr>
      <w:r>
        <w:rPr>
          <w:rFonts w:hint="eastAsia" w:ascii="宋体" w:hAnsi="宋体" w:eastAsia="仿宋"/>
          <w:color w:val="000000"/>
          <w:sz w:val="28"/>
          <w:szCs w:val="28"/>
          <w:highlight w:val="none"/>
        </w:rPr>
        <w:t>2.本项目需落实的节能环保、中小企业扶持等相关政府采购政策详见招标文件。</w:t>
      </w:r>
    </w:p>
    <w:p w14:paraId="1343F18A">
      <w:pPr>
        <w:widowControl/>
        <w:topLinePunct/>
        <w:spacing w:line="360" w:lineRule="auto"/>
        <w:ind w:firstLine="560" w:firstLineChars="200"/>
        <w:rPr>
          <w:rFonts w:hint="eastAsia" w:ascii="宋体" w:hAnsi="宋体" w:eastAsia="仿宋"/>
          <w:color w:val="000000"/>
          <w:sz w:val="28"/>
          <w:szCs w:val="28"/>
          <w:highlight w:val="none"/>
        </w:rPr>
      </w:pPr>
      <w:r>
        <w:rPr>
          <w:rFonts w:hint="eastAsia" w:ascii="宋体" w:hAnsi="宋体" w:eastAsia="仿宋"/>
          <w:color w:val="000000"/>
          <w:sz w:val="28"/>
          <w:szCs w:val="28"/>
          <w:highlight w:val="none"/>
        </w:rPr>
        <w:t>3.政府采购电子化交易要求：</w:t>
      </w:r>
    </w:p>
    <w:p w14:paraId="6BE6A944">
      <w:pPr>
        <w:widowControl/>
        <w:topLinePunct/>
        <w:spacing w:line="360" w:lineRule="auto"/>
        <w:ind w:firstLine="560" w:firstLineChars="200"/>
        <w:rPr>
          <w:rFonts w:hint="eastAsia" w:ascii="宋体" w:hAnsi="宋体" w:eastAsia="仿宋"/>
          <w:color w:val="000000"/>
          <w:sz w:val="28"/>
          <w:szCs w:val="28"/>
          <w:highlight w:val="none"/>
        </w:rPr>
      </w:pPr>
      <w:r>
        <w:rPr>
          <w:rFonts w:hint="eastAsia" w:ascii="宋体" w:hAnsi="宋体" w:eastAsia="仿宋"/>
          <w:color w:val="000000"/>
          <w:sz w:val="28"/>
          <w:szCs w:val="28"/>
          <w:highlight w:val="none"/>
        </w:rPr>
        <w:t>（1）潜在投标人/供应商须登录“优质采招标采购平台（www.yzczb.com）”或“优质采云采购平台（www.youzhicai.com）”（以下称“优质采平台”）参与本项目招标采购活动。首次登录须办理注册手续，请务必选择注册为“投标人角色”类型。注册流程见优质采平台“用户注册”栏目，咨询电话：400-0099-555。因未及时办理注册手续影响参加招标采购活动的，责任自负。</w:t>
      </w:r>
    </w:p>
    <w:p w14:paraId="4C8BC6C7">
      <w:pPr>
        <w:widowControl/>
        <w:topLinePunct/>
        <w:spacing w:line="360" w:lineRule="auto"/>
        <w:ind w:firstLine="560" w:firstLineChars="200"/>
        <w:rPr>
          <w:rFonts w:hint="eastAsia" w:ascii="宋体" w:hAnsi="宋体" w:eastAsia="仿宋"/>
          <w:color w:val="000000"/>
          <w:sz w:val="28"/>
          <w:szCs w:val="28"/>
          <w:highlight w:val="none"/>
        </w:rPr>
      </w:pPr>
      <w:r>
        <w:rPr>
          <w:rFonts w:hint="eastAsia" w:ascii="宋体" w:hAnsi="宋体" w:eastAsia="仿宋"/>
          <w:color w:val="000000"/>
          <w:sz w:val="28"/>
          <w:szCs w:val="28"/>
          <w:highlight w:val="none"/>
        </w:rPr>
        <w:t>（2）已注册的潜在投标人/供应商可登录优质采平台获取招标采购文件，本项目的招标采购文件及其他资料（含澄清、答疑及相关补充文件）通过优质采平台发布，采购人/代理机构不再另行书面通知，潜在投标人/供应商应及时关注、查阅优质采平台。因未及时查看导致不利后果的，责任自负。</w:t>
      </w:r>
    </w:p>
    <w:p w14:paraId="4417BD62">
      <w:pPr>
        <w:widowControl/>
        <w:topLinePunct/>
        <w:spacing w:line="360" w:lineRule="auto"/>
        <w:ind w:firstLine="560" w:firstLineChars="200"/>
        <w:rPr>
          <w:rFonts w:ascii="宋体" w:hAnsi="宋体" w:eastAsia="仿宋"/>
          <w:color w:val="000000"/>
          <w:sz w:val="28"/>
          <w:szCs w:val="28"/>
          <w:highlight w:val="none"/>
        </w:rPr>
      </w:pPr>
      <w:r>
        <w:rPr>
          <w:rFonts w:hint="eastAsia" w:ascii="宋体" w:hAnsi="宋体" w:eastAsia="仿宋"/>
          <w:color w:val="000000"/>
          <w:sz w:val="28"/>
          <w:szCs w:val="28"/>
          <w:highlight w:val="none"/>
        </w:rPr>
        <w:t>（3）已注册的潜在投标人/供应商若注册信息发生变更（如：与初始注册信息不一致），应及时网上提交变更申请。因未及时变更导致不利后果的，责任自负。</w:t>
      </w:r>
    </w:p>
    <w:p w14:paraId="53B2C41D">
      <w:pPr>
        <w:widowControl/>
        <w:wordWrap w:val="0"/>
        <w:topLinePunct/>
        <w:spacing w:line="360" w:lineRule="auto"/>
        <w:ind w:firstLine="560" w:firstLineChars="200"/>
        <w:rPr>
          <w:rFonts w:ascii="宋体" w:hAnsi="宋体" w:eastAsia="仿宋"/>
          <w:color w:val="000000"/>
          <w:sz w:val="28"/>
          <w:szCs w:val="28"/>
          <w:highlight w:val="none"/>
        </w:rPr>
      </w:pPr>
      <w:r>
        <w:rPr>
          <w:rFonts w:hint="eastAsia" w:ascii="宋体" w:hAnsi="宋体" w:eastAsia="仿宋"/>
          <w:color w:val="000000"/>
          <w:sz w:val="28"/>
          <w:szCs w:val="28"/>
          <w:highlight w:val="none"/>
        </w:rPr>
        <w:t>（4）本项目采用全流程电子化招标采购方式，潜在投标人/供应商须办理CA数字证书（以下简称CA），CA用于电子投标/响应文件的签章及上传（上传投标/响应文件需使用CA进行加密）；CA办理详见《关于优质采平台数字证书办理的须知》（http://www.youzhicai.com/nd/a_8f80a7ec-911f-4c4d-a123-f8849880f045.html）；咨询热线：400-0099-555。</w:t>
      </w:r>
    </w:p>
    <w:p w14:paraId="4D67A862">
      <w:pPr>
        <w:widowControl/>
        <w:wordWrap w:val="0"/>
        <w:topLinePunct/>
        <w:spacing w:line="360" w:lineRule="auto"/>
        <w:ind w:firstLine="560" w:firstLineChars="200"/>
        <w:rPr>
          <w:rFonts w:hint="eastAsia" w:ascii="宋体" w:hAnsi="宋体" w:eastAsia="仿宋"/>
          <w:color w:val="000000"/>
          <w:sz w:val="28"/>
          <w:szCs w:val="28"/>
          <w:highlight w:val="none"/>
        </w:rPr>
      </w:pPr>
      <w:r>
        <w:rPr>
          <w:rFonts w:hint="eastAsia" w:ascii="宋体" w:hAnsi="宋体" w:eastAsia="仿宋"/>
          <w:color w:val="000000"/>
          <w:sz w:val="28"/>
          <w:szCs w:val="28"/>
          <w:highlight w:val="none"/>
        </w:rPr>
        <w:t>（5）电子投标/响应文件必须使用“优质采投标文件制作工具”制作生成并上传。下载地址：</w:t>
      </w:r>
      <w:r>
        <w:rPr>
          <w:rFonts w:ascii="宋体" w:hAnsi="宋体" w:eastAsia="仿宋"/>
          <w:color w:val="000000"/>
          <w:sz w:val="28"/>
          <w:szCs w:val="28"/>
          <w:highlight w:val="none"/>
        </w:rPr>
        <w:t>http://toolcdn.youzhicai.com/tools/BidderTools.zip</w:t>
      </w:r>
      <w:r>
        <w:rPr>
          <w:rFonts w:hint="eastAsia" w:ascii="宋体" w:hAnsi="宋体" w:eastAsia="仿宋"/>
          <w:color w:val="000000"/>
          <w:sz w:val="28"/>
          <w:szCs w:val="28"/>
          <w:highlight w:val="none"/>
        </w:rPr>
        <w:t>，使用说明书及视频教程下载地址:</w:t>
      </w:r>
      <w:r>
        <w:rPr>
          <w:rFonts w:ascii="宋体" w:hAnsi="宋体" w:eastAsia="仿宋"/>
          <w:color w:val="000000"/>
          <w:sz w:val="28"/>
          <w:szCs w:val="28"/>
          <w:highlight w:val="none"/>
        </w:rPr>
        <w:t>http://file.youzhicai.com/files/BidderHelp.rar</w:t>
      </w:r>
      <w:r>
        <w:rPr>
          <w:rFonts w:hint="eastAsia" w:ascii="宋体" w:hAnsi="宋体" w:eastAsia="仿宋"/>
          <w:color w:val="000000"/>
          <w:sz w:val="28"/>
          <w:szCs w:val="28"/>
          <w:highlight w:val="none"/>
        </w:rPr>
        <w:t>。</w:t>
      </w:r>
    </w:p>
    <w:p w14:paraId="5417EE44">
      <w:pPr>
        <w:widowControl/>
        <w:topLinePunct/>
        <w:spacing w:line="360" w:lineRule="auto"/>
        <w:ind w:firstLine="560" w:firstLineChars="200"/>
        <w:jc w:val="left"/>
        <w:rPr>
          <w:rFonts w:hint="eastAsia" w:ascii="宋体" w:hAnsi="宋体" w:eastAsia="仿宋"/>
          <w:color w:val="000000"/>
          <w:sz w:val="28"/>
          <w:szCs w:val="28"/>
          <w:highlight w:val="none"/>
        </w:rPr>
      </w:pPr>
      <w:r>
        <w:rPr>
          <w:rFonts w:hint="eastAsia" w:ascii="宋体" w:hAnsi="宋体" w:eastAsia="仿宋"/>
          <w:color w:val="000000"/>
          <w:sz w:val="28"/>
          <w:szCs w:val="28"/>
          <w:highlight w:val="none"/>
        </w:rPr>
        <w:t>4.根据《政府采购促进中小企业发展管理办法》（财库〔2020〕46号）第六条规定，本次采购符合不专门面向中小企业预留采购份额的情形：按照本办法规定预留采购份额无法确保充分供应、充分竟争，或者存在可能影政府采购目标实现的情形。投标人如有异议，可按招标文件约定提出询问或质疑。</w:t>
      </w:r>
    </w:p>
    <w:p w14:paraId="7314A7F2">
      <w:pPr>
        <w:pStyle w:val="3"/>
        <w:widowControl/>
        <w:adjustRightInd w:val="0"/>
        <w:snapToGrid w:val="0"/>
        <w:spacing w:before="48" w:beforeLines="20" w:after="48" w:afterLines="20" w:line="360" w:lineRule="auto"/>
        <w:ind w:firstLine="560" w:firstLineChars="200"/>
        <w:rPr>
          <w:rStyle w:val="106"/>
          <w:rFonts w:hAnsi="宋体"/>
          <w:color w:val="000000"/>
          <w:sz w:val="28"/>
          <w:szCs w:val="28"/>
          <w:highlight w:val="none"/>
        </w:rPr>
      </w:pPr>
      <w:bookmarkStart w:id="28" w:name="_Toc28359008"/>
      <w:bookmarkStart w:id="29" w:name="_Toc35393627"/>
      <w:bookmarkStart w:id="30" w:name="_Toc35393796"/>
      <w:bookmarkStart w:id="31" w:name="_Toc28359085"/>
      <w:r>
        <w:rPr>
          <w:rStyle w:val="106"/>
          <w:rFonts w:hint="eastAsia" w:hAnsi="宋体"/>
          <w:color w:val="000000"/>
          <w:sz w:val="28"/>
          <w:szCs w:val="28"/>
          <w:highlight w:val="none"/>
        </w:rPr>
        <w:t>七、对本次招标提出询问，请按</w:t>
      </w:r>
      <w:r>
        <w:rPr>
          <w:rStyle w:val="106"/>
          <w:rFonts w:hAnsi="宋体"/>
          <w:color w:val="000000"/>
          <w:sz w:val="28"/>
          <w:szCs w:val="28"/>
          <w:highlight w:val="none"/>
        </w:rPr>
        <w:t>以下方式</w:t>
      </w:r>
      <w:r>
        <w:rPr>
          <w:rStyle w:val="106"/>
          <w:rFonts w:hint="eastAsia" w:hAnsi="宋体"/>
          <w:color w:val="000000"/>
          <w:sz w:val="28"/>
          <w:szCs w:val="28"/>
          <w:highlight w:val="none"/>
        </w:rPr>
        <w:t>联系。</w:t>
      </w:r>
      <w:bookmarkEnd w:id="28"/>
      <w:bookmarkEnd w:id="29"/>
      <w:bookmarkEnd w:id="30"/>
      <w:bookmarkEnd w:id="31"/>
    </w:p>
    <w:p w14:paraId="62A84C0C">
      <w:pPr>
        <w:widowControl/>
        <w:adjustRightInd w:val="0"/>
        <w:snapToGrid w:val="0"/>
        <w:spacing w:line="360" w:lineRule="auto"/>
        <w:ind w:firstLine="660" w:firstLineChars="236"/>
        <w:jc w:val="left"/>
        <w:rPr>
          <w:rFonts w:ascii="宋体" w:hAnsi="宋体" w:eastAsia="仿宋"/>
          <w:color w:val="000000"/>
          <w:sz w:val="28"/>
          <w:szCs w:val="28"/>
          <w:highlight w:val="none"/>
        </w:rPr>
      </w:pPr>
      <w:r>
        <w:rPr>
          <w:rFonts w:hint="eastAsia" w:ascii="宋体" w:hAnsi="宋体" w:eastAsia="仿宋" w:cs="宋体"/>
          <w:color w:val="000000"/>
          <w:sz w:val="28"/>
          <w:szCs w:val="28"/>
          <w:highlight w:val="none"/>
        </w:rPr>
        <w:t>1.采购人信息</w:t>
      </w:r>
    </w:p>
    <w:p w14:paraId="1D671236">
      <w:pPr>
        <w:widowControl/>
        <w:adjustRightInd w:val="0"/>
        <w:snapToGrid w:val="0"/>
        <w:spacing w:line="360" w:lineRule="auto"/>
        <w:ind w:firstLine="660" w:firstLineChars="236"/>
        <w:jc w:val="left"/>
        <w:rPr>
          <w:rFonts w:ascii="宋体" w:hAnsi="宋体" w:eastAsia="仿宋"/>
          <w:color w:val="000000"/>
          <w:sz w:val="28"/>
          <w:szCs w:val="28"/>
          <w:highlight w:val="none"/>
        </w:rPr>
      </w:pPr>
      <w:r>
        <w:rPr>
          <w:rFonts w:hint="eastAsia" w:ascii="宋体" w:hAnsi="宋体" w:eastAsia="仿宋" w:cs="宋体"/>
          <w:color w:val="000000"/>
          <w:sz w:val="28"/>
          <w:szCs w:val="28"/>
          <w:highlight w:val="none"/>
        </w:rPr>
        <w:t>名 称：</w:t>
      </w:r>
      <w:r>
        <w:rPr>
          <w:rFonts w:hint="eastAsia" w:ascii="宋体" w:hAnsi="宋体" w:eastAsia="仿宋"/>
          <w:color w:val="000000"/>
          <w:sz w:val="28"/>
          <w:szCs w:val="28"/>
          <w:highlight w:val="none"/>
        </w:rPr>
        <w:t>安徽省疾病预防控制中心</w:t>
      </w:r>
    </w:p>
    <w:p w14:paraId="1671CB2A">
      <w:pPr>
        <w:widowControl/>
        <w:adjustRightInd w:val="0"/>
        <w:snapToGrid w:val="0"/>
        <w:spacing w:line="360" w:lineRule="auto"/>
        <w:ind w:firstLine="660" w:firstLineChars="236"/>
        <w:jc w:val="left"/>
        <w:rPr>
          <w:rFonts w:ascii="宋体" w:hAnsi="宋体" w:eastAsia="仿宋"/>
          <w:color w:val="000000"/>
          <w:sz w:val="28"/>
          <w:szCs w:val="28"/>
          <w:highlight w:val="none"/>
        </w:rPr>
      </w:pPr>
      <w:bookmarkStart w:id="32" w:name="_Toc28359086"/>
      <w:bookmarkStart w:id="33" w:name="_Toc28359009"/>
      <w:r>
        <w:rPr>
          <w:rFonts w:hint="eastAsia" w:ascii="宋体" w:hAnsi="宋体" w:eastAsia="仿宋" w:cs="宋体"/>
          <w:color w:val="000000"/>
          <w:sz w:val="28"/>
          <w:szCs w:val="28"/>
          <w:highlight w:val="none"/>
        </w:rPr>
        <w:t>地 址：</w:t>
      </w:r>
      <w:r>
        <w:rPr>
          <w:rFonts w:hint="eastAsia" w:ascii="宋体" w:hAnsi="宋体" w:eastAsia="仿宋"/>
          <w:color w:val="000000"/>
          <w:sz w:val="28"/>
          <w:szCs w:val="28"/>
          <w:highlight w:val="none"/>
        </w:rPr>
        <w:t>合肥经济技术开发区繁华大道与云外路交叉口(繁华大道12560号)</w:t>
      </w:r>
    </w:p>
    <w:p w14:paraId="50599AAF">
      <w:pPr>
        <w:widowControl/>
        <w:adjustRightInd w:val="0"/>
        <w:snapToGrid w:val="0"/>
        <w:spacing w:line="360" w:lineRule="auto"/>
        <w:ind w:firstLine="660" w:firstLineChars="236"/>
        <w:jc w:val="left"/>
        <w:rPr>
          <w:rFonts w:ascii="宋体" w:hAnsi="宋体" w:eastAsia="仿宋"/>
          <w:color w:val="000000"/>
          <w:sz w:val="28"/>
          <w:szCs w:val="28"/>
          <w:highlight w:val="none"/>
        </w:rPr>
      </w:pPr>
      <w:r>
        <w:rPr>
          <w:rFonts w:hint="eastAsia" w:ascii="宋体" w:hAnsi="宋体" w:eastAsia="仿宋" w:cs="宋体"/>
          <w:color w:val="000000"/>
          <w:sz w:val="28"/>
          <w:szCs w:val="28"/>
          <w:highlight w:val="none"/>
        </w:rPr>
        <w:t>联系方式：</w:t>
      </w:r>
      <w:r>
        <w:rPr>
          <w:rFonts w:ascii="宋体" w:hAnsi="宋体" w:eastAsia="仿宋"/>
          <w:color w:val="000000"/>
          <w:sz w:val="28"/>
          <w:szCs w:val="28"/>
          <w:highlight w:val="none"/>
        </w:rPr>
        <w:t>0551-</w:t>
      </w:r>
      <w:r>
        <w:rPr>
          <w:rFonts w:hint="eastAsia" w:ascii="宋体" w:hAnsi="宋体" w:eastAsia="仿宋"/>
          <w:color w:val="000000"/>
          <w:sz w:val="28"/>
          <w:szCs w:val="28"/>
          <w:highlight w:val="none"/>
        </w:rPr>
        <w:t>63674912</w:t>
      </w:r>
    </w:p>
    <w:p w14:paraId="221E9387">
      <w:pPr>
        <w:widowControl/>
        <w:adjustRightInd w:val="0"/>
        <w:snapToGrid w:val="0"/>
        <w:spacing w:line="360" w:lineRule="auto"/>
        <w:ind w:firstLine="660" w:firstLineChars="236"/>
        <w:jc w:val="left"/>
        <w:rPr>
          <w:rFonts w:ascii="宋体" w:hAnsi="宋体" w:eastAsia="仿宋" w:cs="宋体"/>
          <w:color w:val="000000"/>
          <w:sz w:val="28"/>
          <w:szCs w:val="28"/>
          <w:highlight w:val="none"/>
        </w:rPr>
      </w:pPr>
      <w:r>
        <w:rPr>
          <w:rFonts w:hint="eastAsia" w:ascii="宋体" w:hAnsi="宋体" w:eastAsia="仿宋" w:cs="宋体"/>
          <w:color w:val="000000"/>
          <w:sz w:val="28"/>
          <w:szCs w:val="28"/>
          <w:highlight w:val="none"/>
        </w:rPr>
        <w:t>2.采购代理机构信息</w:t>
      </w:r>
      <w:bookmarkEnd w:id="32"/>
      <w:bookmarkEnd w:id="33"/>
    </w:p>
    <w:p w14:paraId="02E798AE">
      <w:pPr>
        <w:widowControl/>
        <w:adjustRightInd w:val="0"/>
        <w:snapToGrid w:val="0"/>
        <w:spacing w:line="360" w:lineRule="auto"/>
        <w:ind w:firstLine="660" w:firstLineChars="236"/>
        <w:jc w:val="left"/>
        <w:rPr>
          <w:rFonts w:ascii="宋体" w:hAnsi="宋体" w:eastAsia="仿宋"/>
          <w:color w:val="000000"/>
          <w:sz w:val="28"/>
          <w:szCs w:val="28"/>
          <w:highlight w:val="none"/>
        </w:rPr>
      </w:pPr>
      <w:bookmarkStart w:id="34" w:name="_Toc28359087"/>
      <w:bookmarkStart w:id="35" w:name="_Toc28359010"/>
      <w:r>
        <w:rPr>
          <w:rFonts w:hint="eastAsia" w:ascii="宋体" w:hAnsi="宋体" w:eastAsia="仿宋" w:cs="宋体"/>
          <w:color w:val="000000"/>
          <w:sz w:val="28"/>
          <w:szCs w:val="28"/>
          <w:highlight w:val="none"/>
        </w:rPr>
        <w:t>名 称：</w:t>
      </w:r>
      <w:r>
        <w:rPr>
          <w:rFonts w:hint="eastAsia" w:ascii="宋体" w:hAnsi="宋体" w:eastAsia="仿宋"/>
          <w:color w:val="000000"/>
          <w:sz w:val="28"/>
          <w:szCs w:val="28"/>
          <w:highlight w:val="none"/>
          <w:u w:val="none"/>
        </w:rPr>
        <w:t>安徽省招标集团股份有限公司</w:t>
      </w:r>
    </w:p>
    <w:p w14:paraId="6CD5EFE3">
      <w:pPr>
        <w:widowControl/>
        <w:adjustRightInd w:val="0"/>
        <w:snapToGrid w:val="0"/>
        <w:spacing w:line="360" w:lineRule="auto"/>
        <w:ind w:firstLine="660" w:firstLineChars="236"/>
        <w:jc w:val="left"/>
        <w:rPr>
          <w:rFonts w:hint="eastAsia" w:ascii="宋体" w:hAnsi="宋体" w:eastAsia="仿宋"/>
          <w:color w:val="000000"/>
          <w:sz w:val="28"/>
          <w:szCs w:val="28"/>
          <w:highlight w:val="none"/>
          <w:lang w:eastAsia="zh-CN"/>
        </w:rPr>
      </w:pPr>
      <w:r>
        <w:rPr>
          <w:rFonts w:hint="eastAsia" w:ascii="宋体" w:hAnsi="宋体" w:eastAsia="仿宋" w:cs="宋体"/>
          <w:color w:val="000000"/>
          <w:sz w:val="28"/>
          <w:szCs w:val="28"/>
          <w:highlight w:val="none"/>
        </w:rPr>
        <w:t>地 址：</w:t>
      </w:r>
      <w:r>
        <w:rPr>
          <w:rFonts w:hint="eastAsia" w:ascii="宋体" w:hAnsi="宋体" w:eastAsia="仿宋"/>
          <w:color w:val="000000"/>
          <w:sz w:val="28"/>
          <w:szCs w:val="28"/>
          <w:highlight w:val="none"/>
          <w:u w:val="none"/>
          <w:lang w:eastAsia="zh-CN"/>
        </w:rPr>
        <w:t>合肥市紫云路888号</w:t>
      </w:r>
    </w:p>
    <w:p w14:paraId="70DE9644">
      <w:pPr>
        <w:widowControl/>
        <w:adjustRightInd w:val="0"/>
        <w:snapToGrid w:val="0"/>
        <w:spacing w:line="360" w:lineRule="auto"/>
        <w:ind w:firstLine="660" w:firstLineChars="236"/>
        <w:jc w:val="left"/>
        <w:rPr>
          <w:rFonts w:ascii="宋体" w:hAnsi="宋体" w:eastAsia="仿宋"/>
          <w:color w:val="000000"/>
          <w:sz w:val="28"/>
          <w:szCs w:val="28"/>
          <w:highlight w:val="none"/>
        </w:rPr>
      </w:pPr>
      <w:r>
        <w:rPr>
          <w:rFonts w:hint="eastAsia" w:ascii="宋体" w:hAnsi="宋体" w:eastAsia="仿宋" w:cs="宋体"/>
          <w:color w:val="000000"/>
          <w:sz w:val="28"/>
          <w:szCs w:val="28"/>
          <w:highlight w:val="none"/>
        </w:rPr>
        <w:t>联系方式：</w:t>
      </w:r>
      <w:r>
        <w:rPr>
          <w:rFonts w:hint="eastAsia" w:ascii="宋体" w:hAnsi="宋体" w:eastAsia="仿宋"/>
          <w:color w:val="000000"/>
          <w:sz w:val="28"/>
          <w:szCs w:val="28"/>
          <w:highlight w:val="none"/>
          <w:u w:val="none"/>
        </w:rPr>
        <w:t>应急客服电话：0551-62220153（接听时间：8:30-12:00,13:30-17:30，节假日除外。潜在投标人应优先拨打项目联系人联系电话，无人接听时再拨打该“应急客服电话”</w:t>
      </w:r>
      <w:r>
        <w:rPr>
          <w:rFonts w:hint="eastAsia" w:ascii="宋体" w:hAnsi="宋体" w:eastAsia="仿宋"/>
          <w:color w:val="000000"/>
          <w:sz w:val="28"/>
          <w:szCs w:val="28"/>
          <w:highlight w:val="none"/>
        </w:rPr>
        <w:t>）</w:t>
      </w:r>
    </w:p>
    <w:p w14:paraId="32AB3212">
      <w:pPr>
        <w:widowControl/>
        <w:adjustRightInd w:val="0"/>
        <w:snapToGrid w:val="0"/>
        <w:spacing w:line="360" w:lineRule="auto"/>
        <w:ind w:firstLine="660" w:firstLineChars="236"/>
        <w:jc w:val="left"/>
        <w:rPr>
          <w:rFonts w:ascii="宋体" w:hAnsi="宋体" w:eastAsia="仿宋" w:cs="宋体"/>
          <w:color w:val="000000"/>
          <w:sz w:val="28"/>
          <w:szCs w:val="28"/>
          <w:highlight w:val="none"/>
        </w:rPr>
      </w:pPr>
      <w:r>
        <w:rPr>
          <w:rFonts w:hint="eastAsia" w:ascii="宋体" w:hAnsi="宋体" w:eastAsia="仿宋" w:cs="宋体"/>
          <w:color w:val="000000"/>
          <w:sz w:val="28"/>
          <w:szCs w:val="28"/>
          <w:highlight w:val="none"/>
        </w:rPr>
        <w:t>3.项目</w:t>
      </w:r>
      <w:r>
        <w:rPr>
          <w:rFonts w:ascii="宋体" w:hAnsi="宋体" w:eastAsia="仿宋" w:cs="宋体"/>
          <w:color w:val="000000"/>
          <w:sz w:val="28"/>
          <w:szCs w:val="28"/>
          <w:highlight w:val="none"/>
        </w:rPr>
        <w:t>联系方式</w:t>
      </w:r>
      <w:bookmarkEnd w:id="34"/>
      <w:bookmarkEnd w:id="35"/>
    </w:p>
    <w:p w14:paraId="5AC1EB43">
      <w:pPr>
        <w:adjustRightInd w:val="0"/>
        <w:snapToGrid w:val="0"/>
        <w:spacing w:line="360" w:lineRule="auto"/>
        <w:ind w:firstLine="660" w:firstLineChars="236"/>
        <w:rPr>
          <w:rFonts w:hint="eastAsia" w:ascii="宋体" w:hAnsi="宋体" w:eastAsia="仿宋"/>
          <w:color w:val="000000"/>
          <w:sz w:val="28"/>
          <w:szCs w:val="28"/>
          <w:highlight w:val="none"/>
        </w:rPr>
      </w:pPr>
      <w:r>
        <w:rPr>
          <w:rFonts w:hint="eastAsia" w:ascii="宋体" w:hAnsi="宋体" w:eastAsia="仿宋"/>
          <w:color w:val="000000"/>
          <w:sz w:val="28"/>
          <w:szCs w:val="28"/>
          <w:highlight w:val="none"/>
        </w:rPr>
        <w:t>项目联系人：章永兴</w:t>
      </w:r>
    </w:p>
    <w:p w14:paraId="1103F335">
      <w:pPr>
        <w:adjustRightInd w:val="0"/>
        <w:snapToGrid w:val="0"/>
        <w:spacing w:line="360" w:lineRule="auto"/>
        <w:ind w:firstLine="660" w:firstLineChars="236"/>
        <w:rPr>
          <w:rFonts w:hint="eastAsia" w:ascii="宋体" w:hAnsi="宋体" w:eastAsia="仿宋"/>
          <w:color w:val="000000"/>
          <w:sz w:val="28"/>
          <w:szCs w:val="28"/>
          <w:highlight w:val="none"/>
        </w:rPr>
      </w:pPr>
      <w:r>
        <w:rPr>
          <w:rFonts w:hint="eastAsia" w:ascii="宋体" w:hAnsi="宋体" w:eastAsia="仿宋"/>
          <w:color w:val="000000"/>
          <w:sz w:val="28"/>
          <w:szCs w:val="28"/>
          <w:highlight w:val="none"/>
        </w:rPr>
        <w:t>电　话：0551-66061349,15077906489</w:t>
      </w:r>
    </w:p>
    <w:p w14:paraId="4D29AB43">
      <w:pPr>
        <w:widowControl/>
        <w:spacing w:line="360" w:lineRule="auto"/>
        <w:ind w:firstLine="420"/>
        <w:rPr>
          <w:rFonts w:hint="eastAsia" w:ascii="宋体" w:hAnsi="宋体" w:eastAsia="仿宋"/>
          <w:color w:val="000000"/>
          <w:sz w:val="28"/>
          <w:szCs w:val="28"/>
          <w:highlight w:val="none"/>
        </w:rPr>
      </w:pPr>
    </w:p>
    <w:p w14:paraId="00E41E40">
      <w:pPr>
        <w:widowControl/>
        <w:adjustRightInd w:val="0"/>
        <w:snapToGrid w:val="0"/>
        <w:spacing w:line="360" w:lineRule="auto"/>
        <w:ind w:firstLine="660" w:firstLineChars="236"/>
        <w:jc w:val="left"/>
        <w:rPr>
          <w:rFonts w:ascii="楷体" w:hAnsi="楷体" w:eastAsia="仿宋"/>
          <w:i/>
          <w:color w:val="000000"/>
          <w:sz w:val="28"/>
          <w:szCs w:val="28"/>
          <w:highlight w:val="none"/>
        </w:rPr>
      </w:pPr>
      <w:r>
        <w:rPr>
          <w:rFonts w:hint="eastAsia" w:ascii="宋体" w:hAnsi="宋体" w:eastAsia="仿宋" w:cs="宋体"/>
          <w:color w:val="000000"/>
          <w:sz w:val="28"/>
          <w:szCs w:val="28"/>
          <w:highlight w:val="none"/>
        </w:rPr>
        <w:t>附件：</w:t>
      </w:r>
      <w:r>
        <w:rPr>
          <w:rFonts w:hint="eastAsia" w:ascii="宋体" w:hAnsi="宋体" w:eastAsia="仿宋"/>
          <w:color w:val="000000"/>
          <w:sz w:val="28"/>
          <w:szCs w:val="28"/>
          <w:highlight w:val="none"/>
        </w:rPr>
        <w:t>招标文件</w:t>
      </w:r>
    </w:p>
    <w:bookmarkEnd w:id="3"/>
    <w:p w14:paraId="65421B3F">
      <w:pPr>
        <w:pStyle w:val="2"/>
        <w:widowControl/>
        <w:spacing w:before="0" w:after="0" w:line="240" w:lineRule="auto"/>
        <w:jc w:val="center"/>
        <w:rPr>
          <w:rFonts w:ascii="宋体" w:hAnsi="宋体" w:eastAsia="仿宋"/>
          <w:color w:val="000000"/>
          <w:highlight w:val="none"/>
        </w:rPr>
      </w:pPr>
      <w:bookmarkStart w:id="36" w:name="_Toc445554685"/>
      <w:bookmarkStart w:id="37" w:name="_Toc466024497"/>
      <w:bookmarkStart w:id="38" w:name="_Toc241459614"/>
      <w:bookmarkStart w:id="39" w:name="_Toc371415919"/>
      <w:bookmarkStart w:id="40" w:name="_Toc342296160"/>
      <w:bookmarkStart w:id="41" w:name="_Toc342297617"/>
      <w:bookmarkStart w:id="42" w:name="_Toc333587477"/>
      <w:r>
        <w:rPr>
          <w:rFonts w:ascii="宋体" w:hAnsi="宋体" w:eastAsia="仿宋"/>
          <w:color w:val="000000"/>
          <w:sz w:val="24"/>
          <w:szCs w:val="24"/>
          <w:highlight w:val="none"/>
        </w:rPr>
        <w:br w:type="page"/>
      </w:r>
      <w:bookmarkStart w:id="43" w:name="_Toc26870"/>
      <w:r>
        <w:rPr>
          <w:rFonts w:hint="eastAsia" w:ascii="宋体" w:hAnsi="宋体" w:eastAsia="仿宋"/>
          <w:color w:val="000000"/>
          <w:highlight w:val="none"/>
        </w:rPr>
        <w:t>第二章</w:t>
      </w:r>
      <w:r>
        <w:rPr>
          <w:rFonts w:ascii="宋体" w:hAnsi="宋体" w:eastAsia="仿宋"/>
          <w:color w:val="000000"/>
          <w:highlight w:val="none"/>
        </w:rPr>
        <w:t xml:space="preserve"> </w:t>
      </w:r>
      <w:r>
        <w:rPr>
          <w:rFonts w:hint="eastAsia" w:ascii="宋体" w:hAnsi="宋体" w:eastAsia="仿宋"/>
          <w:color w:val="000000"/>
          <w:highlight w:val="none"/>
        </w:rPr>
        <w:t xml:space="preserve"> 投标人须知</w:t>
      </w:r>
      <w:bookmarkEnd w:id="36"/>
      <w:bookmarkEnd w:id="37"/>
      <w:bookmarkEnd w:id="38"/>
      <w:bookmarkEnd w:id="43"/>
    </w:p>
    <w:p w14:paraId="321F4C92">
      <w:pPr>
        <w:pStyle w:val="3"/>
        <w:widowControl/>
        <w:spacing w:before="120" w:after="120" w:line="240" w:lineRule="auto"/>
        <w:jc w:val="center"/>
        <w:rPr>
          <w:rStyle w:val="106"/>
          <w:rFonts w:hint="eastAsia" w:ascii="仿宋" w:hAnsi="仿宋" w:eastAsia="仿宋" w:cs="仿宋"/>
          <w:b/>
          <w:color w:val="000000"/>
          <w:sz w:val="28"/>
          <w:szCs w:val="28"/>
          <w:highlight w:val="none"/>
        </w:rPr>
      </w:pPr>
      <w:bookmarkStart w:id="44" w:name="_Toc445554686"/>
      <w:bookmarkStart w:id="45" w:name="_Toc466024498"/>
      <w:r>
        <w:rPr>
          <w:rStyle w:val="106"/>
          <w:rFonts w:hint="eastAsia" w:ascii="仿宋" w:hAnsi="仿宋" w:eastAsia="仿宋" w:cs="仿宋"/>
          <w:b/>
          <w:color w:val="000000"/>
          <w:sz w:val="28"/>
          <w:szCs w:val="28"/>
          <w:highlight w:val="none"/>
        </w:rPr>
        <w:t>投标人须知前附表</w:t>
      </w:r>
      <w:bookmarkEnd w:id="44"/>
      <w:bookmarkEnd w:id="45"/>
    </w:p>
    <w:p w14:paraId="4305AB7B">
      <w:pPr>
        <w:widowControl/>
        <w:adjustRightInd w:val="0"/>
        <w:snapToGrid w:val="0"/>
        <w:spacing w:before="240" w:beforeLines="100" w:after="120" w:afterLines="50" w:line="360" w:lineRule="auto"/>
        <w:ind w:firstLine="482" w:firstLineChars="200"/>
        <w:rPr>
          <w:rFonts w:hint="eastAsia" w:ascii="宋体" w:hAnsi="宋体" w:eastAsia="仿宋"/>
          <w:b/>
          <w:bCs/>
          <w:color w:val="000000"/>
          <w:sz w:val="24"/>
          <w:highlight w:val="none"/>
        </w:rPr>
      </w:pPr>
      <w:r>
        <w:rPr>
          <w:rFonts w:hint="eastAsia" w:ascii="宋体" w:hAnsi="宋体" w:eastAsia="仿宋"/>
          <w:b/>
          <w:bCs/>
          <w:color w:val="000000"/>
          <w:sz w:val="24"/>
          <w:highlight w:val="none"/>
        </w:rPr>
        <w:t>本《投标人须知前附表》是对本章《投标人须知》的具体补充和修改，如有不一致，以本《投标人须知前附表》为准。</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57"/>
        <w:gridCol w:w="1581"/>
        <w:gridCol w:w="7229"/>
      </w:tblGrid>
      <w:tr w14:paraId="28F24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blHeader/>
        </w:trPr>
        <w:tc>
          <w:tcPr>
            <w:tcW w:w="857" w:type="dxa"/>
            <w:noWrap w:val="0"/>
            <w:vAlign w:val="center"/>
          </w:tcPr>
          <w:p w14:paraId="6F762D89">
            <w:pPr>
              <w:widowControl/>
              <w:adjustRightInd w:val="0"/>
              <w:snapToGrid w:val="0"/>
              <w:spacing w:line="288" w:lineRule="auto"/>
              <w:jc w:val="center"/>
              <w:rPr>
                <w:rFonts w:ascii="宋体" w:hAnsi="宋体" w:cs="Calibri"/>
                <w:b/>
                <w:color w:val="000000"/>
                <w:sz w:val="24"/>
                <w:highlight w:val="none"/>
              </w:rPr>
            </w:pPr>
            <w:r>
              <w:rPr>
                <w:rFonts w:hint="eastAsia" w:ascii="宋体" w:hAnsi="宋体" w:eastAsia="仿宋" w:cs="Calibri"/>
                <w:b/>
                <w:color w:val="000000"/>
                <w:sz w:val="24"/>
                <w:highlight w:val="none"/>
              </w:rPr>
              <w:t>条款号</w:t>
            </w:r>
          </w:p>
        </w:tc>
        <w:tc>
          <w:tcPr>
            <w:tcW w:w="1581" w:type="dxa"/>
            <w:noWrap w:val="0"/>
            <w:vAlign w:val="center"/>
          </w:tcPr>
          <w:p w14:paraId="32147C31">
            <w:pPr>
              <w:widowControl/>
              <w:adjustRightInd w:val="0"/>
              <w:snapToGrid w:val="0"/>
              <w:spacing w:line="288" w:lineRule="auto"/>
              <w:jc w:val="center"/>
              <w:rPr>
                <w:rFonts w:ascii="宋体" w:hAnsi="宋体" w:cs="Calibri"/>
                <w:b/>
                <w:color w:val="000000"/>
                <w:sz w:val="24"/>
                <w:highlight w:val="none"/>
              </w:rPr>
            </w:pPr>
            <w:r>
              <w:rPr>
                <w:rFonts w:hint="eastAsia" w:ascii="宋体" w:hAnsi="宋体" w:eastAsia="仿宋" w:cs="Calibri"/>
                <w:b/>
                <w:color w:val="000000"/>
                <w:sz w:val="24"/>
                <w:highlight w:val="none"/>
              </w:rPr>
              <w:t>条款名称</w:t>
            </w:r>
          </w:p>
        </w:tc>
        <w:tc>
          <w:tcPr>
            <w:tcW w:w="7229" w:type="dxa"/>
            <w:noWrap w:val="0"/>
            <w:vAlign w:val="center"/>
          </w:tcPr>
          <w:p w14:paraId="4860689A">
            <w:pPr>
              <w:widowControl/>
              <w:adjustRightInd w:val="0"/>
              <w:snapToGrid w:val="0"/>
              <w:spacing w:line="288" w:lineRule="auto"/>
              <w:jc w:val="center"/>
              <w:rPr>
                <w:rFonts w:ascii="宋体" w:hAnsi="宋体" w:cs="Calibri"/>
                <w:b/>
                <w:color w:val="000000"/>
                <w:sz w:val="24"/>
                <w:highlight w:val="none"/>
              </w:rPr>
            </w:pPr>
            <w:r>
              <w:rPr>
                <w:rFonts w:hint="eastAsia" w:ascii="宋体" w:hAnsi="宋体" w:eastAsia="仿宋" w:cs="Calibri"/>
                <w:b/>
                <w:color w:val="000000"/>
                <w:sz w:val="24"/>
                <w:highlight w:val="none"/>
              </w:rPr>
              <w:t>编</w:t>
            </w:r>
            <w:r>
              <w:rPr>
                <w:rFonts w:ascii="宋体" w:hAnsi="宋体" w:eastAsia="仿宋" w:cs="Calibri"/>
                <w:b/>
                <w:color w:val="000000"/>
                <w:sz w:val="24"/>
                <w:highlight w:val="none"/>
              </w:rPr>
              <w:t xml:space="preserve">  </w:t>
            </w:r>
            <w:r>
              <w:rPr>
                <w:rFonts w:hint="eastAsia" w:ascii="宋体" w:hAnsi="宋体" w:eastAsia="仿宋" w:cs="Calibri"/>
                <w:b/>
                <w:color w:val="000000"/>
                <w:sz w:val="24"/>
                <w:highlight w:val="none"/>
              </w:rPr>
              <w:t>列</w:t>
            </w:r>
            <w:r>
              <w:rPr>
                <w:rFonts w:ascii="宋体" w:hAnsi="宋体" w:eastAsia="仿宋" w:cs="Calibri"/>
                <w:b/>
                <w:color w:val="000000"/>
                <w:sz w:val="24"/>
                <w:highlight w:val="none"/>
              </w:rPr>
              <w:t xml:space="preserve">  </w:t>
            </w:r>
            <w:r>
              <w:rPr>
                <w:rFonts w:hint="eastAsia" w:ascii="宋体" w:hAnsi="宋体" w:eastAsia="仿宋" w:cs="Calibri"/>
                <w:b/>
                <w:color w:val="000000"/>
                <w:sz w:val="24"/>
                <w:highlight w:val="none"/>
              </w:rPr>
              <w:t>内</w:t>
            </w:r>
            <w:r>
              <w:rPr>
                <w:rFonts w:ascii="宋体" w:hAnsi="宋体" w:eastAsia="仿宋" w:cs="Calibri"/>
                <w:b/>
                <w:color w:val="000000"/>
                <w:sz w:val="24"/>
                <w:highlight w:val="none"/>
              </w:rPr>
              <w:t xml:space="preserve">  </w:t>
            </w:r>
            <w:r>
              <w:rPr>
                <w:rFonts w:hint="eastAsia" w:ascii="宋体" w:hAnsi="宋体" w:eastAsia="仿宋" w:cs="Calibri"/>
                <w:b/>
                <w:color w:val="000000"/>
                <w:sz w:val="24"/>
                <w:highlight w:val="none"/>
              </w:rPr>
              <w:t>容</w:t>
            </w:r>
          </w:p>
        </w:tc>
      </w:tr>
      <w:tr w14:paraId="5C834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5B968A0D">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1.1.2</w:t>
            </w:r>
          </w:p>
        </w:tc>
        <w:tc>
          <w:tcPr>
            <w:tcW w:w="1581" w:type="dxa"/>
            <w:noWrap w:val="0"/>
            <w:vAlign w:val="center"/>
          </w:tcPr>
          <w:p w14:paraId="6975B8E5">
            <w:pPr>
              <w:adjustRightInd w:val="0"/>
              <w:snapToGrid w:val="0"/>
              <w:spacing w:line="288" w:lineRule="auto"/>
              <w:jc w:val="center"/>
              <w:rPr>
                <w:rFonts w:hint="eastAsia" w:ascii="宋体" w:hAnsi="宋体"/>
                <w:color w:val="000000"/>
                <w:sz w:val="24"/>
                <w:highlight w:val="none"/>
              </w:rPr>
            </w:pPr>
            <w:r>
              <w:rPr>
                <w:rFonts w:hint="eastAsia" w:ascii="宋体" w:hAnsi="宋体" w:eastAsia="仿宋"/>
                <w:color w:val="000000"/>
                <w:sz w:val="24"/>
                <w:highlight w:val="none"/>
              </w:rPr>
              <w:t>采购人</w:t>
            </w:r>
          </w:p>
        </w:tc>
        <w:tc>
          <w:tcPr>
            <w:tcW w:w="7229" w:type="dxa"/>
            <w:noWrap w:val="0"/>
            <w:vAlign w:val="center"/>
          </w:tcPr>
          <w:p w14:paraId="5A957BB2">
            <w:pPr>
              <w:adjustRightInd w:val="0"/>
              <w:snapToGrid w:val="0"/>
              <w:spacing w:line="288" w:lineRule="auto"/>
              <w:rPr>
                <w:rFonts w:ascii="宋体" w:hAnsi="宋体"/>
                <w:color w:val="000000"/>
                <w:sz w:val="24"/>
                <w:highlight w:val="none"/>
              </w:rPr>
            </w:pPr>
            <w:r>
              <w:rPr>
                <w:rFonts w:hint="eastAsia" w:ascii="宋体" w:hAnsi="宋体" w:eastAsia="仿宋"/>
                <w:color w:val="000000"/>
                <w:sz w:val="24"/>
                <w:highlight w:val="none"/>
              </w:rPr>
              <w:t>见招标公告</w:t>
            </w:r>
          </w:p>
        </w:tc>
      </w:tr>
      <w:tr w14:paraId="3EE9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5DCB0332">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1.1.3</w:t>
            </w:r>
          </w:p>
        </w:tc>
        <w:tc>
          <w:tcPr>
            <w:tcW w:w="1581" w:type="dxa"/>
            <w:noWrap w:val="0"/>
            <w:vAlign w:val="center"/>
          </w:tcPr>
          <w:p w14:paraId="35C70E4A">
            <w:pPr>
              <w:adjustRightInd w:val="0"/>
              <w:snapToGrid w:val="0"/>
              <w:spacing w:line="288" w:lineRule="auto"/>
              <w:jc w:val="center"/>
              <w:rPr>
                <w:rFonts w:ascii="宋体" w:hAnsi="宋体"/>
                <w:color w:val="000000"/>
                <w:sz w:val="24"/>
                <w:highlight w:val="none"/>
              </w:rPr>
            </w:pPr>
            <w:r>
              <w:rPr>
                <w:rFonts w:hint="eastAsia" w:ascii="宋体" w:hAnsi="宋体" w:eastAsia="仿宋"/>
                <w:color w:val="000000"/>
                <w:sz w:val="24"/>
                <w:highlight w:val="none"/>
              </w:rPr>
              <w:t>采购代理机构</w:t>
            </w:r>
          </w:p>
        </w:tc>
        <w:tc>
          <w:tcPr>
            <w:tcW w:w="7229" w:type="dxa"/>
            <w:noWrap w:val="0"/>
            <w:vAlign w:val="center"/>
          </w:tcPr>
          <w:p w14:paraId="38C9EF5F">
            <w:pPr>
              <w:adjustRightInd w:val="0"/>
              <w:snapToGrid w:val="0"/>
              <w:spacing w:line="288" w:lineRule="auto"/>
              <w:rPr>
                <w:rFonts w:hint="eastAsia" w:ascii="宋体" w:hAnsi="宋体"/>
                <w:color w:val="000000"/>
                <w:sz w:val="24"/>
                <w:highlight w:val="none"/>
              </w:rPr>
            </w:pPr>
            <w:r>
              <w:rPr>
                <w:rFonts w:hint="eastAsia" w:ascii="宋体" w:hAnsi="宋体" w:eastAsia="仿宋"/>
                <w:color w:val="000000"/>
                <w:sz w:val="24"/>
                <w:highlight w:val="none"/>
              </w:rPr>
              <w:t>见招标公告</w:t>
            </w:r>
          </w:p>
        </w:tc>
      </w:tr>
      <w:tr w14:paraId="45CE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53009DD6">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1.1.4</w:t>
            </w:r>
          </w:p>
        </w:tc>
        <w:tc>
          <w:tcPr>
            <w:tcW w:w="1581" w:type="dxa"/>
            <w:noWrap w:val="0"/>
            <w:vAlign w:val="center"/>
          </w:tcPr>
          <w:p w14:paraId="5ECECED4">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采购项目名称</w:t>
            </w:r>
          </w:p>
        </w:tc>
        <w:tc>
          <w:tcPr>
            <w:tcW w:w="7229" w:type="dxa"/>
            <w:noWrap w:val="0"/>
            <w:vAlign w:val="center"/>
          </w:tcPr>
          <w:p w14:paraId="7AE24046">
            <w:pPr>
              <w:widowControl/>
              <w:adjustRightInd w:val="0"/>
              <w:snapToGrid w:val="0"/>
              <w:spacing w:line="288" w:lineRule="auto"/>
              <w:rPr>
                <w:rFonts w:ascii="宋体" w:hAnsi="宋体" w:cs="Calibri"/>
                <w:color w:val="000000"/>
                <w:sz w:val="24"/>
                <w:highlight w:val="none"/>
              </w:rPr>
            </w:pPr>
            <w:r>
              <w:rPr>
                <w:rFonts w:hint="eastAsia" w:ascii="宋体" w:hAnsi="宋体" w:eastAsia="仿宋"/>
                <w:color w:val="000000"/>
                <w:sz w:val="24"/>
                <w:highlight w:val="none"/>
              </w:rPr>
              <w:t>见招标公告</w:t>
            </w:r>
          </w:p>
        </w:tc>
      </w:tr>
      <w:tr w14:paraId="3B765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298A9F0B">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1.1.5</w:t>
            </w:r>
          </w:p>
        </w:tc>
        <w:tc>
          <w:tcPr>
            <w:tcW w:w="1581" w:type="dxa"/>
            <w:noWrap w:val="0"/>
            <w:vAlign w:val="center"/>
          </w:tcPr>
          <w:p w14:paraId="1FB94009">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采购包划分</w:t>
            </w:r>
          </w:p>
        </w:tc>
        <w:tc>
          <w:tcPr>
            <w:tcW w:w="7229" w:type="dxa"/>
            <w:noWrap w:val="0"/>
            <w:vAlign w:val="center"/>
          </w:tcPr>
          <w:p w14:paraId="201E0EDC">
            <w:pPr>
              <w:widowControl/>
              <w:adjustRightInd w:val="0"/>
              <w:snapToGrid w:val="0"/>
              <w:spacing w:line="288" w:lineRule="auto"/>
              <w:rPr>
                <w:rFonts w:hint="eastAsia" w:ascii="宋体" w:hAnsi="宋体" w:eastAsia="仿宋" w:cs="Calibri"/>
                <w:color w:val="000000"/>
                <w:sz w:val="24"/>
                <w:highlight w:val="none"/>
                <w:lang w:eastAsia="zh-CN"/>
              </w:rPr>
            </w:pPr>
            <w:r>
              <w:rPr>
                <w:rFonts w:hint="eastAsia" w:ascii="仿宋" w:hAnsi="仿宋" w:eastAsia="仿宋" w:cs="仿宋"/>
                <w:iCs/>
                <w:color w:val="000000"/>
                <w:sz w:val="24"/>
                <w:highlight w:val="none"/>
                <w:lang w:val="en-US" w:eastAsia="zh-CN"/>
              </w:rPr>
              <w:t>2</w:t>
            </w:r>
            <w:r>
              <w:rPr>
                <w:rFonts w:hint="eastAsia" w:ascii="仿宋" w:hAnsi="仿宋" w:eastAsia="仿宋" w:cs="仿宋"/>
                <w:iCs/>
                <w:color w:val="000000"/>
                <w:sz w:val="24"/>
                <w:highlight w:val="none"/>
              </w:rPr>
              <w:t>个标包</w:t>
            </w:r>
            <w:r>
              <w:rPr>
                <w:rFonts w:hint="eastAsia" w:ascii="仿宋" w:hAnsi="仿宋" w:eastAsia="仿宋" w:cs="仿宋"/>
                <w:iCs/>
                <w:color w:val="000000"/>
                <w:sz w:val="24"/>
                <w:highlight w:val="none"/>
                <w:lang w:eastAsia="zh-CN"/>
              </w:rPr>
              <w:t>，</w:t>
            </w:r>
            <w:r>
              <w:rPr>
                <w:rFonts w:hint="eastAsia" w:ascii="宋体" w:hAnsi="宋体" w:eastAsia="仿宋"/>
                <w:color w:val="000000"/>
                <w:sz w:val="24"/>
                <w:highlight w:val="none"/>
              </w:rPr>
              <w:t>见招标公告</w:t>
            </w:r>
          </w:p>
        </w:tc>
      </w:tr>
      <w:tr w14:paraId="7BE5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1FC4D124">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1.1.6</w:t>
            </w:r>
          </w:p>
        </w:tc>
        <w:tc>
          <w:tcPr>
            <w:tcW w:w="1581" w:type="dxa"/>
            <w:noWrap w:val="0"/>
            <w:vAlign w:val="center"/>
          </w:tcPr>
          <w:p w14:paraId="2A93CE54">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采购预算</w:t>
            </w:r>
          </w:p>
        </w:tc>
        <w:tc>
          <w:tcPr>
            <w:tcW w:w="7229" w:type="dxa"/>
            <w:noWrap w:val="0"/>
            <w:vAlign w:val="center"/>
          </w:tcPr>
          <w:p w14:paraId="7471EF6B">
            <w:pPr>
              <w:widowControl/>
              <w:adjustRightInd w:val="0"/>
              <w:snapToGrid w:val="0"/>
              <w:spacing w:line="288" w:lineRule="auto"/>
              <w:rPr>
                <w:rFonts w:ascii="宋体" w:hAnsi="宋体" w:cs="Calibri"/>
                <w:color w:val="000000"/>
                <w:sz w:val="24"/>
                <w:highlight w:val="none"/>
              </w:rPr>
            </w:pPr>
            <w:r>
              <w:rPr>
                <w:rFonts w:hint="eastAsia" w:ascii="宋体" w:hAnsi="宋体" w:eastAsia="仿宋"/>
                <w:color w:val="000000"/>
                <w:sz w:val="24"/>
                <w:highlight w:val="none"/>
              </w:rPr>
              <w:t>见招标公告</w:t>
            </w:r>
          </w:p>
        </w:tc>
      </w:tr>
      <w:tr w14:paraId="66BC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13D4E637">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1.1.7</w:t>
            </w:r>
          </w:p>
        </w:tc>
        <w:tc>
          <w:tcPr>
            <w:tcW w:w="1581" w:type="dxa"/>
            <w:noWrap w:val="0"/>
            <w:vAlign w:val="center"/>
          </w:tcPr>
          <w:p w14:paraId="63328E11">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专门面向中小企业采购</w:t>
            </w:r>
          </w:p>
        </w:tc>
        <w:tc>
          <w:tcPr>
            <w:tcW w:w="7229" w:type="dxa"/>
            <w:noWrap w:val="0"/>
            <w:vAlign w:val="center"/>
          </w:tcPr>
          <w:p w14:paraId="332B1C36">
            <w:pPr>
              <w:widowControl/>
              <w:adjustRightInd w:val="0"/>
              <w:snapToGrid w:val="0"/>
              <w:spacing w:line="288" w:lineRule="auto"/>
              <w:rPr>
                <w:rFonts w:ascii="宋体" w:hAnsi="宋体" w:cs="Calibri"/>
                <w:color w:val="000000"/>
                <w:sz w:val="24"/>
                <w:highlight w:val="none"/>
              </w:rPr>
            </w:pPr>
            <w:r>
              <w:rPr>
                <w:rFonts w:hint="eastAsia" w:ascii="宋体" w:hAnsi="宋体" w:eastAsia="仿宋"/>
                <w:color w:val="000000"/>
                <w:sz w:val="24"/>
                <w:highlight w:val="none"/>
              </w:rPr>
              <w:t>见招标公告</w:t>
            </w:r>
          </w:p>
        </w:tc>
      </w:tr>
      <w:tr w14:paraId="6088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7EECB269">
            <w:pPr>
              <w:widowControl/>
              <w:adjustRightInd w:val="0"/>
              <w:snapToGrid w:val="0"/>
              <w:spacing w:line="288" w:lineRule="auto"/>
              <w:jc w:val="center"/>
              <w:rPr>
                <w:rFonts w:hint="eastAsia" w:ascii="宋体" w:hAnsi="宋体" w:eastAsia="仿宋" w:cs="Calibri"/>
                <w:color w:val="000000"/>
                <w:sz w:val="24"/>
                <w:highlight w:val="none"/>
              </w:rPr>
            </w:pPr>
            <w:r>
              <w:rPr>
                <w:rFonts w:hint="eastAsia" w:ascii="宋体" w:hAnsi="宋体" w:eastAsia="仿宋" w:cs="宋体"/>
                <w:color w:val="000000"/>
                <w:sz w:val="24"/>
                <w:highlight w:val="none"/>
                <w:lang w:bidi="ar"/>
              </w:rPr>
              <w:t>1.2.1</w:t>
            </w:r>
          </w:p>
        </w:tc>
        <w:tc>
          <w:tcPr>
            <w:tcW w:w="1581" w:type="dxa"/>
            <w:noWrap w:val="0"/>
            <w:vAlign w:val="center"/>
          </w:tcPr>
          <w:p w14:paraId="799C215F">
            <w:pPr>
              <w:widowControl/>
              <w:adjustRightInd w:val="0"/>
              <w:snapToGrid w:val="0"/>
              <w:spacing w:line="288" w:lineRule="auto"/>
              <w:jc w:val="center"/>
              <w:rPr>
                <w:rFonts w:hint="eastAsia" w:ascii="宋体" w:hAnsi="宋体" w:eastAsia="仿宋" w:cs="Calibri"/>
                <w:color w:val="000000"/>
                <w:sz w:val="24"/>
                <w:highlight w:val="none"/>
              </w:rPr>
            </w:pPr>
            <w:r>
              <w:rPr>
                <w:rFonts w:hint="eastAsia" w:ascii="宋体" w:hAnsi="宋体" w:eastAsia="仿宋" w:cs="仿宋"/>
                <w:color w:val="000000"/>
                <w:sz w:val="24"/>
                <w:highlight w:val="none"/>
                <w:lang w:bidi="ar"/>
              </w:rPr>
              <w:t>资金来源及比例</w:t>
            </w:r>
          </w:p>
        </w:tc>
        <w:tc>
          <w:tcPr>
            <w:tcW w:w="7229" w:type="dxa"/>
            <w:noWrap w:val="0"/>
            <w:vAlign w:val="center"/>
          </w:tcPr>
          <w:p w14:paraId="317FFFA3">
            <w:pPr>
              <w:widowControl/>
              <w:adjustRightInd w:val="0"/>
              <w:snapToGrid w:val="0"/>
              <w:spacing w:line="288" w:lineRule="auto"/>
              <w:rPr>
                <w:rFonts w:hint="eastAsia" w:ascii="宋体" w:hAnsi="宋体" w:eastAsia="仿宋"/>
                <w:color w:val="000000"/>
                <w:sz w:val="24"/>
                <w:highlight w:val="none"/>
              </w:rPr>
            </w:pPr>
            <w:r>
              <w:rPr>
                <w:rFonts w:hint="eastAsia" w:ascii="宋体" w:hAnsi="宋体" w:eastAsia="仿宋" w:cs="Calibri"/>
                <w:color w:val="000000"/>
                <w:sz w:val="24"/>
                <w:highlight w:val="none"/>
              </w:rPr>
              <w:t>财政性资金，100%</w:t>
            </w:r>
          </w:p>
        </w:tc>
      </w:tr>
      <w:tr w14:paraId="0D24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16C52D97">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1.3.1</w:t>
            </w:r>
          </w:p>
        </w:tc>
        <w:tc>
          <w:tcPr>
            <w:tcW w:w="1581" w:type="dxa"/>
            <w:noWrap w:val="0"/>
            <w:vAlign w:val="center"/>
          </w:tcPr>
          <w:p w14:paraId="4643058B">
            <w:pPr>
              <w:widowControl/>
              <w:adjustRightInd w:val="0"/>
              <w:snapToGrid w:val="0"/>
              <w:spacing w:line="288" w:lineRule="auto"/>
              <w:jc w:val="center"/>
              <w:rPr>
                <w:rFonts w:hint="eastAsia" w:ascii="宋体" w:hAnsi="宋体" w:eastAsia="仿宋" w:cs="Calibri"/>
                <w:color w:val="000000"/>
                <w:sz w:val="24"/>
                <w:highlight w:val="none"/>
              </w:rPr>
            </w:pPr>
            <w:r>
              <w:rPr>
                <w:rFonts w:hint="eastAsia" w:ascii="宋体" w:hAnsi="宋体" w:eastAsia="仿宋" w:cs="Calibri"/>
                <w:color w:val="000000"/>
                <w:sz w:val="24"/>
                <w:highlight w:val="none"/>
              </w:rPr>
              <w:t>资格要求</w:t>
            </w:r>
          </w:p>
        </w:tc>
        <w:tc>
          <w:tcPr>
            <w:tcW w:w="7229" w:type="dxa"/>
            <w:noWrap w:val="0"/>
            <w:vAlign w:val="center"/>
          </w:tcPr>
          <w:p w14:paraId="5AF78E52">
            <w:pPr>
              <w:widowControl/>
              <w:adjustRightInd w:val="0"/>
              <w:snapToGrid w:val="0"/>
              <w:spacing w:line="288" w:lineRule="auto"/>
              <w:rPr>
                <w:rFonts w:ascii="宋体" w:hAnsi="宋体" w:eastAsia="楷体_GB2312" w:cs="Calibri"/>
                <w:color w:val="000000"/>
                <w:sz w:val="24"/>
                <w:highlight w:val="none"/>
              </w:rPr>
            </w:pPr>
            <w:r>
              <w:rPr>
                <w:rFonts w:hint="eastAsia" w:ascii="宋体" w:hAnsi="宋体" w:eastAsia="仿宋" w:cs="Calibri"/>
                <w:color w:val="000000"/>
                <w:sz w:val="24"/>
                <w:highlight w:val="none"/>
              </w:rPr>
              <w:t>见招标公告</w:t>
            </w:r>
          </w:p>
        </w:tc>
      </w:tr>
      <w:tr w14:paraId="4965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40BD434C">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1.3.2</w:t>
            </w:r>
          </w:p>
        </w:tc>
        <w:tc>
          <w:tcPr>
            <w:tcW w:w="1581" w:type="dxa"/>
            <w:noWrap w:val="0"/>
            <w:vAlign w:val="center"/>
          </w:tcPr>
          <w:p w14:paraId="0EA0FA4C">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联合体投标的其他要求</w:t>
            </w:r>
          </w:p>
        </w:tc>
        <w:tc>
          <w:tcPr>
            <w:tcW w:w="7229" w:type="dxa"/>
            <w:noWrap w:val="0"/>
            <w:vAlign w:val="center"/>
          </w:tcPr>
          <w:p w14:paraId="42ED3307">
            <w:pPr>
              <w:widowControl/>
              <w:adjustRightInd w:val="0"/>
              <w:snapToGrid w:val="0"/>
              <w:spacing w:line="288" w:lineRule="auto"/>
              <w:rPr>
                <w:rFonts w:ascii="宋体" w:hAnsi="宋体" w:cs="Calibri"/>
                <w:color w:val="000000"/>
                <w:sz w:val="24"/>
                <w:highlight w:val="none"/>
              </w:rPr>
            </w:pPr>
            <w:r>
              <w:rPr>
                <w:rFonts w:hint="eastAsia" w:ascii="宋体" w:hAnsi="宋体" w:cs="Calibri"/>
                <w:color w:val="000000"/>
                <w:sz w:val="24"/>
                <w:highlight w:val="none"/>
              </w:rPr>
              <w:t>/</w:t>
            </w:r>
          </w:p>
        </w:tc>
      </w:tr>
      <w:tr w14:paraId="4B35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7539F509">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1.3.3</w:t>
            </w:r>
          </w:p>
        </w:tc>
        <w:tc>
          <w:tcPr>
            <w:tcW w:w="1581" w:type="dxa"/>
            <w:noWrap w:val="0"/>
            <w:vAlign w:val="center"/>
          </w:tcPr>
          <w:p w14:paraId="0E4C5B16">
            <w:pPr>
              <w:widowControl/>
              <w:adjustRightInd w:val="0"/>
              <w:snapToGrid w:val="0"/>
              <w:spacing w:line="288" w:lineRule="auto"/>
              <w:rPr>
                <w:rFonts w:hint="eastAsia" w:ascii="宋体" w:hAnsi="宋体" w:cs="宋体"/>
                <w:iCs/>
                <w:color w:val="000000"/>
                <w:sz w:val="24"/>
                <w:highlight w:val="none"/>
              </w:rPr>
            </w:pPr>
            <w:r>
              <w:rPr>
                <w:rFonts w:hint="eastAsia" w:ascii="宋体" w:hAnsi="宋体" w:eastAsia="仿宋" w:cs="Calibri"/>
                <w:color w:val="000000"/>
                <w:sz w:val="24"/>
                <w:highlight w:val="none"/>
              </w:rPr>
              <w:t>投标人不得存在的其他情形</w:t>
            </w:r>
          </w:p>
        </w:tc>
        <w:tc>
          <w:tcPr>
            <w:tcW w:w="7229" w:type="dxa"/>
            <w:noWrap w:val="0"/>
            <w:vAlign w:val="center"/>
          </w:tcPr>
          <w:p w14:paraId="1DE5124C">
            <w:pPr>
              <w:widowControl/>
              <w:adjustRightInd w:val="0"/>
              <w:snapToGrid w:val="0"/>
              <w:spacing w:line="288" w:lineRule="auto"/>
              <w:rPr>
                <w:rFonts w:hint="eastAsia" w:ascii="宋体" w:hAnsi="宋体" w:cs="宋体"/>
                <w:iCs/>
                <w:color w:val="000000"/>
                <w:sz w:val="24"/>
                <w:highlight w:val="none"/>
              </w:rPr>
            </w:pPr>
            <w:r>
              <w:rPr>
                <w:rFonts w:hint="eastAsia" w:ascii="宋体" w:hAnsi="宋体" w:cs="宋体"/>
                <w:iCs/>
                <w:color w:val="000000"/>
                <w:sz w:val="24"/>
                <w:highlight w:val="none"/>
              </w:rPr>
              <w:t>/</w:t>
            </w:r>
          </w:p>
        </w:tc>
      </w:tr>
      <w:tr w14:paraId="40C0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359B76BC">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1.8.1</w:t>
            </w:r>
          </w:p>
        </w:tc>
        <w:tc>
          <w:tcPr>
            <w:tcW w:w="1581" w:type="dxa"/>
            <w:noWrap w:val="0"/>
            <w:vAlign w:val="center"/>
          </w:tcPr>
          <w:p w14:paraId="4105CCEA">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是否组织现场考察</w:t>
            </w:r>
          </w:p>
        </w:tc>
        <w:tc>
          <w:tcPr>
            <w:tcW w:w="7229" w:type="dxa"/>
            <w:noWrap w:val="0"/>
            <w:vAlign w:val="center"/>
          </w:tcPr>
          <w:p w14:paraId="7066BD4F">
            <w:pPr>
              <w:widowControl/>
              <w:topLinePunct/>
              <w:adjustRightInd w:val="0"/>
              <w:snapToGrid w:val="0"/>
              <w:spacing w:line="288" w:lineRule="auto"/>
              <w:ind w:left="187" w:hanging="187" w:hangingChars="78"/>
              <w:rPr>
                <w:rFonts w:ascii="宋体" w:hAnsi="宋体" w:eastAsia="仿宋" w:cs="Calibri"/>
                <w:color w:val="000000"/>
                <w:sz w:val="24"/>
                <w:highlight w:val="none"/>
              </w:rPr>
            </w:pPr>
            <w:r>
              <w:rPr>
                <w:rFonts w:hint="eastAsia" w:ascii="宋体" w:hAnsi="宋体" w:eastAsia="仿宋"/>
                <w:bCs/>
                <w:color w:val="000000"/>
                <w:sz w:val="24"/>
                <w:highlight w:val="none"/>
              </w:rPr>
              <w:sym w:font="Wingdings" w:char="F0FE"/>
            </w:r>
            <w:r>
              <w:rPr>
                <w:rFonts w:hint="eastAsia" w:ascii="宋体" w:hAnsi="宋体" w:eastAsia="仿宋" w:cs="Calibri"/>
                <w:color w:val="000000"/>
                <w:sz w:val="24"/>
                <w:highlight w:val="none"/>
              </w:rPr>
              <w:t>不组织，</w:t>
            </w:r>
            <w:r>
              <w:rPr>
                <w:rFonts w:hint="eastAsia" w:ascii="宋体" w:hAnsi="宋体" w:eastAsia="仿宋"/>
                <w:color w:val="000000"/>
                <w:sz w:val="24"/>
                <w:highlight w:val="none"/>
              </w:rPr>
              <w:t>由投标人自行考察现场。</w:t>
            </w:r>
          </w:p>
          <w:p w14:paraId="6AE28E64">
            <w:pPr>
              <w:widowControl/>
              <w:adjustRightInd w:val="0"/>
              <w:snapToGrid w:val="0"/>
              <w:spacing w:line="288" w:lineRule="auto"/>
              <w:rPr>
                <w:rFonts w:ascii="宋体" w:hAnsi="宋体" w:eastAsia="仿宋" w:cs="Calibri"/>
                <w:color w:val="000000"/>
                <w:sz w:val="24"/>
                <w:highlight w:val="none"/>
              </w:rPr>
            </w:pPr>
            <w:r>
              <w:rPr>
                <w:rFonts w:hint="eastAsia" w:ascii="宋体" w:hAnsi="宋体" w:eastAsia="仿宋" w:cs="Calibri"/>
                <w:color w:val="000000"/>
                <w:sz w:val="24"/>
                <w:highlight w:val="none"/>
              </w:rPr>
              <w:t>□组织，时间：</w:t>
            </w:r>
          </w:p>
          <w:p w14:paraId="5E1481EB">
            <w:pPr>
              <w:widowControl/>
              <w:topLinePunct/>
              <w:adjustRightInd w:val="0"/>
              <w:snapToGrid w:val="0"/>
              <w:spacing w:line="288" w:lineRule="auto"/>
              <w:ind w:firstLine="840" w:firstLineChars="350"/>
              <w:rPr>
                <w:rFonts w:hint="eastAsia" w:ascii="宋体" w:hAnsi="宋体" w:eastAsia="仿宋" w:cs="Calibri"/>
                <w:color w:val="000000"/>
                <w:sz w:val="24"/>
                <w:highlight w:val="none"/>
                <w:u w:val="single"/>
              </w:rPr>
            </w:pPr>
            <w:r>
              <w:rPr>
                <w:rFonts w:hint="eastAsia" w:ascii="宋体" w:hAnsi="宋体" w:eastAsia="仿宋" w:cs="Calibri"/>
                <w:color w:val="000000"/>
                <w:sz w:val="24"/>
                <w:highlight w:val="none"/>
              </w:rPr>
              <w:t xml:space="preserve"> 集中地点：</w:t>
            </w:r>
            <w:r>
              <w:rPr>
                <w:rFonts w:hint="eastAsia" w:ascii="仿宋" w:hAnsi="仿宋" w:eastAsia="仿宋" w:cs="仿宋"/>
                <w:iCs/>
                <w:color w:val="000000"/>
                <w:sz w:val="24"/>
                <w:highlight w:val="none"/>
              </w:rPr>
              <w:t>/</w:t>
            </w:r>
          </w:p>
          <w:p w14:paraId="07CE2DED">
            <w:pPr>
              <w:widowControl/>
              <w:topLinePunct/>
              <w:adjustRightInd w:val="0"/>
              <w:snapToGrid w:val="0"/>
              <w:spacing w:line="288" w:lineRule="auto"/>
              <w:ind w:firstLine="840" w:firstLineChars="350"/>
              <w:rPr>
                <w:rFonts w:ascii="宋体" w:hAnsi="宋体" w:cs="Calibri"/>
                <w:color w:val="000000"/>
                <w:sz w:val="24"/>
                <w:highlight w:val="none"/>
              </w:rPr>
            </w:pPr>
            <w:r>
              <w:rPr>
                <w:rFonts w:hint="eastAsia" w:ascii="宋体" w:hAnsi="宋体" w:eastAsia="仿宋" w:cs="Calibri"/>
                <w:color w:val="000000"/>
                <w:sz w:val="24"/>
                <w:highlight w:val="none"/>
              </w:rPr>
              <w:t xml:space="preserve"> 联系方式：</w:t>
            </w:r>
            <w:r>
              <w:rPr>
                <w:rFonts w:hint="eastAsia" w:ascii="仿宋" w:hAnsi="仿宋" w:eastAsia="仿宋" w:cs="仿宋"/>
                <w:iCs/>
                <w:color w:val="000000"/>
                <w:sz w:val="24"/>
                <w:highlight w:val="none"/>
              </w:rPr>
              <w:t>/</w:t>
            </w:r>
          </w:p>
        </w:tc>
      </w:tr>
      <w:tr w14:paraId="358B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0F45E4CA">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1.9</w:t>
            </w:r>
          </w:p>
        </w:tc>
        <w:tc>
          <w:tcPr>
            <w:tcW w:w="1581" w:type="dxa"/>
            <w:noWrap w:val="0"/>
            <w:vAlign w:val="center"/>
          </w:tcPr>
          <w:p w14:paraId="6EF63C55">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开标前答疑会</w:t>
            </w:r>
          </w:p>
        </w:tc>
        <w:tc>
          <w:tcPr>
            <w:tcW w:w="7229" w:type="dxa"/>
            <w:noWrap w:val="0"/>
            <w:vAlign w:val="center"/>
          </w:tcPr>
          <w:p w14:paraId="3229643D">
            <w:pPr>
              <w:widowControl/>
              <w:topLinePunct/>
              <w:adjustRightInd w:val="0"/>
              <w:snapToGrid w:val="0"/>
              <w:spacing w:line="288" w:lineRule="auto"/>
              <w:ind w:left="187" w:hanging="187" w:hangingChars="78"/>
              <w:rPr>
                <w:rFonts w:ascii="宋体" w:hAnsi="宋体" w:eastAsia="仿宋" w:cs="Calibri"/>
                <w:color w:val="000000"/>
                <w:sz w:val="24"/>
                <w:highlight w:val="none"/>
              </w:rPr>
            </w:pPr>
            <w:r>
              <w:rPr>
                <w:rFonts w:hint="eastAsia" w:ascii="宋体" w:hAnsi="宋体" w:eastAsia="仿宋"/>
                <w:bCs/>
                <w:color w:val="000000"/>
                <w:sz w:val="24"/>
                <w:highlight w:val="none"/>
              </w:rPr>
              <w:sym w:font="Wingdings" w:char="F0FE"/>
            </w:r>
            <w:r>
              <w:rPr>
                <w:rFonts w:hint="eastAsia" w:ascii="宋体" w:hAnsi="宋体" w:eastAsia="仿宋" w:cs="Calibri"/>
                <w:color w:val="000000"/>
                <w:sz w:val="24"/>
                <w:highlight w:val="none"/>
              </w:rPr>
              <w:t>不召开</w:t>
            </w:r>
          </w:p>
          <w:p w14:paraId="19C1047D">
            <w:pPr>
              <w:widowControl/>
              <w:adjustRightInd w:val="0"/>
              <w:snapToGrid w:val="0"/>
              <w:spacing w:line="288" w:lineRule="auto"/>
              <w:rPr>
                <w:rFonts w:ascii="宋体" w:hAnsi="宋体" w:eastAsia="仿宋" w:cs="Calibri"/>
                <w:color w:val="000000"/>
                <w:sz w:val="24"/>
                <w:highlight w:val="none"/>
              </w:rPr>
            </w:pPr>
            <w:r>
              <w:rPr>
                <w:rFonts w:hint="eastAsia" w:ascii="宋体" w:hAnsi="宋体" w:eastAsia="仿宋" w:cs="Calibri"/>
                <w:color w:val="000000"/>
                <w:sz w:val="24"/>
                <w:highlight w:val="none"/>
              </w:rPr>
              <w:t>□召开，召开时间：</w:t>
            </w:r>
            <w:r>
              <w:rPr>
                <w:rFonts w:hint="eastAsia" w:ascii="仿宋" w:hAnsi="仿宋" w:eastAsia="仿宋" w:cs="仿宋"/>
                <w:iCs/>
                <w:color w:val="000000"/>
                <w:sz w:val="24"/>
                <w:highlight w:val="none"/>
              </w:rPr>
              <w:t>/</w:t>
            </w:r>
          </w:p>
          <w:p w14:paraId="0420D532">
            <w:pPr>
              <w:widowControl/>
              <w:adjustRightInd w:val="0"/>
              <w:snapToGrid w:val="0"/>
              <w:spacing w:line="288" w:lineRule="auto"/>
              <w:ind w:firstLine="960" w:firstLineChars="400"/>
              <w:rPr>
                <w:rFonts w:hint="eastAsia" w:ascii="宋体" w:hAnsi="宋体" w:eastAsia="仿宋" w:cs="Calibri"/>
                <w:color w:val="000000"/>
                <w:sz w:val="24"/>
                <w:highlight w:val="none"/>
                <w:u w:val="single"/>
              </w:rPr>
            </w:pPr>
            <w:r>
              <w:rPr>
                <w:rFonts w:hint="eastAsia" w:ascii="宋体" w:hAnsi="宋体" w:eastAsia="仿宋" w:cs="Calibri"/>
                <w:color w:val="000000"/>
                <w:sz w:val="24"/>
                <w:highlight w:val="none"/>
              </w:rPr>
              <w:t>召开地点：</w:t>
            </w:r>
            <w:r>
              <w:rPr>
                <w:rFonts w:hint="eastAsia" w:ascii="仿宋" w:hAnsi="仿宋" w:eastAsia="仿宋" w:cs="仿宋"/>
                <w:iCs/>
                <w:color w:val="000000"/>
                <w:sz w:val="24"/>
                <w:highlight w:val="none"/>
              </w:rPr>
              <w:t>/</w:t>
            </w:r>
          </w:p>
          <w:p w14:paraId="7D06C458">
            <w:pPr>
              <w:widowControl/>
              <w:adjustRightInd w:val="0"/>
              <w:snapToGrid w:val="0"/>
              <w:spacing w:line="288" w:lineRule="auto"/>
              <w:ind w:firstLine="960" w:firstLineChars="400"/>
              <w:rPr>
                <w:rFonts w:ascii="宋体" w:hAnsi="宋体" w:cs="Calibri"/>
                <w:color w:val="000000"/>
                <w:sz w:val="24"/>
                <w:highlight w:val="none"/>
              </w:rPr>
            </w:pPr>
            <w:r>
              <w:rPr>
                <w:rFonts w:hint="eastAsia" w:ascii="宋体" w:hAnsi="宋体" w:eastAsia="仿宋" w:cs="Calibri"/>
                <w:color w:val="000000"/>
                <w:sz w:val="24"/>
                <w:highlight w:val="none"/>
              </w:rPr>
              <w:t>联系方式：</w:t>
            </w:r>
            <w:r>
              <w:rPr>
                <w:rFonts w:hint="eastAsia" w:ascii="仿宋" w:hAnsi="仿宋" w:eastAsia="仿宋" w:cs="仿宋"/>
                <w:iCs/>
                <w:color w:val="000000"/>
                <w:sz w:val="24"/>
                <w:highlight w:val="none"/>
              </w:rPr>
              <w:t>/</w:t>
            </w:r>
          </w:p>
        </w:tc>
      </w:tr>
      <w:tr w14:paraId="274F2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34C2B00D">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1.10.1</w:t>
            </w:r>
          </w:p>
        </w:tc>
        <w:tc>
          <w:tcPr>
            <w:tcW w:w="1581" w:type="dxa"/>
            <w:noWrap w:val="0"/>
            <w:vAlign w:val="center"/>
          </w:tcPr>
          <w:p w14:paraId="12F4F363">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分包</w:t>
            </w:r>
          </w:p>
        </w:tc>
        <w:tc>
          <w:tcPr>
            <w:tcW w:w="7229" w:type="dxa"/>
            <w:noWrap w:val="0"/>
            <w:vAlign w:val="center"/>
          </w:tcPr>
          <w:p w14:paraId="1D981750">
            <w:pPr>
              <w:widowControl/>
              <w:topLinePunct/>
              <w:adjustRightInd w:val="0"/>
              <w:snapToGrid w:val="0"/>
              <w:spacing w:line="288" w:lineRule="auto"/>
              <w:ind w:left="187" w:hanging="187" w:hangingChars="78"/>
              <w:rPr>
                <w:rFonts w:ascii="宋体" w:hAnsi="宋体" w:eastAsia="仿宋" w:cs="Calibri"/>
                <w:color w:val="000000"/>
                <w:sz w:val="24"/>
                <w:highlight w:val="none"/>
              </w:rPr>
            </w:pPr>
            <w:r>
              <w:rPr>
                <w:rFonts w:hint="eastAsia" w:ascii="宋体" w:hAnsi="宋体" w:eastAsia="仿宋"/>
                <w:bCs/>
                <w:color w:val="000000"/>
                <w:sz w:val="24"/>
                <w:highlight w:val="none"/>
              </w:rPr>
              <w:sym w:font="Wingdings" w:char="F0FE"/>
            </w:r>
            <w:r>
              <w:rPr>
                <w:rFonts w:hint="eastAsia" w:ascii="宋体" w:hAnsi="宋体" w:eastAsia="仿宋" w:cs="Calibri"/>
                <w:color w:val="000000"/>
                <w:sz w:val="24"/>
                <w:highlight w:val="none"/>
              </w:rPr>
              <w:t>不允许</w:t>
            </w:r>
          </w:p>
          <w:p w14:paraId="77069FB1">
            <w:pPr>
              <w:widowControl/>
              <w:snapToGrid w:val="0"/>
              <w:spacing w:line="288" w:lineRule="auto"/>
              <w:rPr>
                <w:rFonts w:hint="eastAsia" w:ascii="宋体" w:hAnsi="宋体" w:eastAsia="仿宋"/>
                <w:color w:val="000000"/>
                <w:sz w:val="24"/>
                <w:highlight w:val="none"/>
                <w:lang/>
              </w:rPr>
            </w:pPr>
            <w:r>
              <w:rPr>
                <w:rFonts w:hint="eastAsia" w:ascii="宋体" w:hAnsi="宋体" w:eastAsia="仿宋" w:cs="Calibri"/>
                <w:color w:val="000000"/>
                <w:sz w:val="24"/>
                <w:highlight w:val="none"/>
              </w:rPr>
              <w:t>□允许：</w:t>
            </w:r>
          </w:p>
          <w:p w14:paraId="21991C5C">
            <w:pPr>
              <w:widowControl/>
              <w:snapToGrid w:val="0"/>
              <w:spacing w:line="288" w:lineRule="auto"/>
              <w:rPr>
                <w:rFonts w:hint="eastAsia" w:ascii="楷体" w:hAnsi="楷体" w:eastAsia="仿宋"/>
                <w:color w:val="000000"/>
                <w:sz w:val="24"/>
                <w:highlight w:val="none"/>
                <w:u w:val="single"/>
              </w:rPr>
            </w:pPr>
            <w:r>
              <w:rPr>
                <w:rFonts w:hint="eastAsia" w:ascii="楷体" w:hAnsi="楷体" w:eastAsia="仿宋"/>
                <w:color w:val="000000"/>
                <w:sz w:val="24"/>
                <w:highlight w:val="none"/>
                <w:lang/>
              </w:rPr>
              <w:t>（1）允许分包的范围和内容：</w:t>
            </w:r>
            <w:r>
              <w:rPr>
                <w:rFonts w:hint="eastAsia" w:ascii="仿宋" w:hAnsi="仿宋" w:eastAsia="仿宋" w:cs="仿宋"/>
                <w:iCs/>
                <w:color w:val="000000"/>
                <w:sz w:val="24"/>
                <w:highlight w:val="none"/>
              </w:rPr>
              <w:t>/</w:t>
            </w:r>
          </w:p>
          <w:p w14:paraId="0A33C785">
            <w:pPr>
              <w:widowControl/>
              <w:snapToGrid w:val="0"/>
              <w:spacing w:line="288" w:lineRule="auto"/>
              <w:rPr>
                <w:rFonts w:hint="eastAsia" w:ascii="楷体" w:hAnsi="楷体" w:eastAsia="仿宋"/>
                <w:color w:val="000000"/>
                <w:sz w:val="24"/>
                <w:highlight w:val="none"/>
                <w:lang/>
              </w:rPr>
            </w:pPr>
            <w:r>
              <w:rPr>
                <w:rFonts w:hint="eastAsia" w:ascii="楷体" w:hAnsi="楷体" w:eastAsia="仿宋"/>
                <w:color w:val="000000"/>
                <w:sz w:val="24"/>
                <w:highlight w:val="none"/>
                <w:lang/>
              </w:rPr>
              <w:t>（2）对分包人资质要求：</w:t>
            </w:r>
            <w:r>
              <w:rPr>
                <w:rFonts w:hint="eastAsia" w:ascii="仿宋" w:hAnsi="仿宋" w:eastAsia="仿宋" w:cs="仿宋"/>
                <w:iCs/>
                <w:color w:val="000000"/>
                <w:sz w:val="24"/>
                <w:highlight w:val="none"/>
              </w:rPr>
              <w:t>/</w:t>
            </w:r>
          </w:p>
          <w:p w14:paraId="6EE0C26A">
            <w:pPr>
              <w:widowControl/>
              <w:snapToGrid w:val="0"/>
              <w:spacing w:line="288" w:lineRule="auto"/>
              <w:rPr>
                <w:rFonts w:hint="eastAsia" w:ascii="宋体" w:hAnsi="宋体"/>
                <w:color w:val="000000"/>
                <w:sz w:val="24"/>
                <w:highlight w:val="none"/>
                <w:lang/>
              </w:rPr>
            </w:pPr>
            <w:r>
              <w:rPr>
                <w:rFonts w:hint="eastAsia" w:ascii="楷体" w:hAnsi="楷体" w:eastAsia="仿宋"/>
                <w:color w:val="000000"/>
                <w:sz w:val="24"/>
                <w:highlight w:val="none"/>
                <w:lang/>
              </w:rPr>
              <w:t>（3）</w:t>
            </w:r>
            <w:r>
              <w:rPr>
                <w:rFonts w:hint="eastAsia" w:ascii="楷体" w:hAnsi="楷体" w:eastAsia="仿宋"/>
                <w:color w:val="000000"/>
                <w:sz w:val="24"/>
                <w:highlight w:val="none"/>
              </w:rPr>
              <w:t>为享受政府采购支持中小企业发展政策，参与</w:t>
            </w:r>
            <w:r>
              <w:rPr>
                <w:rFonts w:hint="eastAsia" w:ascii="楷体" w:hAnsi="楷体" w:eastAsia="仿宋"/>
                <w:color w:val="000000"/>
                <w:sz w:val="24"/>
                <w:highlight w:val="none"/>
                <w:lang/>
              </w:rPr>
              <w:t>政府采购</w:t>
            </w:r>
            <w:r>
              <w:rPr>
                <w:rFonts w:hint="eastAsia" w:ascii="楷体" w:hAnsi="楷体" w:eastAsia="仿宋"/>
                <w:color w:val="000000"/>
                <w:sz w:val="24"/>
                <w:highlight w:val="none"/>
              </w:rPr>
              <w:t>活动</w:t>
            </w:r>
            <w:r>
              <w:rPr>
                <w:rFonts w:hint="eastAsia" w:ascii="楷体" w:hAnsi="楷体" w:eastAsia="仿宋"/>
                <w:color w:val="000000"/>
                <w:sz w:val="24"/>
                <w:highlight w:val="none"/>
                <w:lang/>
              </w:rPr>
              <w:t>的大型企业可向中小</w:t>
            </w:r>
            <w:r>
              <w:rPr>
                <w:rFonts w:hint="eastAsia" w:ascii="楷体" w:hAnsi="楷体" w:eastAsia="仿宋"/>
                <w:color w:val="000000"/>
                <w:sz w:val="24"/>
                <w:highlight w:val="none"/>
              </w:rPr>
              <w:t>微</w:t>
            </w:r>
            <w:r>
              <w:rPr>
                <w:rFonts w:hint="eastAsia" w:ascii="楷体" w:hAnsi="楷体" w:eastAsia="仿宋"/>
                <w:color w:val="000000"/>
                <w:sz w:val="24"/>
                <w:highlight w:val="none"/>
                <w:lang/>
              </w:rPr>
              <w:t>企业分包，</w:t>
            </w:r>
            <w:r>
              <w:rPr>
                <w:rFonts w:hint="eastAsia" w:ascii="楷体" w:hAnsi="楷体" w:eastAsia="仿宋"/>
                <w:color w:val="000000"/>
                <w:sz w:val="24"/>
                <w:highlight w:val="none"/>
              </w:rPr>
              <w:t>中型企业可向小微企业分包</w:t>
            </w:r>
            <w:r>
              <w:rPr>
                <w:rFonts w:hint="eastAsia" w:ascii="楷体" w:hAnsi="楷体" w:eastAsia="仿宋"/>
                <w:color w:val="000000"/>
                <w:sz w:val="24"/>
                <w:highlight w:val="none"/>
                <w:lang/>
              </w:rPr>
              <w:t>。</w:t>
            </w:r>
          </w:p>
        </w:tc>
      </w:tr>
      <w:tr w14:paraId="1232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137DA2E3">
            <w:pPr>
              <w:widowControl/>
              <w:adjustRightInd w:val="0"/>
              <w:snapToGrid w:val="0"/>
              <w:spacing w:line="288" w:lineRule="auto"/>
              <w:jc w:val="center"/>
              <w:rPr>
                <w:rFonts w:ascii="宋体" w:hAnsi="宋体" w:eastAsia="仿宋" w:cs="Calibri"/>
                <w:color w:val="000000"/>
                <w:sz w:val="24"/>
                <w:highlight w:val="none"/>
              </w:rPr>
            </w:pPr>
            <w:r>
              <w:rPr>
                <w:rFonts w:hint="eastAsia" w:ascii="宋体" w:hAnsi="宋体" w:eastAsia="仿宋" w:cs="Calibri"/>
                <w:color w:val="000000"/>
                <w:sz w:val="24"/>
                <w:highlight w:val="none"/>
              </w:rPr>
              <w:t>2.2.2</w:t>
            </w:r>
          </w:p>
        </w:tc>
        <w:tc>
          <w:tcPr>
            <w:tcW w:w="1581" w:type="dxa"/>
            <w:noWrap w:val="0"/>
            <w:vAlign w:val="center"/>
          </w:tcPr>
          <w:p w14:paraId="1BA29949">
            <w:pPr>
              <w:widowControl/>
              <w:adjustRightInd w:val="0"/>
              <w:snapToGrid w:val="0"/>
              <w:spacing w:line="300" w:lineRule="auto"/>
              <w:jc w:val="center"/>
              <w:rPr>
                <w:rFonts w:eastAsia="仿宋"/>
                <w:color w:val="000000"/>
                <w:sz w:val="24"/>
                <w:highlight w:val="none"/>
              </w:rPr>
            </w:pPr>
            <w:r>
              <w:rPr>
                <w:rFonts w:hint="eastAsia" w:ascii="宋体" w:hAnsi="宋体" w:eastAsia="仿宋" w:cs="Calibri"/>
                <w:color w:val="000000"/>
                <w:sz w:val="24"/>
                <w:highlight w:val="none"/>
              </w:rPr>
              <w:t>招标文件澄清发出的形式</w:t>
            </w:r>
          </w:p>
        </w:tc>
        <w:tc>
          <w:tcPr>
            <w:tcW w:w="7229" w:type="dxa"/>
            <w:noWrap w:val="0"/>
            <w:vAlign w:val="center"/>
          </w:tcPr>
          <w:p w14:paraId="2C32B2FB">
            <w:pPr>
              <w:widowControl/>
              <w:adjustRightInd w:val="0"/>
              <w:snapToGrid w:val="0"/>
              <w:spacing w:line="300" w:lineRule="auto"/>
              <w:rPr>
                <w:rFonts w:hint="eastAsia" w:ascii="宋体" w:hAnsi="宋体" w:eastAsia="仿宋" w:cs="Calibri"/>
                <w:color w:val="000000"/>
                <w:sz w:val="24"/>
                <w:highlight w:val="none"/>
              </w:rPr>
            </w:pPr>
            <w:r>
              <w:rPr>
                <w:rFonts w:hint="eastAsia" w:ascii="宋体" w:hAnsi="宋体" w:eastAsia="仿宋"/>
                <w:color w:val="000000"/>
                <w:sz w:val="24"/>
                <w:highlight w:val="none"/>
              </w:rPr>
              <w:t>发出形式：在优质采云采购平台发布，投标人自行查看、下载，无需确认。其他方式发布的，投标人应书面确认。</w:t>
            </w:r>
          </w:p>
        </w:tc>
      </w:tr>
      <w:tr w14:paraId="45A9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075AFC95">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3.1.1</w:t>
            </w:r>
          </w:p>
        </w:tc>
        <w:tc>
          <w:tcPr>
            <w:tcW w:w="1581" w:type="dxa"/>
            <w:noWrap w:val="0"/>
            <w:vAlign w:val="center"/>
          </w:tcPr>
          <w:p w14:paraId="484D4B2A">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构成投标文件的其他资料</w:t>
            </w:r>
          </w:p>
        </w:tc>
        <w:tc>
          <w:tcPr>
            <w:tcW w:w="7229" w:type="dxa"/>
            <w:noWrap w:val="0"/>
            <w:vAlign w:val="center"/>
          </w:tcPr>
          <w:p w14:paraId="5A2D551A">
            <w:pPr>
              <w:adjustRightInd w:val="0"/>
              <w:snapToGrid w:val="0"/>
              <w:spacing w:line="288" w:lineRule="auto"/>
              <w:rPr>
                <w:rFonts w:hint="eastAsia" w:eastAsia="楷体"/>
                <w:color w:val="000000"/>
                <w:sz w:val="24"/>
                <w:highlight w:val="none"/>
              </w:rPr>
            </w:pPr>
            <w:r>
              <w:rPr>
                <w:rFonts w:hint="eastAsia" w:ascii="楷体" w:hAnsi="楷体" w:eastAsia="仿宋"/>
                <w:color w:val="000000"/>
                <w:sz w:val="24"/>
                <w:highlight w:val="none"/>
              </w:rPr>
              <w:t>/</w:t>
            </w:r>
          </w:p>
        </w:tc>
      </w:tr>
      <w:tr w14:paraId="08A9E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409" w:hRule="atLeast"/>
        </w:trPr>
        <w:tc>
          <w:tcPr>
            <w:tcW w:w="857" w:type="dxa"/>
            <w:noWrap w:val="0"/>
            <w:vAlign w:val="center"/>
          </w:tcPr>
          <w:p w14:paraId="620AB80A">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3.1.4</w:t>
            </w:r>
          </w:p>
        </w:tc>
        <w:tc>
          <w:tcPr>
            <w:tcW w:w="1581" w:type="dxa"/>
            <w:noWrap w:val="0"/>
            <w:vAlign w:val="center"/>
          </w:tcPr>
          <w:p w14:paraId="3D71CB2F">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样品</w:t>
            </w:r>
          </w:p>
        </w:tc>
        <w:tc>
          <w:tcPr>
            <w:tcW w:w="7229" w:type="dxa"/>
            <w:noWrap w:val="0"/>
            <w:vAlign w:val="center"/>
          </w:tcPr>
          <w:p w14:paraId="58BF4A57">
            <w:pPr>
              <w:widowControl/>
              <w:adjustRightInd w:val="0"/>
              <w:snapToGrid w:val="0"/>
              <w:spacing w:line="288" w:lineRule="auto"/>
              <w:rPr>
                <w:rFonts w:hint="eastAsia" w:ascii="宋体" w:hAnsi="宋体" w:eastAsia="仿宋"/>
                <w:b/>
                <w:bCs/>
                <w:color w:val="000000"/>
                <w:sz w:val="24"/>
                <w:highlight w:val="none"/>
              </w:rPr>
            </w:pPr>
            <w:r>
              <w:rPr>
                <w:rFonts w:hint="eastAsia" w:ascii="宋体" w:hAnsi="宋体" w:eastAsia="仿宋"/>
                <w:b/>
                <w:bCs/>
                <w:color w:val="000000"/>
                <w:sz w:val="24"/>
                <w:highlight w:val="none"/>
              </w:rPr>
              <w:t>是否要求投标人提交样品：</w:t>
            </w:r>
          </w:p>
          <w:p w14:paraId="005E3F8E">
            <w:pPr>
              <w:widowControl/>
              <w:adjustRightInd w:val="0"/>
              <w:snapToGrid w:val="0"/>
              <w:spacing w:line="288" w:lineRule="auto"/>
              <w:rPr>
                <w:rFonts w:ascii="宋体" w:hAnsi="宋体" w:eastAsia="仿宋" w:cs="Calibri"/>
                <w:color w:val="000000"/>
                <w:sz w:val="24"/>
                <w:highlight w:val="none"/>
              </w:rPr>
            </w:pPr>
            <w:r>
              <w:rPr>
                <w:rFonts w:hint="eastAsia" w:ascii="宋体" w:hAnsi="宋体" w:eastAsia="仿宋"/>
                <w:bCs/>
                <w:color w:val="000000"/>
                <w:sz w:val="24"/>
                <w:highlight w:val="none"/>
              </w:rPr>
              <w:sym w:font="Wingdings" w:char="F0FE"/>
            </w:r>
            <w:r>
              <w:rPr>
                <w:rFonts w:hint="eastAsia" w:ascii="宋体" w:hAnsi="宋体" w:eastAsia="仿宋" w:cs="Calibri"/>
                <w:color w:val="000000"/>
                <w:sz w:val="24"/>
                <w:highlight w:val="none"/>
              </w:rPr>
              <w:t>否</w:t>
            </w:r>
          </w:p>
          <w:p w14:paraId="0B409F2A">
            <w:pPr>
              <w:widowControl/>
              <w:adjustRightInd w:val="0"/>
              <w:snapToGrid w:val="0"/>
              <w:spacing w:line="288" w:lineRule="auto"/>
              <w:rPr>
                <w:rFonts w:hint="eastAsia" w:ascii="楷体" w:hAnsi="楷体" w:eastAsia="仿宋" w:cs="Calibri"/>
                <w:color w:val="000000"/>
                <w:sz w:val="24"/>
                <w:highlight w:val="none"/>
              </w:rPr>
            </w:pPr>
            <w:r>
              <w:rPr>
                <w:rFonts w:hint="eastAsia" w:ascii="宋体" w:hAnsi="宋体" w:eastAsia="仿宋" w:cs="Calibri"/>
                <w:color w:val="000000"/>
                <w:sz w:val="24"/>
                <w:highlight w:val="none"/>
              </w:rPr>
              <w:t>□是，提交样品的具体要求：</w:t>
            </w:r>
          </w:p>
          <w:p w14:paraId="54326695">
            <w:pPr>
              <w:adjustRightInd w:val="0"/>
              <w:spacing w:line="288" w:lineRule="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bidi="ar"/>
              </w:rPr>
              <w:t>（1）</w:t>
            </w:r>
            <w:r>
              <w:rPr>
                <w:rFonts w:hint="eastAsia" w:ascii="仿宋" w:hAnsi="仿宋" w:eastAsia="仿宋" w:cs="仿宋"/>
                <w:snapToGrid w:val="0"/>
                <w:color w:val="000000"/>
                <w:kern w:val="28"/>
                <w:sz w:val="24"/>
                <w:highlight w:val="none"/>
                <w:lang w:bidi="ar"/>
              </w:rPr>
              <w:t>样品制作的标准和要求：详见第三章“</w:t>
            </w:r>
            <w:r>
              <w:rPr>
                <w:rFonts w:hint="eastAsia" w:ascii="仿宋" w:hAnsi="仿宋" w:eastAsia="仿宋" w:cs="仿宋"/>
                <w:color w:val="000000"/>
                <w:sz w:val="24"/>
                <w:highlight w:val="none"/>
                <w:lang w:bidi="ar"/>
              </w:rPr>
              <w:t>采购需求”</w:t>
            </w:r>
            <w:r>
              <w:rPr>
                <w:rFonts w:hint="eastAsia" w:ascii="仿宋" w:hAnsi="仿宋" w:eastAsia="仿宋" w:cs="仿宋"/>
                <w:color w:val="000000"/>
                <w:kern w:val="0"/>
                <w:sz w:val="24"/>
                <w:highlight w:val="none"/>
                <w:lang w:bidi="ar"/>
              </w:rPr>
              <w:t>；</w:t>
            </w:r>
          </w:p>
          <w:p w14:paraId="261358C6">
            <w:pPr>
              <w:adjustRightInd w:val="0"/>
              <w:spacing w:line="288" w:lineRule="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bidi="ar"/>
              </w:rPr>
              <w:t>（2）样品的评审方法以及评审标准</w:t>
            </w:r>
            <w:r>
              <w:rPr>
                <w:rFonts w:hint="eastAsia" w:ascii="仿宋" w:hAnsi="仿宋" w:eastAsia="仿宋" w:cs="仿宋"/>
                <w:snapToGrid w:val="0"/>
                <w:color w:val="000000"/>
                <w:kern w:val="28"/>
                <w:sz w:val="24"/>
                <w:highlight w:val="none"/>
                <w:lang w:bidi="ar"/>
              </w:rPr>
              <w:t>：详见第四章“资格审查和</w:t>
            </w:r>
            <w:r>
              <w:rPr>
                <w:rFonts w:hint="eastAsia" w:ascii="仿宋" w:hAnsi="仿宋" w:eastAsia="仿宋" w:cs="仿宋"/>
                <w:color w:val="000000"/>
                <w:sz w:val="24"/>
                <w:highlight w:val="none"/>
                <w:lang w:bidi="ar"/>
              </w:rPr>
              <w:t>评标办法”</w:t>
            </w:r>
            <w:r>
              <w:rPr>
                <w:rFonts w:hint="eastAsia" w:ascii="仿宋" w:hAnsi="仿宋" w:eastAsia="仿宋" w:cs="仿宋"/>
                <w:color w:val="000000"/>
                <w:kern w:val="0"/>
                <w:sz w:val="24"/>
                <w:highlight w:val="none"/>
                <w:lang w:bidi="ar"/>
              </w:rPr>
              <w:t>；</w:t>
            </w:r>
          </w:p>
          <w:p w14:paraId="2D81036F">
            <w:pPr>
              <w:adjustRightInd w:val="0"/>
              <w:spacing w:line="288" w:lineRule="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lang w:bidi="ar"/>
              </w:rPr>
              <w:t>（3）是否需要随样品提交检测报告：</w:t>
            </w:r>
            <w:r>
              <w:rPr>
                <w:rFonts w:hint="eastAsia" w:ascii="仿宋" w:hAnsi="仿宋" w:eastAsia="仿宋" w:cs="仿宋"/>
                <w:color w:val="000000"/>
                <w:kern w:val="0"/>
                <w:sz w:val="24"/>
                <w:highlight w:val="none"/>
                <w:lang w:bidi="ar"/>
              </w:rPr>
              <w:sym w:font="Wingdings" w:char="00FE"/>
            </w:r>
            <w:r>
              <w:rPr>
                <w:rFonts w:hint="eastAsia" w:ascii="仿宋" w:hAnsi="仿宋" w:eastAsia="仿宋" w:cs="仿宋"/>
                <w:color w:val="000000"/>
                <w:kern w:val="0"/>
                <w:sz w:val="24"/>
                <w:highlight w:val="none"/>
                <w:lang w:bidi="ar"/>
              </w:rPr>
              <w:t>否；</w:t>
            </w:r>
            <w:r>
              <w:rPr>
                <w:rFonts w:ascii="Segoe UI Symbol" w:hAnsi="Segoe UI Symbol" w:eastAsia="仿宋" w:cs="Segoe UI Symbol"/>
                <w:color w:val="000000"/>
                <w:kern w:val="0"/>
                <w:sz w:val="24"/>
                <w:highlight w:val="none"/>
                <w:lang w:bidi="ar"/>
              </w:rPr>
              <w:t>☐</w:t>
            </w:r>
            <w:r>
              <w:rPr>
                <w:rFonts w:hint="eastAsia" w:ascii="仿宋" w:hAnsi="仿宋" w:eastAsia="仿宋" w:cs="仿宋"/>
                <w:color w:val="000000"/>
                <w:kern w:val="0"/>
                <w:sz w:val="24"/>
                <w:highlight w:val="none"/>
                <w:lang w:bidi="ar"/>
              </w:rPr>
              <w:t>是，检测机构的要求</w:t>
            </w:r>
            <w:r>
              <w:rPr>
                <w:rFonts w:hint="eastAsia" w:ascii="仿宋" w:hAnsi="仿宋" w:eastAsia="仿宋" w:cs="仿宋"/>
                <w:color w:val="000000"/>
                <w:sz w:val="24"/>
                <w:highlight w:val="none"/>
                <w:lang w:bidi="ar"/>
              </w:rPr>
              <w:t>：</w:t>
            </w:r>
            <w:r>
              <w:rPr>
                <w:rFonts w:hint="eastAsia" w:ascii="仿宋" w:hAnsi="仿宋" w:eastAsia="仿宋" w:cs="仿宋"/>
                <w:iCs/>
                <w:color w:val="000000"/>
                <w:sz w:val="24"/>
                <w:highlight w:val="none"/>
              </w:rPr>
              <w:t>/</w:t>
            </w:r>
            <w:r>
              <w:rPr>
                <w:rFonts w:hint="eastAsia" w:ascii="楷体" w:hAnsi="楷体" w:eastAsia="仿宋"/>
                <w:color w:val="000000"/>
                <w:sz w:val="24"/>
                <w:highlight w:val="none"/>
              </w:rPr>
              <w:t>；检测内容：</w:t>
            </w:r>
            <w:r>
              <w:rPr>
                <w:rFonts w:hint="eastAsia" w:ascii="仿宋" w:hAnsi="仿宋" w:eastAsia="仿宋" w:cs="仿宋"/>
                <w:iCs/>
                <w:color w:val="000000"/>
                <w:sz w:val="24"/>
                <w:highlight w:val="none"/>
              </w:rPr>
              <w:t>/</w:t>
            </w:r>
            <w:r>
              <w:rPr>
                <w:rFonts w:hint="eastAsia" w:ascii="仿宋" w:hAnsi="仿宋" w:eastAsia="仿宋" w:cs="仿宋"/>
                <w:color w:val="000000"/>
                <w:kern w:val="0"/>
                <w:sz w:val="24"/>
                <w:highlight w:val="none"/>
                <w:lang w:bidi="ar"/>
              </w:rPr>
              <w:t>。</w:t>
            </w:r>
          </w:p>
          <w:p w14:paraId="6952CE80">
            <w:pPr>
              <w:adjustRightInd w:val="0"/>
              <w:spacing w:line="288" w:lineRule="auto"/>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（4）提供样品的时间：</w:t>
            </w:r>
            <w:r>
              <w:rPr>
                <w:rFonts w:hint="eastAsia" w:ascii="楷体" w:hAnsi="楷体" w:eastAsia="仿宋"/>
                <w:color w:val="000000"/>
                <w:sz w:val="24"/>
                <w:highlight w:val="none"/>
              </w:rPr>
              <w:t>投标截止时间前</w:t>
            </w:r>
            <w:r>
              <w:rPr>
                <w:rFonts w:hint="eastAsia" w:ascii="仿宋" w:hAnsi="仿宋" w:eastAsia="仿宋" w:cs="仿宋"/>
                <w:color w:val="000000"/>
                <w:kern w:val="0"/>
                <w:sz w:val="24"/>
                <w:highlight w:val="none"/>
                <w:lang w:bidi="ar"/>
              </w:rPr>
              <w:t>；地点：</w:t>
            </w:r>
            <w:r>
              <w:rPr>
                <w:rFonts w:hint="eastAsia" w:ascii="仿宋" w:hAnsi="仿宋" w:eastAsia="仿宋" w:cs="仿宋"/>
                <w:iCs/>
                <w:color w:val="000000"/>
                <w:sz w:val="24"/>
                <w:highlight w:val="none"/>
              </w:rPr>
              <w:t>/</w:t>
            </w:r>
            <w:r>
              <w:rPr>
                <w:rFonts w:hint="eastAsia" w:ascii="仿宋" w:hAnsi="仿宋" w:eastAsia="仿宋" w:cs="仿宋"/>
                <w:color w:val="000000"/>
                <w:kern w:val="0"/>
                <w:sz w:val="24"/>
                <w:highlight w:val="none"/>
                <w:lang w:bidi="ar"/>
              </w:rPr>
              <w:t>；联系人</w:t>
            </w:r>
            <w:r>
              <w:rPr>
                <w:rFonts w:hint="eastAsia" w:ascii="仿宋" w:hAnsi="仿宋" w:eastAsia="仿宋" w:cs="仿宋"/>
                <w:color w:val="000000"/>
                <w:sz w:val="24"/>
                <w:highlight w:val="none"/>
                <w:lang w:bidi="ar"/>
              </w:rPr>
              <w:t>：</w:t>
            </w:r>
            <w:r>
              <w:rPr>
                <w:rFonts w:hint="eastAsia" w:ascii="仿宋" w:hAnsi="仿宋" w:eastAsia="仿宋" w:cs="仿宋"/>
                <w:iCs/>
                <w:color w:val="000000"/>
                <w:sz w:val="24"/>
                <w:highlight w:val="none"/>
              </w:rPr>
              <w:t>/</w:t>
            </w:r>
            <w:r>
              <w:rPr>
                <w:rFonts w:hint="eastAsia" w:ascii="仿宋" w:hAnsi="仿宋" w:eastAsia="仿宋" w:cs="仿宋"/>
                <w:color w:val="000000"/>
                <w:sz w:val="24"/>
                <w:highlight w:val="none"/>
                <w:lang w:bidi="ar"/>
              </w:rPr>
              <w:t>，</w:t>
            </w:r>
            <w:r>
              <w:rPr>
                <w:rFonts w:hint="eastAsia" w:ascii="仿宋" w:hAnsi="仿宋" w:eastAsia="仿宋" w:cs="仿宋"/>
                <w:color w:val="000000"/>
                <w:kern w:val="28"/>
                <w:sz w:val="24"/>
                <w:highlight w:val="none"/>
                <w:lang w:bidi="ar"/>
              </w:rPr>
              <w:t>联系电话：</w:t>
            </w:r>
            <w:r>
              <w:rPr>
                <w:rFonts w:hint="eastAsia" w:ascii="仿宋" w:hAnsi="仿宋" w:eastAsia="仿宋" w:cs="仿宋"/>
                <w:iCs/>
                <w:color w:val="000000"/>
                <w:sz w:val="24"/>
                <w:highlight w:val="none"/>
              </w:rPr>
              <w:t>/</w:t>
            </w:r>
            <w:r>
              <w:rPr>
                <w:rFonts w:hint="eastAsia" w:ascii="仿宋" w:hAnsi="仿宋" w:eastAsia="仿宋" w:cs="仿宋"/>
                <w:color w:val="000000"/>
                <w:sz w:val="24"/>
                <w:highlight w:val="none"/>
                <w:lang w:bidi="ar"/>
              </w:rPr>
              <w:t>。</w:t>
            </w:r>
          </w:p>
          <w:p w14:paraId="19FC6FC7">
            <w:pPr>
              <w:adjustRightInd w:val="0"/>
              <w:spacing w:line="288"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请供应商按上述时间规定提供样品。未按规定递交的，采购代理机构将不予接收。</w:t>
            </w:r>
          </w:p>
          <w:p w14:paraId="361845EB">
            <w:pPr>
              <w:adjustRightInd w:val="0"/>
              <w:spacing w:line="288"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（5）</w:t>
            </w:r>
            <w:r>
              <w:rPr>
                <w:rFonts w:hint="eastAsia" w:ascii="仿宋" w:hAnsi="仿宋" w:eastAsia="仿宋" w:cs="仿宋"/>
                <w:color w:val="000000"/>
                <w:sz w:val="24"/>
                <w:highlight w:val="none"/>
              </w:rPr>
              <w:t>中标人样品的保管：</w:t>
            </w:r>
            <w:r>
              <w:rPr>
                <w:rFonts w:hint="eastAsia" w:ascii="楷体" w:hAnsi="楷体" w:eastAsia="仿宋"/>
                <w:color w:val="000000"/>
                <w:sz w:val="24"/>
                <w:highlight w:val="none"/>
              </w:rPr>
              <w:t>采购代理机构自中标结果公告发布之日起3个工作日内，将中标人样品移交采购人。由采购人进行保管、封存，并作为履约验收的参考。</w:t>
            </w:r>
          </w:p>
          <w:p w14:paraId="102FD931">
            <w:pPr>
              <w:adjustRightInd w:val="0"/>
              <w:spacing w:line="288" w:lineRule="auto"/>
              <w:rPr>
                <w:rFonts w:ascii="仿宋" w:hAnsi="仿宋" w:eastAsia="仿宋" w:cs="仿宋"/>
                <w:color w:val="000000"/>
                <w:sz w:val="24"/>
                <w:highlight w:val="none"/>
                <w:lang w:bidi="ar"/>
              </w:rPr>
            </w:pPr>
            <w:r>
              <w:rPr>
                <w:rFonts w:hint="eastAsia" w:ascii="仿宋" w:hAnsi="仿宋" w:eastAsia="仿宋" w:cs="仿宋"/>
                <w:color w:val="000000"/>
                <w:sz w:val="24"/>
                <w:highlight w:val="none"/>
              </w:rPr>
              <w:t>（6）未中标人样品的退还：</w:t>
            </w:r>
            <w:r>
              <w:rPr>
                <w:rFonts w:hint="eastAsia" w:ascii="楷体" w:hAnsi="楷体" w:eastAsia="仿宋"/>
                <w:color w:val="000000"/>
                <w:sz w:val="24"/>
                <w:highlight w:val="none"/>
              </w:rPr>
              <w:t>自中标结果公告/终止公告发布之日起3个工作日内，供应商自行取回。逾期未取的，样品的损毁、灭失责任由供应商承担。</w:t>
            </w:r>
          </w:p>
        </w:tc>
      </w:tr>
      <w:tr w14:paraId="72276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597D6791">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3.2.1</w:t>
            </w:r>
          </w:p>
        </w:tc>
        <w:tc>
          <w:tcPr>
            <w:tcW w:w="1581" w:type="dxa"/>
            <w:noWrap w:val="0"/>
            <w:vAlign w:val="center"/>
          </w:tcPr>
          <w:p w14:paraId="62F3CE8E">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投标报价包括的内容</w:t>
            </w:r>
          </w:p>
        </w:tc>
        <w:tc>
          <w:tcPr>
            <w:tcW w:w="7229" w:type="dxa"/>
            <w:noWrap w:val="0"/>
            <w:vAlign w:val="center"/>
          </w:tcPr>
          <w:p w14:paraId="787A1854">
            <w:pPr>
              <w:widowControl/>
              <w:adjustRightInd w:val="0"/>
              <w:snapToGrid w:val="0"/>
              <w:spacing w:line="288" w:lineRule="auto"/>
              <w:rPr>
                <w:rFonts w:hint="eastAsia" w:ascii="楷体" w:hAnsi="楷体" w:eastAsia="楷体"/>
                <w:bCs/>
                <w:color w:val="000000"/>
                <w:sz w:val="24"/>
                <w:highlight w:val="none"/>
              </w:rPr>
            </w:pPr>
            <w:r>
              <w:rPr>
                <w:rFonts w:hint="eastAsia" w:ascii="楷体" w:hAnsi="楷体" w:eastAsia="仿宋" w:cs="Calibri"/>
                <w:color w:val="000000"/>
                <w:sz w:val="24"/>
                <w:highlight w:val="none"/>
              </w:rPr>
              <w:t>投标报价</w:t>
            </w:r>
            <w:r>
              <w:rPr>
                <w:rFonts w:ascii="楷体" w:hAnsi="楷体" w:eastAsia="仿宋"/>
                <w:color w:val="000000"/>
                <w:sz w:val="24"/>
                <w:highlight w:val="none"/>
              </w:rPr>
              <w:t>包括货物从设计、采购、制造、交货（包括运输至采购人指定地点卸车就位）至验收和售后服务的一切费用（如设计费、采购费、制造费、试验检测费、包装费、运输费、运输保险费、装卸费</w:t>
            </w:r>
            <w:r>
              <w:rPr>
                <w:rFonts w:hint="eastAsia" w:ascii="楷体" w:hAnsi="楷体" w:eastAsia="仿宋"/>
                <w:color w:val="000000"/>
                <w:sz w:val="24"/>
                <w:highlight w:val="none"/>
              </w:rPr>
              <w:t>、</w:t>
            </w:r>
            <w:r>
              <w:rPr>
                <w:rFonts w:ascii="楷体" w:hAnsi="楷体" w:eastAsia="仿宋"/>
                <w:color w:val="000000"/>
                <w:sz w:val="24"/>
                <w:highlight w:val="none"/>
              </w:rPr>
              <w:t>其他技术服务及质保期服务费等）、管理费、利润和税金，以及</w:t>
            </w:r>
            <w:r>
              <w:rPr>
                <w:rFonts w:hint="eastAsia" w:ascii="楷体" w:hAnsi="楷体" w:eastAsia="仿宋"/>
                <w:color w:val="000000"/>
                <w:sz w:val="24"/>
                <w:highlight w:val="none"/>
              </w:rPr>
              <w:t>采购</w:t>
            </w:r>
            <w:r>
              <w:rPr>
                <w:rFonts w:ascii="楷体" w:hAnsi="楷体" w:eastAsia="仿宋"/>
                <w:color w:val="000000"/>
                <w:sz w:val="24"/>
                <w:highlight w:val="none"/>
              </w:rPr>
              <w:t>合同中明示或暗示的所有责任、义务和风险。</w:t>
            </w:r>
          </w:p>
        </w:tc>
      </w:tr>
      <w:tr w14:paraId="37EA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4DC9C09C">
            <w:pPr>
              <w:widowControl/>
              <w:adjustRightInd w:val="0"/>
              <w:snapToGrid w:val="0"/>
              <w:spacing w:line="288" w:lineRule="auto"/>
              <w:jc w:val="center"/>
              <w:rPr>
                <w:rFonts w:hint="eastAsia" w:ascii="宋体" w:hAnsi="宋体" w:eastAsia="仿宋" w:cs="Calibri"/>
                <w:color w:val="000000"/>
                <w:sz w:val="24"/>
                <w:highlight w:val="none"/>
              </w:rPr>
            </w:pPr>
            <w:r>
              <w:rPr>
                <w:rFonts w:hint="eastAsia" w:ascii="宋体" w:hAnsi="宋体" w:eastAsia="仿宋" w:cs="Calibri"/>
                <w:color w:val="000000"/>
                <w:sz w:val="24"/>
                <w:highlight w:val="none"/>
              </w:rPr>
              <w:t>3.2.4</w:t>
            </w:r>
          </w:p>
        </w:tc>
        <w:tc>
          <w:tcPr>
            <w:tcW w:w="1581" w:type="dxa"/>
            <w:noWrap w:val="0"/>
            <w:vAlign w:val="center"/>
          </w:tcPr>
          <w:p w14:paraId="64790612">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投标报价的其他要求</w:t>
            </w:r>
          </w:p>
        </w:tc>
        <w:tc>
          <w:tcPr>
            <w:tcW w:w="7229" w:type="dxa"/>
            <w:noWrap w:val="0"/>
            <w:vAlign w:val="center"/>
          </w:tcPr>
          <w:p w14:paraId="7A4842A2">
            <w:pPr>
              <w:pStyle w:val="177"/>
              <w:snapToGrid w:val="0"/>
              <w:spacing w:line="240" w:lineRule="auto"/>
              <w:rPr>
                <w:rFonts w:hint="eastAsia" w:ascii="楷体" w:hAnsi="楷体" w:eastAsia="仿宋"/>
                <w:b w:val="0"/>
                <w:color w:val="000000"/>
                <w:sz w:val="24"/>
                <w:szCs w:val="24"/>
                <w:highlight w:val="none"/>
              </w:rPr>
            </w:pPr>
            <w:r>
              <w:rPr>
                <w:rFonts w:hint="eastAsia" w:hAnsi="宋体" w:eastAsia="仿宋"/>
                <w:b w:val="0"/>
                <w:bCs/>
                <w:color w:val="000000"/>
                <w:sz w:val="24"/>
                <w:highlight w:val="none"/>
              </w:rPr>
              <w:sym w:font="Wingdings" w:char="F0FE"/>
            </w:r>
            <w:r>
              <w:rPr>
                <w:rFonts w:hint="eastAsia" w:ascii="楷体" w:hAnsi="楷体" w:eastAsia="仿宋"/>
                <w:b w:val="0"/>
                <w:color w:val="000000"/>
                <w:sz w:val="24"/>
                <w:szCs w:val="24"/>
                <w:highlight w:val="none"/>
              </w:rPr>
              <w:t>除招标文件另有规定外，投标人所报的价格在合同执行过程中固定不变,不得以任何理由予以变更。</w:t>
            </w:r>
          </w:p>
          <w:p w14:paraId="4C01D83A">
            <w:pPr>
              <w:pStyle w:val="177"/>
              <w:tabs>
                <w:tab w:val="left" w:pos="2149"/>
              </w:tabs>
              <w:snapToGrid w:val="0"/>
              <w:spacing w:line="240" w:lineRule="auto"/>
              <w:rPr>
                <w:rFonts w:hint="eastAsia" w:hAnsi="宋体"/>
                <w:bCs/>
                <w:color w:val="000000"/>
                <w:sz w:val="24"/>
                <w:szCs w:val="24"/>
                <w:highlight w:val="none"/>
              </w:rPr>
            </w:pPr>
            <w:r>
              <w:rPr>
                <w:rFonts w:hint="eastAsia" w:ascii="楷体" w:hAnsi="楷体" w:eastAsia="仿宋"/>
                <w:b w:val="0"/>
                <w:color w:val="000000"/>
                <w:sz w:val="24"/>
                <w:szCs w:val="24"/>
                <w:highlight w:val="none"/>
              </w:rPr>
              <w:t>□采购</w:t>
            </w:r>
            <w:r>
              <w:rPr>
                <w:rFonts w:ascii="楷体" w:hAnsi="楷体" w:eastAsia="仿宋"/>
                <w:b w:val="0"/>
                <w:color w:val="000000"/>
                <w:sz w:val="24"/>
                <w:szCs w:val="24"/>
                <w:highlight w:val="none"/>
              </w:rPr>
              <w:t>人在“</w:t>
            </w:r>
            <w:r>
              <w:rPr>
                <w:rFonts w:hint="eastAsia" w:ascii="楷体" w:hAnsi="楷体" w:eastAsia="仿宋"/>
                <w:b w:val="0"/>
                <w:color w:val="000000"/>
                <w:sz w:val="24"/>
                <w:szCs w:val="24"/>
                <w:highlight w:val="none"/>
              </w:rPr>
              <w:t>采购需求</w:t>
            </w:r>
            <w:r>
              <w:rPr>
                <w:rFonts w:ascii="楷体" w:hAnsi="楷体" w:eastAsia="仿宋"/>
                <w:b w:val="0"/>
                <w:color w:val="000000"/>
                <w:sz w:val="24"/>
                <w:szCs w:val="24"/>
                <w:highlight w:val="none"/>
              </w:rPr>
              <w:t>”中所提供的各种货物的数量是计划采购数量，仅作为投标报价的依据，不作为最终结算与支付的依据。在合同实施期间，</w:t>
            </w:r>
            <w:r>
              <w:rPr>
                <w:rFonts w:hint="eastAsia" w:ascii="楷体" w:hAnsi="楷体" w:eastAsia="仿宋"/>
                <w:b w:val="0"/>
                <w:color w:val="000000"/>
                <w:sz w:val="24"/>
                <w:szCs w:val="24"/>
                <w:highlight w:val="none"/>
              </w:rPr>
              <w:t>采购人可以按照政府采购政策规定对</w:t>
            </w:r>
            <w:r>
              <w:rPr>
                <w:rFonts w:ascii="楷体" w:hAnsi="楷体" w:eastAsia="仿宋"/>
                <w:b w:val="0"/>
                <w:color w:val="000000"/>
                <w:sz w:val="24"/>
                <w:szCs w:val="24"/>
                <w:highlight w:val="none"/>
              </w:rPr>
              <w:t>货物数量适当增减。投标人不得以货物的实际供货数量有变化为理由</w:t>
            </w:r>
            <w:r>
              <w:rPr>
                <w:rFonts w:hint="eastAsia" w:ascii="楷体" w:hAnsi="楷体" w:eastAsia="仿宋"/>
                <w:b w:val="0"/>
                <w:color w:val="000000"/>
                <w:sz w:val="24"/>
                <w:szCs w:val="24"/>
                <w:highlight w:val="none"/>
              </w:rPr>
              <w:t>要求</w:t>
            </w:r>
            <w:r>
              <w:rPr>
                <w:rFonts w:ascii="楷体" w:hAnsi="楷体" w:eastAsia="仿宋"/>
                <w:b w:val="0"/>
                <w:color w:val="000000"/>
                <w:sz w:val="24"/>
                <w:szCs w:val="24"/>
                <w:highlight w:val="none"/>
              </w:rPr>
              <w:t>对各种货物的单价进行变更。</w:t>
            </w:r>
          </w:p>
        </w:tc>
      </w:tr>
      <w:tr w14:paraId="4092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7E08C3EC">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3.3.1</w:t>
            </w:r>
          </w:p>
        </w:tc>
        <w:tc>
          <w:tcPr>
            <w:tcW w:w="1581" w:type="dxa"/>
            <w:noWrap w:val="0"/>
            <w:vAlign w:val="center"/>
          </w:tcPr>
          <w:p w14:paraId="17EB5AB1">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投标有效期</w:t>
            </w:r>
          </w:p>
        </w:tc>
        <w:tc>
          <w:tcPr>
            <w:tcW w:w="7229" w:type="dxa"/>
            <w:noWrap w:val="0"/>
            <w:vAlign w:val="center"/>
          </w:tcPr>
          <w:p w14:paraId="328CF2D1">
            <w:pPr>
              <w:widowControl/>
              <w:adjustRightInd w:val="0"/>
              <w:snapToGrid w:val="0"/>
              <w:spacing w:line="288" w:lineRule="auto"/>
              <w:rPr>
                <w:rFonts w:ascii="宋体" w:hAnsi="宋体" w:cs="Calibri"/>
                <w:color w:val="000000"/>
                <w:sz w:val="24"/>
                <w:highlight w:val="none"/>
              </w:rPr>
            </w:pPr>
            <w:r>
              <w:rPr>
                <w:rFonts w:hint="eastAsia" w:ascii="宋体" w:hAnsi="宋体" w:eastAsia="仿宋" w:cs="Calibri"/>
                <w:color w:val="000000"/>
                <w:sz w:val="24"/>
                <w:highlight w:val="none"/>
              </w:rPr>
              <w:t>90日历天</w:t>
            </w:r>
            <w:r>
              <w:rPr>
                <w:rFonts w:hint="eastAsia" w:ascii="宋体" w:hAnsi="宋体" w:eastAsia="仿宋"/>
                <w:color w:val="000000"/>
                <w:sz w:val="24"/>
                <w:highlight w:val="none"/>
              </w:rPr>
              <w:t>（从投标截止之日算起）</w:t>
            </w:r>
          </w:p>
        </w:tc>
      </w:tr>
      <w:tr w14:paraId="182C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7649325A">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3.4</w:t>
            </w:r>
          </w:p>
        </w:tc>
        <w:tc>
          <w:tcPr>
            <w:tcW w:w="1581" w:type="dxa"/>
            <w:noWrap w:val="0"/>
            <w:vAlign w:val="center"/>
          </w:tcPr>
          <w:p w14:paraId="44D77CB3">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投标保证金</w:t>
            </w:r>
          </w:p>
        </w:tc>
        <w:tc>
          <w:tcPr>
            <w:tcW w:w="7229" w:type="dxa"/>
            <w:noWrap w:val="0"/>
            <w:vAlign w:val="center"/>
          </w:tcPr>
          <w:p w14:paraId="03338DC5">
            <w:pPr>
              <w:widowControl/>
              <w:adjustRightInd w:val="0"/>
              <w:snapToGrid w:val="0"/>
              <w:spacing w:line="288" w:lineRule="auto"/>
              <w:rPr>
                <w:rFonts w:ascii="宋体" w:hAnsi="宋体" w:eastAsia="楷体_GB2312"/>
                <w:i/>
                <w:color w:val="000000"/>
                <w:sz w:val="24"/>
                <w:highlight w:val="none"/>
              </w:rPr>
            </w:pPr>
            <w:r>
              <w:rPr>
                <w:rFonts w:hint="eastAsia" w:eastAsia="仿宋"/>
                <w:color w:val="000000"/>
                <w:sz w:val="24"/>
                <w:highlight w:val="none"/>
              </w:rPr>
              <w:t>不要求提交。</w:t>
            </w:r>
          </w:p>
        </w:tc>
      </w:tr>
      <w:tr w14:paraId="135C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190E4502">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3.6.1</w:t>
            </w:r>
          </w:p>
        </w:tc>
        <w:tc>
          <w:tcPr>
            <w:tcW w:w="1581" w:type="dxa"/>
            <w:noWrap w:val="0"/>
            <w:vAlign w:val="center"/>
          </w:tcPr>
          <w:p w14:paraId="7E9E26D9">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是否允许递交备选投标方案</w:t>
            </w:r>
          </w:p>
        </w:tc>
        <w:tc>
          <w:tcPr>
            <w:tcW w:w="7229" w:type="dxa"/>
            <w:noWrap w:val="0"/>
            <w:vAlign w:val="center"/>
          </w:tcPr>
          <w:p w14:paraId="3FD8AC48">
            <w:pPr>
              <w:widowControl/>
              <w:topLinePunct/>
              <w:adjustRightInd w:val="0"/>
              <w:snapToGrid w:val="0"/>
              <w:spacing w:line="288" w:lineRule="auto"/>
              <w:rPr>
                <w:rFonts w:ascii="宋体" w:hAnsi="宋体" w:eastAsia="仿宋" w:cs="Calibri"/>
                <w:color w:val="000000"/>
                <w:sz w:val="24"/>
                <w:highlight w:val="none"/>
              </w:rPr>
            </w:pPr>
            <w:r>
              <w:rPr>
                <w:rFonts w:hint="eastAsia" w:ascii="宋体" w:hAnsi="宋体" w:eastAsia="仿宋"/>
                <w:b/>
                <w:bCs/>
                <w:color w:val="000000"/>
                <w:sz w:val="24"/>
                <w:highlight w:val="none"/>
              </w:rPr>
              <w:sym w:font="Wingdings" w:char="F0FE"/>
            </w:r>
            <w:r>
              <w:rPr>
                <w:rFonts w:hint="eastAsia" w:ascii="宋体" w:hAnsi="宋体" w:eastAsia="仿宋" w:cs="Calibri"/>
                <w:color w:val="000000"/>
                <w:sz w:val="24"/>
                <w:highlight w:val="none"/>
              </w:rPr>
              <w:t>不允许</w:t>
            </w:r>
          </w:p>
          <w:p w14:paraId="07B75F10">
            <w:pPr>
              <w:widowControl/>
              <w:adjustRightInd w:val="0"/>
              <w:snapToGrid w:val="0"/>
              <w:spacing w:line="288" w:lineRule="auto"/>
              <w:rPr>
                <w:rFonts w:ascii="宋体" w:hAnsi="宋体" w:cs="Calibri"/>
                <w:color w:val="000000"/>
                <w:sz w:val="24"/>
                <w:highlight w:val="none"/>
                <w:u w:val="single"/>
              </w:rPr>
            </w:pPr>
            <w:r>
              <w:rPr>
                <w:rFonts w:hint="eastAsia" w:ascii="宋体" w:hAnsi="宋体" w:eastAsia="仿宋" w:cs="Calibri"/>
                <w:color w:val="000000"/>
                <w:sz w:val="24"/>
                <w:highlight w:val="none"/>
              </w:rPr>
              <w:t>□允许，并满足以下条件：</w:t>
            </w:r>
          </w:p>
        </w:tc>
      </w:tr>
      <w:tr w14:paraId="4C87C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5643F85E">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3.7.4（1）</w:t>
            </w:r>
          </w:p>
        </w:tc>
        <w:tc>
          <w:tcPr>
            <w:tcW w:w="1581" w:type="dxa"/>
            <w:noWrap w:val="0"/>
            <w:vAlign w:val="center"/>
          </w:tcPr>
          <w:p w14:paraId="3FA9EE46">
            <w:pPr>
              <w:widowControl/>
              <w:adjustRightInd w:val="0"/>
              <w:snapToGrid w:val="0"/>
              <w:spacing w:line="288" w:lineRule="auto"/>
              <w:jc w:val="center"/>
              <w:rPr>
                <w:rFonts w:hint="eastAsia" w:ascii="宋体" w:hAnsi="宋体" w:eastAsia="仿宋" w:cs="Calibri"/>
                <w:color w:val="000000"/>
                <w:sz w:val="24"/>
                <w:highlight w:val="none"/>
              </w:rPr>
            </w:pPr>
            <w:r>
              <w:rPr>
                <w:rFonts w:hint="eastAsia" w:ascii="宋体" w:hAnsi="宋体" w:eastAsia="仿宋" w:cs="Calibri"/>
                <w:color w:val="000000"/>
                <w:sz w:val="24"/>
                <w:highlight w:val="none"/>
              </w:rPr>
              <w:t>投标文件制作</w:t>
            </w:r>
          </w:p>
        </w:tc>
        <w:tc>
          <w:tcPr>
            <w:tcW w:w="7229" w:type="dxa"/>
            <w:noWrap w:val="0"/>
            <w:vAlign w:val="center"/>
          </w:tcPr>
          <w:p w14:paraId="0CBD9027">
            <w:pPr>
              <w:widowControl/>
              <w:topLinePunct/>
              <w:adjustRightInd w:val="0"/>
              <w:snapToGrid w:val="0"/>
              <w:spacing w:line="288" w:lineRule="auto"/>
              <w:rPr>
                <w:rFonts w:hint="eastAsia" w:ascii="宋体" w:hAnsi="宋体" w:cs="Calibri"/>
                <w:color w:val="000000"/>
                <w:sz w:val="24"/>
                <w:highlight w:val="none"/>
              </w:rPr>
            </w:pPr>
            <w:r>
              <w:rPr>
                <w:rFonts w:hint="eastAsia" w:ascii="楷体" w:hAnsi="楷体" w:eastAsia="仿宋" w:cs="Calibri"/>
                <w:color w:val="000000"/>
                <w:sz w:val="24"/>
                <w:highlight w:val="none"/>
              </w:rPr>
              <w:t>见本章附件一《全流程电子招标采购具体要求》</w:t>
            </w:r>
          </w:p>
        </w:tc>
      </w:tr>
      <w:tr w14:paraId="093CF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0D09F191">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3.7.4（3）</w:t>
            </w:r>
          </w:p>
        </w:tc>
        <w:tc>
          <w:tcPr>
            <w:tcW w:w="1581" w:type="dxa"/>
            <w:noWrap w:val="0"/>
            <w:vAlign w:val="center"/>
          </w:tcPr>
          <w:p w14:paraId="7DFF0463">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投标文件所附证书证件要求</w:t>
            </w:r>
          </w:p>
        </w:tc>
        <w:tc>
          <w:tcPr>
            <w:tcW w:w="7229" w:type="dxa"/>
            <w:noWrap w:val="0"/>
            <w:vAlign w:val="center"/>
          </w:tcPr>
          <w:p w14:paraId="2C4B8200">
            <w:pPr>
              <w:widowControl/>
              <w:topLinePunct/>
              <w:adjustRightInd w:val="0"/>
              <w:snapToGrid w:val="0"/>
              <w:spacing w:line="288" w:lineRule="auto"/>
              <w:rPr>
                <w:rFonts w:ascii="楷体" w:hAnsi="楷体" w:eastAsia="仿宋"/>
                <w:bCs/>
                <w:color w:val="000000"/>
                <w:sz w:val="24"/>
                <w:highlight w:val="none"/>
              </w:rPr>
            </w:pPr>
            <w:r>
              <w:rPr>
                <w:rFonts w:hint="eastAsia" w:ascii="楷体" w:hAnsi="楷体" w:eastAsia="仿宋" w:cs="Calibri"/>
                <w:color w:val="000000"/>
                <w:sz w:val="24"/>
                <w:highlight w:val="none"/>
              </w:rPr>
              <w:t>电子投标文件所附证书证件均应为投标人证书证件的扫描件或电子证照。</w:t>
            </w:r>
          </w:p>
        </w:tc>
      </w:tr>
      <w:tr w14:paraId="7F02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2A344F12">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eastAsia" w:ascii="宋体" w:hAnsi="宋体" w:cs="Calibri"/>
                <w:color w:val="000000"/>
                <w:sz w:val="24"/>
                <w:highlight w:val="none"/>
              </w:rPr>
            </w:pPr>
            <w:r>
              <w:rPr>
                <w:rFonts w:hint="eastAsia" w:ascii="宋体" w:hAnsi="宋体" w:eastAsia="仿宋" w:cs="Calibri"/>
                <w:color w:val="000000"/>
                <w:sz w:val="24"/>
                <w:highlight w:val="none"/>
              </w:rPr>
              <w:t>3.7.4（5）</w:t>
            </w:r>
          </w:p>
        </w:tc>
        <w:tc>
          <w:tcPr>
            <w:tcW w:w="1581" w:type="dxa"/>
            <w:noWrap w:val="0"/>
            <w:vAlign w:val="center"/>
          </w:tcPr>
          <w:p w14:paraId="4E9E26EC">
            <w:pPr>
              <w:keepNext w:val="0"/>
              <w:keepLines w:val="0"/>
              <w:widowControl/>
              <w:suppressLineNumbers w:val="0"/>
              <w:adjustRightInd w:val="0"/>
              <w:snapToGrid w:val="0"/>
              <w:spacing w:before="0" w:beforeAutospacing="0" w:after="0" w:afterAutospacing="0" w:line="288" w:lineRule="auto"/>
              <w:ind w:left="0" w:leftChars="0" w:right="0" w:rightChars="0"/>
              <w:jc w:val="center"/>
              <w:rPr>
                <w:rFonts w:hint="eastAsia" w:ascii="宋体" w:hAnsi="宋体" w:cs="Calibri"/>
                <w:color w:val="000000"/>
                <w:sz w:val="24"/>
                <w:highlight w:val="none"/>
              </w:rPr>
            </w:pPr>
            <w:r>
              <w:rPr>
                <w:rFonts w:hint="eastAsia" w:ascii="宋体" w:hAnsi="宋体" w:eastAsia="仿宋" w:cs="Calibri"/>
                <w:color w:val="000000"/>
                <w:sz w:val="24"/>
                <w:highlight w:val="none"/>
              </w:rPr>
              <w:t>投标文件份数及其他要求</w:t>
            </w:r>
          </w:p>
        </w:tc>
        <w:tc>
          <w:tcPr>
            <w:tcW w:w="7229" w:type="dxa"/>
            <w:noWrap w:val="0"/>
            <w:vAlign w:val="center"/>
          </w:tcPr>
          <w:p w14:paraId="50E95636">
            <w:pPr>
              <w:keepNext w:val="0"/>
              <w:keepLines w:val="0"/>
              <w:widowControl/>
              <w:suppressLineNumbers w:val="0"/>
              <w:topLinePunct/>
              <w:adjustRightInd w:val="0"/>
              <w:snapToGrid w:val="0"/>
              <w:spacing w:before="0" w:beforeAutospacing="0" w:after="0" w:afterAutospacing="0" w:line="288" w:lineRule="auto"/>
              <w:ind w:left="0" w:right="0"/>
              <w:rPr>
                <w:rFonts w:hint="eastAsia" w:ascii="宋体" w:hAnsi="宋体" w:eastAsia="仿宋" w:cs="Calibri"/>
                <w:color w:val="000000"/>
                <w:sz w:val="24"/>
                <w:highlight w:val="none"/>
              </w:rPr>
            </w:pPr>
            <w:r>
              <w:rPr>
                <w:rFonts w:hint="eastAsia" w:ascii="宋体" w:hAnsi="宋体" w:eastAsia="仿宋" w:cs="Calibri"/>
                <w:color w:val="000000"/>
                <w:sz w:val="24"/>
                <w:highlight w:val="none"/>
              </w:rPr>
              <w:t>投标人应提交的投标文件：</w:t>
            </w:r>
          </w:p>
          <w:p w14:paraId="5DCCF95C">
            <w:pPr>
              <w:keepNext w:val="0"/>
              <w:keepLines w:val="0"/>
              <w:widowControl/>
              <w:suppressLineNumbers w:val="0"/>
              <w:topLinePunct/>
              <w:adjustRightInd w:val="0"/>
              <w:snapToGrid w:val="0"/>
              <w:spacing w:before="0" w:beforeAutospacing="0" w:after="0" w:afterAutospacing="0" w:line="288" w:lineRule="auto"/>
              <w:ind w:left="0" w:right="0"/>
              <w:rPr>
                <w:rFonts w:hint="eastAsia" w:ascii="楷体" w:hAnsi="楷体" w:eastAsia="仿宋" w:cs="Calibri"/>
                <w:color w:val="000000"/>
                <w:sz w:val="24"/>
                <w:highlight w:val="none"/>
              </w:rPr>
            </w:pPr>
            <w:r>
              <w:rPr>
                <w:rFonts w:hint="eastAsia" w:ascii="楷体" w:hAnsi="楷体" w:eastAsia="仿宋" w:cs="Calibri"/>
                <w:color w:val="000000"/>
                <w:sz w:val="24"/>
                <w:highlight w:val="none"/>
              </w:rPr>
              <w:t>加密的电子投标文件：使用优质采云采购平台电子标书制作工具制作生成的加密投标文件，应在投标截止时间前通过</w:t>
            </w:r>
            <w:r>
              <w:rPr>
                <w:rFonts w:hint="eastAsia" w:ascii="楷体" w:hAnsi="楷体" w:eastAsia="仿宋" w:cs="Microsoft JhengHei"/>
                <w:color w:val="000000"/>
                <w:kern w:val="0"/>
                <w:sz w:val="24"/>
                <w:highlight w:val="none"/>
              </w:rPr>
              <w:t>“优质采招标采购平台(www.yzczb.com)”或“优质采云采购平台(www.youzhicai.com)”</w:t>
            </w:r>
            <w:r>
              <w:rPr>
                <w:rFonts w:hint="eastAsia" w:ascii="楷体" w:hAnsi="楷体" w:eastAsia="仿宋" w:cs="Calibri"/>
                <w:color w:val="000000"/>
                <w:sz w:val="24"/>
                <w:highlight w:val="none"/>
              </w:rPr>
              <w:t>上传；</w:t>
            </w:r>
          </w:p>
          <w:p w14:paraId="33EDA0BB">
            <w:pPr>
              <w:keepNext w:val="0"/>
              <w:keepLines w:val="0"/>
              <w:widowControl/>
              <w:suppressLineNumbers w:val="0"/>
              <w:topLinePunct/>
              <w:adjustRightInd w:val="0"/>
              <w:snapToGrid w:val="0"/>
              <w:spacing w:before="0" w:beforeAutospacing="0" w:after="0" w:afterAutospacing="0" w:line="288" w:lineRule="auto"/>
              <w:ind w:left="0" w:leftChars="0" w:right="0" w:rightChars="0"/>
              <w:rPr>
                <w:rFonts w:hint="eastAsia" w:ascii="楷体" w:hAnsi="楷体" w:eastAsia="楷体" w:cs="Calibri"/>
                <w:color w:val="000000"/>
                <w:sz w:val="24"/>
                <w:highlight w:val="none"/>
              </w:rPr>
            </w:pPr>
            <w:r>
              <w:rPr>
                <w:rFonts w:hint="eastAsia" w:ascii="楷体" w:hAnsi="楷体" w:eastAsia="仿宋" w:cs="Calibri"/>
                <w:b/>
                <w:color w:val="000000"/>
                <w:sz w:val="24"/>
                <w:highlight w:val="none"/>
              </w:rPr>
              <w:t>注：本项目为电子全流程招投标，中标人中标后在领取中标通知书时应提供1套纸质版投标文件（与系统递交的加密电子文件一致）。</w:t>
            </w:r>
          </w:p>
        </w:tc>
      </w:tr>
      <w:tr w14:paraId="2CF6A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73ECC72B">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4.1.1</w:t>
            </w:r>
          </w:p>
        </w:tc>
        <w:tc>
          <w:tcPr>
            <w:tcW w:w="1581" w:type="dxa"/>
            <w:noWrap w:val="0"/>
            <w:vAlign w:val="center"/>
          </w:tcPr>
          <w:p w14:paraId="09A86CC5">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投标文件加密要求</w:t>
            </w:r>
          </w:p>
        </w:tc>
        <w:tc>
          <w:tcPr>
            <w:tcW w:w="7229" w:type="dxa"/>
            <w:noWrap w:val="0"/>
            <w:vAlign w:val="center"/>
          </w:tcPr>
          <w:p w14:paraId="1569865E">
            <w:pPr>
              <w:widowControl/>
              <w:wordWrap w:val="0"/>
              <w:adjustRightInd w:val="0"/>
              <w:snapToGrid w:val="0"/>
              <w:spacing w:line="288" w:lineRule="auto"/>
              <w:rPr>
                <w:rFonts w:hint="eastAsia" w:ascii="楷体" w:hAnsi="楷体" w:eastAsia="楷体" w:cs="Calibri"/>
                <w:color w:val="000000"/>
                <w:sz w:val="24"/>
                <w:highlight w:val="none"/>
              </w:rPr>
            </w:pPr>
            <w:r>
              <w:rPr>
                <w:rFonts w:hint="eastAsia" w:ascii="楷体" w:hAnsi="楷体" w:eastAsia="仿宋" w:cs="Calibri"/>
                <w:color w:val="000000"/>
                <w:sz w:val="24"/>
                <w:highlight w:val="none"/>
              </w:rPr>
              <w:t>见本章附件一《全流程电子招标采购具体要求》</w:t>
            </w:r>
          </w:p>
        </w:tc>
      </w:tr>
      <w:tr w14:paraId="34677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078DB12C">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4.2.2</w:t>
            </w:r>
          </w:p>
        </w:tc>
        <w:tc>
          <w:tcPr>
            <w:tcW w:w="1581" w:type="dxa"/>
            <w:noWrap w:val="0"/>
            <w:vAlign w:val="center"/>
          </w:tcPr>
          <w:p w14:paraId="28D7881E">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递交投标文件的电子交易平台</w:t>
            </w:r>
          </w:p>
        </w:tc>
        <w:tc>
          <w:tcPr>
            <w:tcW w:w="7229" w:type="dxa"/>
            <w:noWrap w:val="0"/>
            <w:vAlign w:val="center"/>
          </w:tcPr>
          <w:p w14:paraId="277939C4">
            <w:pPr>
              <w:widowControl/>
              <w:adjustRightInd w:val="0"/>
              <w:snapToGrid w:val="0"/>
              <w:spacing w:line="288" w:lineRule="auto"/>
              <w:rPr>
                <w:rFonts w:hint="eastAsia" w:ascii="楷体" w:hAnsi="楷体" w:eastAsia="仿宋" w:cs="Microsoft JhengHei"/>
                <w:color w:val="000000"/>
                <w:kern w:val="0"/>
                <w:sz w:val="24"/>
                <w:highlight w:val="none"/>
              </w:rPr>
            </w:pPr>
            <w:r>
              <w:rPr>
                <w:rFonts w:hint="eastAsia" w:ascii="楷体" w:hAnsi="楷体" w:eastAsia="仿宋" w:cs="Microsoft JhengHei"/>
                <w:color w:val="000000"/>
                <w:kern w:val="0"/>
                <w:sz w:val="24"/>
                <w:highlight w:val="none"/>
              </w:rPr>
              <w:t>“优质采招标采购平台(www.yzczb.com)”或“优质采云采购平台(www.youzhicai.com)”</w:t>
            </w:r>
          </w:p>
          <w:p w14:paraId="1BB8B1BB">
            <w:pPr>
              <w:widowControl/>
              <w:adjustRightInd w:val="0"/>
              <w:snapToGrid w:val="0"/>
              <w:spacing w:line="288" w:lineRule="auto"/>
              <w:rPr>
                <w:rFonts w:hint="eastAsia" w:ascii="楷体" w:hAnsi="楷体" w:eastAsia="仿宋" w:cs="Calibri"/>
                <w:b/>
                <w:bCs/>
                <w:iCs/>
                <w:color w:val="000000"/>
                <w:sz w:val="24"/>
                <w:highlight w:val="none"/>
              </w:rPr>
            </w:pPr>
            <w:r>
              <w:rPr>
                <w:rFonts w:hint="eastAsia" w:ascii="楷体" w:hAnsi="楷体" w:eastAsia="仿宋" w:cs="Microsoft JhengHei"/>
                <w:b/>
                <w:bCs/>
                <w:color w:val="000000"/>
                <w:kern w:val="0"/>
                <w:sz w:val="24"/>
                <w:highlight w:val="none"/>
              </w:rPr>
              <w:t>递交</w:t>
            </w:r>
            <w:r>
              <w:rPr>
                <w:rFonts w:hint="eastAsia" w:ascii="楷体" w:hAnsi="楷体" w:eastAsia="仿宋" w:cs="Microsoft JhengHei"/>
                <w:b/>
                <w:bCs/>
                <w:color w:val="000000"/>
                <w:kern w:val="0"/>
                <w:sz w:val="24"/>
                <w:highlight w:val="none"/>
                <w:lang w:val="en-US" w:eastAsia="zh-CN"/>
              </w:rPr>
              <w:t>纸质</w:t>
            </w:r>
            <w:r>
              <w:rPr>
                <w:rFonts w:hint="eastAsia" w:ascii="楷体" w:hAnsi="楷体" w:eastAsia="仿宋" w:cs="Microsoft JhengHei"/>
                <w:b/>
                <w:bCs/>
                <w:color w:val="000000"/>
                <w:kern w:val="0"/>
                <w:sz w:val="24"/>
                <w:highlight w:val="none"/>
              </w:rPr>
              <w:t>投标文件地点：</w:t>
            </w:r>
            <w:r>
              <w:rPr>
                <w:rFonts w:hint="eastAsia" w:ascii="楷体" w:hAnsi="楷体" w:eastAsia="仿宋" w:cs="Calibri"/>
                <w:b/>
                <w:bCs/>
                <w:iCs/>
                <w:color w:val="000000"/>
                <w:sz w:val="24"/>
                <w:highlight w:val="none"/>
              </w:rPr>
              <w:t>安徽省合肥市包河区紫云路888号安徽省招标集团总部基地A座1110室，章工，15077906489</w:t>
            </w:r>
          </w:p>
          <w:p w14:paraId="4E3D14CB">
            <w:pPr>
              <w:widowControl/>
              <w:adjustRightInd w:val="0"/>
              <w:snapToGrid w:val="0"/>
              <w:spacing w:line="288" w:lineRule="auto"/>
              <w:rPr>
                <w:rFonts w:hint="eastAsia" w:ascii="宋体" w:hAnsi="宋体" w:cs="Calibri"/>
                <w:iCs/>
                <w:color w:val="000000"/>
                <w:sz w:val="24"/>
                <w:highlight w:val="none"/>
              </w:rPr>
            </w:pPr>
            <w:r>
              <w:rPr>
                <w:rFonts w:hint="eastAsia" w:ascii="楷体" w:hAnsi="楷体" w:eastAsia="仿宋" w:cs="Times New Roman"/>
                <w:color w:val="000000"/>
                <w:sz w:val="24"/>
                <w:highlight w:val="none"/>
              </w:rPr>
              <w:t>如未在招标文件规定的投标时间截止前网上上传加密的电子投标文件，而只递交了</w:t>
            </w:r>
            <w:r>
              <w:rPr>
                <w:rFonts w:hint="eastAsia" w:ascii="楷体" w:hAnsi="楷体" w:eastAsia="仿宋" w:cs="Times New Roman"/>
                <w:color w:val="000000"/>
                <w:sz w:val="24"/>
                <w:highlight w:val="none"/>
                <w:lang w:val="en-US" w:eastAsia="zh-CN"/>
              </w:rPr>
              <w:t>纸质版</w:t>
            </w:r>
            <w:r>
              <w:rPr>
                <w:rFonts w:hint="eastAsia" w:ascii="楷体" w:hAnsi="楷体" w:eastAsia="仿宋" w:cs="Times New Roman"/>
                <w:color w:val="000000"/>
                <w:sz w:val="24"/>
                <w:highlight w:val="none"/>
              </w:rPr>
              <w:t>投标文件的，投标无效。</w:t>
            </w:r>
          </w:p>
        </w:tc>
      </w:tr>
      <w:tr w14:paraId="749F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32A1BA6C">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4.2.3</w:t>
            </w:r>
          </w:p>
        </w:tc>
        <w:tc>
          <w:tcPr>
            <w:tcW w:w="1581" w:type="dxa"/>
            <w:noWrap w:val="0"/>
            <w:vAlign w:val="center"/>
          </w:tcPr>
          <w:p w14:paraId="1F356866">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是否退还投标文件</w:t>
            </w:r>
          </w:p>
        </w:tc>
        <w:tc>
          <w:tcPr>
            <w:tcW w:w="7229" w:type="dxa"/>
            <w:noWrap w:val="0"/>
            <w:vAlign w:val="center"/>
          </w:tcPr>
          <w:p w14:paraId="33E3D57E">
            <w:pPr>
              <w:widowControl/>
              <w:adjustRightInd w:val="0"/>
              <w:snapToGrid w:val="0"/>
              <w:spacing w:line="288" w:lineRule="auto"/>
              <w:rPr>
                <w:rFonts w:ascii="宋体" w:hAnsi="宋体" w:eastAsia="仿宋" w:cs="Calibri"/>
                <w:color w:val="000000"/>
                <w:sz w:val="24"/>
                <w:highlight w:val="none"/>
              </w:rPr>
            </w:pPr>
            <w:r>
              <w:rPr>
                <w:rFonts w:hint="eastAsia" w:ascii="宋体" w:hAnsi="宋体" w:eastAsia="仿宋"/>
                <w:b/>
                <w:bCs/>
                <w:color w:val="000000"/>
                <w:sz w:val="24"/>
                <w:highlight w:val="none"/>
              </w:rPr>
              <w:sym w:font="Wingdings" w:char="F0FE"/>
            </w:r>
            <w:r>
              <w:rPr>
                <w:rFonts w:hint="eastAsia" w:ascii="宋体" w:hAnsi="宋体" w:eastAsia="仿宋" w:cs="Calibri"/>
                <w:color w:val="000000"/>
                <w:sz w:val="24"/>
                <w:highlight w:val="none"/>
              </w:rPr>
              <w:t>否，其中样品的退还规定见本章第3.1.4项</w:t>
            </w:r>
          </w:p>
          <w:p w14:paraId="140C7C15">
            <w:pPr>
              <w:widowControl/>
              <w:adjustRightInd w:val="0"/>
              <w:snapToGrid w:val="0"/>
              <w:spacing w:line="288" w:lineRule="auto"/>
              <w:rPr>
                <w:rFonts w:ascii="宋体" w:hAnsi="宋体" w:cs="Calibri"/>
                <w:color w:val="000000"/>
                <w:sz w:val="24"/>
                <w:highlight w:val="none"/>
              </w:rPr>
            </w:pPr>
            <w:r>
              <w:rPr>
                <w:rFonts w:hint="eastAsia" w:ascii="宋体" w:hAnsi="宋体" w:eastAsia="仿宋" w:cs="Calibri"/>
                <w:color w:val="000000"/>
                <w:sz w:val="24"/>
                <w:highlight w:val="none"/>
              </w:rPr>
              <w:t>□是，退还安排：</w:t>
            </w:r>
            <w:r>
              <w:rPr>
                <w:rFonts w:ascii="宋体" w:hAnsi="宋体" w:eastAsia="仿宋" w:cs="Calibri"/>
                <w:color w:val="000000"/>
                <w:sz w:val="24"/>
                <w:highlight w:val="none"/>
                <w:u w:val="single"/>
              </w:rPr>
              <w:t xml:space="preserve">                         </w:t>
            </w:r>
          </w:p>
        </w:tc>
      </w:tr>
      <w:tr w14:paraId="5EC80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5515DDF7">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5.2（4）</w:t>
            </w:r>
          </w:p>
        </w:tc>
        <w:tc>
          <w:tcPr>
            <w:tcW w:w="1581" w:type="dxa"/>
            <w:noWrap w:val="0"/>
            <w:vAlign w:val="center"/>
          </w:tcPr>
          <w:p w14:paraId="49DE244F">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开标程序</w:t>
            </w:r>
          </w:p>
        </w:tc>
        <w:tc>
          <w:tcPr>
            <w:tcW w:w="7229" w:type="dxa"/>
            <w:noWrap w:val="0"/>
            <w:vAlign w:val="center"/>
          </w:tcPr>
          <w:p w14:paraId="46A28C3D">
            <w:pPr>
              <w:widowControl/>
              <w:adjustRightInd w:val="0"/>
              <w:snapToGrid w:val="0"/>
              <w:spacing w:line="288" w:lineRule="auto"/>
              <w:rPr>
                <w:rFonts w:hint="eastAsia" w:ascii="楷体" w:hAnsi="楷体" w:eastAsia="仿宋" w:cs="Calibri"/>
                <w:color w:val="000000"/>
                <w:sz w:val="24"/>
                <w:highlight w:val="none"/>
              </w:rPr>
            </w:pPr>
            <w:r>
              <w:rPr>
                <w:rFonts w:hint="eastAsia" w:ascii="宋体" w:hAnsi="宋体" w:eastAsia="仿宋" w:cs="Calibri"/>
                <w:color w:val="000000"/>
                <w:sz w:val="24"/>
                <w:highlight w:val="none"/>
              </w:rPr>
              <w:t>解密时间要求：</w:t>
            </w:r>
            <w:r>
              <w:rPr>
                <w:rFonts w:hint="eastAsia" w:ascii="楷体" w:hAnsi="楷体" w:eastAsia="仿宋" w:cs="Calibri"/>
                <w:color w:val="000000"/>
                <w:sz w:val="24"/>
                <w:highlight w:val="none"/>
              </w:rPr>
              <w:t>30分钟以内，以电子交易平台时间为准</w:t>
            </w:r>
          </w:p>
          <w:p w14:paraId="02F842F5">
            <w:pPr>
              <w:widowControl/>
              <w:adjustRightInd w:val="0"/>
              <w:snapToGrid w:val="0"/>
              <w:spacing w:line="288" w:lineRule="auto"/>
              <w:rPr>
                <w:rFonts w:hint="eastAsia" w:ascii="宋体" w:hAnsi="宋体" w:cs="Calibri"/>
                <w:color w:val="000000"/>
                <w:sz w:val="24"/>
                <w:highlight w:val="none"/>
              </w:rPr>
            </w:pPr>
            <w:r>
              <w:rPr>
                <w:rFonts w:hint="eastAsia" w:ascii="宋体" w:hAnsi="宋体" w:eastAsia="仿宋" w:cs="Calibri"/>
                <w:color w:val="000000"/>
                <w:sz w:val="24"/>
                <w:highlight w:val="none"/>
              </w:rPr>
              <w:t>其他要求：</w:t>
            </w:r>
            <w:r>
              <w:rPr>
                <w:rFonts w:hint="eastAsia" w:ascii="楷体" w:hAnsi="楷体" w:eastAsia="仿宋" w:cs="Calibri"/>
                <w:color w:val="000000"/>
                <w:sz w:val="24"/>
                <w:highlight w:val="none"/>
              </w:rPr>
              <w:t>投标文件解密可以采用网上远程方式，无需到开标现场进行解密。解密的CA锁必须与投标文件加密的CA锁一致，否则造成的后果由投标人自行承担</w:t>
            </w:r>
          </w:p>
        </w:tc>
      </w:tr>
      <w:tr w14:paraId="72ED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474871EE">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6.3.2</w:t>
            </w:r>
          </w:p>
        </w:tc>
        <w:tc>
          <w:tcPr>
            <w:tcW w:w="1581" w:type="dxa"/>
            <w:noWrap w:val="0"/>
            <w:vAlign w:val="center"/>
          </w:tcPr>
          <w:p w14:paraId="32F2CC53">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评标委员会推荐中标候选人的人数</w:t>
            </w:r>
          </w:p>
        </w:tc>
        <w:tc>
          <w:tcPr>
            <w:tcW w:w="7229" w:type="dxa"/>
            <w:noWrap w:val="0"/>
            <w:vAlign w:val="center"/>
          </w:tcPr>
          <w:p w14:paraId="3676F3BA">
            <w:pPr>
              <w:widowControl/>
              <w:adjustRightInd w:val="0"/>
              <w:snapToGrid w:val="0"/>
              <w:spacing w:line="288" w:lineRule="auto"/>
              <w:rPr>
                <w:rFonts w:ascii="宋体" w:hAnsi="宋体" w:cs="Calibri"/>
                <w:color w:val="000000"/>
                <w:sz w:val="24"/>
                <w:highlight w:val="none"/>
                <w:u w:val="single"/>
              </w:rPr>
            </w:pPr>
            <w:r>
              <w:rPr>
                <w:rFonts w:hint="eastAsia" w:ascii="宋体" w:hAnsi="宋体" w:eastAsia="仿宋" w:cs="Calibri"/>
                <w:color w:val="000000"/>
                <w:sz w:val="24"/>
                <w:highlight w:val="none"/>
              </w:rPr>
              <w:t>评标委员会推荐的中标候选人数量：</w:t>
            </w:r>
            <w:r>
              <w:rPr>
                <w:rFonts w:hint="eastAsia" w:ascii="宋体" w:hAnsi="宋体" w:eastAsia="仿宋" w:cs="Calibri"/>
                <w:color w:val="000000"/>
                <w:sz w:val="24"/>
                <w:highlight w:val="none"/>
                <w:lang w:val="en-US" w:eastAsia="zh-CN"/>
              </w:rPr>
              <w:t>每包</w:t>
            </w:r>
            <w:r>
              <w:rPr>
                <w:rFonts w:hint="eastAsia" w:ascii="宋体" w:hAnsi="宋体" w:eastAsia="仿宋" w:cs="Calibri"/>
                <w:color w:val="000000"/>
                <w:sz w:val="24"/>
                <w:highlight w:val="none"/>
              </w:rPr>
              <w:t>1名</w:t>
            </w:r>
          </w:p>
        </w:tc>
      </w:tr>
      <w:tr w14:paraId="2DF95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6CC1DBC8">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7.1.1</w:t>
            </w:r>
          </w:p>
        </w:tc>
        <w:tc>
          <w:tcPr>
            <w:tcW w:w="1581" w:type="dxa"/>
            <w:noWrap w:val="0"/>
            <w:vAlign w:val="center"/>
          </w:tcPr>
          <w:p w14:paraId="63974B13">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是否授权评标委员会确定中标人</w:t>
            </w:r>
          </w:p>
        </w:tc>
        <w:tc>
          <w:tcPr>
            <w:tcW w:w="7229" w:type="dxa"/>
            <w:noWrap w:val="0"/>
            <w:vAlign w:val="center"/>
          </w:tcPr>
          <w:p w14:paraId="6708489E">
            <w:pPr>
              <w:widowControl/>
              <w:adjustRightInd w:val="0"/>
              <w:snapToGrid w:val="0"/>
              <w:spacing w:line="288" w:lineRule="auto"/>
              <w:rPr>
                <w:rFonts w:hint="eastAsia" w:ascii="宋体" w:hAnsi="宋体" w:eastAsia="仿宋" w:cs="Calibri"/>
                <w:color w:val="000000"/>
                <w:sz w:val="24"/>
                <w:highlight w:val="none"/>
              </w:rPr>
            </w:pPr>
            <w:r>
              <w:rPr>
                <w:rFonts w:ascii="楷体" w:hAnsi="楷体" w:eastAsia="仿宋"/>
                <w:bCs/>
                <w:color w:val="000000"/>
                <w:sz w:val="24"/>
                <w:highlight w:val="none"/>
              </w:rPr>
              <w:fldChar w:fldCharType="begin"/>
            </w:r>
            <w:r>
              <w:rPr>
                <w:rFonts w:ascii="楷体" w:hAnsi="楷体" w:eastAsia="仿宋"/>
                <w:bCs/>
                <w:color w:val="000000"/>
                <w:sz w:val="24"/>
                <w:highlight w:val="none"/>
              </w:rPr>
              <w:instrText xml:space="preserve"> </w:instrText>
            </w:r>
            <w:r>
              <w:rPr>
                <w:rFonts w:hint="eastAsia" w:ascii="楷体" w:hAnsi="楷体" w:eastAsia="仿宋"/>
                <w:bCs/>
                <w:color w:val="000000"/>
                <w:sz w:val="24"/>
                <w:highlight w:val="none"/>
              </w:rPr>
              <w:instrText xml:space="preserve">eq \o\ac(□,√)</w:instrText>
            </w:r>
            <w:r>
              <w:rPr>
                <w:rFonts w:ascii="楷体" w:hAnsi="楷体" w:eastAsia="仿宋"/>
                <w:bCs/>
                <w:color w:val="000000"/>
                <w:sz w:val="24"/>
                <w:highlight w:val="none"/>
              </w:rPr>
              <w:fldChar w:fldCharType="end"/>
            </w:r>
            <w:r>
              <w:rPr>
                <w:rFonts w:hint="eastAsia" w:ascii="宋体" w:hAnsi="宋体" w:eastAsia="仿宋" w:cs="Calibri"/>
                <w:color w:val="000000"/>
                <w:sz w:val="24"/>
                <w:highlight w:val="none"/>
              </w:rPr>
              <w:t>否</w:t>
            </w:r>
          </w:p>
          <w:p w14:paraId="3BD588CC">
            <w:pPr>
              <w:widowControl/>
              <w:adjustRightInd w:val="0"/>
              <w:snapToGrid w:val="0"/>
              <w:spacing w:line="288" w:lineRule="auto"/>
              <w:rPr>
                <w:rFonts w:ascii="宋体" w:hAnsi="宋体" w:eastAsia="仿宋" w:cs="Calibri"/>
                <w:color w:val="000000"/>
                <w:sz w:val="24"/>
                <w:highlight w:val="none"/>
              </w:rPr>
            </w:pPr>
            <w:r>
              <w:rPr>
                <w:rFonts w:hint="eastAsia" w:ascii="宋体" w:hAnsi="宋体" w:eastAsia="仿宋" w:cs="Calibri"/>
                <w:color w:val="000000"/>
                <w:sz w:val="24"/>
                <w:highlight w:val="none"/>
              </w:rPr>
              <w:t>□是</w:t>
            </w:r>
          </w:p>
        </w:tc>
      </w:tr>
      <w:tr w14:paraId="627A8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7444696C">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7.1.2</w:t>
            </w:r>
          </w:p>
        </w:tc>
        <w:tc>
          <w:tcPr>
            <w:tcW w:w="1581" w:type="dxa"/>
            <w:noWrap w:val="0"/>
            <w:vAlign w:val="center"/>
          </w:tcPr>
          <w:p w14:paraId="07257A54">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中标结果公告</w:t>
            </w:r>
          </w:p>
        </w:tc>
        <w:tc>
          <w:tcPr>
            <w:tcW w:w="7229" w:type="dxa"/>
            <w:noWrap w:val="0"/>
            <w:vAlign w:val="center"/>
          </w:tcPr>
          <w:p w14:paraId="6632DF9D">
            <w:pPr>
              <w:widowControl/>
              <w:adjustRightInd w:val="0"/>
              <w:snapToGrid w:val="0"/>
              <w:spacing w:line="288" w:lineRule="auto"/>
              <w:rPr>
                <w:rFonts w:hint="eastAsia" w:ascii="宋体" w:hAnsi="宋体" w:eastAsia="仿宋"/>
                <w:color w:val="000000"/>
                <w:sz w:val="24"/>
                <w:highlight w:val="none"/>
              </w:rPr>
            </w:pPr>
            <w:r>
              <w:rPr>
                <w:rFonts w:hint="eastAsia" w:ascii="宋体" w:hAnsi="宋体" w:eastAsia="仿宋"/>
                <w:color w:val="000000"/>
                <w:sz w:val="24"/>
                <w:highlight w:val="none"/>
              </w:rPr>
              <w:t>公告方式：在发布招标公告的媒介上发布本项目中标结果公告</w:t>
            </w:r>
          </w:p>
          <w:p w14:paraId="75540071">
            <w:pPr>
              <w:widowControl/>
              <w:adjustRightInd w:val="0"/>
              <w:snapToGrid w:val="0"/>
              <w:spacing w:line="288" w:lineRule="auto"/>
              <w:rPr>
                <w:rFonts w:hint="eastAsia" w:ascii="宋体" w:hAnsi="宋体"/>
                <w:color w:val="000000"/>
                <w:sz w:val="24"/>
                <w:highlight w:val="none"/>
                <w:u w:val="single"/>
              </w:rPr>
            </w:pPr>
            <w:r>
              <w:rPr>
                <w:rFonts w:hint="eastAsia" w:ascii="宋体" w:hAnsi="宋体" w:eastAsia="仿宋"/>
                <w:color w:val="000000"/>
                <w:sz w:val="24"/>
                <w:highlight w:val="none"/>
              </w:rPr>
              <w:t>公告内容：按照财政部《政府采购公告和公示信息格式规范（2020年版）》中的“中标（成交）结果公告”格式及内容编制</w:t>
            </w:r>
          </w:p>
        </w:tc>
      </w:tr>
      <w:tr w14:paraId="38F8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48D5CAD5">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7.2.2</w:t>
            </w:r>
          </w:p>
        </w:tc>
        <w:tc>
          <w:tcPr>
            <w:tcW w:w="1581" w:type="dxa"/>
            <w:noWrap w:val="0"/>
            <w:vAlign w:val="center"/>
          </w:tcPr>
          <w:p w14:paraId="2C3912E2">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招标代理服务费</w:t>
            </w:r>
          </w:p>
        </w:tc>
        <w:tc>
          <w:tcPr>
            <w:tcW w:w="7229" w:type="dxa"/>
            <w:noWrap w:val="0"/>
            <w:vAlign w:val="center"/>
          </w:tcPr>
          <w:p w14:paraId="731BAAB1">
            <w:pPr>
              <w:widowControl/>
              <w:adjustRightInd w:val="0"/>
              <w:snapToGrid w:val="0"/>
              <w:spacing w:line="288" w:lineRule="auto"/>
              <w:rPr>
                <w:rFonts w:hint="eastAsia" w:ascii="楷体" w:hAnsi="楷体" w:eastAsia="仿宋" w:cs="Calibri"/>
                <w:color w:val="000000"/>
                <w:sz w:val="24"/>
                <w:highlight w:val="none"/>
              </w:rPr>
            </w:pPr>
            <w:r>
              <w:rPr>
                <w:rFonts w:hint="eastAsia" w:ascii="楷体" w:hAnsi="楷体" w:eastAsia="仿宋" w:cs="Calibri"/>
                <w:color w:val="000000"/>
                <w:sz w:val="24"/>
                <w:highlight w:val="none"/>
              </w:rPr>
              <w:t>参照国家发展改革委发改价格</w:t>
            </w:r>
            <w:r>
              <w:rPr>
                <w:rFonts w:hint="eastAsia" w:ascii="宋体" w:hAnsi="宋体" w:eastAsia="仿宋" w:cs="宋体"/>
                <w:color w:val="000000"/>
                <w:sz w:val="24"/>
                <w:highlight w:val="none"/>
              </w:rPr>
              <w:t>〔</w:t>
            </w:r>
            <w:r>
              <w:rPr>
                <w:rFonts w:hint="eastAsia" w:ascii="楷体" w:hAnsi="楷体" w:eastAsia="仿宋" w:cs="Calibri"/>
                <w:color w:val="000000"/>
                <w:sz w:val="24"/>
                <w:highlight w:val="none"/>
              </w:rPr>
              <w:t>2011</w:t>
            </w:r>
            <w:r>
              <w:rPr>
                <w:rFonts w:hint="eastAsia" w:ascii="宋体" w:hAnsi="宋体" w:eastAsia="仿宋" w:cs="宋体"/>
                <w:color w:val="000000"/>
                <w:sz w:val="24"/>
                <w:highlight w:val="none"/>
              </w:rPr>
              <w:t>〕</w:t>
            </w:r>
            <w:r>
              <w:rPr>
                <w:rFonts w:hint="eastAsia" w:ascii="楷体" w:hAnsi="楷体" w:eastAsia="仿宋" w:cs="Calibri"/>
                <w:color w:val="000000"/>
                <w:sz w:val="24"/>
                <w:highlight w:val="none"/>
              </w:rPr>
              <w:t>534号文件、发改办价格</w:t>
            </w:r>
            <w:r>
              <w:rPr>
                <w:rFonts w:hint="eastAsia" w:ascii="宋体" w:hAnsi="宋体" w:eastAsia="仿宋" w:cs="宋体"/>
                <w:color w:val="000000"/>
                <w:sz w:val="24"/>
                <w:highlight w:val="none"/>
              </w:rPr>
              <w:t>〔</w:t>
            </w:r>
            <w:r>
              <w:rPr>
                <w:rFonts w:hint="eastAsia" w:ascii="楷体" w:hAnsi="楷体" w:eastAsia="仿宋" w:cs="Calibri"/>
                <w:color w:val="000000"/>
                <w:sz w:val="24"/>
                <w:highlight w:val="none"/>
              </w:rPr>
              <w:t>2003</w:t>
            </w:r>
            <w:r>
              <w:rPr>
                <w:rFonts w:hint="eastAsia" w:ascii="宋体" w:hAnsi="宋体" w:eastAsia="仿宋" w:cs="宋体"/>
                <w:color w:val="000000"/>
                <w:sz w:val="24"/>
                <w:highlight w:val="none"/>
              </w:rPr>
              <w:t>〕</w:t>
            </w:r>
            <w:r>
              <w:rPr>
                <w:rFonts w:hint="eastAsia" w:ascii="楷体" w:hAnsi="楷体" w:eastAsia="仿宋" w:cs="Calibri"/>
                <w:color w:val="000000"/>
                <w:sz w:val="24"/>
                <w:highlight w:val="none"/>
              </w:rPr>
              <w:t>857号文件、计价格</w:t>
            </w:r>
            <w:r>
              <w:rPr>
                <w:rFonts w:hint="eastAsia" w:ascii="宋体" w:hAnsi="宋体" w:eastAsia="仿宋" w:cs="宋体"/>
                <w:color w:val="000000"/>
                <w:sz w:val="24"/>
                <w:highlight w:val="none"/>
              </w:rPr>
              <w:t>〔</w:t>
            </w:r>
            <w:r>
              <w:rPr>
                <w:rFonts w:hint="eastAsia" w:ascii="楷体" w:hAnsi="楷体" w:eastAsia="仿宋" w:cs="Calibri"/>
                <w:color w:val="000000"/>
                <w:sz w:val="24"/>
                <w:highlight w:val="none"/>
              </w:rPr>
              <w:t>2002</w:t>
            </w:r>
            <w:r>
              <w:rPr>
                <w:rFonts w:hint="eastAsia" w:ascii="宋体" w:hAnsi="宋体" w:eastAsia="仿宋" w:cs="宋体"/>
                <w:color w:val="000000"/>
                <w:sz w:val="24"/>
                <w:highlight w:val="none"/>
              </w:rPr>
              <w:t>〕</w:t>
            </w:r>
            <w:r>
              <w:rPr>
                <w:rFonts w:hint="eastAsia" w:ascii="楷体" w:hAnsi="楷体" w:eastAsia="仿宋" w:cs="Calibri"/>
                <w:color w:val="000000"/>
                <w:sz w:val="24"/>
                <w:highlight w:val="none"/>
              </w:rPr>
              <w:t>1980号文件规定收费标准的7</w:t>
            </w:r>
            <w:r>
              <w:rPr>
                <w:rFonts w:ascii="楷体" w:hAnsi="楷体" w:eastAsia="仿宋" w:cs="Calibri"/>
                <w:color w:val="000000"/>
                <w:sz w:val="24"/>
                <w:highlight w:val="none"/>
              </w:rPr>
              <w:t>5%</w:t>
            </w:r>
            <w:r>
              <w:rPr>
                <w:rFonts w:hint="eastAsia" w:ascii="楷体" w:hAnsi="楷体" w:eastAsia="仿宋" w:cs="Calibri"/>
                <w:color w:val="000000"/>
                <w:sz w:val="24"/>
                <w:highlight w:val="none"/>
              </w:rPr>
              <w:t>计取，由中标人在领取中标通知书时，向采购代理机构支付。</w:t>
            </w:r>
          </w:p>
        </w:tc>
      </w:tr>
      <w:tr w14:paraId="37D3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1CCE53A6">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7.3.1</w:t>
            </w:r>
          </w:p>
        </w:tc>
        <w:tc>
          <w:tcPr>
            <w:tcW w:w="1581" w:type="dxa"/>
            <w:noWrap w:val="0"/>
            <w:vAlign w:val="center"/>
          </w:tcPr>
          <w:p w14:paraId="30A0AD20">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履约保证金</w:t>
            </w:r>
          </w:p>
        </w:tc>
        <w:tc>
          <w:tcPr>
            <w:tcW w:w="7229" w:type="dxa"/>
            <w:noWrap w:val="0"/>
            <w:vAlign w:val="top"/>
          </w:tcPr>
          <w:p w14:paraId="3D4E6D33">
            <w:pPr>
              <w:kinsoku w:val="0"/>
              <w:overflowPunct w:val="0"/>
              <w:autoSpaceDE w:val="0"/>
              <w:autoSpaceDN w:val="0"/>
              <w:adjustRightInd w:val="0"/>
              <w:snapToGrid w:val="0"/>
              <w:spacing w:line="288" w:lineRule="auto"/>
              <w:rPr>
                <w:rFonts w:hint="eastAsia" w:eastAsia="仿宋"/>
                <w:color w:val="000000"/>
                <w:sz w:val="24"/>
                <w:highlight w:val="none"/>
              </w:rPr>
            </w:pPr>
            <w:r>
              <w:rPr>
                <w:rFonts w:hint="eastAsia" w:eastAsia="仿宋"/>
                <w:color w:val="000000"/>
                <w:sz w:val="24"/>
                <w:highlight w:val="none"/>
              </w:rPr>
              <w:t>是否要求投标人提交履约保证金：</w:t>
            </w:r>
          </w:p>
          <w:p w14:paraId="026D20E2">
            <w:pPr>
              <w:kinsoku w:val="0"/>
              <w:overflowPunct w:val="0"/>
              <w:autoSpaceDE w:val="0"/>
              <w:autoSpaceDN w:val="0"/>
              <w:adjustRightInd w:val="0"/>
              <w:snapToGrid w:val="0"/>
              <w:spacing w:line="288" w:lineRule="auto"/>
              <w:rPr>
                <w:rFonts w:hint="eastAsia" w:ascii="宋体" w:hAnsi="宋体" w:eastAsia="仿宋"/>
                <w:color w:val="000000"/>
                <w:sz w:val="24"/>
                <w:highlight w:val="none"/>
              </w:rPr>
            </w:pPr>
            <w:r>
              <w:rPr>
                <w:rFonts w:hint="eastAsia" w:ascii="宋体" w:hAnsi="宋体" w:eastAsia="仿宋"/>
                <w:color w:val="000000"/>
                <w:sz w:val="24"/>
                <w:highlight w:val="none"/>
                <w:lang w:eastAsia="zh-CN"/>
              </w:rPr>
              <w:t>☑</w:t>
            </w:r>
            <w:r>
              <w:rPr>
                <w:rFonts w:hint="eastAsia" w:eastAsia="仿宋"/>
                <w:color w:val="000000"/>
                <w:sz w:val="24"/>
                <w:highlight w:val="none"/>
              </w:rPr>
              <w:t>不要求。</w:t>
            </w:r>
          </w:p>
          <w:p w14:paraId="341C2890">
            <w:pPr>
              <w:widowControl/>
              <w:adjustRightInd w:val="0"/>
              <w:snapToGrid w:val="0"/>
              <w:spacing w:line="288" w:lineRule="auto"/>
              <w:rPr>
                <w:rFonts w:ascii="宋体" w:hAnsi="宋体" w:eastAsia="仿宋"/>
                <w:color w:val="000000"/>
                <w:sz w:val="24"/>
                <w:highlight w:val="none"/>
              </w:rPr>
            </w:pPr>
            <w:r>
              <w:rPr>
                <w:rFonts w:ascii="楷体" w:hAnsi="楷体" w:eastAsia="仿宋"/>
                <w:bCs/>
                <w:color w:val="000000"/>
                <w:sz w:val="24"/>
                <w:highlight w:val="none"/>
              </w:rPr>
              <w:fldChar w:fldCharType="begin"/>
            </w:r>
            <w:r>
              <w:rPr>
                <w:rFonts w:ascii="楷体" w:hAnsi="楷体" w:eastAsia="仿宋"/>
                <w:bCs/>
                <w:color w:val="000000"/>
                <w:sz w:val="24"/>
                <w:highlight w:val="none"/>
              </w:rPr>
              <w:instrText xml:space="preserve"> </w:instrText>
            </w:r>
            <w:r>
              <w:rPr>
                <w:rFonts w:hint="eastAsia" w:ascii="楷体" w:hAnsi="楷体" w:eastAsia="仿宋"/>
                <w:bCs/>
                <w:color w:val="000000"/>
                <w:sz w:val="24"/>
                <w:highlight w:val="none"/>
              </w:rPr>
              <w:instrText xml:space="preserve">eq \o\ac(□)</w:instrText>
            </w:r>
            <w:r>
              <w:rPr>
                <w:rFonts w:ascii="楷体" w:hAnsi="楷体" w:eastAsia="仿宋"/>
                <w:bCs/>
                <w:color w:val="000000"/>
                <w:sz w:val="24"/>
                <w:highlight w:val="none"/>
              </w:rPr>
              <w:fldChar w:fldCharType="end"/>
            </w:r>
            <w:r>
              <w:rPr>
                <w:rFonts w:hint="eastAsia" w:eastAsia="仿宋"/>
                <w:color w:val="000000"/>
                <w:sz w:val="24"/>
                <w:highlight w:val="none"/>
              </w:rPr>
              <w:t>要求，</w:t>
            </w:r>
            <w:r>
              <w:rPr>
                <w:rFonts w:ascii="宋体" w:hAnsi="宋体" w:eastAsia="仿宋"/>
                <w:color w:val="000000"/>
                <w:sz w:val="24"/>
                <w:highlight w:val="none"/>
              </w:rPr>
              <w:t>履约保证金的形式：</w:t>
            </w:r>
            <w:r>
              <w:rPr>
                <w:rFonts w:hint="eastAsia" w:ascii="楷体" w:hAnsi="楷体" w:eastAsia="仿宋"/>
                <w:color w:val="000000"/>
                <w:sz w:val="24"/>
                <w:highlight w:val="none"/>
              </w:rPr>
              <w:t>保函（格式：见招标文件第五章附件）、转账/电汇、支票、汇票、本票、保险</w:t>
            </w:r>
          </w:p>
          <w:p w14:paraId="6440998B">
            <w:pPr>
              <w:widowControl/>
              <w:adjustRightInd w:val="0"/>
              <w:snapToGrid w:val="0"/>
              <w:spacing w:line="288" w:lineRule="auto"/>
              <w:rPr>
                <w:rFonts w:hint="eastAsia" w:ascii="宋体" w:hAnsi="宋体" w:eastAsia="仿宋"/>
                <w:color w:val="000000"/>
                <w:sz w:val="24"/>
                <w:highlight w:val="none"/>
              </w:rPr>
            </w:pPr>
            <w:r>
              <w:rPr>
                <w:rFonts w:ascii="宋体" w:hAnsi="宋体" w:eastAsia="仿宋"/>
                <w:color w:val="000000"/>
                <w:sz w:val="24"/>
                <w:highlight w:val="none"/>
              </w:rPr>
              <w:t>履约保证金的金额：</w:t>
            </w:r>
            <w:r>
              <w:rPr>
                <w:rFonts w:hint="eastAsia" w:ascii="楷体" w:hAnsi="楷体" w:eastAsia="仿宋"/>
                <w:color w:val="000000"/>
                <w:sz w:val="24"/>
                <w:highlight w:val="none"/>
              </w:rPr>
              <w:t>合同金额的2.5%</w:t>
            </w:r>
          </w:p>
          <w:p w14:paraId="77BE82A8">
            <w:pPr>
              <w:pStyle w:val="24"/>
              <w:widowControl/>
              <w:adjustRightInd w:val="0"/>
              <w:snapToGrid w:val="0"/>
              <w:spacing w:line="288" w:lineRule="auto"/>
              <w:rPr>
                <w:rFonts w:hint="eastAsia" w:ascii="楷体" w:hAnsi="楷体" w:eastAsia="仿宋"/>
                <w:color w:val="000000"/>
                <w:sz w:val="24"/>
                <w:szCs w:val="24"/>
                <w:highlight w:val="none"/>
              </w:rPr>
            </w:pPr>
            <w:r>
              <w:rPr>
                <w:rFonts w:hint="eastAsia" w:hAnsi="宋体" w:eastAsia="仿宋"/>
                <w:color w:val="000000"/>
                <w:sz w:val="24"/>
                <w:szCs w:val="24"/>
                <w:highlight w:val="none"/>
              </w:rPr>
              <w:t>履约保证金提交时间：采购</w:t>
            </w:r>
            <w:r>
              <w:rPr>
                <w:rFonts w:hint="eastAsia" w:ascii="楷体" w:hAnsi="楷体" w:eastAsia="仿宋"/>
                <w:color w:val="000000"/>
                <w:sz w:val="24"/>
                <w:szCs w:val="24"/>
                <w:highlight w:val="none"/>
              </w:rPr>
              <w:t>合同签订前</w:t>
            </w:r>
          </w:p>
          <w:p w14:paraId="2F1EC476">
            <w:pPr>
              <w:pStyle w:val="24"/>
              <w:widowControl/>
              <w:adjustRightInd w:val="0"/>
              <w:snapToGrid w:val="0"/>
              <w:spacing w:line="288" w:lineRule="auto"/>
              <w:rPr>
                <w:rFonts w:hint="eastAsia" w:ascii="楷体" w:hAnsi="楷体" w:eastAsia="仿宋"/>
                <w:color w:val="000000"/>
                <w:sz w:val="24"/>
                <w:szCs w:val="24"/>
                <w:highlight w:val="none"/>
              </w:rPr>
            </w:pPr>
            <w:r>
              <w:rPr>
                <w:rFonts w:hint="eastAsia" w:hAnsi="宋体" w:eastAsia="仿宋"/>
                <w:color w:val="000000"/>
                <w:sz w:val="24"/>
                <w:szCs w:val="24"/>
                <w:highlight w:val="none"/>
              </w:rPr>
              <w:t>履约保证金退还时间：</w:t>
            </w:r>
            <w:r>
              <w:rPr>
                <w:rFonts w:hint="eastAsia" w:ascii="楷体" w:hAnsi="楷体" w:eastAsia="仿宋"/>
                <w:color w:val="000000"/>
                <w:sz w:val="24"/>
                <w:szCs w:val="24"/>
                <w:highlight w:val="none"/>
              </w:rPr>
              <w:t>验收合格后退还</w:t>
            </w:r>
          </w:p>
          <w:p w14:paraId="4A7723E4">
            <w:pPr>
              <w:pStyle w:val="24"/>
              <w:widowControl/>
              <w:adjustRightInd w:val="0"/>
              <w:snapToGrid w:val="0"/>
              <w:spacing w:line="288" w:lineRule="auto"/>
              <w:rPr>
                <w:rFonts w:hint="eastAsia" w:hAnsi="宋体" w:eastAsia="仿宋"/>
                <w:color w:val="000000"/>
                <w:sz w:val="24"/>
                <w:szCs w:val="24"/>
                <w:highlight w:val="none"/>
              </w:rPr>
            </w:pPr>
            <w:r>
              <w:rPr>
                <w:rFonts w:hint="eastAsia" w:hAnsi="宋体" w:eastAsia="仿宋"/>
                <w:color w:val="000000"/>
                <w:sz w:val="24"/>
                <w:szCs w:val="24"/>
                <w:highlight w:val="none"/>
              </w:rPr>
              <w:t>未按规定提交履约保证金，视为中标人拒绝与采购人签订合同。采购人可按评标委员会推荐的中标候选人名单排序确定下一候选人为中标人，或者重新开展采购活动。</w:t>
            </w:r>
          </w:p>
          <w:p w14:paraId="1DDF5377">
            <w:pPr>
              <w:pStyle w:val="24"/>
              <w:widowControl/>
              <w:adjustRightInd w:val="0"/>
              <w:snapToGrid w:val="0"/>
              <w:spacing w:line="288" w:lineRule="auto"/>
              <w:rPr>
                <w:rFonts w:hint="eastAsia" w:hAnsi="宋体" w:eastAsia="仿宋"/>
                <w:color w:val="000000"/>
                <w:sz w:val="24"/>
                <w:szCs w:val="24"/>
                <w:highlight w:val="none"/>
              </w:rPr>
            </w:pPr>
          </w:p>
          <w:p w14:paraId="62C4F31D">
            <w:pPr>
              <w:widowControl/>
              <w:adjustRightInd w:val="0"/>
              <w:snapToGrid w:val="0"/>
              <w:spacing w:line="288" w:lineRule="auto"/>
              <w:rPr>
                <w:rFonts w:hint="eastAsia" w:ascii="宋体" w:hAnsi="宋体" w:eastAsia="仿宋" w:cs="Calibri"/>
                <w:color w:val="000000"/>
                <w:sz w:val="24"/>
                <w:highlight w:val="none"/>
              </w:rPr>
            </w:pPr>
            <w:r>
              <w:rPr>
                <w:rFonts w:hint="eastAsia" w:ascii="宋体" w:hAnsi="宋体" w:eastAsia="仿宋" w:cs="Calibri"/>
                <w:color w:val="000000"/>
                <w:sz w:val="24"/>
                <w:highlight w:val="none"/>
              </w:rPr>
              <w:t>保函要求：</w:t>
            </w:r>
          </w:p>
          <w:p w14:paraId="1D956BCF">
            <w:pPr>
              <w:widowControl/>
              <w:adjustRightInd w:val="0"/>
              <w:snapToGrid w:val="0"/>
              <w:spacing w:line="288" w:lineRule="auto"/>
              <w:rPr>
                <w:rFonts w:ascii="宋体" w:hAnsi="宋体" w:eastAsia="仿宋" w:cs="Calibri"/>
                <w:color w:val="000000"/>
                <w:sz w:val="24"/>
                <w:highlight w:val="none"/>
              </w:rPr>
            </w:pPr>
            <w:r>
              <w:rPr>
                <w:rFonts w:hint="eastAsia" w:ascii="宋体" w:hAnsi="宋体" w:eastAsia="仿宋" w:cs="Calibri"/>
                <w:color w:val="000000"/>
                <w:sz w:val="24"/>
                <w:highlight w:val="none"/>
              </w:rPr>
              <w:t>（1）中标人提供保函的受益人和收取单位须为采购人，担保期限不少于合同履约期限。</w:t>
            </w:r>
          </w:p>
          <w:p w14:paraId="62B7E39C">
            <w:pPr>
              <w:widowControl/>
              <w:adjustRightInd w:val="0"/>
              <w:snapToGrid w:val="0"/>
              <w:spacing w:line="288" w:lineRule="auto"/>
              <w:rPr>
                <w:rFonts w:ascii="宋体" w:hAnsi="宋体" w:cs="Calibri"/>
                <w:color w:val="000000"/>
                <w:sz w:val="24"/>
                <w:highlight w:val="none"/>
              </w:rPr>
            </w:pPr>
            <w:r>
              <w:rPr>
                <w:rFonts w:hint="eastAsia" w:ascii="宋体" w:hAnsi="宋体" w:eastAsia="仿宋" w:cs="Calibri"/>
                <w:color w:val="000000"/>
                <w:sz w:val="24"/>
                <w:highlight w:val="none"/>
              </w:rPr>
              <w:t>（2）保函形式：☑银行保函☑担保机构担保</w:t>
            </w:r>
            <w:r>
              <w:rPr>
                <w:rFonts w:hint="eastAsia" w:ascii="MS Mincho" w:hAnsi="MS Mincho" w:eastAsia="MS Mincho" w:cs="MS Mincho"/>
                <w:color w:val="000000"/>
                <w:sz w:val="24"/>
                <w:highlight w:val="none"/>
              </w:rPr>
              <w:t>☑</w:t>
            </w:r>
            <w:r>
              <w:rPr>
                <w:rFonts w:hint="eastAsia" w:ascii="宋体" w:hAnsi="宋体" w:eastAsia="仿宋" w:cs="Calibri"/>
                <w:color w:val="000000"/>
                <w:sz w:val="24"/>
                <w:highlight w:val="none"/>
              </w:rPr>
              <w:t>保证保险</w:t>
            </w:r>
            <w:r>
              <w:rPr>
                <w:rFonts w:hint="eastAsia" w:ascii="MS Mincho" w:hAnsi="MS Mincho" w:eastAsia="MS Mincho" w:cs="MS Mincho"/>
                <w:color w:val="000000"/>
                <w:sz w:val="24"/>
                <w:highlight w:val="none"/>
              </w:rPr>
              <w:t>☑</w:t>
            </w:r>
            <w:r>
              <w:rPr>
                <w:rFonts w:hint="eastAsia" w:ascii="宋体" w:hAnsi="宋体" w:eastAsia="仿宋" w:cs="Calibri"/>
                <w:color w:val="000000"/>
                <w:sz w:val="24"/>
                <w:highlight w:val="none"/>
              </w:rPr>
              <w:t>电子保函</w:t>
            </w:r>
          </w:p>
          <w:p w14:paraId="43C37B17">
            <w:pPr>
              <w:widowControl/>
              <w:adjustRightInd w:val="0"/>
              <w:snapToGrid w:val="0"/>
              <w:spacing w:line="288" w:lineRule="auto"/>
              <w:rPr>
                <w:rFonts w:hint="eastAsia" w:ascii="宋体" w:hAnsi="宋体" w:eastAsia="仿宋" w:cs="Calibri"/>
                <w:color w:val="000000"/>
                <w:sz w:val="24"/>
                <w:highlight w:val="none"/>
              </w:rPr>
            </w:pPr>
            <w:r>
              <w:rPr>
                <w:rFonts w:hint="eastAsia" w:ascii="宋体" w:hAnsi="宋体" w:eastAsia="仿宋" w:cs="Calibri"/>
                <w:color w:val="000000"/>
                <w:sz w:val="24"/>
                <w:highlight w:val="none"/>
              </w:rPr>
              <w:t>（3）保函递交要求：</w:t>
            </w:r>
          </w:p>
          <w:p w14:paraId="143ED3A0">
            <w:pPr>
              <w:widowControl/>
              <w:adjustRightInd w:val="0"/>
              <w:snapToGrid w:val="0"/>
              <w:spacing w:line="288" w:lineRule="auto"/>
              <w:rPr>
                <w:rFonts w:hint="eastAsia" w:ascii="宋体" w:hAnsi="宋体" w:eastAsia="仿宋" w:cs="Calibri"/>
                <w:color w:val="000000"/>
                <w:sz w:val="24"/>
                <w:highlight w:val="none"/>
              </w:rPr>
            </w:pPr>
            <w:r>
              <w:rPr>
                <w:rFonts w:hint="eastAsia" w:ascii="宋体" w:hAnsi="宋体" w:eastAsia="仿宋" w:cs="Calibri"/>
                <w:color w:val="000000"/>
                <w:sz w:val="24"/>
                <w:highlight w:val="none"/>
              </w:rPr>
              <w:t>①如采用银行保函，银行保函应为见索即付无条件独立保函，且应将原件交至采购人保管。</w:t>
            </w:r>
          </w:p>
          <w:p w14:paraId="68503D6A">
            <w:pPr>
              <w:widowControl/>
              <w:adjustRightInd w:val="0"/>
              <w:snapToGrid w:val="0"/>
              <w:spacing w:line="288" w:lineRule="auto"/>
              <w:rPr>
                <w:rFonts w:hint="eastAsia" w:ascii="宋体" w:hAnsi="宋体" w:eastAsia="仿宋" w:cs="Calibri"/>
                <w:color w:val="000000"/>
                <w:sz w:val="24"/>
                <w:highlight w:val="none"/>
              </w:rPr>
            </w:pPr>
            <w:r>
              <w:rPr>
                <w:rFonts w:hint="eastAsia" w:ascii="宋体" w:hAnsi="宋体" w:eastAsia="仿宋" w:cs="Calibri"/>
                <w:color w:val="000000"/>
                <w:sz w:val="24"/>
                <w:highlight w:val="none"/>
              </w:rPr>
              <w:t>②采用担保机构担保的，应为依法取得融资担保业务经营许可证的融资担保机构出具的不可撤销、不可转让的见索即付独立保函。</w:t>
            </w:r>
          </w:p>
          <w:p w14:paraId="73E009C3">
            <w:pPr>
              <w:widowControl/>
              <w:adjustRightInd w:val="0"/>
              <w:snapToGrid w:val="0"/>
              <w:spacing w:line="288" w:lineRule="auto"/>
              <w:rPr>
                <w:rFonts w:hint="eastAsia" w:ascii="宋体" w:hAnsi="宋体" w:eastAsia="仿宋" w:cs="Calibri"/>
                <w:color w:val="000000"/>
                <w:sz w:val="24"/>
                <w:highlight w:val="none"/>
              </w:rPr>
            </w:pPr>
            <w:r>
              <w:rPr>
                <w:rFonts w:hint="eastAsia" w:ascii="宋体" w:hAnsi="宋体" w:eastAsia="仿宋" w:cs="Calibri"/>
                <w:color w:val="000000"/>
                <w:sz w:val="24"/>
                <w:highlight w:val="none"/>
              </w:rPr>
              <w:t>③采用保证保险的，应为保险公司出具的不可撤销、不可转让的见索即付保证保险。</w:t>
            </w:r>
          </w:p>
          <w:p w14:paraId="3AEFAABC">
            <w:pPr>
              <w:widowControl/>
              <w:adjustRightInd w:val="0"/>
              <w:snapToGrid w:val="0"/>
              <w:spacing w:line="288" w:lineRule="auto"/>
              <w:rPr>
                <w:rFonts w:hint="eastAsia" w:ascii="宋体" w:hAnsi="宋体" w:eastAsia="仿宋" w:cs="Calibri"/>
                <w:color w:val="000000"/>
                <w:sz w:val="24"/>
                <w:highlight w:val="none"/>
              </w:rPr>
            </w:pPr>
            <w:r>
              <w:rPr>
                <w:rFonts w:hint="eastAsia" w:ascii="仿宋" w:hAnsi="仿宋" w:eastAsia="仿宋" w:cs="仿宋"/>
                <w:color w:val="000000"/>
                <w:sz w:val="24"/>
                <w:highlight w:val="none"/>
                <w:lang w:bidi="ar"/>
              </w:rPr>
              <w:t>④</w:t>
            </w:r>
            <w:r>
              <w:rPr>
                <w:rFonts w:hint="eastAsia" w:ascii="宋体" w:hAnsi="宋体" w:eastAsia="仿宋" w:cs="Calibri"/>
                <w:color w:val="000000"/>
                <w:sz w:val="24"/>
                <w:highlight w:val="none"/>
                <w:lang w:bidi="ar"/>
              </w:rPr>
              <w:t>采用电子保函的，</w:t>
            </w:r>
            <w:r>
              <w:rPr>
                <w:rFonts w:hint="eastAsia" w:ascii="宋体" w:hAnsi="宋体" w:eastAsia="仿宋"/>
                <w:color w:val="000000"/>
                <w:sz w:val="24"/>
                <w:highlight w:val="none"/>
              </w:rPr>
              <w:t>可访问安徽省政府采购网“融资/保函”栏目进行申请。</w:t>
            </w:r>
          </w:p>
        </w:tc>
      </w:tr>
      <w:tr w14:paraId="73647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7DA00F62">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7.4.1</w:t>
            </w:r>
          </w:p>
        </w:tc>
        <w:tc>
          <w:tcPr>
            <w:tcW w:w="1581" w:type="dxa"/>
            <w:noWrap w:val="0"/>
            <w:vAlign w:val="center"/>
          </w:tcPr>
          <w:p w14:paraId="58598B0E">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合同签订时间</w:t>
            </w:r>
          </w:p>
        </w:tc>
        <w:tc>
          <w:tcPr>
            <w:tcW w:w="7229" w:type="dxa"/>
            <w:noWrap w:val="0"/>
            <w:vAlign w:val="center"/>
          </w:tcPr>
          <w:p w14:paraId="76C890DD">
            <w:pPr>
              <w:pStyle w:val="24"/>
              <w:widowControl/>
              <w:adjustRightInd w:val="0"/>
              <w:snapToGrid w:val="0"/>
              <w:spacing w:line="288" w:lineRule="auto"/>
              <w:rPr>
                <w:rFonts w:hint="eastAsia" w:hAnsi="宋体"/>
                <w:color w:val="000000"/>
                <w:sz w:val="24"/>
                <w:szCs w:val="24"/>
                <w:highlight w:val="none"/>
              </w:rPr>
            </w:pPr>
            <w:r>
              <w:rPr>
                <w:rFonts w:hint="eastAsia" w:ascii="楷体" w:hAnsi="楷体" w:eastAsia="仿宋" w:cs="楷体"/>
                <w:color w:val="000000"/>
                <w:sz w:val="24"/>
                <w:szCs w:val="24"/>
                <w:highlight w:val="none"/>
              </w:rPr>
              <w:t>中标结果公告发布（中标通知书发出）之日起7个工作日内</w:t>
            </w:r>
          </w:p>
        </w:tc>
      </w:tr>
      <w:tr w14:paraId="5ADE0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4E755A79">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9.1.1</w:t>
            </w:r>
          </w:p>
        </w:tc>
        <w:tc>
          <w:tcPr>
            <w:tcW w:w="1581" w:type="dxa"/>
            <w:noWrap w:val="0"/>
            <w:vAlign w:val="center"/>
          </w:tcPr>
          <w:p w14:paraId="02FDC537">
            <w:pPr>
              <w:widowControl/>
              <w:adjustRightInd w:val="0"/>
              <w:snapToGrid w:val="0"/>
              <w:spacing w:line="288" w:lineRule="auto"/>
              <w:jc w:val="center"/>
              <w:rPr>
                <w:rFonts w:ascii="宋体" w:hAnsi="宋体" w:eastAsia="仿宋" w:cs="Calibri"/>
                <w:color w:val="000000"/>
                <w:sz w:val="24"/>
                <w:highlight w:val="none"/>
              </w:rPr>
            </w:pPr>
            <w:r>
              <w:rPr>
                <w:rFonts w:eastAsia="仿宋"/>
                <w:color w:val="000000"/>
                <w:sz w:val="24"/>
                <w:highlight w:val="none"/>
              </w:rPr>
              <w:t>投标人</w:t>
            </w:r>
            <w:r>
              <w:rPr>
                <w:rFonts w:hint="eastAsia" w:eastAsia="仿宋"/>
                <w:color w:val="000000"/>
                <w:sz w:val="24"/>
                <w:highlight w:val="none"/>
              </w:rPr>
              <w:t>提出询问</w:t>
            </w:r>
            <w:r>
              <w:rPr>
                <w:rFonts w:hint="eastAsia" w:ascii="宋体" w:hAnsi="宋体" w:eastAsia="仿宋" w:cs="Calibri"/>
                <w:color w:val="000000"/>
                <w:sz w:val="24"/>
                <w:highlight w:val="none"/>
              </w:rPr>
              <w:t>的时间</w:t>
            </w:r>
          </w:p>
        </w:tc>
        <w:tc>
          <w:tcPr>
            <w:tcW w:w="7229" w:type="dxa"/>
            <w:noWrap w:val="0"/>
            <w:vAlign w:val="center"/>
          </w:tcPr>
          <w:p w14:paraId="020C2C1F">
            <w:pPr>
              <w:widowControl/>
              <w:adjustRightInd w:val="0"/>
              <w:snapToGrid w:val="0"/>
              <w:spacing w:line="288" w:lineRule="auto"/>
              <w:rPr>
                <w:rFonts w:hint="eastAsia" w:ascii="宋体" w:hAnsi="宋体" w:eastAsia="仿宋" w:cs="Calibri"/>
                <w:color w:val="000000"/>
                <w:sz w:val="24"/>
                <w:highlight w:val="none"/>
              </w:rPr>
            </w:pPr>
            <w:r>
              <w:rPr>
                <w:rFonts w:hint="eastAsia" w:eastAsia="仿宋"/>
                <w:color w:val="000000"/>
                <w:sz w:val="24"/>
                <w:highlight w:val="none"/>
              </w:rPr>
              <w:t>提出</w:t>
            </w:r>
            <w:r>
              <w:rPr>
                <w:rFonts w:hint="eastAsia" w:ascii="宋体" w:hAnsi="宋体" w:eastAsia="仿宋" w:cs="Calibri"/>
                <w:color w:val="000000"/>
                <w:sz w:val="24"/>
                <w:highlight w:val="none"/>
              </w:rPr>
              <w:t>时间：</w:t>
            </w:r>
            <w:r>
              <w:rPr>
                <w:rFonts w:ascii="楷体" w:hAnsi="楷体" w:eastAsia="仿宋"/>
                <w:color w:val="000000"/>
                <w:sz w:val="24"/>
                <w:highlight w:val="none"/>
              </w:rPr>
              <w:t>在</w:t>
            </w:r>
            <w:r>
              <w:rPr>
                <w:rFonts w:hint="eastAsia" w:ascii="楷体" w:hAnsi="楷体" w:eastAsia="仿宋"/>
                <w:color w:val="000000"/>
                <w:sz w:val="24"/>
                <w:highlight w:val="none"/>
              </w:rPr>
              <w:t>投标截止时间16日</w:t>
            </w:r>
            <w:r>
              <w:rPr>
                <w:rFonts w:ascii="楷体" w:hAnsi="楷体" w:eastAsia="仿宋"/>
                <w:color w:val="000000"/>
                <w:sz w:val="24"/>
                <w:highlight w:val="none"/>
              </w:rPr>
              <w:t>前（以收到日期为准）</w:t>
            </w:r>
          </w:p>
          <w:p w14:paraId="1B03F865">
            <w:pPr>
              <w:widowControl/>
              <w:adjustRightInd w:val="0"/>
              <w:snapToGrid w:val="0"/>
              <w:spacing w:line="288" w:lineRule="auto"/>
              <w:rPr>
                <w:rFonts w:hint="eastAsia" w:ascii="楷体" w:hAnsi="楷体" w:eastAsia="仿宋"/>
                <w:color w:val="000000"/>
                <w:sz w:val="24"/>
                <w:highlight w:val="none"/>
                <w:u w:val="single"/>
              </w:rPr>
            </w:pPr>
            <w:r>
              <w:rPr>
                <w:rFonts w:hint="eastAsia" w:ascii="宋体" w:hAnsi="宋体" w:eastAsia="仿宋"/>
                <w:color w:val="000000"/>
                <w:sz w:val="24"/>
                <w:highlight w:val="none"/>
              </w:rPr>
              <w:t>询问函格式：见本章附件二</w:t>
            </w:r>
          </w:p>
        </w:tc>
      </w:tr>
      <w:tr w14:paraId="59F9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7B3AA619">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9.2.1</w:t>
            </w:r>
          </w:p>
        </w:tc>
        <w:tc>
          <w:tcPr>
            <w:tcW w:w="1581" w:type="dxa"/>
            <w:noWrap w:val="0"/>
            <w:vAlign w:val="center"/>
          </w:tcPr>
          <w:p w14:paraId="6C210054">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投标人提出质疑的时间</w:t>
            </w:r>
          </w:p>
        </w:tc>
        <w:tc>
          <w:tcPr>
            <w:tcW w:w="7229" w:type="dxa"/>
            <w:noWrap w:val="0"/>
            <w:vAlign w:val="center"/>
          </w:tcPr>
          <w:p w14:paraId="0A41FD38">
            <w:pPr>
              <w:widowControl/>
              <w:adjustRightInd w:val="0"/>
              <w:snapToGrid w:val="0"/>
              <w:spacing w:line="288" w:lineRule="auto"/>
              <w:rPr>
                <w:rFonts w:hint="eastAsia" w:ascii="宋体" w:hAnsi="宋体" w:eastAsia="仿宋" w:cs="Calibri"/>
                <w:color w:val="000000"/>
                <w:sz w:val="24"/>
                <w:highlight w:val="none"/>
                <w:u w:val="single"/>
              </w:rPr>
            </w:pPr>
            <w:r>
              <w:rPr>
                <w:rFonts w:hint="eastAsia" w:eastAsia="仿宋"/>
                <w:color w:val="000000"/>
                <w:sz w:val="24"/>
                <w:highlight w:val="none"/>
              </w:rPr>
              <w:t>提出</w:t>
            </w:r>
            <w:r>
              <w:rPr>
                <w:rFonts w:hint="eastAsia" w:ascii="宋体" w:hAnsi="宋体" w:eastAsia="仿宋" w:cs="Calibri"/>
                <w:color w:val="000000"/>
                <w:sz w:val="24"/>
                <w:highlight w:val="none"/>
              </w:rPr>
              <w:t>时间：</w:t>
            </w:r>
            <w:r>
              <w:rPr>
                <w:rFonts w:hint="eastAsia" w:ascii="楷体" w:hAnsi="楷体" w:eastAsia="仿宋" w:cs="Calibri"/>
                <w:color w:val="000000"/>
                <w:sz w:val="24"/>
                <w:highlight w:val="none"/>
              </w:rPr>
              <w:t>知道或者应知其权益受到损害之日起7个工作日内</w:t>
            </w:r>
          </w:p>
          <w:p w14:paraId="037CB8E5">
            <w:pPr>
              <w:widowControl/>
              <w:adjustRightInd w:val="0"/>
              <w:snapToGrid w:val="0"/>
              <w:spacing w:line="288" w:lineRule="auto"/>
              <w:rPr>
                <w:rFonts w:ascii="宋体" w:hAnsi="宋体" w:eastAsia="仿宋"/>
                <w:color w:val="000000"/>
                <w:sz w:val="24"/>
                <w:highlight w:val="none"/>
              </w:rPr>
            </w:pPr>
            <w:r>
              <w:rPr>
                <w:rFonts w:hint="eastAsia" w:ascii="宋体" w:hAnsi="宋体" w:eastAsia="仿宋"/>
                <w:color w:val="000000"/>
                <w:sz w:val="24"/>
                <w:highlight w:val="none"/>
              </w:rPr>
              <w:t>质疑函格式：见本章附件二</w:t>
            </w:r>
          </w:p>
        </w:tc>
      </w:tr>
      <w:tr w14:paraId="71095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671299BA">
            <w:pPr>
              <w:widowControl/>
              <w:adjustRightInd w:val="0"/>
              <w:snapToGrid w:val="0"/>
              <w:spacing w:line="288" w:lineRule="auto"/>
              <w:jc w:val="center"/>
              <w:rPr>
                <w:rFonts w:ascii="宋体" w:hAnsi="宋体" w:eastAsia="仿宋" w:cs="Calibri"/>
                <w:color w:val="000000"/>
                <w:sz w:val="24"/>
                <w:highlight w:val="none"/>
              </w:rPr>
            </w:pPr>
            <w:r>
              <w:rPr>
                <w:rFonts w:hint="eastAsia" w:ascii="宋体" w:hAnsi="宋体" w:eastAsia="仿宋" w:cs="Calibri"/>
                <w:color w:val="000000"/>
                <w:sz w:val="24"/>
                <w:highlight w:val="none"/>
              </w:rPr>
              <w:t>9.2.2</w:t>
            </w:r>
          </w:p>
        </w:tc>
        <w:tc>
          <w:tcPr>
            <w:tcW w:w="1581" w:type="dxa"/>
            <w:noWrap w:val="0"/>
            <w:vAlign w:val="center"/>
          </w:tcPr>
          <w:p w14:paraId="4B2C5620">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olor w:val="000000"/>
                <w:sz w:val="24"/>
                <w:highlight w:val="none"/>
              </w:rPr>
              <w:t>接收质疑的联系方式</w:t>
            </w:r>
          </w:p>
        </w:tc>
        <w:tc>
          <w:tcPr>
            <w:tcW w:w="7229" w:type="dxa"/>
            <w:noWrap w:val="0"/>
            <w:vAlign w:val="center"/>
          </w:tcPr>
          <w:p w14:paraId="1E9B812E">
            <w:pPr>
              <w:keepNext w:val="0"/>
              <w:keepLines w:val="0"/>
              <w:widowControl/>
              <w:suppressLineNumbers w:val="0"/>
              <w:adjustRightInd w:val="0"/>
              <w:snapToGrid w:val="0"/>
              <w:spacing w:before="0" w:beforeAutospacing="0" w:after="0" w:afterAutospacing="0" w:line="288" w:lineRule="auto"/>
              <w:ind w:left="0" w:right="0"/>
              <w:rPr>
                <w:rFonts w:hint="eastAsia" w:ascii="Times New Roman" w:hAnsi="Times New Roman" w:eastAsia="仿宋" w:cs="Times New Roman"/>
                <w:color w:val="000000"/>
                <w:sz w:val="24"/>
                <w:highlight w:val="none"/>
                <w:lang w:val="en-US" w:eastAsia="zh-CN"/>
              </w:rPr>
            </w:pPr>
            <w:r>
              <w:rPr>
                <w:rFonts w:hint="eastAsia" w:ascii="Times New Roman" w:hAnsi="Times New Roman" w:eastAsia="仿宋" w:cs="Times New Roman"/>
                <w:color w:val="000000"/>
                <w:sz w:val="24"/>
                <w:highlight w:val="none"/>
                <w:lang w:val="en-US" w:eastAsia="zh-CN"/>
              </w:rPr>
              <w:t>异议（质疑）材料递交地址：安徽省合肥市包河区紫云路888号安徽省招标集团总部基地407室。</w:t>
            </w:r>
          </w:p>
          <w:p w14:paraId="0EF282E8">
            <w:pPr>
              <w:keepNext w:val="0"/>
              <w:keepLines w:val="0"/>
              <w:widowControl/>
              <w:suppressLineNumbers w:val="0"/>
              <w:adjustRightInd w:val="0"/>
              <w:snapToGrid w:val="0"/>
              <w:spacing w:before="0" w:beforeAutospacing="0" w:after="0" w:afterAutospacing="0" w:line="288" w:lineRule="auto"/>
              <w:ind w:left="0" w:right="0"/>
              <w:rPr>
                <w:rFonts w:hint="eastAsia" w:ascii="Times New Roman" w:hAnsi="Times New Roman" w:eastAsia="仿宋" w:cs="Times New Roman"/>
                <w:color w:val="000000"/>
                <w:sz w:val="24"/>
                <w:highlight w:val="none"/>
                <w:lang w:val="en-US" w:eastAsia="zh-CN"/>
              </w:rPr>
            </w:pPr>
            <w:r>
              <w:rPr>
                <w:rFonts w:hint="eastAsia" w:ascii="Times New Roman" w:hAnsi="Times New Roman" w:eastAsia="仿宋" w:cs="Times New Roman"/>
                <w:color w:val="000000"/>
                <w:sz w:val="24"/>
                <w:highlight w:val="none"/>
                <w:lang w:val="en-US" w:eastAsia="zh-CN"/>
              </w:rPr>
              <w:t>接收部门：安徽省招标集团法务与质管中心</w:t>
            </w:r>
          </w:p>
          <w:p w14:paraId="6658B5CC">
            <w:pPr>
              <w:widowControl/>
              <w:adjustRightInd w:val="0"/>
              <w:snapToGrid w:val="0"/>
              <w:spacing w:line="288" w:lineRule="auto"/>
              <w:rPr>
                <w:rFonts w:hint="eastAsia" w:ascii="宋体" w:hAnsi="宋体" w:cs="Calibri"/>
                <w:color w:val="000000"/>
                <w:sz w:val="24"/>
                <w:highlight w:val="none"/>
              </w:rPr>
            </w:pPr>
            <w:r>
              <w:rPr>
                <w:rFonts w:hint="eastAsia" w:ascii="Times New Roman" w:hAnsi="Times New Roman" w:eastAsia="仿宋" w:cs="Times New Roman"/>
                <w:color w:val="000000"/>
                <w:sz w:val="24"/>
                <w:highlight w:val="none"/>
                <w:lang w:val="en-US" w:eastAsia="zh-CN"/>
              </w:rPr>
              <w:t>联系电话：0551-62220155</w:t>
            </w:r>
          </w:p>
        </w:tc>
      </w:tr>
      <w:tr w14:paraId="0C58A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5208B088">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11.1.1</w:t>
            </w:r>
          </w:p>
        </w:tc>
        <w:tc>
          <w:tcPr>
            <w:tcW w:w="1581" w:type="dxa"/>
            <w:noWrap w:val="0"/>
            <w:vAlign w:val="center"/>
          </w:tcPr>
          <w:p w14:paraId="53364431">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olor w:val="000000"/>
                <w:sz w:val="24"/>
                <w:highlight w:val="none"/>
              </w:rPr>
              <w:t>是否有强制采购的节能产品</w:t>
            </w:r>
          </w:p>
        </w:tc>
        <w:tc>
          <w:tcPr>
            <w:tcW w:w="7229" w:type="dxa"/>
            <w:noWrap w:val="0"/>
            <w:vAlign w:val="top"/>
          </w:tcPr>
          <w:p w14:paraId="0F103593">
            <w:pPr>
              <w:widowControl/>
              <w:snapToGrid w:val="0"/>
              <w:spacing w:line="288" w:lineRule="auto"/>
              <w:jc w:val="left"/>
              <w:rPr>
                <w:rFonts w:hint="eastAsia" w:ascii="宋体" w:hAnsi="宋体" w:eastAsia="仿宋"/>
                <w:color w:val="000000"/>
                <w:sz w:val="24"/>
                <w:highlight w:val="none"/>
              </w:rPr>
            </w:pPr>
            <w:r>
              <w:rPr>
                <w:rFonts w:ascii="楷体" w:hAnsi="楷体" w:eastAsia="仿宋"/>
                <w:bCs/>
                <w:color w:val="000000"/>
                <w:sz w:val="24"/>
                <w:highlight w:val="none"/>
              </w:rPr>
              <w:fldChar w:fldCharType="begin"/>
            </w:r>
            <w:r>
              <w:rPr>
                <w:rFonts w:ascii="楷体" w:hAnsi="楷体" w:eastAsia="仿宋"/>
                <w:bCs/>
                <w:color w:val="000000"/>
                <w:sz w:val="24"/>
                <w:highlight w:val="none"/>
              </w:rPr>
              <w:instrText xml:space="preserve"> </w:instrText>
            </w:r>
            <w:r>
              <w:rPr>
                <w:rFonts w:hint="eastAsia" w:ascii="楷体" w:hAnsi="楷体" w:eastAsia="仿宋"/>
                <w:bCs/>
                <w:color w:val="000000"/>
                <w:sz w:val="24"/>
                <w:highlight w:val="none"/>
              </w:rPr>
              <w:instrText xml:space="preserve">eq \o\ac(□,√)</w:instrText>
            </w:r>
            <w:r>
              <w:rPr>
                <w:rFonts w:ascii="楷体" w:hAnsi="楷体" w:eastAsia="仿宋"/>
                <w:bCs/>
                <w:color w:val="000000"/>
                <w:sz w:val="24"/>
                <w:highlight w:val="none"/>
              </w:rPr>
              <w:fldChar w:fldCharType="end"/>
            </w:r>
            <w:r>
              <w:rPr>
                <w:rFonts w:hint="eastAsia" w:ascii="宋体" w:hAnsi="宋体" w:eastAsia="仿宋"/>
                <w:color w:val="000000"/>
                <w:sz w:val="24"/>
                <w:highlight w:val="none"/>
              </w:rPr>
              <w:t>没有</w:t>
            </w:r>
          </w:p>
          <w:p w14:paraId="3C547C46">
            <w:pPr>
              <w:widowControl/>
              <w:snapToGrid w:val="0"/>
              <w:spacing w:line="288" w:lineRule="auto"/>
              <w:jc w:val="left"/>
              <w:rPr>
                <w:rFonts w:hint="eastAsia" w:ascii="宋体" w:hAnsi="宋体" w:eastAsia="仿宋"/>
                <w:color w:val="000000"/>
                <w:sz w:val="24"/>
                <w:highlight w:val="none"/>
                <w:u w:val="single"/>
              </w:rPr>
            </w:pPr>
            <w:r>
              <w:rPr>
                <w:rFonts w:hint="eastAsia" w:ascii="宋体" w:hAnsi="宋体" w:eastAsia="仿宋"/>
                <w:color w:val="000000"/>
                <w:sz w:val="24"/>
                <w:highlight w:val="none"/>
              </w:rPr>
              <w:t>□有，详见第三章“采购需求”。</w:t>
            </w:r>
          </w:p>
          <w:p w14:paraId="6AF061CE">
            <w:pPr>
              <w:widowControl/>
              <w:snapToGrid w:val="0"/>
              <w:spacing w:line="288" w:lineRule="auto"/>
              <w:jc w:val="left"/>
              <w:rPr>
                <w:rFonts w:hint="eastAsia" w:ascii="宋体" w:hAnsi="宋体"/>
                <w:color w:val="000000"/>
                <w:sz w:val="24"/>
                <w:highlight w:val="none"/>
              </w:rPr>
            </w:pPr>
            <w:r>
              <w:rPr>
                <w:rFonts w:ascii="宋体" w:hAnsi="宋体" w:eastAsia="仿宋"/>
                <w:color w:val="000000"/>
                <w:sz w:val="24"/>
                <w:highlight w:val="none"/>
              </w:rPr>
              <w:t>根据</w:t>
            </w:r>
            <w:r>
              <w:rPr>
                <w:rFonts w:hint="eastAsia" w:ascii="宋体" w:hAnsi="宋体" w:eastAsia="仿宋"/>
                <w:color w:val="000000"/>
                <w:sz w:val="24"/>
                <w:highlight w:val="none"/>
              </w:rPr>
              <w:t>《关于印发节能产品政府采购品目清单的通知》（财库〔2019〕19号）、</w:t>
            </w:r>
            <w:r>
              <w:rPr>
                <w:rFonts w:ascii="宋体" w:hAnsi="宋体" w:eastAsia="仿宋"/>
                <w:color w:val="000000"/>
                <w:sz w:val="24"/>
                <w:highlight w:val="none"/>
              </w:rPr>
              <w:t>《</w:t>
            </w:r>
            <w:r>
              <w:rPr>
                <w:rFonts w:hint="eastAsia" w:ascii="宋体" w:hAnsi="宋体" w:eastAsia="仿宋"/>
                <w:color w:val="000000"/>
                <w:sz w:val="24"/>
                <w:highlight w:val="none"/>
              </w:rPr>
              <w:t>关于发布参与实施政府采购节能产品、环境标志产品认证机构名录的公告</w:t>
            </w:r>
            <w:r>
              <w:rPr>
                <w:rFonts w:ascii="宋体" w:hAnsi="宋体" w:eastAsia="仿宋"/>
                <w:color w:val="000000"/>
                <w:sz w:val="24"/>
                <w:highlight w:val="none"/>
              </w:rPr>
              <w:t>》</w:t>
            </w:r>
            <w:r>
              <w:rPr>
                <w:rFonts w:hint="eastAsia" w:ascii="宋体" w:hAnsi="宋体" w:eastAsia="仿宋"/>
                <w:color w:val="000000"/>
                <w:sz w:val="24"/>
                <w:highlight w:val="none"/>
              </w:rPr>
              <w:t>（</w:t>
            </w:r>
            <w:r>
              <w:rPr>
                <w:rFonts w:ascii="宋体" w:hAnsi="宋体" w:eastAsia="仿宋"/>
                <w:color w:val="000000"/>
                <w:sz w:val="24"/>
                <w:highlight w:val="none"/>
              </w:rPr>
              <w:t>市场监管总局2019年第16号</w:t>
            </w:r>
            <w:r>
              <w:rPr>
                <w:rFonts w:hint="eastAsia" w:ascii="宋体" w:hAnsi="宋体" w:eastAsia="仿宋"/>
                <w:color w:val="000000"/>
                <w:sz w:val="24"/>
                <w:highlight w:val="none"/>
              </w:rPr>
              <w:t>）</w:t>
            </w:r>
            <w:r>
              <w:rPr>
                <w:rFonts w:ascii="宋体" w:hAnsi="宋体" w:eastAsia="仿宋"/>
                <w:color w:val="000000"/>
                <w:sz w:val="24"/>
                <w:highlight w:val="none"/>
              </w:rPr>
              <w:t>，投标人提供拟投产品在规定认证机构范围内的节字标志认证证书，方予以认定其所投产品为节能产品。</w:t>
            </w:r>
          </w:p>
        </w:tc>
      </w:tr>
      <w:tr w14:paraId="281B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64E00983">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11.1.2</w:t>
            </w:r>
          </w:p>
        </w:tc>
        <w:tc>
          <w:tcPr>
            <w:tcW w:w="1581" w:type="dxa"/>
            <w:noWrap w:val="0"/>
            <w:vAlign w:val="center"/>
          </w:tcPr>
          <w:p w14:paraId="76E9CED8">
            <w:pPr>
              <w:widowControl/>
              <w:adjustRightInd w:val="0"/>
              <w:snapToGrid w:val="0"/>
              <w:spacing w:line="288" w:lineRule="auto"/>
              <w:jc w:val="center"/>
              <w:rPr>
                <w:rFonts w:hint="eastAsia" w:ascii="宋体" w:hAnsi="宋体"/>
                <w:color w:val="000000"/>
                <w:sz w:val="24"/>
                <w:highlight w:val="none"/>
              </w:rPr>
            </w:pPr>
            <w:r>
              <w:rPr>
                <w:rFonts w:hint="eastAsia" w:eastAsia="仿宋"/>
                <w:color w:val="000000"/>
                <w:sz w:val="24"/>
                <w:highlight w:val="none"/>
                <w:lang w:bidi="en-US"/>
              </w:rPr>
              <w:t>环境标志产品政府采购清单</w:t>
            </w:r>
          </w:p>
        </w:tc>
        <w:tc>
          <w:tcPr>
            <w:tcW w:w="7229" w:type="dxa"/>
            <w:noWrap w:val="0"/>
            <w:vAlign w:val="top"/>
          </w:tcPr>
          <w:p w14:paraId="157498DF">
            <w:pPr>
              <w:widowControl/>
              <w:snapToGrid w:val="0"/>
              <w:spacing w:line="288" w:lineRule="auto"/>
              <w:jc w:val="left"/>
              <w:rPr>
                <w:rFonts w:hint="eastAsia" w:ascii="宋体" w:hAnsi="宋体"/>
                <w:color w:val="000000"/>
                <w:sz w:val="24"/>
                <w:highlight w:val="none"/>
              </w:rPr>
            </w:pPr>
            <w:r>
              <w:rPr>
                <w:rFonts w:ascii="宋体" w:hAnsi="宋体" w:eastAsia="仿宋"/>
                <w:color w:val="000000"/>
                <w:sz w:val="24"/>
                <w:highlight w:val="none"/>
              </w:rPr>
              <w:t>根据</w:t>
            </w:r>
            <w:r>
              <w:rPr>
                <w:rFonts w:hint="eastAsia" w:ascii="宋体" w:hAnsi="宋体" w:eastAsia="仿宋"/>
                <w:color w:val="000000"/>
                <w:sz w:val="24"/>
                <w:highlight w:val="none"/>
              </w:rPr>
              <w:t>《关于印发环境标志产品政府采购品目清单的通知》（财库〔2019〕18号）、</w:t>
            </w:r>
            <w:r>
              <w:rPr>
                <w:rFonts w:ascii="宋体" w:hAnsi="宋体" w:eastAsia="仿宋"/>
                <w:color w:val="000000"/>
                <w:sz w:val="24"/>
                <w:highlight w:val="none"/>
              </w:rPr>
              <w:t>《</w:t>
            </w:r>
            <w:r>
              <w:rPr>
                <w:rFonts w:hint="eastAsia" w:ascii="宋体" w:hAnsi="宋体" w:eastAsia="仿宋"/>
                <w:color w:val="000000"/>
                <w:sz w:val="24"/>
                <w:highlight w:val="none"/>
              </w:rPr>
              <w:t>关于发布参与实施政府采购节能产品、环境标志产品认证机构名录的公告</w:t>
            </w:r>
            <w:r>
              <w:rPr>
                <w:rFonts w:ascii="宋体" w:hAnsi="宋体" w:eastAsia="仿宋"/>
                <w:color w:val="000000"/>
                <w:sz w:val="24"/>
                <w:highlight w:val="none"/>
              </w:rPr>
              <w:t>》</w:t>
            </w:r>
            <w:r>
              <w:rPr>
                <w:rFonts w:hint="eastAsia" w:ascii="宋体" w:hAnsi="宋体" w:eastAsia="仿宋"/>
                <w:color w:val="000000"/>
                <w:sz w:val="24"/>
                <w:highlight w:val="none"/>
              </w:rPr>
              <w:t>（市场监管总局</w:t>
            </w:r>
            <w:r>
              <w:rPr>
                <w:rFonts w:ascii="宋体" w:hAnsi="宋体" w:eastAsia="仿宋"/>
                <w:color w:val="000000"/>
                <w:sz w:val="24"/>
                <w:highlight w:val="none"/>
              </w:rPr>
              <w:t>2019年第16号</w:t>
            </w:r>
            <w:r>
              <w:rPr>
                <w:rFonts w:hint="eastAsia" w:ascii="宋体" w:hAnsi="宋体" w:eastAsia="仿宋"/>
                <w:color w:val="000000"/>
                <w:sz w:val="24"/>
                <w:highlight w:val="none"/>
              </w:rPr>
              <w:t>），在规定的认证机构范围内，投标人提供拟投产品环境标志认证证书的，方予以认定其所投产品为环境标志产品。</w:t>
            </w:r>
          </w:p>
        </w:tc>
      </w:tr>
      <w:tr w14:paraId="03C0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2B4D99B1">
            <w:pPr>
              <w:widowControl/>
              <w:adjustRightInd w:val="0"/>
              <w:snapToGrid w:val="0"/>
              <w:spacing w:line="288" w:lineRule="auto"/>
              <w:jc w:val="center"/>
              <w:rPr>
                <w:rFonts w:ascii="宋体" w:hAnsi="宋体" w:eastAsia="仿宋" w:cs="Calibri"/>
                <w:color w:val="000000"/>
                <w:sz w:val="24"/>
                <w:highlight w:val="none"/>
              </w:rPr>
            </w:pPr>
            <w:r>
              <w:rPr>
                <w:rFonts w:hint="eastAsia" w:ascii="宋体" w:hAnsi="宋体" w:eastAsia="仿宋" w:cs="Calibri"/>
                <w:color w:val="000000"/>
                <w:sz w:val="24"/>
                <w:highlight w:val="none"/>
              </w:rPr>
              <w:t>11.2.1</w:t>
            </w:r>
          </w:p>
        </w:tc>
        <w:tc>
          <w:tcPr>
            <w:tcW w:w="1581" w:type="dxa"/>
            <w:noWrap w:val="0"/>
            <w:vAlign w:val="center"/>
          </w:tcPr>
          <w:p w14:paraId="654A8D6C">
            <w:pPr>
              <w:widowControl/>
              <w:adjustRightInd w:val="0"/>
              <w:snapToGrid w:val="0"/>
              <w:spacing w:line="288" w:lineRule="auto"/>
              <w:jc w:val="center"/>
              <w:rPr>
                <w:rFonts w:hint="eastAsia" w:eastAsia="仿宋"/>
                <w:color w:val="000000"/>
                <w:sz w:val="24"/>
                <w:highlight w:val="none"/>
                <w:lang w:bidi="en-US"/>
              </w:rPr>
            </w:pPr>
            <w:r>
              <w:rPr>
                <w:rFonts w:hint="eastAsia" w:eastAsia="仿宋"/>
                <w:color w:val="000000"/>
                <w:sz w:val="24"/>
                <w:highlight w:val="none"/>
                <w:lang w:bidi="en-US"/>
              </w:rPr>
              <w:t>中小企业认定标准</w:t>
            </w:r>
          </w:p>
        </w:tc>
        <w:tc>
          <w:tcPr>
            <w:tcW w:w="7229" w:type="dxa"/>
            <w:noWrap w:val="0"/>
            <w:vAlign w:val="top"/>
          </w:tcPr>
          <w:p w14:paraId="3B437590">
            <w:pPr>
              <w:widowControl/>
              <w:snapToGrid w:val="0"/>
              <w:spacing w:line="288" w:lineRule="auto"/>
              <w:jc w:val="left"/>
              <w:rPr>
                <w:rFonts w:ascii="宋体" w:hAnsi="宋体" w:eastAsia="仿宋"/>
                <w:color w:val="000000"/>
                <w:sz w:val="24"/>
                <w:highlight w:val="none"/>
              </w:rPr>
            </w:pPr>
            <w:r>
              <w:rPr>
                <w:rFonts w:hint="eastAsia" w:ascii="宋体" w:hAnsi="宋体" w:eastAsia="仿宋"/>
                <w:color w:val="000000"/>
                <w:sz w:val="24"/>
                <w:highlight w:val="none"/>
              </w:rPr>
              <w:t>根据工业和信息化部、国家统计局、国家发展和改革委员会、财政部《关于印发中小企业划型标准规定的通知》（工信部联企业〔2011〕300号），采购标的对应的中小企业划分标准所属行业见第三章采购需求。</w:t>
            </w:r>
          </w:p>
        </w:tc>
      </w:tr>
      <w:tr w14:paraId="7C7CF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3ECDA78E">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11.2.3</w:t>
            </w:r>
          </w:p>
        </w:tc>
        <w:tc>
          <w:tcPr>
            <w:tcW w:w="1581" w:type="dxa"/>
            <w:noWrap w:val="0"/>
            <w:vAlign w:val="center"/>
          </w:tcPr>
          <w:p w14:paraId="20F2CA66">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价格扣除标准</w:t>
            </w:r>
          </w:p>
        </w:tc>
        <w:tc>
          <w:tcPr>
            <w:tcW w:w="7229" w:type="dxa"/>
            <w:noWrap w:val="0"/>
            <w:vAlign w:val="center"/>
          </w:tcPr>
          <w:p w14:paraId="0A29228C">
            <w:pPr>
              <w:widowControl/>
              <w:snapToGrid w:val="0"/>
              <w:spacing w:line="288" w:lineRule="auto"/>
              <w:jc w:val="left"/>
              <w:rPr>
                <w:rFonts w:hint="eastAsia" w:ascii="宋体" w:hAnsi="宋体" w:eastAsia="仿宋"/>
                <w:color w:val="000000"/>
                <w:sz w:val="24"/>
                <w:highlight w:val="none"/>
              </w:rPr>
            </w:pPr>
            <w:r>
              <w:rPr>
                <w:rFonts w:hint="eastAsia" w:ascii="宋体" w:hAnsi="宋体" w:eastAsia="仿宋"/>
                <w:color w:val="000000"/>
                <w:sz w:val="24"/>
                <w:highlight w:val="none"/>
              </w:rPr>
              <w:t>未预留份额专门面向中小企业采购的采购项目，以及预留份额项目中的非预留部分采购包采购时，小微企业报价扣除比例：</w:t>
            </w:r>
          </w:p>
          <w:p w14:paraId="7F512BD5">
            <w:pPr>
              <w:widowControl/>
              <w:snapToGrid w:val="0"/>
              <w:spacing w:line="288" w:lineRule="auto"/>
              <w:jc w:val="left"/>
              <w:rPr>
                <w:rFonts w:hint="eastAsia" w:eastAsia="仿宋"/>
                <w:color w:val="000000"/>
                <w:sz w:val="24"/>
                <w:highlight w:val="none"/>
                <w:lang w:bidi="en-US"/>
              </w:rPr>
            </w:pPr>
            <w:r>
              <w:rPr>
                <w:rFonts w:hint="eastAsia" w:eastAsia="仿宋"/>
                <w:color w:val="000000"/>
                <w:sz w:val="24"/>
                <w:highlight w:val="none"/>
                <w:lang w:bidi="en-US"/>
              </w:rPr>
              <w:t>（1）小型和微型企业：</w:t>
            </w:r>
            <w:r>
              <w:rPr>
                <w:rFonts w:ascii="楷体" w:hAnsi="楷体" w:eastAsia="仿宋" w:cs="Calibri"/>
                <w:color w:val="000000"/>
                <w:sz w:val="24"/>
                <w:highlight w:val="none"/>
              </w:rPr>
              <w:t>10%</w:t>
            </w:r>
          </w:p>
          <w:p w14:paraId="5AAA0032">
            <w:pPr>
              <w:widowControl/>
              <w:snapToGrid w:val="0"/>
              <w:spacing w:line="288" w:lineRule="auto"/>
              <w:jc w:val="left"/>
              <w:rPr>
                <w:rFonts w:hint="eastAsia" w:ascii="宋体" w:hAnsi="宋体" w:eastAsia="仿宋"/>
                <w:color w:val="000000"/>
                <w:sz w:val="24"/>
                <w:highlight w:val="none"/>
              </w:rPr>
            </w:pPr>
            <w:r>
              <w:rPr>
                <w:rFonts w:hint="eastAsia" w:eastAsia="仿宋"/>
                <w:color w:val="000000"/>
                <w:sz w:val="24"/>
                <w:highlight w:val="none"/>
                <w:lang w:bidi="en-US"/>
              </w:rPr>
              <w:t>（2）</w:t>
            </w:r>
            <w:r>
              <w:rPr>
                <w:rFonts w:hint="eastAsia" w:ascii="宋体" w:hAnsi="宋体" w:eastAsia="仿宋"/>
                <w:color w:val="000000"/>
                <w:sz w:val="24"/>
                <w:highlight w:val="none"/>
              </w:rPr>
              <w:t>对于联合协议或者分包意向协议约定小微企业的合同份额占到合同总金额30%时，对联合体或者大中型企业的报价的扣除比例</w:t>
            </w:r>
            <w:r>
              <w:rPr>
                <w:rFonts w:hint="eastAsia" w:ascii="楷体" w:hAnsi="楷体" w:eastAsia="仿宋" w:cs="Calibri"/>
                <w:color w:val="000000"/>
                <w:sz w:val="24"/>
                <w:highlight w:val="none"/>
              </w:rPr>
              <w:t>/</w:t>
            </w:r>
            <w:r>
              <w:rPr>
                <w:rFonts w:ascii="楷体" w:hAnsi="楷体" w:eastAsia="仿宋" w:cs="Calibri"/>
                <w:color w:val="000000"/>
                <w:sz w:val="24"/>
                <w:highlight w:val="none"/>
              </w:rPr>
              <w:t>%</w:t>
            </w:r>
          </w:p>
          <w:p w14:paraId="5ADDEA50">
            <w:pPr>
              <w:widowControl/>
              <w:snapToGrid w:val="0"/>
              <w:spacing w:line="288" w:lineRule="auto"/>
              <w:jc w:val="left"/>
              <w:rPr>
                <w:rFonts w:hint="eastAsia" w:ascii="宋体" w:hAnsi="宋体" w:eastAsia="仿宋"/>
                <w:color w:val="000000"/>
                <w:sz w:val="24"/>
                <w:highlight w:val="none"/>
              </w:rPr>
            </w:pPr>
            <w:r>
              <w:rPr>
                <w:rFonts w:hint="eastAsia" w:ascii="宋体" w:hAnsi="宋体" w:eastAsia="仿宋"/>
                <w:color w:val="000000"/>
                <w:sz w:val="24"/>
                <w:highlight w:val="none"/>
              </w:rPr>
              <w:t>注：1.价格扣除举例说明：</w:t>
            </w:r>
            <w:r>
              <w:rPr>
                <w:rFonts w:ascii="宋体" w:hAnsi="宋体" w:eastAsia="仿宋"/>
                <w:color w:val="000000"/>
                <w:sz w:val="24"/>
                <w:highlight w:val="none"/>
              </w:rPr>
              <w:t>某</w:t>
            </w:r>
            <w:r>
              <w:rPr>
                <w:rFonts w:hint="eastAsia" w:ascii="宋体" w:hAnsi="宋体" w:eastAsia="仿宋"/>
                <w:color w:val="000000"/>
                <w:sz w:val="24"/>
                <w:highlight w:val="none"/>
              </w:rPr>
              <w:t>残疾人福利单位符合财库〔2017〕141号规定的政策支持单位，属于小微企业，其投标报价为</w:t>
            </w:r>
            <w:r>
              <w:rPr>
                <w:rFonts w:ascii="宋体" w:hAnsi="宋体" w:eastAsia="仿宋"/>
                <w:color w:val="000000"/>
                <w:sz w:val="24"/>
                <w:highlight w:val="none"/>
              </w:rPr>
              <w:t>100万元，“扣除后的价格”为：100万元-100万元×</w:t>
            </w:r>
            <w:r>
              <w:rPr>
                <w:rFonts w:hint="eastAsia" w:ascii="宋体" w:hAnsi="宋体" w:eastAsia="仿宋"/>
                <w:color w:val="000000"/>
                <w:sz w:val="24"/>
                <w:highlight w:val="none"/>
              </w:rPr>
              <w:t>扣除比例，用扣除后的价格参与评审。</w:t>
            </w:r>
          </w:p>
          <w:p w14:paraId="07F710B9">
            <w:pPr>
              <w:widowControl/>
              <w:snapToGrid w:val="0"/>
              <w:spacing w:line="288" w:lineRule="auto"/>
              <w:jc w:val="left"/>
              <w:rPr>
                <w:rFonts w:hint="eastAsia"/>
                <w:color w:val="000000"/>
                <w:sz w:val="24"/>
                <w:highlight w:val="none"/>
                <w:lang w:bidi="en-US"/>
              </w:rPr>
            </w:pPr>
            <w:r>
              <w:rPr>
                <w:rFonts w:hint="eastAsia" w:ascii="宋体" w:hAnsi="宋体" w:eastAsia="仿宋"/>
                <w:b/>
                <w:color w:val="000000"/>
                <w:sz w:val="24"/>
                <w:highlight w:val="none"/>
              </w:rPr>
              <w:t>2.本项目将对中标人提供的《中小企业声明函》，随中标结果一并公布。如提供虚假材料，将取消中标资格并报相关部门按有关规定处理，并计入不良记录。</w:t>
            </w:r>
          </w:p>
        </w:tc>
      </w:tr>
      <w:tr w14:paraId="01766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7D84546C">
            <w:pPr>
              <w:widowControl/>
              <w:adjustRightInd w:val="0"/>
              <w:snapToGrid w:val="0"/>
              <w:spacing w:line="288" w:lineRule="auto"/>
              <w:jc w:val="center"/>
              <w:rPr>
                <w:rFonts w:ascii="宋体" w:hAnsi="宋体" w:cs="Calibri"/>
                <w:color w:val="000000"/>
                <w:sz w:val="24"/>
                <w:highlight w:val="none"/>
              </w:rPr>
            </w:pPr>
            <w:r>
              <w:rPr>
                <w:rFonts w:hint="eastAsia" w:ascii="宋体" w:hAnsi="宋体" w:eastAsia="仿宋" w:cs="Calibri"/>
                <w:color w:val="000000"/>
                <w:sz w:val="24"/>
                <w:highlight w:val="none"/>
              </w:rPr>
              <w:t>11.3.2</w:t>
            </w:r>
          </w:p>
        </w:tc>
        <w:tc>
          <w:tcPr>
            <w:tcW w:w="1581" w:type="dxa"/>
            <w:noWrap w:val="0"/>
            <w:vAlign w:val="center"/>
          </w:tcPr>
          <w:p w14:paraId="50B0762F">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进口产品采购</w:t>
            </w:r>
          </w:p>
        </w:tc>
        <w:tc>
          <w:tcPr>
            <w:tcW w:w="7229" w:type="dxa"/>
            <w:noWrap w:val="0"/>
            <w:vAlign w:val="center"/>
          </w:tcPr>
          <w:p w14:paraId="7308A016">
            <w:pPr>
              <w:widowControl/>
              <w:rPr>
                <w:rFonts w:hint="eastAsia" w:ascii="楷体" w:hAnsi="楷体" w:eastAsia="仿宋" w:cs="Calibri"/>
                <w:color w:val="000000"/>
                <w:sz w:val="24"/>
                <w:highlight w:val="none"/>
              </w:rPr>
            </w:pPr>
            <w:r>
              <w:rPr>
                <w:rFonts w:ascii="楷体" w:hAnsi="楷体" w:eastAsia="仿宋"/>
                <w:bCs/>
                <w:color w:val="000000"/>
                <w:sz w:val="24"/>
                <w:highlight w:val="none"/>
              </w:rPr>
              <w:fldChar w:fldCharType="begin"/>
            </w:r>
            <w:r>
              <w:rPr>
                <w:rFonts w:ascii="楷体" w:hAnsi="楷体" w:eastAsia="仿宋"/>
                <w:bCs/>
                <w:color w:val="000000"/>
                <w:sz w:val="24"/>
                <w:highlight w:val="none"/>
              </w:rPr>
              <w:instrText xml:space="preserve"> </w:instrText>
            </w:r>
            <w:r>
              <w:rPr>
                <w:rFonts w:hint="eastAsia" w:ascii="楷体" w:hAnsi="楷体" w:eastAsia="仿宋"/>
                <w:bCs/>
                <w:color w:val="000000"/>
                <w:sz w:val="24"/>
                <w:highlight w:val="none"/>
              </w:rPr>
              <w:instrText xml:space="preserve">eq \o\ac(□,√)</w:instrText>
            </w:r>
            <w:r>
              <w:rPr>
                <w:rFonts w:ascii="楷体" w:hAnsi="楷体" w:eastAsia="仿宋"/>
                <w:bCs/>
                <w:color w:val="000000"/>
                <w:sz w:val="24"/>
                <w:highlight w:val="none"/>
              </w:rPr>
              <w:fldChar w:fldCharType="end"/>
            </w:r>
            <w:r>
              <w:rPr>
                <w:rFonts w:hint="eastAsia" w:ascii="楷体" w:hAnsi="楷体" w:eastAsia="仿宋"/>
                <w:bCs/>
                <w:color w:val="000000"/>
                <w:sz w:val="24"/>
                <w:highlight w:val="none"/>
              </w:rPr>
              <w:t>本项目</w:t>
            </w:r>
            <w:r>
              <w:rPr>
                <w:rFonts w:hint="eastAsia" w:ascii="楷体" w:hAnsi="楷体" w:eastAsia="仿宋" w:cs="Calibri"/>
                <w:color w:val="000000"/>
                <w:sz w:val="24"/>
                <w:highlight w:val="none"/>
              </w:rPr>
              <w:t>拒绝进口产品参加投标</w:t>
            </w:r>
          </w:p>
          <w:p w14:paraId="4845845C">
            <w:pPr>
              <w:widowControl/>
              <w:rPr>
                <w:rFonts w:hint="eastAsia" w:ascii="宋体" w:hAnsi="宋体" w:cs="Calibri"/>
                <w:color w:val="000000"/>
                <w:sz w:val="24"/>
                <w:highlight w:val="none"/>
              </w:rPr>
            </w:pPr>
            <w:r>
              <w:rPr>
                <w:rFonts w:hint="eastAsia" w:ascii="楷体" w:hAnsi="楷体" w:eastAsia="仿宋" w:cs="Calibri"/>
                <w:color w:val="000000"/>
                <w:sz w:val="24"/>
                <w:highlight w:val="none"/>
              </w:rPr>
              <w:t>□本项目包含接受进口产品投标的品目，具体要求</w:t>
            </w:r>
            <w:r>
              <w:rPr>
                <w:rFonts w:hint="eastAsia" w:ascii="宋体" w:hAnsi="宋体" w:eastAsia="仿宋" w:cs="Calibri"/>
                <w:color w:val="000000"/>
                <w:sz w:val="24"/>
                <w:highlight w:val="none"/>
              </w:rPr>
              <w:t>详见第三章采购需求。</w:t>
            </w:r>
          </w:p>
        </w:tc>
      </w:tr>
      <w:tr w14:paraId="6652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04A47DBE">
            <w:pPr>
              <w:widowControl/>
              <w:adjustRightInd w:val="0"/>
              <w:snapToGrid w:val="0"/>
              <w:spacing w:line="288" w:lineRule="auto"/>
              <w:jc w:val="center"/>
              <w:rPr>
                <w:rFonts w:ascii="宋体" w:hAnsi="宋体" w:eastAsia="仿宋" w:cs="Calibri"/>
                <w:b/>
                <w:color w:val="000000"/>
                <w:sz w:val="24"/>
                <w:highlight w:val="none"/>
              </w:rPr>
            </w:pPr>
            <w:r>
              <w:rPr>
                <w:rFonts w:hint="eastAsia" w:ascii="宋体" w:hAnsi="宋体" w:eastAsia="仿宋" w:cs="Calibri"/>
                <w:bCs/>
                <w:color w:val="000000"/>
                <w:sz w:val="24"/>
                <w:highlight w:val="none"/>
              </w:rPr>
              <w:t>11.4</w:t>
            </w:r>
          </w:p>
        </w:tc>
        <w:tc>
          <w:tcPr>
            <w:tcW w:w="1581" w:type="dxa"/>
            <w:noWrap w:val="0"/>
            <w:vAlign w:val="center"/>
          </w:tcPr>
          <w:p w14:paraId="3D951FA9">
            <w:pPr>
              <w:widowControl/>
              <w:adjustRightInd w:val="0"/>
              <w:snapToGrid w:val="0"/>
              <w:spacing w:line="288" w:lineRule="auto"/>
              <w:jc w:val="center"/>
              <w:rPr>
                <w:rFonts w:hint="eastAsia" w:ascii="宋体" w:hAnsi="宋体" w:cs="Calibri"/>
                <w:b/>
                <w:color w:val="000000"/>
                <w:sz w:val="24"/>
                <w:highlight w:val="none"/>
              </w:rPr>
            </w:pPr>
            <w:r>
              <w:rPr>
                <w:rFonts w:hint="eastAsia" w:ascii="宋体" w:hAnsi="宋体" w:eastAsia="仿宋"/>
                <w:color w:val="000000"/>
                <w:sz w:val="24"/>
                <w:highlight w:val="none"/>
                <w:lang w:bidi="en-US"/>
              </w:rPr>
              <w:t>其他政府采购政策</w:t>
            </w:r>
          </w:p>
        </w:tc>
        <w:tc>
          <w:tcPr>
            <w:tcW w:w="7229" w:type="dxa"/>
            <w:noWrap w:val="0"/>
            <w:vAlign w:val="center"/>
          </w:tcPr>
          <w:p w14:paraId="70D77716">
            <w:pPr>
              <w:widowControl/>
              <w:adjustRightInd w:val="0"/>
              <w:snapToGrid w:val="0"/>
              <w:spacing w:line="288" w:lineRule="auto"/>
              <w:jc w:val="left"/>
              <w:rPr>
                <w:rFonts w:hint="eastAsia" w:ascii="宋体" w:hAnsi="宋体" w:eastAsia="仿宋" w:cs="Calibri"/>
                <w:b/>
                <w:color w:val="000000"/>
                <w:sz w:val="24"/>
                <w:highlight w:val="none"/>
              </w:rPr>
            </w:pPr>
            <w:r>
              <w:rPr>
                <w:rFonts w:hint="eastAsia" w:ascii="楷体" w:hAnsi="楷体" w:eastAsia="仿宋" w:cs="Calibri"/>
                <w:color w:val="000000"/>
                <w:sz w:val="24"/>
                <w:highlight w:val="none"/>
              </w:rPr>
              <w:t>/</w:t>
            </w:r>
          </w:p>
        </w:tc>
      </w:tr>
      <w:tr w14:paraId="6AC81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1CEC8ECE">
            <w:pPr>
              <w:widowControl/>
              <w:adjustRightInd w:val="0"/>
              <w:snapToGrid w:val="0"/>
              <w:spacing w:line="288" w:lineRule="auto"/>
              <w:jc w:val="center"/>
              <w:rPr>
                <w:rFonts w:hint="eastAsia" w:ascii="宋体" w:hAnsi="宋体" w:cs="Calibri"/>
                <w:b/>
                <w:color w:val="000000"/>
                <w:sz w:val="24"/>
                <w:highlight w:val="none"/>
              </w:rPr>
            </w:pPr>
            <w:r>
              <w:rPr>
                <w:rFonts w:hint="eastAsia" w:ascii="宋体" w:hAnsi="宋体" w:eastAsia="仿宋" w:cs="Calibri"/>
                <w:b/>
                <w:color w:val="000000"/>
                <w:sz w:val="24"/>
                <w:highlight w:val="none"/>
              </w:rPr>
              <w:t>12</w:t>
            </w:r>
          </w:p>
        </w:tc>
        <w:tc>
          <w:tcPr>
            <w:tcW w:w="1581" w:type="dxa"/>
            <w:noWrap w:val="0"/>
            <w:vAlign w:val="center"/>
          </w:tcPr>
          <w:p w14:paraId="394F48A1">
            <w:pPr>
              <w:widowControl/>
              <w:adjustRightInd w:val="0"/>
              <w:snapToGrid w:val="0"/>
              <w:spacing w:line="288" w:lineRule="auto"/>
              <w:jc w:val="center"/>
              <w:rPr>
                <w:rFonts w:hint="eastAsia" w:ascii="宋体" w:hAnsi="宋体" w:cs="Calibri"/>
                <w:b/>
                <w:color w:val="000000"/>
                <w:sz w:val="24"/>
                <w:highlight w:val="none"/>
              </w:rPr>
            </w:pPr>
          </w:p>
        </w:tc>
        <w:tc>
          <w:tcPr>
            <w:tcW w:w="7229" w:type="dxa"/>
            <w:noWrap w:val="0"/>
            <w:vAlign w:val="center"/>
          </w:tcPr>
          <w:p w14:paraId="0D90D5BE">
            <w:pPr>
              <w:widowControl/>
              <w:adjustRightInd w:val="0"/>
              <w:snapToGrid w:val="0"/>
              <w:spacing w:line="288" w:lineRule="auto"/>
              <w:jc w:val="center"/>
              <w:rPr>
                <w:rFonts w:ascii="宋体" w:hAnsi="宋体"/>
                <w:b/>
                <w:color w:val="000000"/>
                <w:sz w:val="24"/>
                <w:highlight w:val="none"/>
              </w:rPr>
            </w:pPr>
            <w:r>
              <w:rPr>
                <w:rFonts w:hint="eastAsia" w:ascii="宋体" w:hAnsi="宋体" w:eastAsia="仿宋" w:cs="Calibri"/>
                <w:b/>
                <w:color w:val="000000"/>
                <w:sz w:val="24"/>
                <w:highlight w:val="none"/>
              </w:rPr>
              <w:t>需要补充的其他内容</w:t>
            </w:r>
          </w:p>
        </w:tc>
      </w:tr>
      <w:tr w14:paraId="5CEA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5E69C5EF">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12.1</w:t>
            </w:r>
          </w:p>
        </w:tc>
        <w:tc>
          <w:tcPr>
            <w:tcW w:w="1581" w:type="dxa"/>
            <w:noWrap w:val="0"/>
            <w:vAlign w:val="center"/>
          </w:tcPr>
          <w:p w14:paraId="5A8E2695">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电子招标投标</w:t>
            </w:r>
          </w:p>
        </w:tc>
        <w:tc>
          <w:tcPr>
            <w:tcW w:w="7229" w:type="dxa"/>
            <w:noWrap w:val="0"/>
            <w:vAlign w:val="top"/>
          </w:tcPr>
          <w:p w14:paraId="1518D9BD">
            <w:pPr>
              <w:widowControl/>
              <w:snapToGrid w:val="0"/>
              <w:spacing w:line="288" w:lineRule="auto"/>
              <w:jc w:val="left"/>
              <w:rPr>
                <w:rFonts w:hint="eastAsia" w:ascii="宋体" w:hAnsi="宋体" w:cs="Calibri"/>
                <w:b/>
                <w:color w:val="000000"/>
                <w:sz w:val="24"/>
                <w:highlight w:val="none"/>
              </w:rPr>
            </w:pPr>
            <w:r>
              <w:rPr>
                <w:rFonts w:hint="eastAsia" w:ascii="宋体" w:hAnsi="宋体" w:eastAsia="仿宋"/>
                <w:color w:val="000000"/>
                <w:sz w:val="24"/>
                <w:highlight w:val="none"/>
              </w:rPr>
              <w:t>采用电子招标投标，</w:t>
            </w:r>
            <w:r>
              <w:rPr>
                <w:rFonts w:eastAsia="仿宋"/>
                <w:bCs/>
                <w:snapToGrid w:val="0"/>
                <w:color w:val="000000"/>
                <w:kern w:val="0"/>
                <w:sz w:val="24"/>
                <w:highlight w:val="none"/>
              </w:rPr>
              <w:t>除招标文件另有规定外，电子招标投标操作要求详见本章附件《</w:t>
            </w:r>
            <w:r>
              <w:rPr>
                <w:rFonts w:hint="eastAsia" w:eastAsia="仿宋"/>
                <w:bCs/>
                <w:snapToGrid w:val="0"/>
                <w:color w:val="000000"/>
                <w:kern w:val="0"/>
                <w:sz w:val="24"/>
                <w:highlight w:val="none"/>
              </w:rPr>
              <w:t>全流程电子招标采购具体要求</w:t>
            </w:r>
            <w:r>
              <w:rPr>
                <w:rFonts w:eastAsia="仿宋"/>
                <w:bCs/>
                <w:snapToGrid w:val="0"/>
                <w:color w:val="000000"/>
                <w:kern w:val="0"/>
                <w:sz w:val="24"/>
                <w:highlight w:val="none"/>
              </w:rPr>
              <w:t>》</w:t>
            </w:r>
            <w:r>
              <w:rPr>
                <w:rFonts w:hint="eastAsia" w:eastAsia="仿宋"/>
                <w:bCs/>
                <w:snapToGrid w:val="0"/>
                <w:color w:val="000000"/>
                <w:kern w:val="0"/>
                <w:sz w:val="24"/>
                <w:highlight w:val="none"/>
              </w:rPr>
              <w:t>。</w:t>
            </w:r>
          </w:p>
        </w:tc>
      </w:tr>
      <w:tr w14:paraId="71D34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67BF75C4">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12.2</w:t>
            </w:r>
          </w:p>
        </w:tc>
        <w:tc>
          <w:tcPr>
            <w:tcW w:w="1581" w:type="dxa"/>
            <w:noWrap w:val="0"/>
            <w:vAlign w:val="center"/>
          </w:tcPr>
          <w:p w14:paraId="454D9C44">
            <w:pPr>
              <w:adjustRightInd w:val="0"/>
              <w:snapToGrid w:val="0"/>
              <w:spacing w:line="288" w:lineRule="auto"/>
              <w:jc w:val="center"/>
              <w:rPr>
                <w:rFonts w:ascii="宋体" w:hAnsi="宋体"/>
                <w:color w:val="000000"/>
                <w:sz w:val="24"/>
                <w:highlight w:val="none"/>
              </w:rPr>
            </w:pPr>
            <w:r>
              <w:rPr>
                <w:rFonts w:hint="eastAsia" w:ascii="宋体" w:hAnsi="宋体" w:eastAsia="仿宋"/>
                <w:color w:val="000000"/>
                <w:sz w:val="24"/>
                <w:highlight w:val="none"/>
              </w:rPr>
              <w:t>原则规定与定义</w:t>
            </w:r>
          </w:p>
        </w:tc>
        <w:tc>
          <w:tcPr>
            <w:tcW w:w="7229" w:type="dxa"/>
            <w:noWrap w:val="0"/>
            <w:vAlign w:val="center"/>
          </w:tcPr>
          <w:p w14:paraId="6B821E65">
            <w:pPr>
              <w:adjustRightInd w:val="0"/>
              <w:snapToGrid w:val="0"/>
              <w:spacing w:line="288" w:lineRule="auto"/>
              <w:jc w:val="left"/>
              <w:rPr>
                <w:rFonts w:hint="eastAsia" w:ascii="宋体" w:hAnsi="宋体" w:eastAsia="仿宋"/>
                <w:color w:val="000000"/>
                <w:sz w:val="24"/>
                <w:highlight w:val="none"/>
              </w:rPr>
            </w:pPr>
            <w:r>
              <w:rPr>
                <w:rFonts w:hint="eastAsia" w:ascii="宋体" w:hAnsi="宋体" w:eastAsia="仿宋"/>
                <w:color w:val="000000"/>
                <w:sz w:val="24"/>
                <w:highlight w:val="none"/>
              </w:rPr>
              <w:t>（1）投标人</w:t>
            </w:r>
            <w:r>
              <w:rPr>
                <w:rFonts w:ascii="宋体" w:hAnsi="宋体" w:eastAsia="仿宋"/>
                <w:color w:val="000000"/>
                <w:sz w:val="24"/>
                <w:highlight w:val="none"/>
              </w:rPr>
              <w:t>须知前附表是对</w:t>
            </w:r>
            <w:r>
              <w:rPr>
                <w:rFonts w:hint="eastAsia" w:ascii="宋体" w:hAnsi="宋体" w:eastAsia="仿宋"/>
                <w:color w:val="000000"/>
                <w:sz w:val="24"/>
                <w:highlight w:val="none"/>
              </w:rPr>
              <w:t>投标人</w:t>
            </w:r>
            <w:r>
              <w:rPr>
                <w:rFonts w:ascii="宋体" w:hAnsi="宋体" w:eastAsia="仿宋"/>
                <w:color w:val="000000"/>
                <w:sz w:val="24"/>
                <w:highlight w:val="none"/>
              </w:rPr>
              <w:t>须知正文部分对应条款的补充、细化，</w:t>
            </w:r>
            <w:r>
              <w:rPr>
                <w:rFonts w:hint="eastAsia" w:ascii="宋体" w:hAnsi="宋体" w:eastAsia="仿宋"/>
                <w:color w:val="000000"/>
                <w:sz w:val="24"/>
                <w:highlight w:val="none"/>
              </w:rPr>
              <w:t>投标人</w:t>
            </w:r>
            <w:r>
              <w:rPr>
                <w:rFonts w:ascii="宋体" w:hAnsi="宋体" w:eastAsia="仿宋"/>
                <w:color w:val="000000"/>
                <w:sz w:val="24"/>
                <w:highlight w:val="none"/>
              </w:rPr>
              <w:t>阅读时应与正文部分一并阅读，</w:t>
            </w:r>
            <w:r>
              <w:rPr>
                <w:rFonts w:hint="eastAsia" w:ascii="宋体" w:hAnsi="宋体" w:eastAsia="仿宋"/>
                <w:color w:val="000000"/>
                <w:sz w:val="24"/>
                <w:highlight w:val="none"/>
              </w:rPr>
              <w:t>投标人</w:t>
            </w:r>
            <w:r>
              <w:rPr>
                <w:rFonts w:ascii="宋体" w:hAnsi="宋体" w:eastAsia="仿宋"/>
                <w:color w:val="000000"/>
                <w:sz w:val="24"/>
                <w:highlight w:val="none"/>
              </w:rPr>
              <w:t>须知前附表与正文部分不一致处，应以</w:t>
            </w:r>
            <w:r>
              <w:rPr>
                <w:rFonts w:hint="eastAsia" w:ascii="宋体" w:hAnsi="宋体" w:eastAsia="仿宋"/>
                <w:color w:val="000000"/>
                <w:sz w:val="24"/>
                <w:highlight w:val="none"/>
              </w:rPr>
              <w:t>投标人</w:t>
            </w:r>
            <w:r>
              <w:rPr>
                <w:rFonts w:ascii="宋体" w:hAnsi="宋体" w:eastAsia="仿宋"/>
                <w:color w:val="000000"/>
                <w:sz w:val="24"/>
                <w:highlight w:val="none"/>
              </w:rPr>
              <w:t>须知前附表为准。</w:t>
            </w:r>
          </w:p>
          <w:p w14:paraId="2ABE2346">
            <w:pPr>
              <w:adjustRightInd w:val="0"/>
              <w:snapToGrid w:val="0"/>
              <w:spacing w:line="288" w:lineRule="auto"/>
              <w:jc w:val="left"/>
              <w:rPr>
                <w:rFonts w:hint="eastAsia" w:ascii="宋体" w:hAnsi="宋体" w:eastAsia="仿宋"/>
                <w:color w:val="000000"/>
                <w:sz w:val="24"/>
                <w:highlight w:val="none"/>
              </w:rPr>
            </w:pPr>
            <w:r>
              <w:rPr>
                <w:rFonts w:hint="eastAsia" w:ascii="宋体" w:hAnsi="宋体" w:eastAsia="仿宋"/>
                <w:color w:val="000000"/>
                <w:sz w:val="24"/>
                <w:highlight w:val="none"/>
              </w:rPr>
              <w:t>（2）</w:t>
            </w:r>
            <w:r>
              <w:rPr>
                <w:rFonts w:ascii="宋体" w:hAnsi="宋体" w:eastAsia="仿宋"/>
                <w:color w:val="000000"/>
                <w:sz w:val="24"/>
                <w:highlight w:val="none"/>
              </w:rPr>
              <w:t>“</w:t>
            </w:r>
            <w:r>
              <w:rPr>
                <w:rFonts w:ascii="宋体" w:hAnsi="宋体" w:eastAsia="仿宋"/>
                <w:color w:val="000000"/>
                <w:sz w:val="24"/>
                <w:highlight w:val="none"/>
              </w:rPr>
              <w:sym w:font="Wingdings" w:char="F0FE"/>
            </w:r>
            <w:r>
              <w:rPr>
                <w:rFonts w:ascii="宋体" w:hAnsi="宋体" w:eastAsia="仿宋"/>
                <w:color w:val="000000"/>
                <w:sz w:val="24"/>
                <w:highlight w:val="none"/>
              </w:rPr>
              <w:t>”符号表示本招标文件选定的内容；“</w:t>
            </w:r>
            <w:r>
              <w:rPr>
                <w:rFonts w:hint="eastAsia" w:ascii="宋体" w:hAnsi="宋体" w:eastAsia="仿宋"/>
                <w:color w:val="000000"/>
                <w:sz w:val="24"/>
                <w:highlight w:val="none"/>
              </w:rPr>
              <w:t>□</w:t>
            </w:r>
            <w:r>
              <w:rPr>
                <w:rFonts w:ascii="宋体" w:hAnsi="宋体" w:eastAsia="仿宋"/>
                <w:color w:val="000000"/>
                <w:sz w:val="24"/>
                <w:highlight w:val="none"/>
              </w:rPr>
              <w:t>”符号表示本招标文件未选定的内容；空格中的“/”表示没有具体内容。投标人投标时请按“</w:t>
            </w:r>
            <w:r>
              <w:rPr>
                <w:rFonts w:ascii="宋体" w:hAnsi="宋体" w:eastAsia="仿宋"/>
                <w:color w:val="000000"/>
                <w:sz w:val="24"/>
                <w:highlight w:val="none"/>
              </w:rPr>
              <w:sym w:font="Wingdings" w:char="F0FE"/>
            </w:r>
            <w:r>
              <w:rPr>
                <w:rFonts w:ascii="宋体" w:hAnsi="宋体" w:eastAsia="仿宋"/>
                <w:color w:val="000000"/>
                <w:sz w:val="24"/>
                <w:highlight w:val="none"/>
              </w:rPr>
              <w:t>符号”选定的内容和要求参加投标。</w:t>
            </w:r>
          </w:p>
          <w:p w14:paraId="0F14F35E">
            <w:pPr>
              <w:adjustRightInd w:val="0"/>
              <w:snapToGrid w:val="0"/>
              <w:spacing w:line="288" w:lineRule="auto"/>
              <w:jc w:val="left"/>
              <w:rPr>
                <w:rFonts w:hint="eastAsia" w:ascii="宋体" w:hAnsi="宋体"/>
                <w:color w:val="000000"/>
                <w:sz w:val="24"/>
                <w:highlight w:val="none"/>
              </w:rPr>
            </w:pPr>
            <w:r>
              <w:rPr>
                <w:rFonts w:hint="eastAsia" w:ascii="宋体" w:hAnsi="宋体" w:eastAsia="仿宋"/>
                <w:color w:val="000000"/>
                <w:sz w:val="24"/>
                <w:highlight w:val="none"/>
              </w:rPr>
              <w:t>（3）与合同履行有关条款中注明的“甲方”、“买方”，在招标投标阶段按“采购人”理解；注明的“乙方”、“卖方”，按“投标人”理解。</w:t>
            </w:r>
          </w:p>
        </w:tc>
      </w:tr>
      <w:tr w14:paraId="5E792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48D6C169">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12.3</w:t>
            </w:r>
          </w:p>
        </w:tc>
        <w:tc>
          <w:tcPr>
            <w:tcW w:w="1581" w:type="dxa"/>
            <w:noWrap w:val="0"/>
            <w:vAlign w:val="center"/>
          </w:tcPr>
          <w:p w14:paraId="0A160596">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知识产权</w:t>
            </w:r>
          </w:p>
        </w:tc>
        <w:tc>
          <w:tcPr>
            <w:tcW w:w="7229" w:type="dxa"/>
            <w:noWrap w:val="0"/>
            <w:vAlign w:val="top"/>
          </w:tcPr>
          <w:p w14:paraId="1BC1059A">
            <w:pPr>
              <w:adjustRightInd w:val="0"/>
              <w:snapToGrid w:val="0"/>
              <w:spacing w:line="288" w:lineRule="auto"/>
              <w:jc w:val="left"/>
              <w:rPr>
                <w:rFonts w:hint="eastAsia" w:ascii="宋体" w:hAnsi="宋体" w:eastAsia="仿宋"/>
                <w:color w:val="000000"/>
                <w:sz w:val="24"/>
                <w:highlight w:val="none"/>
              </w:rPr>
            </w:pPr>
            <w:r>
              <w:rPr>
                <w:rFonts w:hint="eastAsia" w:ascii="宋体" w:hAnsi="宋体" w:eastAsia="仿宋"/>
                <w:color w:val="000000"/>
                <w:sz w:val="24"/>
                <w:highlight w:val="none"/>
              </w:rPr>
              <w:t>（1）构成本招标文件各个组成部分的文件，未经采购人书面同意，投标人不得擅自复印和用于非本招标项目所需的其他目的。</w:t>
            </w:r>
            <w:r>
              <w:rPr>
                <w:rFonts w:ascii="宋体" w:hAnsi="宋体" w:eastAsia="仿宋"/>
                <w:color w:val="000000"/>
                <w:sz w:val="24"/>
                <w:highlight w:val="none"/>
              </w:rPr>
              <w:t>如因此导致</w:t>
            </w:r>
            <w:r>
              <w:rPr>
                <w:rFonts w:hint="eastAsia" w:ascii="宋体" w:hAnsi="宋体" w:eastAsia="仿宋"/>
                <w:color w:val="000000"/>
                <w:sz w:val="24"/>
                <w:highlight w:val="none"/>
              </w:rPr>
              <w:t>采购人</w:t>
            </w:r>
            <w:r>
              <w:rPr>
                <w:rFonts w:ascii="宋体" w:hAnsi="宋体" w:eastAsia="仿宋"/>
                <w:color w:val="000000"/>
                <w:sz w:val="24"/>
                <w:highlight w:val="none"/>
              </w:rPr>
              <w:t>损失的，投标人须承担全部赔偿责任。</w:t>
            </w:r>
          </w:p>
          <w:p w14:paraId="7B4EDCEA">
            <w:pPr>
              <w:adjustRightInd w:val="0"/>
              <w:snapToGrid w:val="0"/>
              <w:spacing w:line="288" w:lineRule="auto"/>
              <w:jc w:val="left"/>
              <w:rPr>
                <w:rFonts w:ascii="宋体" w:hAnsi="宋体"/>
                <w:color w:val="000000"/>
                <w:sz w:val="24"/>
                <w:highlight w:val="none"/>
              </w:rPr>
            </w:pPr>
            <w:r>
              <w:rPr>
                <w:rFonts w:hint="eastAsia" w:ascii="宋体" w:hAnsi="宋体" w:eastAsia="仿宋"/>
                <w:color w:val="000000"/>
                <w:sz w:val="24"/>
                <w:highlight w:val="none"/>
              </w:rPr>
              <w:t>（2）采购人</w:t>
            </w:r>
            <w:r>
              <w:rPr>
                <w:rFonts w:ascii="宋体" w:hAnsi="宋体" w:eastAsia="仿宋"/>
                <w:color w:val="000000"/>
                <w:sz w:val="24"/>
                <w:highlight w:val="none"/>
              </w:rPr>
              <w:t>在中华人民共和国境内使用</w:t>
            </w:r>
            <w:r>
              <w:rPr>
                <w:rFonts w:hint="eastAsia" w:ascii="宋体" w:hAnsi="宋体" w:eastAsia="仿宋"/>
                <w:color w:val="000000"/>
                <w:sz w:val="24"/>
                <w:highlight w:val="none"/>
              </w:rPr>
              <w:t>中</w:t>
            </w:r>
            <w:r>
              <w:rPr>
                <w:rFonts w:ascii="宋体" w:hAnsi="宋体" w:eastAsia="仿宋"/>
                <w:color w:val="000000"/>
                <w:sz w:val="24"/>
                <w:highlight w:val="none"/>
              </w:rPr>
              <w:t>标货物</w:t>
            </w:r>
            <w:r>
              <w:rPr>
                <w:rFonts w:hint="eastAsia" w:ascii="宋体" w:hAnsi="宋体" w:eastAsia="仿宋"/>
                <w:color w:val="000000"/>
                <w:sz w:val="24"/>
                <w:highlight w:val="none"/>
                <w:lang/>
              </w:rPr>
              <w:t>（服务）</w:t>
            </w:r>
            <w:r>
              <w:rPr>
                <w:rFonts w:ascii="宋体" w:hAnsi="宋体" w:eastAsia="仿宋"/>
                <w:color w:val="000000"/>
                <w:sz w:val="24"/>
                <w:highlight w:val="none"/>
              </w:rPr>
              <w:t>、资料、技术、服务或其任何一部分时</w:t>
            </w:r>
            <w:r>
              <w:rPr>
                <w:rFonts w:hint="eastAsia" w:ascii="宋体" w:hAnsi="宋体" w:eastAsia="仿宋"/>
                <w:color w:val="000000"/>
                <w:sz w:val="24"/>
                <w:highlight w:val="none"/>
              </w:rPr>
              <w:t>，履行合同义务后</w:t>
            </w:r>
            <w:r>
              <w:rPr>
                <w:rFonts w:ascii="宋体" w:hAnsi="宋体" w:eastAsia="仿宋"/>
                <w:color w:val="000000"/>
                <w:sz w:val="24"/>
                <w:highlight w:val="none"/>
              </w:rPr>
              <w:t>，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w:t>
            </w:r>
            <w:r>
              <w:rPr>
                <w:rFonts w:hint="eastAsia" w:ascii="宋体" w:hAnsi="宋体" w:eastAsia="仿宋"/>
                <w:color w:val="000000"/>
                <w:sz w:val="24"/>
                <w:highlight w:val="none"/>
              </w:rPr>
              <w:t>采购人</w:t>
            </w:r>
            <w:r>
              <w:rPr>
                <w:rFonts w:ascii="宋体" w:hAnsi="宋体" w:eastAsia="仿宋"/>
                <w:color w:val="000000"/>
                <w:sz w:val="24"/>
                <w:highlight w:val="none"/>
              </w:rPr>
              <w:t>损失的，投标人须承担全部赔偿责任。</w:t>
            </w:r>
          </w:p>
        </w:tc>
      </w:tr>
      <w:tr w14:paraId="4428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2A4370ED">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12.4</w:t>
            </w:r>
          </w:p>
        </w:tc>
        <w:tc>
          <w:tcPr>
            <w:tcW w:w="1581" w:type="dxa"/>
            <w:noWrap w:val="0"/>
            <w:vAlign w:val="center"/>
          </w:tcPr>
          <w:p w14:paraId="6ACCA47C">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olor w:val="000000"/>
                <w:sz w:val="24"/>
                <w:highlight w:val="none"/>
                <w:lang/>
              </w:rPr>
              <w:t>投标专用章、业务专用章等效力规定</w:t>
            </w:r>
          </w:p>
        </w:tc>
        <w:tc>
          <w:tcPr>
            <w:tcW w:w="7229" w:type="dxa"/>
            <w:noWrap w:val="0"/>
            <w:vAlign w:val="center"/>
          </w:tcPr>
          <w:p w14:paraId="2A2C54AE">
            <w:pPr>
              <w:widowControl/>
              <w:snapToGrid w:val="0"/>
              <w:spacing w:line="288" w:lineRule="auto"/>
              <w:jc w:val="left"/>
              <w:rPr>
                <w:rFonts w:hint="eastAsia" w:ascii="宋体" w:hAnsi="宋体"/>
                <w:color w:val="000000"/>
                <w:sz w:val="24"/>
                <w:highlight w:val="none"/>
                <w:lang/>
              </w:rPr>
            </w:pPr>
            <w:r>
              <w:rPr>
                <w:rFonts w:hint="eastAsia" w:ascii="宋体" w:hAnsi="宋体" w:eastAsia="仿宋"/>
                <w:color w:val="000000"/>
                <w:sz w:val="24"/>
                <w:highlight w:val="none"/>
                <w:lang/>
              </w:rPr>
              <w:t>招标文件中明确要求加盖公章的，投标人必须加盖投标人公章。在有授权文件(原件)表明投标专用章、业务专用章等法律效力等同于投标人公章的情况下，可以加盖投标专用章或业务专用章，否则将导致投标无效。</w:t>
            </w:r>
          </w:p>
        </w:tc>
      </w:tr>
      <w:tr w14:paraId="4F58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5F82B359">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12.5</w:t>
            </w:r>
          </w:p>
        </w:tc>
        <w:tc>
          <w:tcPr>
            <w:tcW w:w="1581" w:type="dxa"/>
            <w:noWrap w:val="0"/>
            <w:vAlign w:val="center"/>
          </w:tcPr>
          <w:p w14:paraId="473D910A">
            <w:pPr>
              <w:widowControl/>
              <w:snapToGrid w:val="0"/>
              <w:spacing w:line="288" w:lineRule="auto"/>
              <w:jc w:val="center"/>
              <w:rPr>
                <w:rFonts w:hint="eastAsia" w:ascii="宋体" w:hAnsi="宋体" w:cs="Calibri"/>
                <w:b/>
                <w:color w:val="000000"/>
                <w:sz w:val="24"/>
                <w:highlight w:val="none"/>
              </w:rPr>
            </w:pPr>
            <w:r>
              <w:rPr>
                <w:rFonts w:hint="eastAsia" w:ascii="宋体" w:hAnsi="宋体" w:eastAsia="仿宋"/>
                <w:color w:val="000000"/>
                <w:sz w:val="24"/>
                <w:highlight w:val="none"/>
                <w:lang/>
              </w:rPr>
              <w:t>多包投标、多包中标的规定</w:t>
            </w:r>
          </w:p>
        </w:tc>
        <w:tc>
          <w:tcPr>
            <w:tcW w:w="7229" w:type="dxa"/>
            <w:noWrap w:val="0"/>
            <w:vAlign w:val="center"/>
          </w:tcPr>
          <w:p w14:paraId="26BAB2E9">
            <w:pPr>
              <w:widowControl/>
              <w:snapToGrid w:val="0"/>
              <w:spacing w:line="288" w:lineRule="auto"/>
              <w:jc w:val="left"/>
              <w:rPr>
                <w:rFonts w:ascii="仿宋" w:hAnsi="仿宋" w:eastAsia="仿宋" w:cs="Calibri"/>
                <w:color w:val="000000"/>
                <w:sz w:val="24"/>
                <w:highlight w:val="none"/>
              </w:rPr>
            </w:pPr>
            <w:r>
              <w:rPr>
                <w:rFonts w:ascii="楷体" w:hAnsi="楷体" w:eastAsia="仿宋"/>
                <w:bCs/>
                <w:color w:val="000000"/>
                <w:sz w:val="24"/>
                <w:highlight w:val="none"/>
              </w:rPr>
              <w:fldChar w:fldCharType="begin"/>
            </w:r>
            <w:r>
              <w:rPr>
                <w:rFonts w:ascii="楷体" w:hAnsi="楷体" w:eastAsia="仿宋"/>
                <w:bCs/>
                <w:color w:val="000000"/>
                <w:sz w:val="24"/>
                <w:highlight w:val="none"/>
              </w:rPr>
              <w:instrText xml:space="preserve"> </w:instrText>
            </w:r>
            <w:r>
              <w:rPr>
                <w:rFonts w:hint="eastAsia" w:ascii="楷体" w:hAnsi="楷体" w:eastAsia="仿宋"/>
                <w:bCs/>
                <w:color w:val="000000"/>
                <w:sz w:val="24"/>
                <w:highlight w:val="none"/>
              </w:rPr>
              <w:instrText xml:space="preserve">eq \o\ac(□,√)</w:instrText>
            </w:r>
            <w:r>
              <w:rPr>
                <w:rFonts w:ascii="楷体" w:hAnsi="楷体" w:eastAsia="仿宋"/>
                <w:bCs/>
                <w:color w:val="000000"/>
                <w:sz w:val="24"/>
                <w:highlight w:val="none"/>
              </w:rPr>
              <w:fldChar w:fldCharType="end"/>
            </w:r>
            <w:r>
              <w:rPr>
                <w:rFonts w:hint="eastAsia" w:ascii="仿宋" w:hAnsi="仿宋" w:eastAsia="仿宋" w:cs="仿宋"/>
                <w:color w:val="000000"/>
                <w:kern w:val="0"/>
                <w:sz w:val="24"/>
                <w:highlight w:val="none"/>
                <w:lang w:bidi="ar"/>
              </w:rPr>
              <w:t>本项目不适用</w:t>
            </w:r>
          </w:p>
          <w:p w14:paraId="66F72966">
            <w:pPr>
              <w:widowControl/>
              <w:snapToGrid w:val="0"/>
              <w:spacing w:line="288" w:lineRule="auto"/>
              <w:jc w:val="left"/>
              <w:rPr>
                <w:rFonts w:ascii="仿宋" w:hAnsi="仿宋" w:eastAsia="仿宋" w:cs="Calibri"/>
                <w:color w:val="000000"/>
                <w:sz w:val="24"/>
                <w:highlight w:val="none"/>
              </w:rPr>
            </w:pPr>
            <w:r>
              <w:rPr>
                <w:rFonts w:hint="eastAsia" w:ascii="仿宋" w:hAnsi="仿宋" w:eastAsia="仿宋" w:cs="Calibri"/>
                <w:color w:val="000000"/>
                <w:sz w:val="24"/>
                <w:highlight w:val="none"/>
              </w:rPr>
              <w:t>□投标人可对本项目一个或多个包进行投标，也可中多个包。</w:t>
            </w:r>
          </w:p>
          <w:p w14:paraId="12849801">
            <w:pPr>
              <w:widowControl/>
              <w:snapToGrid w:val="0"/>
              <w:spacing w:line="288" w:lineRule="auto"/>
              <w:jc w:val="left"/>
              <w:rPr>
                <w:rFonts w:ascii="仿宋" w:hAnsi="仿宋" w:eastAsia="仿宋"/>
                <w:color w:val="000000"/>
                <w:sz w:val="24"/>
                <w:highlight w:val="none"/>
              </w:rPr>
            </w:pPr>
            <w:r>
              <w:rPr>
                <w:rFonts w:hint="eastAsia" w:ascii="仿宋" w:hAnsi="仿宋" w:eastAsia="仿宋" w:cs="Calibri"/>
                <w:color w:val="000000"/>
                <w:sz w:val="24"/>
                <w:highlight w:val="none"/>
              </w:rPr>
              <w:t>□</w:t>
            </w:r>
            <w:r>
              <w:rPr>
                <w:rFonts w:hint="eastAsia" w:ascii="仿宋" w:hAnsi="仿宋" w:eastAsia="仿宋"/>
                <w:color w:val="000000"/>
                <w:sz w:val="24"/>
                <w:highlight w:val="none"/>
              </w:rPr>
              <w:t>本项目评审时按“第1包→第2包→第3包”的包号递增顺序评审。</w:t>
            </w:r>
            <w:r>
              <w:rPr>
                <w:rFonts w:hint="eastAsia" w:ascii="仿宋" w:hAnsi="仿宋" w:eastAsia="仿宋" w:cs="Calibri"/>
                <w:color w:val="000000"/>
                <w:sz w:val="24"/>
                <w:highlight w:val="none"/>
              </w:rPr>
              <w:t>投标人可对本项目一个或多个包进行投标</w:t>
            </w:r>
            <w:r>
              <w:rPr>
                <w:rFonts w:hint="eastAsia" w:ascii="仿宋" w:hAnsi="仿宋" w:eastAsia="仿宋"/>
                <w:color w:val="000000"/>
                <w:sz w:val="24"/>
                <w:highlight w:val="none"/>
              </w:rPr>
              <w:t>，但只能在单个标包中取得中标资格，且在后续标包的评审中均视为无效投标人。如某标包因中标人放弃中标资格、质疑或投诉等原因导致评审结果变更的，不影响其他包评审结果，也不受多投单中规则影响。</w:t>
            </w:r>
          </w:p>
        </w:tc>
      </w:tr>
      <w:tr w14:paraId="581F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12778B9E">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12.6</w:t>
            </w:r>
          </w:p>
        </w:tc>
        <w:tc>
          <w:tcPr>
            <w:tcW w:w="1581" w:type="dxa"/>
            <w:noWrap w:val="0"/>
            <w:vAlign w:val="center"/>
          </w:tcPr>
          <w:p w14:paraId="3747D0FF">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相关提示</w:t>
            </w:r>
          </w:p>
        </w:tc>
        <w:tc>
          <w:tcPr>
            <w:tcW w:w="7229" w:type="dxa"/>
            <w:noWrap w:val="0"/>
            <w:vAlign w:val="center"/>
          </w:tcPr>
          <w:p w14:paraId="5C97464D">
            <w:pPr>
              <w:widowControl/>
              <w:snapToGrid w:val="0"/>
              <w:spacing w:line="288" w:lineRule="auto"/>
              <w:jc w:val="left"/>
              <w:rPr>
                <w:rFonts w:hint="eastAsia" w:ascii="宋体" w:hAnsi="宋体" w:eastAsia="仿宋"/>
                <w:color w:val="000000"/>
                <w:sz w:val="24"/>
                <w:highlight w:val="none"/>
                <w:lang/>
              </w:rPr>
            </w:pPr>
            <w:r>
              <w:rPr>
                <w:rFonts w:hint="eastAsia" w:ascii="宋体" w:hAnsi="宋体" w:eastAsia="仿宋"/>
                <w:color w:val="000000"/>
                <w:sz w:val="24"/>
                <w:highlight w:val="none"/>
                <w:lang/>
              </w:rPr>
              <w:t>（1）招标文件中所称时间均指北京时间，采用电子招标投标时，以交易平台时间为准。</w:t>
            </w:r>
          </w:p>
          <w:p w14:paraId="4E1951BE">
            <w:pPr>
              <w:widowControl/>
              <w:snapToGrid w:val="0"/>
              <w:spacing w:line="288" w:lineRule="auto"/>
              <w:jc w:val="left"/>
              <w:rPr>
                <w:rFonts w:hint="eastAsia" w:ascii="宋体" w:hAnsi="宋体" w:eastAsia="仿宋"/>
                <w:color w:val="000000"/>
                <w:sz w:val="24"/>
                <w:highlight w:val="none"/>
                <w:lang/>
              </w:rPr>
            </w:pPr>
            <w:r>
              <w:rPr>
                <w:rFonts w:hint="eastAsia" w:ascii="宋体" w:hAnsi="宋体" w:eastAsia="仿宋"/>
                <w:color w:val="000000"/>
                <w:sz w:val="24"/>
                <w:highlight w:val="none"/>
                <w:lang/>
              </w:rPr>
              <w:t>（2）投标人应注意规定的开标地点和投标截止时间，为了使招标投标工作有条不紊进行，避免</w:t>
            </w:r>
            <w:r>
              <w:rPr>
                <w:rFonts w:hint="eastAsia" w:ascii="宋体" w:hAnsi="宋体" w:eastAsia="仿宋"/>
                <w:color w:val="000000"/>
                <w:sz w:val="24"/>
                <w:highlight w:val="none"/>
              </w:rPr>
              <w:t>因网络等问题导致投</w:t>
            </w:r>
            <w:r>
              <w:rPr>
                <w:rFonts w:hint="eastAsia" w:ascii="宋体" w:hAnsi="宋体" w:eastAsia="仿宋"/>
                <w:color w:val="000000"/>
                <w:sz w:val="24"/>
                <w:highlight w:val="none"/>
                <w:lang/>
              </w:rPr>
              <w:t>标文件</w:t>
            </w:r>
            <w:r>
              <w:rPr>
                <w:rFonts w:hint="eastAsia" w:ascii="宋体" w:hAnsi="宋体" w:eastAsia="仿宋"/>
                <w:color w:val="000000"/>
                <w:sz w:val="24"/>
                <w:highlight w:val="none"/>
              </w:rPr>
              <w:t>无法按时加密并提交</w:t>
            </w:r>
            <w:r>
              <w:rPr>
                <w:rFonts w:hint="eastAsia" w:ascii="宋体" w:hAnsi="宋体" w:eastAsia="仿宋"/>
                <w:color w:val="000000"/>
                <w:sz w:val="24"/>
                <w:highlight w:val="none"/>
                <w:lang/>
              </w:rPr>
              <w:t>的情况发生，建议投标人提前30分钟做好准备工作。</w:t>
            </w:r>
          </w:p>
          <w:p w14:paraId="45F824C8">
            <w:pPr>
              <w:widowControl/>
              <w:snapToGrid w:val="0"/>
              <w:spacing w:line="288" w:lineRule="auto"/>
              <w:jc w:val="left"/>
              <w:rPr>
                <w:rFonts w:hint="eastAsia" w:ascii="宋体" w:hAnsi="宋体"/>
                <w:color w:val="000000"/>
                <w:sz w:val="24"/>
                <w:highlight w:val="none"/>
                <w:lang/>
              </w:rPr>
            </w:pPr>
            <w:r>
              <w:rPr>
                <w:rFonts w:hint="eastAsia" w:ascii="宋体" w:hAnsi="宋体" w:eastAsia="仿宋"/>
                <w:color w:val="000000"/>
                <w:sz w:val="24"/>
                <w:highlight w:val="none"/>
                <w:lang/>
              </w:rPr>
              <w:t>（3）本项目保证金账户采用虚拟账号，每个项目均不同，同一个项目不同标包也不同。投标标包应与保证金相匹配。如项目招标失败再次招标时，保证金账号也会发生变化。请投标人仔细核对账户信息。</w:t>
            </w:r>
          </w:p>
        </w:tc>
      </w:tr>
      <w:tr w14:paraId="1D2D4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52B765F1">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12.7</w:t>
            </w:r>
          </w:p>
        </w:tc>
        <w:tc>
          <w:tcPr>
            <w:tcW w:w="1581" w:type="dxa"/>
            <w:noWrap w:val="0"/>
            <w:vAlign w:val="center"/>
          </w:tcPr>
          <w:p w14:paraId="049FD5F9">
            <w:pPr>
              <w:widowControl/>
              <w:adjustRightInd w:val="0"/>
              <w:snapToGrid w:val="0"/>
              <w:spacing w:line="288" w:lineRule="auto"/>
              <w:jc w:val="center"/>
              <w:rPr>
                <w:rFonts w:hint="eastAsia" w:ascii="宋体" w:hAnsi="宋体" w:cs="Calibri"/>
                <w:color w:val="000000"/>
                <w:sz w:val="24"/>
                <w:highlight w:val="none"/>
              </w:rPr>
            </w:pPr>
            <w:r>
              <w:rPr>
                <w:rFonts w:hint="eastAsia" w:ascii="宋体" w:hAnsi="宋体" w:eastAsia="仿宋" w:cs="Calibri"/>
                <w:color w:val="000000"/>
                <w:sz w:val="24"/>
                <w:highlight w:val="none"/>
              </w:rPr>
              <w:t>招标文件的解释</w:t>
            </w:r>
          </w:p>
        </w:tc>
        <w:tc>
          <w:tcPr>
            <w:tcW w:w="7229" w:type="dxa"/>
            <w:noWrap w:val="0"/>
            <w:vAlign w:val="top"/>
          </w:tcPr>
          <w:p w14:paraId="7956E187">
            <w:pPr>
              <w:widowControl/>
              <w:adjustRightInd w:val="0"/>
              <w:snapToGrid w:val="0"/>
              <w:spacing w:line="288" w:lineRule="auto"/>
              <w:rPr>
                <w:rFonts w:hint="eastAsia" w:ascii="宋体" w:hAnsi="宋体"/>
                <w:color w:val="000000"/>
                <w:sz w:val="24"/>
                <w:highlight w:val="none"/>
              </w:rPr>
            </w:pPr>
            <w:r>
              <w:rPr>
                <w:rFonts w:hint="eastAsia" w:ascii="宋体" w:hAnsi="宋体" w:eastAsia="仿宋"/>
                <w:color w:val="000000"/>
                <w:sz w:val="24"/>
                <w:highlight w:val="none"/>
              </w:rPr>
              <w:t>构成本招标文件的各个组成文件应互为解释，互为说明；如有不明确或不一致，除招标文件中有特别规定外，仅适用于招标投标阶段规定的，按招标公告、投标人须知、评标办法、投标文件格式的先后顺序解释；同一组成文件中就同一事项的规定或约定不一致的，以编排顺序在后者为准；同一文件不同版本之间有不一致的，以形成时间在后者为准。按本款前述规定仍不能形成结论的，</w:t>
            </w:r>
            <w:r>
              <w:rPr>
                <w:rFonts w:hint="eastAsia" w:ascii="宋体" w:hAnsi="宋体" w:eastAsia="仿宋"/>
                <w:bCs/>
                <w:color w:val="000000"/>
                <w:sz w:val="24"/>
                <w:highlight w:val="none"/>
              </w:rPr>
              <w:t>由采购人和采购代理机构负责解释。</w:t>
            </w:r>
          </w:p>
        </w:tc>
      </w:tr>
      <w:tr w14:paraId="3539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10" w:hRule="atLeast"/>
        </w:trPr>
        <w:tc>
          <w:tcPr>
            <w:tcW w:w="857" w:type="dxa"/>
            <w:noWrap w:val="0"/>
            <w:vAlign w:val="center"/>
          </w:tcPr>
          <w:p w14:paraId="6D9E04EF">
            <w:pPr>
              <w:widowControl/>
              <w:adjustRightInd w:val="0"/>
              <w:snapToGrid w:val="0"/>
              <w:spacing w:line="288" w:lineRule="auto"/>
              <w:jc w:val="center"/>
              <w:rPr>
                <w:rFonts w:ascii="宋体" w:hAnsi="宋体" w:eastAsia="仿宋" w:cs="Calibri"/>
                <w:color w:val="000000"/>
                <w:sz w:val="24"/>
                <w:highlight w:val="none"/>
              </w:rPr>
            </w:pPr>
            <w:r>
              <w:rPr>
                <w:rFonts w:hint="eastAsia" w:ascii="宋体" w:hAnsi="宋体" w:eastAsia="仿宋" w:cs="Calibri"/>
                <w:color w:val="000000"/>
                <w:sz w:val="24"/>
                <w:highlight w:val="none"/>
              </w:rPr>
              <w:t>12.8</w:t>
            </w:r>
          </w:p>
        </w:tc>
        <w:tc>
          <w:tcPr>
            <w:tcW w:w="1581" w:type="dxa"/>
            <w:noWrap w:val="0"/>
            <w:vAlign w:val="center"/>
          </w:tcPr>
          <w:p w14:paraId="07891B68">
            <w:pPr>
              <w:widowControl/>
              <w:adjustRightInd w:val="0"/>
              <w:snapToGrid w:val="0"/>
              <w:spacing w:line="288" w:lineRule="auto"/>
              <w:jc w:val="center"/>
              <w:rPr>
                <w:rFonts w:hint="eastAsia" w:ascii="宋体" w:hAnsi="宋体" w:eastAsia="仿宋" w:cs="Calibri"/>
                <w:color w:val="000000"/>
                <w:sz w:val="24"/>
                <w:highlight w:val="none"/>
              </w:rPr>
            </w:pPr>
            <w:r>
              <w:rPr>
                <w:rFonts w:hint="eastAsia" w:ascii="宋体" w:hAnsi="宋体" w:eastAsia="仿宋" w:cs="Calibri"/>
                <w:color w:val="000000"/>
                <w:sz w:val="24"/>
                <w:highlight w:val="none"/>
              </w:rPr>
              <w:t>“政采贷”融资指引</w:t>
            </w:r>
          </w:p>
        </w:tc>
        <w:tc>
          <w:tcPr>
            <w:tcW w:w="7229" w:type="dxa"/>
            <w:noWrap w:val="0"/>
            <w:vAlign w:val="top"/>
          </w:tcPr>
          <w:p w14:paraId="7A6FF944">
            <w:pPr>
              <w:widowControl/>
              <w:adjustRightInd w:val="0"/>
              <w:snapToGrid w:val="0"/>
              <w:spacing w:line="288" w:lineRule="auto"/>
              <w:rPr>
                <w:rFonts w:hint="eastAsia" w:ascii="宋体" w:hAnsi="宋体" w:eastAsia="仿宋"/>
                <w:color w:val="000000"/>
                <w:sz w:val="24"/>
                <w:highlight w:val="none"/>
              </w:rPr>
            </w:pPr>
            <w:r>
              <w:rPr>
                <w:rFonts w:hint="eastAsia" w:ascii="宋体" w:hAnsi="宋体" w:eastAsia="仿宋"/>
                <w:color w:val="000000"/>
                <w:sz w:val="24"/>
                <w:highlight w:val="none"/>
              </w:rPr>
              <w:t>有融资需求的供应商在取得政府采购中标或成交通知书后，可访问安徽省政府采购网“融资/保函”栏目，查看和联系第三方平台或者金融机构，商洽融资事项，确定融资意向。</w:t>
            </w:r>
          </w:p>
          <w:p w14:paraId="3315849B">
            <w:pPr>
              <w:widowControl/>
              <w:adjustRightInd w:val="0"/>
              <w:snapToGrid w:val="0"/>
              <w:spacing w:line="288" w:lineRule="auto"/>
              <w:rPr>
                <w:rFonts w:hint="eastAsia" w:ascii="宋体" w:hAnsi="宋体" w:eastAsia="仿宋"/>
                <w:color w:val="000000"/>
                <w:sz w:val="24"/>
                <w:highlight w:val="none"/>
              </w:rPr>
            </w:pPr>
            <w:r>
              <w:rPr>
                <w:rFonts w:hint="eastAsia" w:ascii="宋体" w:hAnsi="宋体" w:eastAsia="仿宋"/>
                <w:color w:val="000000"/>
                <w:sz w:val="24"/>
                <w:highlight w:val="none"/>
              </w:rPr>
              <w:t>供应商签署政府采购中标（成交）合同后，登录“徽采云”金融服务模块，选择意向产品进行申请，并填写相关信息，“徽采云”金融服务模块将供应商融资申请信息推送第三方平台、意向金融机构。</w:t>
            </w:r>
          </w:p>
        </w:tc>
      </w:tr>
    </w:tbl>
    <w:p w14:paraId="11CA7728">
      <w:pPr>
        <w:widowControl/>
        <w:spacing w:line="360" w:lineRule="auto"/>
        <w:rPr>
          <w:rFonts w:ascii="宋体" w:hAnsi="宋体" w:eastAsia="仿宋" w:cs="Calibri"/>
          <w:b/>
          <w:bCs/>
          <w:color w:val="000000"/>
          <w:sz w:val="24"/>
          <w:highlight w:val="none"/>
        </w:rPr>
      </w:pPr>
    </w:p>
    <w:p w14:paraId="02D5A410">
      <w:pPr>
        <w:widowControl/>
        <w:rPr>
          <w:rStyle w:val="106"/>
          <w:rFonts w:ascii="宋体" w:hAnsi="宋体" w:eastAsia="仿宋"/>
          <w:bCs w:val="0"/>
          <w:color w:val="000000"/>
          <w:sz w:val="24"/>
          <w:szCs w:val="24"/>
          <w:highlight w:val="none"/>
        </w:rPr>
        <w:sectPr>
          <w:footerReference r:id="rId11" w:type="default"/>
          <w:footnotePr>
            <w:numFmt w:val="decimalEnclosedCircleChinese"/>
            <w:numRestart w:val="eachPage"/>
          </w:footnotePr>
          <w:pgSz w:w="11906" w:h="16838"/>
          <w:pgMar w:top="1134" w:right="1134" w:bottom="1134" w:left="1134" w:header="851" w:footer="851" w:gutter="0"/>
          <w:pgNumType w:start="1"/>
          <w:cols w:space="720" w:num="1"/>
          <w:docGrid w:linePitch="312" w:charSpace="0"/>
        </w:sectPr>
      </w:pPr>
    </w:p>
    <w:bookmarkEnd w:id="39"/>
    <w:bookmarkEnd w:id="40"/>
    <w:bookmarkEnd w:id="41"/>
    <w:bookmarkEnd w:id="42"/>
    <w:p w14:paraId="66E23910">
      <w:pPr>
        <w:pStyle w:val="3"/>
        <w:rPr>
          <w:rStyle w:val="106"/>
          <w:rFonts w:ascii="宋体" w:hAnsi="宋体" w:eastAsia="仿宋"/>
          <w:b/>
          <w:bCs/>
          <w:color w:val="000000"/>
          <w:sz w:val="24"/>
          <w:szCs w:val="24"/>
          <w:highlight w:val="none"/>
        </w:rPr>
      </w:pPr>
      <w:bookmarkStart w:id="46" w:name="_Toc455587216"/>
      <w:bookmarkStart w:id="47" w:name="_Toc338943699"/>
      <w:bookmarkStart w:id="48" w:name="_Toc338944604"/>
      <w:bookmarkStart w:id="49" w:name="_Toc144974497"/>
      <w:bookmarkStart w:id="50" w:name="_Toc342294713"/>
      <w:bookmarkStart w:id="51" w:name="_Toc342296161"/>
      <w:bookmarkStart w:id="52" w:name="_Toc152042305"/>
      <w:bookmarkStart w:id="53" w:name="_Toc333600682"/>
      <w:bookmarkStart w:id="54" w:name="_Toc445554688"/>
      <w:bookmarkStart w:id="55" w:name="_Toc455587032"/>
      <w:bookmarkStart w:id="56" w:name="_Toc466024500"/>
      <w:bookmarkStart w:id="57" w:name="_Toc371415920"/>
      <w:bookmarkStart w:id="58" w:name="_Toc152045529"/>
      <w:bookmarkStart w:id="59" w:name="_Toc333599658"/>
      <w:bookmarkStart w:id="60" w:name="_Toc458504818"/>
      <w:bookmarkStart w:id="61" w:name="_Toc179632546"/>
      <w:bookmarkStart w:id="62" w:name="_Toc342297618"/>
      <w:r>
        <w:rPr>
          <w:rStyle w:val="106"/>
          <w:rFonts w:hint="eastAsia" w:ascii="宋体" w:hAnsi="宋体" w:eastAsia="仿宋"/>
          <w:b/>
          <w:bCs/>
          <w:color w:val="000000"/>
          <w:sz w:val="24"/>
          <w:szCs w:val="24"/>
          <w:highlight w:val="none"/>
        </w:rPr>
        <w:t>1. 总则</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41AEB3CD">
      <w:pPr>
        <w:pStyle w:val="4"/>
        <w:adjustRightInd w:val="0"/>
        <w:ind w:firstLine="482" w:firstLineChars="200"/>
        <w:rPr>
          <w:rFonts w:eastAsia="仿宋"/>
          <w:color w:val="000000"/>
          <w:sz w:val="24"/>
          <w:highlight w:val="none"/>
          <w:lang w:eastAsia="zh-CN"/>
        </w:rPr>
      </w:pPr>
      <w:bookmarkStart w:id="63" w:name="_Toc342297619"/>
      <w:bookmarkStart w:id="64" w:name="_Toc445554689"/>
      <w:bookmarkStart w:id="65" w:name="_Toc152045530"/>
      <w:bookmarkStart w:id="66" w:name="_Toc152042306"/>
      <w:bookmarkStart w:id="67" w:name="_Toc338944605"/>
      <w:bookmarkStart w:id="68" w:name="_Toc342296162"/>
      <w:bookmarkStart w:id="69" w:name="_Toc333599659"/>
      <w:bookmarkStart w:id="70" w:name="_Toc179632547"/>
      <w:bookmarkStart w:id="71" w:name="_Toc144974498"/>
      <w:bookmarkStart w:id="72" w:name="_Toc333600683"/>
      <w:bookmarkStart w:id="73" w:name="_Toc338943700"/>
      <w:bookmarkStart w:id="74" w:name="_Toc455587217"/>
      <w:bookmarkStart w:id="75" w:name="_Toc333587853"/>
      <w:bookmarkStart w:id="76" w:name="_Toc455587033"/>
      <w:bookmarkStart w:id="77" w:name="_Toc458504819"/>
      <w:bookmarkStart w:id="78" w:name="_Toc371415921"/>
      <w:bookmarkStart w:id="79" w:name="_Toc342294714"/>
      <w:bookmarkStart w:id="80" w:name="_Toc466024501"/>
      <w:r>
        <w:rPr>
          <w:rFonts w:eastAsia="仿宋"/>
          <w:color w:val="000000"/>
          <w:sz w:val="24"/>
          <w:highlight w:val="none"/>
          <w:lang w:eastAsia="zh-CN"/>
        </w:rPr>
        <w:t>1</w:t>
      </w:r>
      <w:r>
        <w:rPr>
          <w:rFonts w:hint="eastAsia" w:eastAsia="仿宋"/>
          <w:color w:val="000000"/>
          <w:sz w:val="24"/>
          <w:highlight w:val="none"/>
          <w:lang w:eastAsia="zh-CN"/>
        </w:rPr>
        <w:t>.1 项目概况</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69CD530">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1.1.1 根据《中华人民共和国政府采购法》《中华人民共和国政府采购法实施条例》《政府采购货物和服务招标投标管理办法》等有关法律、法规和规章的规定，本项目已具备政府采购条件，现以招标方式进行政府采购。</w:t>
      </w:r>
    </w:p>
    <w:p w14:paraId="7642F051">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1.1.2 采购人：见投标人须知前附表。</w:t>
      </w:r>
    </w:p>
    <w:p w14:paraId="37A9D82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1.1.3 采购代理机构：见投标人须知前附表。</w:t>
      </w:r>
    </w:p>
    <w:p w14:paraId="269A6B8A">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1.1.4 采购项目名称：见投标人须知前附表。</w:t>
      </w:r>
    </w:p>
    <w:p w14:paraId="7DD61BD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1.1.5 采购包划分：见投标人须知前附表。</w:t>
      </w:r>
    </w:p>
    <w:p w14:paraId="373863F5">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1.1.6 采购预算：见投标人须知前附表。</w:t>
      </w:r>
    </w:p>
    <w:p w14:paraId="733625B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1.1.7 专门面向中小企业采购：见投标人须知前附表。</w:t>
      </w:r>
    </w:p>
    <w:p w14:paraId="0E836450">
      <w:pPr>
        <w:pStyle w:val="4"/>
        <w:adjustRightInd w:val="0"/>
        <w:ind w:firstLine="482" w:firstLineChars="200"/>
        <w:rPr>
          <w:rFonts w:eastAsia="仿宋"/>
          <w:color w:val="000000"/>
          <w:sz w:val="24"/>
          <w:highlight w:val="none"/>
          <w:lang w:eastAsia="zh-CN"/>
        </w:rPr>
      </w:pPr>
      <w:bookmarkStart w:id="81" w:name="_Toc466024502"/>
      <w:bookmarkStart w:id="82" w:name="_Toc458504820"/>
      <w:bookmarkStart w:id="83" w:name="_Toc445554690"/>
      <w:bookmarkStart w:id="84" w:name="_Toc455587034"/>
      <w:bookmarkStart w:id="85" w:name="_Toc455587218"/>
      <w:r>
        <w:rPr>
          <w:rFonts w:hint="eastAsia" w:eastAsia="仿宋"/>
          <w:color w:val="000000"/>
          <w:sz w:val="24"/>
          <w:highlight w:val="none"/>
          <w:lang w:eastAsia="zh-CN"/>
        </w:rPr>
        <w:t>1.2 资金落实情况与核心产品</w:t>
      </w:r>
    </w:p>
    <w:p w14:paraId="6C7B4501">
      <w:pPr>
        <w:widowControl/>
        <w:adjustRightInd w:val="0"/>
        <w:snapToGrid w:val="0"/>
        <w:spacing w:line="360" w:lineRule="auto"/>
        <w:ind w:firstLine="480" w:firstLineChars="200"/>
        <w:rPr>
          <w:rFonts w:hint="eastAsia" w:ascii="宋体" w:hAnsi="宋体" w:eastAsia="仿宋" w:cs="宋体"/>
          <w:color w:val="000000"/>
          <w:sz w:val="24"/>
          <w:highlight w:val="none"/>
        </w:rPr>
      </w:pPr>
      <w:r>
        <w:rPr>
          <w:rFonts w:hint="eastAsia" w:ascii="宋体" w:hAnsi="宋体" w:eastAsia="仿宋" w:cs="宋体"/>
          <w:color w:val="000000"/>
          <w:sz w:val="24"/>
          <w:highlight w:val="none"/>
          <w:lang w:bidi="ar"/>
        </w:rPr>
        <w:t xml:space="preserve">1.2.1 </w:t>
      </w:r>
      <w:r>
        <w:rPr>
          <w:rFonts w:hint="eastAsia" w:ascii="宋体" w:hAnsi="宋体" w:eastAsia="仿宋" w:cs="仿宋"/>
          <w:color w:val="000000"/>
          <w:sz w:val="24"/>
          <w:highlight w:val="none"/>
          <w:lang w:bidi="ar"/>
        </w:rPr>
        <w:t>资金来源及比例：见投标人须知前附表。</w:t>
      </w:r>
    </w:p>
    <w:p w14:paraId="6F4F7B6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s="宋体"/>
          <w:color w:val="000000"/>
          <w:sz w:val="24"/>
          <w:highlight w:val="none"/>
          <w:lang w:bidi="ar"/>
        </w:rPr>
        <w:t>1.2.2</w:t>
      </w:r>
      <w:r>
        <w:rPr>
          <w:rFonts w:hint="eastAsia" w:ascii="宋体" w:hAnsi="宋体" w:eastAsia="仿宋"/>
          <w:color w:val="000000"/>
          <w:sz w:val="24"/>
          <w:highlight w:val="none"/>
        </w:rPr>
        <w:t xml:space="preserve"> 资金落实情况：本项目的采购人已获得足以支付本次招标后所签订的合同项下的资金。</w:t>
      </w:r>
    </w:p>
    <w:p w14:paraId="1230D13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1.2.3 核心产品：非单一产品采购项目，采购人应当根据采购项目技术构成、产品价格比重等合理确定核心产品，并在招标文件中载明。提供的核心产品品牌相同的不同投标人参加同一合同项下投标的，按一家投标人计算。</w:t>
      </w:r>
    </w:p>
    <w:bookmarkEnd w:id="81"/>
    <w:bookmarkEnd w:id="82"/>
    <w:bookmarkEnd w:id="83"/>
    <w:bookmarkEnd w:id="84"/>
    <w:bookmarkEnd w:id="85"/>
    <w:p w14:paraId="75BE525D">
      <w:pPr>
        <w:pStyle w:val="4"/>
        <w:adjustRightInd w:val="0"/>
        <w:ind w:firstLine="482" w:firstLineChars="200"/>
        <w:rPr>
          <w:rFonts w:eastAsia="仿宋"/>
          <w:color w:val="000000"/>
          <w:sz w:val="24"/>
          <w:highlight w:val="none"/>
          <w:lang w:eastAsia="zh-CN"/>
        </w:rPr>
      </w:pPr>
      <w:bookmarkStart w:id="86" w:name="_Toc342296166"/>
      <w:bookmarkStart w:id="87" w:name="_Toc333587857"/>
      <w:bookmarkStart w:id="88" w:name="_Toc338944609"/>
      <w:bookmarkStart w:id="89" w:name="_Toc152045534"/>
      <w:bookmarkStart w:id="90" w:name="_Toc455587035"/>
      <w:bookmarkStart w:id="91" w:name="_Toc445554692"/>
      <w:bookmarkStart w:id="92" w:name="_Toc342294718"/>
      <w:bookmarkStart w:id="93" w:name="_Toc144974502"/>
      <w:bookmarkStart w:id="94" w:name="_Toc179632551"/>
      <w:bookmarkStart w:id="95" w:name="_Toc342297623"/>
      <w:bookmarkStart w:id="96" w:name="_Toc152042310"/>
      <w:bookmarkStart w:id="97" w:name="_Toc458504821"/>
      <w:bookmarkStart w:id="98" w:name="_Toc333600687"/>
      <w:bookmarkStart w:id="99" w:name="_Toc333599663"/>
      <w:bookmarkStart w:id="100" w:name="_Toc455587219"/>
      <w:bookmarkStart w:id="101" w:name="_Toc338943704"/>
      <w:bookmarkStart w:id="102" w:name="_Toc466024503"/>
      <w:bookmarkStart w:id="103" w:name="_Toc371415924"/>
      <w:r>
        <w:rPr>
          <w:rFonts w:hint="eastAsia" w:eastAsia="仿宋"/>
          <w:color w:val="000000"/>
          <w:sz w:val="24"/>
          <w:highlight w:val="none"/>
          <w:lang w:eastAsia="zh-CN"/>
        </w:rPr>
        <w:t>1.3 资格要求</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3C6541DD">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1.3.1 投标人应具备承担本采购项目的资质条件、能力和信誉，具体资格要求见投标人须知前附表。</w:t>
      </w:r>
    </w:p>
    <w:p w14:paraId="203F75DC">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1.3.2 接受联合体投标的，除应符合本章第1.3</w:t>
      </w:r>
      <w:r>
        <w:rPr>
          <w:rFonts w:ascii="宋体" w:hAnsi="宋体" w:eastAsia="仿宋"/>
          <w:color w:val="000000"/>
          <w:sz w:val="24"/>
          <w:highlight w:val="none"/>
        </w:rPr>
        <w:t>.1</w:t>
      </w:r>
      <w:r>
        <w:rPr>
          <w:rFonts w:hint="eastAsia" w:ascii="宋体" w:hAnsi="宋体" w:eastAsia="仿宋"/>
          <w:color w:val="000000"/>
          <w:sz w:val="24"/>
          <w:highlight w:val="none"/>
        </w:rPr>
        <w:t>项和投标人须知前附表的要求外，还应遵守以下规定：</w:t>
      </w:r>
    </w:p>
    <w:p w14:paraId="2387D1CA">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1</w:t>
      </w:r>
      <w:r>
        <w:rPr>
          <w:rFonts w:hint="eastAsia" w:ascii="宋体" w:hAnsi="宋体" w:eastAsia="仿宋"/>
          <w:color w:val="000000"/>
          <w:sz w:val="24"/>
          <w:highlight w:val="none"/>
        </w:rPr>
        <w:t>）联合体各方应按招标文件提供的格式签订联合体协议书，明确联合体牵头人和各方权利义务，并承诺就中标项目向采购人承担连带责任；</w:t>
      </w:r>
    </w:p>
    <w:p w14:paraId="21404CF2">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（2）由同一专业的单位组成的联合体，按照资质等级较低的单位确定资质等级；</w:t>
      </w:r>
    </w:p>
    <w:p w14:paraId="52F5F5E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（3）联合体各方不得再以自己名义单独或参加其他联合体在本项目中投标，否则各相关投标均无效；</w:t>
      </w:r>
    </w:p>
    <w:p w14:paraId="0EA3CCB2">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4）联合体各方应分别按照本招标文件的要求，填写投标文件中的相应表格，并由联合体牵头人负责对联合体各成员的资料进行统一汇总后一并提交给</w:t>
      </w:r>
      <w:r>
        <w:rPr>
          <w:rFonts w:hint="eastAsia" w:ascii="宋体" w:hAnsi="宋体" w:eastAsia="仿宋"/>
          <w:color w:val="000000"/>
          <w:sz w:val="24"/>
          <w:highlight w:val="none"/>
        </w:rPr>
        <w:t>采购</w:t>
      </w:r>
      <w:r>
        <w:rPr>
          <w:rFonts w:ascii="宋体" w:hAnsi="宋体" w:eastAsia="仿宋"/>
          <w:color w:val="000000"/>
          <w:sz w:val="24"/>
          <w:highlight w:val="none"/>
        </w:rPr>
        <w:t>人；联合体牵头人所提交的投标文件应认为已代表了联合体各成员的真实情况；</w:t>
      </w:r>
    </w:p>
    <w:p w14:paraId="76E064B5">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5）尽管委任了联合体牵头人，但联合体各成员在投标、签订合同与履行合同过程中，仍负有连带的和各自的法律责任。</w:t>
      </w:r>
    </w:p>
    <w:p w14:paraId="04EE4EC3">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1.3.3 投标人</w:t>
      </w:r>
      <w:r>
        <w:rPr>
          <w:rFonts w:hAnsi="宋体" w:eastAsia="仿宋"/>
          <w:color w:val="000000"/>
          <w:sz w:val="24"/>
          <w:highlight w:val="none"/>
        </w:rPr>
        <w:t>（包括联合体各成员）</w:t>
      </w:r>
      <w:r>
        <w:rPr>
          <w:rFonts w:hint="eastAsia" w:ascii="宋体" w:hAnsi="宋体" w:eastAsia="仿宋"/>
          <w:color w:val="000000"/>
          <w:sz w:val="24"/>
          <w:highlight w:val="none"/>
        </w:rPr>
        <w:t>不得存在下列情形之一：</w:t>
      </w:r>
    </w:p>
    <w:p w14:paraId="7868A887">
      <w:pPr>
        <w:widowControl/>
        <w:adjustRightInd w:val="0"/>
        <w:snapToGrid w:val="0"/>
        <w:spacing w:line="360" w:lineRule="auto"/>
        <w:ind w:firstLine="480" w:firstLineChars="200"/>
        <w:rPr>
          <w:rFonts w:hint="eastAsia" w:ascii="宋体" w:hAnsi="宋体" w:eastAsia="仿宋"/>
          <w:color w:val="000000"/>
          <w:sz w:val="24"/>
          <w:highlight w:val="none"/>
        </w:rPr>
      </w:pPr>
      <w:bookmarkStart w:id="104" w:name="_Toc333587858"/>
      <w:bookmarkStart w:id="105" w:name="_Toc342297624"/>
      <w:bookmarkStart w:id="106" w:name="_Toc338944610"/>
      <w:bookmarkStart w:id="107" w:name="_Toc152045535"/>
      <w:bookmarkStart w:id="108" w:name="_Toc152042311"/>
      <w:bookmarkStart w:id="109" w:name="_Toc338943705"/>
      <w:bookmarkStart w:id="110" w:name="_Toc342296167"/>
      <w:bookmarkStart w:id="111" w:name="_Toc333600688"/>
      <w:bookmarkStart w:id="112" w:name="_Toc179632552"/>
      <w:bookmarkStart w:id="113" w:name="_Toc333599664"/>
      <w:bookmarkStart w:id="114" w:name="_Toc144974503"/>
      <w:bookmarkStart w:id="115" w:name="_Toc342294719"/>
      <w:r>
        <w:rPr>
          <w:rFonts w:hint="eastAsia" w:ascii="宋体" w:hAnsi="宋体" w:eastAsia="仿宋"/>
          <w:color w:val="000000"/>
          <w:sz w:val="24"/>
          <w:highlight w:val="none"/>
        </w:rPr>
        <w:t>（1）</w:t>
      </w:r>
      <w:r>
        <w:rPr>
          <w:rFonts w:ascii="宋体" w:hAnsi="宋体" w:eastAsia="仿宋"/>
          <w:color w:val="000000"/>
          <w:sz w:val="24"/>
          <w:highlight w:val="none"/>
        </w:rPr>
        <w:t>为本采购项目的采购代理机构；</w:t>
      </w:r>
    </w:p>
    <w:p w14:paraId="0DD1409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w:t>
      </w:r>
      <w:r>
        <w:rPr>
          <w:rFonts w:ascii="宋体" w:hAnsi="宋体" w:eastAsia="仿宋"/>
          <w:color w:val="000000"/>
          <w:sz w:val="24"/>
          <w:highlight w:val="none"/>
        </w:rPr>
        <w:t>为采购人</w:t>
      </w:r>
      <w:r>
        <w:rPr>
          <w:rFonts w:hint="eastAsia" w:ascii="宋体" w:hAnsi="宋体" w:eastAsia="仿宋"/>
          <w:color w:val="000000"/>
          <w:sz w:val="24"/>
          <w:highlight w:val="none"/>
        </w:rPr>
        <w:t>不具有独立承担民事责任能力的</w:t>
      </w:r>
      <w:r>
        <w:rPr>
          <w:rFonts w:ascii="宋体" w:hAnsi="宋体" w:eastAsia="仿宋"/>
          <w:color w:val="000000"/>
          <w:sz w:val="24"/>
          <w:highlight w:val="none"/>
        </w:rPr>
        <w:t>附属机构</w:t>
      </w:r>
      <w:r>
        <w:rPr>
          <w:rFonts w:hint="eastAsia" w:ascii="宋体" w:hAnsi="宋体" w:eastAsia="仿宋"/>
          <w:color w:val="000000"/>
          <w:sz w:val="24"/>
          <w:highlight w:val="none"/>
        </w:rPr>
        <w:t>；</w:t>
      </w:r>
    </w:p>
    <w:p w14:paraId="2185E58A">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w:t>
      </w:r>
      <w:r>
        <w:rPr>
          <w:rFonts w:ascii="宋体" w:hAnsi="宋体" w:eastAsia="仿宋"/>
          <w:color w:val="000000"/>
          <w:sz w:val="24"/>
          <w:highlight w:val="none"/>
        </w:rPr>
        <w:t>与采购人存在利害关系且可能影响采购公正性；</w:t>
      </w:r>
    </w:p>
    <w:p w14:paraId="4C69B34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w:t>
      </w:r>
      <w:r>
        <w:rPr>
          <w:rFonts w:ascii="宋体" w:hAnsi="宋体" w:eastAsia="仿宋"/>
          <w:color w:val="000000"/>
          <w:sz w:val="24"/>
          <w:highlight w:val="none"/>
        </w:rPr>
        <w:t>由本</w:t>
      </w:r>
      <w:r>
        <w:rPr>
          <w:rFonts w:hint="eastAsia" w:ascii="宋体" w:hAnsi="宋体" w:eastAsia="仿宋"/>
          <w:color w:val="000000"/>
          <w:sz w:val="24"/>
          <w:highlight w:val="none"/>
        </w:rPr>
        <w:t>采购项目</w:t>
      </w:r>
      <w:r>
        <w:rPr>
          <w:rFonts w:ascii="宋体" w:hAnsi="宋体" w:eastAsia="仿宋"/>
          <w:color w:val="000000"/>
          <w:sz w:val="24"/>
          <w:highlight w:val="none"/>
        </w:rPr>
        <w:t>采购代理机构代理</w:t>
      </w:r>
      <w:r>
        <w:rPr>
          <w:rFonts w:hint="eastAsia" w:ascii="宋体" w:hAnsi="宋体" w:eastAsia="仿宋"/>
          <w:color w:val="000000"/>
          <w:sz w:val="24"/>
          <w:highlight w:val="none"/>
        </w:rPr>
        <w:t>投标</w:t>
      </w:r>
      <w:r>
        <w:rPr>
          <w:rFonts w:ascii="宋体" w:hAnsi="宋体" w:eastAsia="仿宋"/>
          <w:color w:val="000000"/>
          <w:sz w:val="24"/>
          <w:highlight w:val="none"/>
        </w:rPr>
        <w:t>，或者接受过本</w:t>
      </w:r>
      <w:r>
        <w:rPr>
          <w:rFonts w:hint="eastAsia" w:ascii="宋体" w:hAnsi="宋体" w:eastAsia="仿宋"/>
          <w:color w:val="000000"/>
          <w:sz w:val="24"/>
          <w:highlight w:val="none"/>
        </w:rPr>
        <w:t>采购项目</w:t>
      </w:r>
      <w:r>
        <w:rPr>
          <w:rFonts w:ascii="宋体" w:hAnsi="宋体" w:eastAsia="仿宋"/>
          <w:color w:val="000000"/>
          <w:sz w:val="24"/>
          <w:highlight w:val="none"/>
        </w:rPr>
        <w:t>的采购代理机构为本</w:t>
      </w:r>
      <w:r>
        <w:rPr>
          <w:rFonts w:hint="eastAsia" w:ascii="宋体" w:hAnsi="宋体" w:eastAsia="仿宋"/>
          <w:color w:val="000000"/>
          <w:sz w:val="24"/>
          <w:highlight w:val="none"/>
        </w:rPr>
        <w:t>采购项目</w:t>
      </w:r>
      <w:r>
        <w:rPr>
          <w:rFonts w:ascii="宋体" w:hAnsi="宋体" w:eastAsia="仿宋"/>
          <w:color w:val="000000"/>
          <w:sz w:val="24"/>
          <w:highlight w:val="none"/>
        </w:rPr>
        <w:t>提供咨询</w:t>
      </w:r>
      <w:r>
        <w:rPr>
          <w:rFonts w:hint="eastAsia" w:ascii="宋体" w:hAnsi="宋体" w:eastAsia="仿宋"/>
          <w:color w:val="000000"/>
          <w:sz w:val="24"/>
          <w:highlight w:val="none"/>
        </w:rPr>
        <w:t>；</w:t>
      </w:r>
    </w:p>
    <w:p w14:paraId="10675833">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（5）</w:t>
      </w:r>
      <w:r>
        <w:rPr>
          <w:rFonts w:ascii="宋体" w:hAnsi="宋体" w:eastAsia="仿宋"/>
          <w:color w:val="000000"/>
          <w:sz w:val="24"/>
          <w:highlight w:val="none"/>
        </w:rPr>
        <w:t>被责令停产停业、暂扣或者吊销许可证、暂扣或者吊销执照；</w:t>
      </w:r>
    </w:p>
    <w:p w14:paraId="49553E9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w:t>
      </w:r>
      <w:r>
        <w:rPr>
          <w:rFonts w:ascii="宋体" w:hAnsi="宋体" w:eastAsia="仿宋"/>
          <w:color w:val="000000"/>
          <w:sz w:val="24"/>
          <w:highlight w:val="none"/>
        </w:rPr>
        <w:t>进入清算程序，或被宣告破产，或其他丧失履约能力的情形；</w:t>
      </w:r>
    </w:p>
    <w:p w14:paraId="35EF1F41">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（7）与本项目其他投标人的</w:t>
      </w:r>
      <w:r>
        <w:rPr>
          <w:rFonts w:ascii="宋体" w:hAnsi="宋体" w:eastAsia="仿宋"/>
          <w:color w:val="000000"/>
          <w:sz w:val="24"/>
          <w:highlight w:val="none"/>
        </w:rPr>
        <w:t>单位负责人为同一人或者存在直接控股、管理关系的不同投标人</w:t>
      </w:r>
      <w:r>
        <w:rPr>
          <w:rFonts w:hint="eastAsia" w:ascii="宋体" w:hAnsi="宋体" w:eastAsia="仿宋"/>
          <w:color w:val="000000"/>
          <w:sz w:val="24"/>
          <w:highlight w:val="none"/>
        </w:rPr>
        <w:t>；</w:t>
      </w:r>
    </w:p>
    <w:p w14:paraId="08DC69B1">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（8）被依法禁止参加政府采购活动并在有效期内；</w:t>
      </w:r>
    </w:p>
    <w:p w14:paraId="21E1D5FD">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（9）为采购项目提供整体设计、规范编制或者项目管理、监理、检测等服务的投标人，不得再参加该采购项目的其他采购活动，具体按财政部财办库〔2015〕295号文件规定；</w:t>
      </w:r>
    </w:p>
    <w:p w14:paraId="7F42C69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（10）截至投标截止时间，</w:t>
      </w:r>
      <w:r>
        <w:rPr>
          <w:rFonts w:ascii="宋体" w:hAnsi="宋体" w:eastAsia="仿宋"/>
          <w:color w:val="000000"/>
          <w:sz w:val="24"/>
          <w:highlight w:val="none"/>
        </w:rPr>
        <w:t>被人民法院列入失信被执行人名单</w:t>
      </w:r>
      <w:r>
        <w:rPr>
          <w:rFonts w:hint="eastAsia" w:ascii="宋体" w:hAnsi="宋体" w:eastAsia="仿宋"/>
          <w:color w:val="000000"/>
          <w:sz w:val="24"/>
          <w:highlight w:val="none"/>
        </w:rPr>
        <w:t>的（以信用中国</w:t>
      </w:r>
      <w:r>
        <w:rPr>
          <w:rFonts w:ascii="宋体" w:hAnsi="宋体" w:eastAsia="仿宋"/>
          <w:color w:val="000000"/>
          <w:sz w:val="24"/>
          <w:highlight w:val="none"/>
        </w:rPr>
        <w:t>www.creditchina.gov.cn</w:t>
      </w:r>
      <w:r>
        <w:rPr>
          <w:rFonts w:hint="eastAsia" w:ascii="宋体" w:hAnsi="宋体" w:eastAsia="仿宋"/>
          <w:color w:val="000000"/>
          <w:sz w:val="24"/>
          <w:highlight w:val="none"/>
        </w:rPr>
        <w:t>、中国执行信息公开网</w:t>
      </w:r>
      <w:r>
        <w:rPr>
          <w:rFonts w:ascii="宋体" w:hAnsi="宋体" w:eastAsia="仿宋"/>
          <w:color w:val="000000"/>
          <w:sz w:val="24"/>
          <w:highlight w:val="none"/>
        </w:rPr>
        <w:t>http://zxgk.court.gov.cn/</w:t>
      </w:r>
      <w:r>
        <w:rPr>
          <w:rFonts w:hint="eastAsia" w:ascii="宋体" w:hAnsi="宋体" w:eastAsia="仿宋"/>
          <w:color w:val="000000"/>
          <w:sz w:val="24"/>
          <w:highlight w:val="none"/>
        </w:rPr>
        <w:t>查询为准）</w:t>
      </w:r>
      <w:r>
        <w:rPr>
          <w:rFonts w:ascii="宋体" w:hAnsi="宋体" w:eastAsia="仿宋"/>
          <w:color w:val="000000"/>
          <w:sz w:val="24"/>
          <w:highlight w:val="none"/>
        </w:rPr>
        <w:t>；</w:t>
      </w:r>
    </w:p>
    <w:p w14:paraId="0CE6953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（11）截至投标截止时间，被列入重大税收违法案件当事人（重大税收违法失信主体）名单的（以信用中国网站</w:t>
      </w:r>
      <w:r>
        <w:rPr>
          <w:rFonts w:ascii="宋体" w:hAnsi="宋体" w:eastAsia="仿宋"/>
          <w:color w:val="000000"/>
          <w:sz w:val="24"/>
          <w:highlight w:val="none"/>
        </w:rPr>
        <w:t>www.creditchina.gov.cn</w:t>
      </w:r>
      <w:r>
        <w:rPr>
          <w:rFonts w:hint="eastAsia" w:ascii="宋体" w:hAnsi="宋体" w:eastAsia="仿宋"/>
          <w:color w:val="000000"/>
          <w:sz w:val="24"/>
          <w:highlight w:val="none"/>
        </w:rPr>
        <w:t>查询为准）；</w:t>
      </w:r>
    </w:p>
    <w:p w14:paraId="26EBC5D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（12）截至投标截止时间，被列入政府采购严重违法失信名单的（以信用中国网站</w:t>
      </w:r>
      <w:r>
        <w:rPr>
          <w:rFonts w:ascii="宋体" w:hAnsi="宋体" w:eastAsia="仿宋"/>
          <w:color w:val="000000"/>
          <w:sz w:val="24"/>
          <w:highlight w:val="none"/>
        </w:rPr>
        <w:t>www.creditchina.gov.cn</w:t>
      </w:r>
      <w:r>
        <w:rPr>
          <w:rFonts w:hint="eastAsia" w:ascii="宋体" w:hAnsi="宋体" w:eastAsia="仿宋"/>
          <w:color w:val="000000"/>
          <w:sz w:val="24"/>
          <w:highlight w:val="none"/>
        </w:rPr>
        <w:t>、中国政府采购网</w:t>
      </w:r>
      <w:r>
        <w:rPr>
          <w:rFonts w:ascii="宋体" w:hAnsi="宋体" w:eastAsia="仿宋"/>
          <w:color w:val="000000"/>
          <w:sz w:val="24"/>
          <w:highlight w:val="none"/>
        </w:rPr>
        <w:t>http://www.ccgp.gov.cn/</w:t>
      </w:r>
      <w:r>
        <w:rPr>
          <w:rFonts w:hint="eastAsia" w:ascii="宋体" w:hAnsi="宋体" w:eastAsia="仿宋"/>
          <w:color w:val="000000"/>
          <w:sz w:val="24"/>
          <w:highlight w:val="none"/>
        </w:rPr>
        <w:t>查询为准）；</w:t>
      </w:r>
    </w:p>
    <w:p w14:paraId="623C5E4A">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13）截至投标截止时间，被市场监督管理部门（或工商行政管理部门）列入经营异常名录或者严重违法失信企业名单的（未按照《企业信息公示暂行条例》（国务院令第654号）第八条规定的期限公示年度报告被列入经营异常名录的除外）（以国家企业信用信息公示系统http://www.gsxt.gov.cn/查询为准）；</w:t>
      </w:r>
    </w:p>
    <w:p w14:paraId="006B173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（14）</w:t>
      </w:r>
      <w:r>
        <w:rPr>
          <w:rFonts w:ascii="宋体" w:hAnsi="宋体" w:eastAsia="仿宋"/>
          <w:color w:val="000000"/>
          <w:sz w:val="24"/>
          <w:highlight w:val="none"/>
        </w:rPr>
        <w:t>法律法规</w:t>
      </w:r>
      <w:r>
        <w:rPr>
          <w:rFonts w:hint="eastAsia" w:ascii="宋体" w:hAnsi="宋体" w:eastAsia="仿宋"/>
          <w:color w:val="000000"/>
          <w:sz w:val="24"/>
          <w:highlight w:val="none"/>
        </w:rPr>
        <w:t>规定的其他情形；</w:t>
      </w:r>
    </w:p>
    <w:p w14:paraId="49D4224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（15）</w:t>
      </w:r>
      <w:r>
        <w:rPr>
          <w:rFonts w:ascii="宋体" w:hAnsi="宋体" w:eastAsia="仿宋"/>
          <w:color w:val="000000"/>
          <w:sz w:val="24"/>
          <w:highlight w:val="none"/>
        </w:rPr>
        <w:t>投标人须知前附表规定的其他情形。</w:t>
      </w:r>
    </w:p>
    <w:p w14:paraId="6866E1E4">
      <w:pPr>
        <w:pStyle w:val="4"/>
        <w:adjustRightInd w:val="0"/>
        <w:ind w:firstLine="482" w:firstLineChars="200"/>
        <w:rPr>
          <w:rFonts w:eastAsia="仿宋"/>
          <w:color w:val="000000"/>
          <w:sz w:val="24"/>
          <w:highlight w:val="none"/>
          <w:lang w:eastAsia="zh-CN"/>
        </w:rPr>
      </w:pPr>
      <w:bookmarkStart w:id="116" w:name="_Toc455587036"/>
      <w:bookmarkStart w:id="117" w:name="_Toc445554693"/>
      <w:bookmarkStart w:id="118" w:name="_Toc458504822"/>
      <w:bookmarkStart w:id="119" w:name="_Toc455587220"/>
      <w:bookmarkStart w:id="120" w:name="_Toc371415925"/>
      <w:bookmarkStart w:id="121" w:name="_Toc466024504"/>
      <w:r>
        <w:rPr>
          <w:rFonts w:hint="eastAsia" w:eastAsia="仿宋"/>
          <w:color w:val="000000"/>
          <w:sz w:val="24"/>
          <w:highlight w:val="none"/>
          <w:lang w:eastAsia="zh-CN"/>
        </w:rPr>
        <w:t>1.4 费用承担</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6443B68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投标人准备和参加投标活动发生的费用自理。</w:t>
      </w:r>
    </w:p>
    <w:p w14:paraId="34A17CFE">
      <w:pPr>
        <w:pStyle w:val="4"/>
        <w:adjustRightInd w:val="0"/>
        <w:ind w:firstLine="482" w:firstLineChars="200"/>
        <w:rPr>
          <w:rFonts w:eastAsia="仿宋"/>
          <w:color w:val="000000"/>
          <w:sz w:val="24"/>
          <w:highlight w:val="none"/>
          <w:lang w:eastAsia="zh-CN"/>
        </w:rPr>
      </w:pPr>
      <w:bookmarkStart w:id="122" w:name="_Toc466024505"/>
      <w:bookmarkStart w:id="123" w:name="_Toc455587037"/>
      <w:bookmarkStart w:id="124" w:name="_Toc445554694"/>
      <w:bookmarkStart w:id="125" w:name="_Toc458504823"/>
      <w:bookmarkStart w:id="126" w:name="_Toc455587221"/>
      <w:bookmarkStart w:id="127" w:name="_Toc152042312"/>
      <w:bookmarkStart w:id="128" w:name="_Toc247527560"/>
      <w:bookmarkStart w:id="129" w:name="_Toc152045536"/>
      <w:bookmarkStart w:id="130" w:name="_Toc144974504"/>
      <w:bookmarkStart w:id="131" w:name="_Toc247513959"/>
      <w:bookmarkStart w:id="132" w:name="_Toc300834956"/>
      <w:r>
        <w:rPr>
          <w:rFonts w:hint="eastAsia" w:eastAsia="仿宋"/>
          <w:color w:val="000000"/>
          <w:sz w:val="24"/>
          <w:highlight w:val="none"/>
          <w:lang w:eastAsia="zh-CN"/>
        </w:rPr>
        <w:t>1.5 保密</w:t>
      </w:r>
      <w:bookmarkEnd w:id="122"/>
      <w:bookmarkEnd w:id="123"/>
      <w:bookmarkEnd w:id="124"/>
      <w:bookmarkEnd w:id="125"/>
      <w:bookmarkEnd w:id="126"/>
    </w:p>
    <w:p w14:paraId="672BC013">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参与招标投标活动的各方应当对招标文件和投标文件中的商业和技术等秘密保密，否则应当承担相应的法律责任。</w:t>
      </w:r>
    </w:p>
    <w:p w14:paraId="66EFA08D">
      <w:pPr>
        <w:pStyle w:val="4"/>
        <w:adjustRightInd w:val="0"/>
        <w:ind w:firstLine="482" w:firstLineChars="200"/>
        <w:rPr>
          <w:rFonts w:eastAsia="仿宋"/>
          <w:color w:val="000000"/>
          <w:sz w:val="24"/>
          <w:highlight w:val="none"/>
          <w:lang w:eastAsia="zh-CN"/>
        </w:rPr>
      </w:pPr>
      <w:bookmarkStart w:id="133" w:name="_Toc466024506"/>
      <w:bookmarkStart w:id="134" w:name="_Toc455587222"/>
      <w:bookmarkStart w:id="135" w:name="_Toc455587038"/>
      <w:bookmarkStart w:id="136" w:name="_Toc445554695"/>
      <w:bookmarkStart w:id="137" w:name="_Toc458504824"/>
      <w:r>
        <w:rPr>
          <w:rFonts w:hint="eastAsia" w:eastAsia="仿宋"/>
          <w:color w:val="000000"/>
          <w:sz w:val="24"/>
          <w:highlight w:val="none"/>
          <w:lang w:eastAsia="zh-CN"/>
        </w:rPr>
        <w:t>1.6 语言文字</w:t>
      </w:r>
      <w:bookmarkEnd w:id="127"/>
      <w:bookmarkEnd w:id="128"/>
      <w:bookmarkEnd w:id="129"/>
      <w:bookmarkEnd w:id="130"/>
      <w:bookmarkEnd w:id="131"/>
      <w:bookmarkEnd w:id="132"/>
      <w:bookmarkEnd w:id="133"/>
      <w:bookmarkEnd w:id="134"/>
      <w:bookmarkEnd w:id="135"/>
      <w:bookmarkEnd w:id="136"/>
      <w:bookmarkEnd w:id="137"/>
    </w:p>
    <w:p w14:paraId="3B1D43AB">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除专用术语外，与招标投标有关的语言均应当使用中文。必要时专用术语应附有中文注释。</w:t>
      </w:r>
    </w:p>
    <w:p w14:paraId="080A2427">
      <w:pPr>
        <w:pStyle w:val="4"/>
        <w:adjustRightInd w:val="0"/>
        <w:ind w:firstLine="482" w:firstLineChars="200"/>
        <w:rPr>
          <w:rFonts w:eastAsia="仿宋"/>
          <w:color w:val="000000"/>
          <w:sz w:val="24"/>
          <w:highlight w:val="none"/>
          <w:lang w:eastAsia="zh-CN"/>
        </w:rPr>
      </w:pPr>
      <w:bookmarkStart w:id="138" w:name="_Toc152042314"/>
      <w:bookmarkStart w:id="139" w:name="_Toc445554696"/>
      <w:bookmarkStart w:id="140" w:name="_Toc455587223"/>
      <w:bookmarkStart w:id="141" w:name="_Toc342297627"/>
      <w:bookmarkStart w:id="142" w:name="_Toc466024507"/>
      <w:bookmarkStart w:id="143" w:name="_Toc333600691"/>
      <w:bookmarkStart w:id="144" w:name="_Toc152045538"/>
      <w:bookmarkStart w:id="145" w:name="_Toc333599667"/>
      <w:bookmarkStart w:id="146" w:name="_Toc179632555"/>
      <w:bookmarkStart w:id="147" w:name="_Toc144974506"/>
      <w:bookmarkStart w:id="148" w:name="_Toc458504825"/>
      <w:bookmarkStart w:id="149" w:name="_Toc371415926"/>
      <w:bookmarkStart w:id="150" w:name="_Toc338943708"/>
      <w:bookmarkStart w:id="151" w:name="_Toc455587039"/>
      <w:bookmarkStart w:id="152" w:name="_Toc342294722"/>
      <w:bookmarkStart w:id="153" w:name="_Toc338944613"/>
      <w:bookmarkStart w:id="154" w:name="_Toc333587861"/>
      <w:bookmarkStart w:id="155" w:name="_Toc342296170"/>
      <w:r>
        <w:rPr>
          <w:rFonts w:hint="eastAsia" w:eastAsia="仿宋"/>
          <w:color w:val="000000"/>
          <w:sz w:val="24"/>
          <w:highlight w:val="none"/>
          <w:lang w:eastAsia="zh-CN"/>
        </w:rPr>
        <w:t>1.7 计量单位</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293D120A">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除招标文件另有规定外，所有计量均采用中华人民共和国法定计量单位。</w:t>
      </w:r>
    </w:p>
    <w:p w14:paraId="7BEFFCAD">
      <w:pPr>
        <w:pStyle w:val="4"/>
        <w:adjustRightInd w:val="0"/>
        <w:ind w:firstLine="482" w:firstLineChars="200"/>
        <w:rPr>
          <w:rFonts w:eastAsia="仿宋"/>
          <w:color w:val="000000"/>
          <w:sz w:val="24"/>
          <w:highlight w:val="none"/>
          <w:lang w:eastAsia="zh-CN"/>
        </w:rPr>
      </w:pPr>
      <w:bookmarkStart w:id="156" w:name="_Toc445554697"/>
      <w:bookmarkStart w:id="157" w:name="_Toc458504826"/>
      <w:bookmarkStart w:id="158" w:name="_Toc371415927"/>
      <w:bookmarkStart w:id="159" w:name="_Toc455587224"/>
      <w:bookmarkStart w:id="160" w:name="_Toc455587040"/>
      <w:bookmarkStart w:id="161" w:name="_Toc466024508"/>
      <w:bookmarkStart w:id="162" w:name="_Toc338943710"/>
      <w:bookmarkStart w:id="163" w:name="_Toc333599669"/>
      <w:bookmarkStart w:id="164" w:name="_Toc342297629"/>
      <w:bookmarkStart w:id="165" w:name="_Toc333600693"/>
      <w:bookmarkStart w:id="166" w:name="_Toc333587863"/>
      <w:bookmarkStart w:id="167" w:name="_Toc152045540"/>
      <w:bookmarkStart w:id="168" w:name="_Toc179632557"/>
      <w:bookmarkStart w:id="169" w:name="_Toc342294724"/>
      <w:bookmarkStart w:id="170" w:name="_Toc338944615"/>
      <w:bookmarkStart w:id="171" w:name="_Toc342296172"/>
      <w:bookmarkStart w:id="172" w:name="_Toc144974508"/>
      <w:bookmarkStart w:id="173" w:name="_Toc152042316"/>
      <w:r>
        <w:rPr>
          <w:rFonts w:hint="eastAsia" w:eastAsia="仿宋"/>
          <w:color w:val="000000"/>
          <w:sz w:val="24"/>
          <w:highlight w:val="none"/>
          <w:lang w:eastAsia="zh-CN"/>
        </w:rPr>
        <w:t>1.</w:t>
      </w:r>
      <w:bookmarkEnd w:id="156"/>
      <w:bookmarkEnd w:id="157"/>
      <w:bookmarkEnd w:id="158"/>
      <w:bookmarkEnd w:id="159"/>
      <w:bookmarkEnd w:id="160"/>
      <w:r>
        <w:rPr>
          <w:rFonts w:hint="eastAsia" w:eastAsia="仿宋"/>
          <w:color w:val="000000"/>
          <w:sz w:val="24"/>
          <w:highlight w:val="none"/>
          <w:lang w:eastAsia="zh-CN"/>
        </w:rPr>
        <w:t>8 现场考察</w:t>
      </w:r>
      <w:bookmarkEnd w:id="161"/>
    </w:p>
    <w:p w14:paraId="1409113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1.8</w:t>
      </w:r>
      <w:r>
        <w:rPr>
          <w:rFonts w:ascii="宋体" w:hAnsi="宋体" w:eastAsia="仿宋"/>
          <w:color w:val="000000"/>
          <w:sz w:val="24"/>
          <w:highlight w:val="none"/>
        </w:rPr>
        <w:t>.1</w:t>
      </w:r>
      <w:r>
        <w:rPr>
          <w:rFonts w:hint="eastAsia" w:ascii="宋体" w:hAnsi="宋体" w:eastAsia="仿宋"/>
          <w:color w:val="000000"/>
          <w:sz w:val="24"/>
          <w:highlight w:val="none"/>
        </w:rPr>
        <w:t xml:space="preserve"> 投标人须知前附表规定组织现场考察的，采购人按投标人须知前附表规定的时间、地点组织投标人现场考察。采购人不组织统一现场考察的，由投标人自行考察现场。</w:t>
      </w:r>
    </w:p>
    <w:p w14:paraId="15CC4D64">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1.8.</w:t>
      </w:r>
      <w:r>
        <w:rPr>
          <w:rFonts w:ascii="宋体" w:hAnsi="宋体" w:eastAsia="仿宋"/>
          <w:color w:val="000000"/>
          <w:sz w:val="24"/>
          <w:highlight w:val="none"/>
        </w:rPr>
        <w:t>2</w:t>
      </w:r>
      <w:r>
        <w:rPr>
          <w:rFonts w:hint="eastAsia" w:ascii="宋体" w:hAnsi="宋体" w:eastAsia="仿宋"/>
          <w:color w:val="000000"/>
          <w:sz w:val="24"/>
          <w:highlight w:val="none"/>
        </w:rPr>
        <w:t xml:space="preserve"> 投标人现场考察发生的费用自理。</w:t>
      </w:r>
    </w:p>
    <w:p w14:paraId="0280DD2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1.8</w:t>
      </w:r>
      <w:r>
        <w:rPr>
          <w:rFonts w:ascii="宋体" w:hAnsi="宋体" w:eastAsia="仿宋"/>
          <w:color w:val="000000"/>
          <w:sz w:val="24"/>
          <w:highlight w:val="none"/>
        </w:rPr>
        <w:t>.3</w:t>
      </w:r>
      <w:r>
        <w:rPr>
          <w:rFonts w:hint="eastAsia" w:ascii="宋体" w:hAnsi="宋体" w:eastAsia="仿宋"/>
          <w:color w:val="000000"/>
          <w:sz w:val="24"/>
          <w:highlight w:val="none"/>
        </w:rPr>
        <w:t xml:space="preserve"> 除采购人的原因外，投标人自行负责在现场考察中所发生的人员伤亡和财产损失。</w:t>
      </w:r>
    </w:p>
    <w:p w14:paraId="6D32B655">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1.8</w:t>
      </w:r>
      <w:r>
        <w:rPr>
          <w:rFonts w:ascii="宋体" w:hAnsi="宋体" w:eastAsia="仿宋"/>
          <w:color w:val="000000"/>
          <w:sz w:val="24"/>
          <w:highlight w:val="none"/>
        </w:rPr>
        <w:t>.4</w:t>
      </w:r>
      <w:r>
        <w:rPr>
          <w:rFonts w:hint="eastAsia" w:ascii="宋体" w:hAnsi="宋体" w:eastAsia="仿宋"/>
          <w:color w:val="000000"/>
          <w:sz w:val="24"/>
          <w:highlight w:val="none"/>
        </w:rPr>
        <w:t xml:space="preserve"> 采购人在现场考察中介绍的现场情况和周边相关的环境情况，仅作为投标人在编制投标文件时参考，采购人不对投标人据此作出的判断和决策负责。</w:t>
      </w:r>
    </w:p>
    <w:p w14:paraId="74AE579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1.8.5 除非有特殊要求，招标文件不单独提供供货使用地的自然环境、气候条件、公用设施等情况，投标人被视为熟悉上述与履行合同有关的一切情况。</w:t>
      </w:r>
    </w:p>
    <w:p w14:paraId="7905CA66">
      <w:pPr>
        <w:pStyle w:val="4"/>
        <w:adjustRightInd w:val="0"/>
        <w:ind w:firstLine="482" w:firstLineChars="200"/>
        <w:rPr>
          <w:rFonts w:eastAsia="仿宋"/>
          <w:color w:val="000000"/>
          <w:sz w:val="24"/>
          <w:highlight w:val="none"/>
          <w:lang w:eastAsia="zh-CN"/>
        </w:rPr>
      </w:pPr>
      <w:bookmarkStart w:id="174" w:name="_Toc455587225"/>
      <w:bookmarkStart w:id="175" w:name="_Toc445554698"/>
      <w:bookmarkStart w:id="176" w:name="_Toc455587041"/>
      <w:bookmarkStart w:id="177" w:name="_Toc458504827"/>
      <w:bookmarkStart w:id="178" w:name="_Toc466024509"/>
      <w:r>
        <w:rPr>
          <w:rFonts w:hint="eastAsia" w:eastAsia="仿宋"/>
          <w:color w:val="000000"/>
          <w:sz w:val="24"/>
          <w:highlight w:val="none"/>
          <w:lang w:eastAsia="zh-CN"/>
        </w:rPr>
        <w:t>1.</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Pr>
          <w:rFonts w:hint="eastAsia" w:eastAsia="仿宋"/>
          <w:color w:val="000000"/>
          <w:sz w:val="24"/>
          <w:highlight w:val="none"/>
          <w:lang w:eastAsia="zh-CN"/>
        </w:rPr>
        <w:t>9 开标前答疑会</w:t>
      </w:r>
      <w:bookmarkEnd w:id="178"/>
    </w:p>
    <w:p w14:paraId="10F65DC7">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投标人须知前附表规定召开开标前答疑会（以下简称答疑会）的，采购人按照投标人须知前附表规定的时间和地点召开答疑会，澄清投标人提出的问题。</w:t>
      </w:r>
    </w:p>
    <w:p w14:paraId="65B878AA">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1.10 分包</w:t>
      </w:r>
    </w:p>
    <w:p w14:paraId="3422869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 xml:space="preserve">1.10.1 投标人拟在中标后将中标项目的非主体、非关键性工作进行分包的，应符合投标人须知前附表规定的分包要求，分包承担主体应当具备相应资质条件且不得再次分包，除投标人须知前附表规定的非主体、非关键性工作外，其他工作不得分包。 </w:t>
      </w:r>
    </w:p>
    <w:p w14:paraId="1440586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1.10.2 中标人不得向他人转让中标项目。中标人应当就分包项目向采购人负责，分包承担主体就分包项目承担连带责任。</w:t>
      </w:r>
    </w:p>
    <w:p w14:paraId="282A9E98">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1.10.3 中标人享受政府采购扶持政策获得政府采购合同的，小微企业不得将合同分包给大中型企业，中型企业不得将合同分包给大型企业。</w:t>
      </w:r>
    </w:p>
    <w:p w14:paraId="0FA90238">
      <w:pPr>
        <w:pStyle w:val="3"/>
        <w:rPr>
          <w:rStyle w:val="106"/>
          <w:rFonts w:ascii="宋体" w:hAnsi="宋体" w:eastAsia="仿宋"/>
          <w:b/>
          <w:bCs/>
          <w:color w:val="000000"/>
          <w:sz w:val="24"/>
          <w:szCs w:val="24"/>
          <w:highlight w:val="none"/>
        </w:rPr>
      </w:pPr>
      <w:bookmarkStart w:id="179" w:name="_Toc342297632"/>
      <w:bookmarkStart w:id="180" w:name="_Toc342294727"/>
      <w:bookmarkStart w:id="181" w:name="_Toc338944618"/>
      <w:bookmarkStart w:id="182" w:name="_Toc466024510"/>
      <w:bookmarkStart w:id="183" w:name="_Toc179632560"/>
      <w:bookmarkStart w:id="184" w:name="_Toc338943713"/>
      <w:bookmarkStart w:id="185" w:name="_Toc333600696"/>
      <w:bookmarkStart w:id="186" w:name="_Toc152045542"/>
      <w:bookmarkStart w:id="187" w:name="_Toc445554700"/>
      <w:bookmarkStart w:id="188" w:name="_Toc333599672"/>
      <w:bookmarkStart w:id="189" w:name="_Toc458504828"/>
      <w:bookmarkStart w:id="190" w:name="_Toc455587227"/>
      <w:bookmarkStart w:id="191" w:name="_Toc152042318"/>
      <w:bookmarkStart w:id="192" w:name="_Toc144974510"/>
      <w:bookmarkStart w:id="193" w:name="_Toc455587043"/>
      <w:bookmarkStart w:id="194" w:name="_Toc342296175"/>
      <w:bookmarkStart w:id="195" w:name="_Toc371415929"/>
      <w:r>
        <w:rPr>
          <w:rStyle w:val="106"/>
          <w:rFonts w:hint="eastAsia" w:ascii="宋体" w:hAnsi="宋体" w:eastAsia="仿宋"/>
          <w:b/>
          <w:bCs/>
          <w:color w:val="000000"/>
          <w:sz w:val="24"/>
          <w:szCs w:val="24"/>
          <w:highlight w:val="none"/>
        </w:rPr>
        <w:t>2. 招标文件</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63E7223">
      <w:pPr>
        <w:pStyle w:val="4"/>
        <w:adjustRightInd w:val="0"/>
        <w:ind w:firstLine="482" w:firstLineChars="200"/>
        <w:rPr>
          <w:rFonts w:eastAsia="仿宋"/>
          <w:color w:val="000000"/>
          <w:sz w:val="24"/>
          <w:highlight w:val="none"/>
          <w:lang w:eastAsia="zh-CN"/>
        </w:rPr>
      </w:pPr>
      <w:bookmarkStart w:id="196" w:name="_Toc466024511"/>
      <w:bookmarkStart w:id="197" w:name="_Toc342296176"/>
      <w:bookmarkStart w:id="198" w:name="_Toc455587044"/>
      <w:bookmarkStart w:id="199" w:name="_Toc458504829"/>
      <w:bookmarkStart w:id="200" w:name="_Toc342294728"/>
      <w:bookmarkStart w:id="201" w:name="_Toc152042319"/>
      <w:bookmarkStart w:id="202" w:name="_Toc342297633"/>
      <w:bookmarkStart w:id="203" w:name="_Toc455587228"/>
      <w:bookmarkStart w:id="204" w:name="_Toc179632561"/>
      <w:bookmarkStart w:id="205" w:name="_Toc338944619"/>
      <w:bookmarkStart w:id="206" w:name="_Toc333600697"/>
      <w:bookmarkStart w:id="207" w:name="_Toc333587867"/>
      <w:bookmarkStart w:id="208" w:name="_Toc144974511"/>
      <w:bookmarkStart w:id="209" w:name="_Toc371415930"/>
      <w:bookmarkStart w:id="210" w:name="_Toc333599673"/>
      <w:bookmarkStart w:id="211" w:name="_Toc152045543"/>
      <w:bookmarkStart w:id="212" w:name="_Toc445554701"/>
      <w:bookmarkStart w:id="213" w:name="_Toc338943714"/>
      <w:r>
        <w:rPr>
          <w:rFonts w:hint="eastAsia" w:eastAsia="仿宋"/>
          <w:color w:val="000000"/>
          <w:sz w:val="24"/>
          <w:highlight w:val="none"/>
          <w:lang w:eastAsia="zh-CN"/>
        </w:rPr>
        <w:t>2.1 招标文件的组成</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3245D8E7">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本招标文件包括：</w:t>
      </w:r>
    </w:p>
    <w:p w14:paraId="2628569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1</w:t>
      </w:r>
      <w:r>
        <w:rPr>
          <w:rFonts w:hint="eastAsia" w:ascii="宋体" w:hAnsi="宋体" w:eastAsia="仿宋"/>
          <w:color w:val="000000"/>
          <w:sz w:val="24"/>
          <w:highlight w:val="none"/>
        </w:rPr>
        <w:t>）招标公告；</w:t>
      </w:r>
    </w:p>
    <w:p w14:paraId="71C4C6F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2</w:t>
      </w:r>
      <w:r>
        <w:rPr>
          <w:rFonts w:hint="eastAsia" w:ascii="宋体" w:hAnsi="宋体" w:eastAsia="仿宋"/>
          <w:color w:val="000000"/>
          <w:sz w:val="24"/>
          <w:highlight w:val="none"/>
        </w:rPr>
        <w:t>）投标人须知；</w:t>
      </w:r>
    </w:p>
    <w:p w14:paraId="62D5BCB8">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3</w:t>
      </w:r>
      <w:r>
        <w:rPr>
          <w:rFonts w:hint="eastAsia" w:ascii="宋体" w:hAnsi="宋体" w:eastAsia="仿宋"/>
          <w:color w:val="000000"/>
          <w:sz w:val="24"/>
          <w:highlight w:val="none"/>
        </w:rPr>
        <w:t>）采购需求；</w:t>
      </w:r>
    </w:p>
    <w:p w14:paraId="015ABA4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4</w:t>
      </w:r>
      <w:r>
        <w:rPr>
          <w:rFonts w:hint="eastAsia" w:ascii="宋体" w:hAnsi="宋体" w:eastAsia="仿宋"/>
          <w:color w:val="000000"/>
          <w:sz w:val="24"/>
          <w:highlight w:val="none"/>
        </w:rPr>
        <w:t>）资格审查和评标办法；</w:t>
      </w:r>
    </w:p>
    <w:p w14:paraId="272BE543">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（5）合同条款及格式；</w:t>
      </w:r>
    </w:p>
    <w:p w14:paraId="7F934A7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（6）投标文件格式。</w:t>
      </w:r>
    </w:p>
    <w:p w14:paraId="14E32BCD">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对招标文件所作的澄清、修改、补充通知，构成招标文件的组成部分。当招标文件、招标文件的澄清或修改等在同一内容的</w:t>
      </w:r>
      <w:r>
        <w:rPr>
          <w:rFonts w:hint="eastAsia" w:eastAsia="仿宋"/>
          <w:color w:val="000000"/>
          <w:sz w:val="24"/>
          <w:highlight w:val="none"/>
        </w:rPr>
        <w:t>表述</w:t>
      </w:r>
      <w:r>
        <w:rPr>
          <w:rFonts w:hint="eastAsia" w:ascii="宋体" w:hAnsi="宋体" w:eastAsia="仿宋"/>
          <w:color w:val="000000"/>
          <w:sz w:val="24"/>
          <w:highlight w:val="none"/>
        </w:rPr>
        <w:t>上不一致时，以最后发出的书面文件为准。</w:t>
      </w:r>
    </w:p>
    <w:p w14:paraId="0BA0E268">
      <w:pPr>
        <w:pStyle w:val="4"/>
        <w:adjustRightInd w:val="0"/>
        <w:ind w:firstLine="482" w:firstLineChars="200"/>
        <w:rPr>
          <w:rFonts w:eastAsia="仿宋"/>
          <w:color w:val="000000"/>
          <w:sz w:val="24"/>
          <w:highlight w:val="none"/>
          <w:lang w:eastAsia="zh-CN"/>
        </w:rPr>
      </w:pPr>
      <w:bookmarkStart w:id="214" w:name="_Toc152042320"/>
      <w:bookmarkStart w:id="215" w:name="_Toc144974512"/>
      <w:bookmarkStart w:id="216" w:name="_Toc445554702"/>
      <w:bookmarkStart w:id="217" w:name="_Toc247513968"/>
      <w:bookmarkStart w:id="218" w:name="_Toc466024512"/>
      <w:bookmarkStart w:id="219" w:name="_Toc455587045"/>
      <w:bookmarkStart w:id="220" w:name="_Toc458504830"/>
      <w:bookmarkStart w:id="221" w:name="_Toc247527569"/>
      <w:bookmarkStart w:id="222" w:name="_Toc371415931"/>
      <w:bookmarkStart w:id="223" w:name="_Toc152045544"/>
      <w:bookmarkStart w:id="224" w:name="_Toc455587229"/>
      <w:bookmarkStart w:id="225" w:name="_Toc300834965"/>
      <w:r>
        <w:rPr>
          <w:rFonts w:hint="eastAsia" w:eastAsia="仿宋"/>
          <w:color w:val="000000"/>
          <w:sz w:val="24"/>
          <w:highlight w:val="none"/>
          <w:lang w:eastAsia="zh-CN"/>
        </w:rPr>
        <w:t>2.2 招标文件的澄清</w:t>
      </w:r>
      <w:bookmarkEnd w:id="214"/>
      <w:bookmarkEnd w:id="215"/>
      <w:bookmarkEnd w:id="216"/>
      <w:bookmarkEnd w:id="217"/>
      <w:bookmarkEnd w:id="218"/>
      <w:bookmarkEnd w:id="219"/>
      <w:bookmarkEnd w:id="220"/>
      <w:bookmarkEnd w:id="221"/>
      <w:bookmarkEnd w:id="222"/>
      <w:bookmarkEnd w:id="223"/>
      <w:bookmarkEnd w:id="224"/>
      <w:bookmarkEnd w:id="225"/>
    </w:p>
    <w:p w14:paraId="2B8150DB">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2.2.</w:t>
      </w:r>
      <w:r>
        <w:rPr>
          <w:rFonts w:ascii="宋体" w:hAnsi="宋体" w:eastAsia="仿宋"/>
          <w:color w:val="000000"/>
          <w:sz w:val="24"/>
          <w:highlight w:val="none"/>
        </w:rPr>
        <w:t>1</w:t>
      </w:r>
      <w:r>
        <w:rPr>
          <w:rFonts w:hint="eastAsia" w:ascii="宋体" w:hAnsi="宋体" w:eastAsia="仿宋"/>
          <w:color w:val="000000"/>
          <w:sz w:val="24"/>
          <w:highlight w:val="none"/>
        </w:rPr>
        <w:t xml:space="preserve"> </w:t>
      </w:r>
      <w:r>
        <w:rPr>
          <w:rFonts w:eastAsia="仿宋"/>
          <w:color w:val="000000"/>
          <w:sz w:val="24"/>
          <w:highlight w:val="none"/>
        </w:rPr>
        <w:t>投标人应仔细阅读和检查招标文件的全部内容。如发现缺页或附件不全，应及时向</w:t>
      </w:r>
      <w:r>
        <w:rPr>
          <w:rFonts w:hint="eastAsia" w:eastAsia="仿宋"/>
          <w:color w:val="000000"/>
          <w:sz w:val="24"/>
          <w:highlight w:val="none"/>
        </w:rPr>
        <w:t>采购</w:t>
      </w:r>
      <w:r>
        <w:rPr>
          <w:rFonts w:eastAsia="仿宋"/>
          <w:color w:val="000000"/>
          <w:sz w:val="24"/>
          <w:highlight w:val="none"/>
        </w:rPr>
        <w:t>人提出，以便补齐。</w:t>
      </w:r>
      <w:r>
        <w:rPr>
          <w:rFonts w:hint="eastAsia" w:eastAsia="仿宋"/>
          <w:color w:val="000000"/>
          <w:sz w:val="24"/>
          <w:highlight w:val="none"/>
        </w:rPr>
        <w:t>投标人对</w:t>
      </w:r>
      <w:r>
        <w:rPr>
          <w:rFonts w:eastAsia="仿宋"/>
          <w:color w:val="000000"/>
          <w:sz w:val="24"/>
          <w:highlight w:val="none"/>
        </w:rPr>
        <w:t>招标文件</w:t>
      </w:r>
      <w:r>
        <w:rPr>
          <w:rFonts w:hint="eastAsia" w:eastAsia="仿宋"/>
          <w:color w:val="000000"/>
          <w:sz w:val="24"/>
          <w:highlight w:val="none"/>
        </w:rPr>
        <w:t>有疑问的，可依法按本章第9.1款提出询问</w:t>
      </w:r>
      <w:r>
        <w:rPr>
          <w:rFonts w:eastAsia="仿宋"/>
          <w:color w:val="000000"/>
          <w:sz w:val="24"/>
          <w:highlight w:val="none"/>
        </w:rPr>
        <w:t>。</w:t>
      </w:r>
    </w:p>
    <w:p w14:paraId="7B981BCB">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2.2.2 招标文件的澄清按投标人须知前附表规定的形式发出，但不指明澄清问题的来源，该澄清的内容为招标文件的组成部分。如果澄清发出的时间距本章第4.2.1项规定的投标截止时间不足</w:t>
      </w:r>
      <w:r>
        <w:rPr>
          <w:rFonts w:ascii="宋体" w:hAnsi="宋体" w:eastAsia="仿宋"/>
          <w:color w:val="000000"/>
          <w:sz w:val="24"/>
          <w:highlight w:val="none"/>
        </w:rPr>
        <w:t>15</w:t>
      </w:r>
      <w:r>
        <w:rPr>
          <w:rFonts w:hint="eastAsia" w:ascii="宋体" w:hAnsi="宋体" w:eastAsia="仿宋"/>
          <w:color w:val="000000"/>
          <w:sz w:val="24"/>
          <w:highlight w:val="none"/>
        </w:rPr>
        <w:t>日的，并且澄清内容可能影响投标文件编制，将相应顺延投标截止时间。</w:t>
      </w:r>
    </w:p>
    <w:p w14:paraId="79C308B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2.2</w:t>
      </w:r>
      <w:r>
        <w:rPr>
          <w:rFonts w:ascii="宋体" w:hAnsi="宋体" w:eastAsia="仿宋"/>
          <w:color w:val="000000"/>
          <w:sz w:val="24"/>
          <w:highlight w:val="none"/>
        </w:rPr>
        <w:t>.3</w:t>
      </w:r>
      <w:r>
        <w:rPr>
          <w:rFonts w:hint="eastAsia" w:ascii="宋体" w:hAnsi="宋体" w:eastAsia="仿宋"/>
          <w:color w:val="000000"/>
          <w:sz w:val="24"/>
          <w:highlight w:val="none"/>
        </w:rPr>
        <w:t xml:space="preserve"> 投标人应主动上网查询对招标文件的澄清，无需投标人书面确认。投标人未及时关注相关信息的，其责任自负。对招标文件进行的澄清，通过其他方式发布的，投标人收到澄清后24小时内书面确认（以发出时间为准），逾期未确认的，视为投标人完整收到。</w:t>
      </w:r>
    </w:p>
    <w:p w14:paraId="3D819D45">
      <w:pPr>
        <w:pStyle w:val="4"/>
        <w:adjustRightInd w:val="0"/>
        <w:ind w:firstLine="482" w:firstLineChars="200"/>
        <w:rPr>
          <w:rFonts w:eastAsia="仿宋"/>
          <w:color w:val="000000"/>
          <w:sz w:val="24"/>
          <w:highlight w:val="none"/>
          <w:lang w:eastAsia="zh-CN"/>
        </w:rPr>
      </w:pPr>
      <w:bookmarkStart w:id="226" w:name="_Toc152045545"/>
      <w:bookmarkStart w:id="227" w:name="_Toc152042321"/>
      <w:bookmarkStart w:id="228" w:name="_Toc371415932"/>
      <w:bookmarkStart w:id="229" w:name="_Toc247527570"/>
      <w:bookmarkStart w:id="230" w:name="_Toc466024513"/>
      <w:bookmarkStart w:id="231" w:name="_Toc300834966"/>
      <w:bookmarkStart w:id="232" w:name="_Toc458504831"/>
      <w:bookmarkStart w:id="233" w:name="_Toc455587046"/>
      <w:bookmarkStart w:id="234" w:name="_Toc445554703"/>
      <w:bookmarkStart w:id="235" w:name="_Toc247513969"/>
      <w:bookmarkStart w:id="236" w:name="_Toc144974513"/>
      <w:bookmarkStart w:id="237" w:name="_Toc455587230"/>
      <w:r>
        <w:rPr>
          <w:rFonts w:hint="eastAsia" w:eastAsia="仿宋"/>
          <w:color w:val="000000"/>
          <w:sz w:val="24"/>
          <w:highlight w:val="none"/>
          <w:lang w:eastAsia="zh-CN"/>
        </w:rPr>
        <w:t>2.3 招标文件的修改</w:t>
      </w:r>
      <w:bookmarkEnd w:id="226"/>
      <w:bookmarkEnd w:id="227"/>
      <w:bookmarkEnd w:id="228"/>
      <w:bookmarkEnd w:id="229"/>
      <w:bookmarkEnd w:id="230"/>
      <w:bookmarkEnd w:id="231"/>
      <w:bookmarkEnd w:id="232"/>
      <w:bookmarkEnd w:id="233"/>
      <w:bookmarkEnd w:id="234"/>
      <w:bookmarkEnd w:id="235"/>
      <w:bookmarkEnd w:id="236"/>
      <w:bookmarkEnd w:id="237"/>
    </w:p>
    <w:p w14:paraId="69CF8C7C">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2.3</w:t>
      </w:r>
      <w:r>
        <w:rPr>
          <w:rFonts w:ascii="宋体" w:hAnsi="宋体" w:eastAsia="仿宋"/>
          <w:color w:val="000000"/>
          <w:sz w:val="24"/>
          <w:highlight w:val="none"/>
        </w:rPr>
        <w:t>.1</w:t>
      </w:r>
      <w:r>
        <w:rPr>
          <w:rFonts w:hint="eastAsia" w:ascii="宋体" w:hAnsi="宋体" w:eastAsia="仿宋"/>
          <w:color w:val="000000"/>
          <w:sz w:val="24"/>
          <w:highlight w:val="none"/>
        </w:rPr>
        <w:t xml:space="preserve"> 对招标文件的修改将在招标公告发布的媒介以发布更正公告的方式公开。如果修改招标文件的时间距本章第4.2.1项规定的投标截止时间不足</w:t>
      </w:r>
      <w:r>
        <w:rPr>
          <w:rFonts w:ascii="宋体" w:hAnsi="宋体" w:eastAsia="仿宋"/>
          <w:color w:val="000000"/>
          <w:sz w:val="24"/>
          <w:highlight w:val="none"/>
        </w:rPr>
        <w:t>15</w:t>
      </w:r>
      <w:r>
        <w:rPr>
          <w:rFonts w:hint="eastAsia" w:ascii="宋体" w:hAnsi="宋体" w:eastAsia="仿宋"/>
          <w:color w:val="000000"/>
          <w:sz w:val="24"/>
          <w:highlight w:val="none"/>
        </w:rPr>
        <w:t>日的，且修改内容影响投标文件编制，将相应顺延投标截止时间。</w:t>
      </w:r>
    </w:p>
    <w:p w14:paraId="663C314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2.3</w:t>
      </w:r>
      <w:r>
        <w:rPr>
          <w:rFonts w:ascii="宋体" w:hAnsi="宋体" w:eastAsia="仿宋"/>
          <w:color w:val="000000"/>
          <w:sz w:val="24"/>
          <w:highlight w:val="none"/>
        </w:rPr>
        <w:t>.2</w:t>
      </w:r>
      <w:r>
        <w:rPr>
          <w:rFonts w:hint="eastAsia" w:ascii="宋体" w:hAnsi="宋体" w:eastAsia="仿宋"/>
          <w:color w:val="000000"/>
          <w:sz w:val="24"/>
          <w:highlight w:val="none"/>
        </w:rPr>
        <w:t xml:space="preserve"> 更正公告的内容作为招标文件的组成部分，对投标人起约束作用。投标人应主动上网查询，采购人及采购代理机构不承担投标人未及时关注相关信息引发的相关责任。</w:t>
      </w:r>
    </w:p>
    <w:p w14:paraId="6D20C35A">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2.4 招标文件的质疑</w:t>
      </w:r>
    </w:p>
    <w:p w14:paraId="16CE9844">
      <w:pPr>
        <w:widowControl/>
        <w:adjustRightInd w:val="0"/>
        <w:snapToGrid w:val="0"/>
        <w:spacing w:line="360" w:lineRule="auto"/>
        <w:ind w:firstLine="480" w:firstLineChars="200"/>
        <w:rPr>
          <w:rFonts w:hint="eastAsia" w:ascii="宋体" w:hAnsi="宋体" w:eastAsia="仿宋"/>
          <w:color w:val="000000"/>
          <w:sz w:val="24"/>
          <w:highlight w:val="none"/>
        </w:rPr>
      </w:pPr>
      <w:bookmarkStart w:id="238" w:name="_Toc179632564"/>
      <w:bookmarkStart w:id="239" w:name="_Toc333600700"/>
      <w:bookmarkStart w:id="240" w:name="_Toc152045546"/>
      <w:bookmarkStart w:id="241" w:name="_Toc458504832"/>
      <w:bookmarkStart w:id="242" w:name="_Toc338944622"/>
      <w:bookmarkStart w:id="243" w:name="_Toc445554705"/>
      <w:bookmarkStart w:id="244" w:name="_Toc342294731"/>
      <w:bookmarkStart w:id="245" w:name="_Toc338943717"/>
      <w:bookmarkStart w:id="246" w:name="_Toc342297636"/>
      <w:bookmarkStart w:id="247" w:name="_Toc466024514"/>
      <w:bookmarkStart w:id="248" w:name="_Toc333599676"/>
      <w:bookmarkStart w:id="249" w:name="_Toc152042322"/>
      <w:bookmarkStart w:id="250" w:name="_Toc455587232"/>
      <w:bookmarkStart w:id="251" w:name="_Toc455587048"/>
      <w:bookmarkStart w:id="252" w:name="_Toc144974514"/>
      <w:bookmarkStart w:id="253" w:name="_Toc342296179"/>
      <w:bookmarkStart w:id="254" w:name="_Toc371415933"/>
      <w:r>
        <w:rPr>
          <w:rFonts w:hint="eastAsia" w:ascii="宋体" w:hAnsi="宋体" w:eastAsia="仿宋"/>
          <w:color w:val="000000"/>
          <w:sz w:val="24"/>
          <w:highlight w:val="none"/>
        </w:rPr>
        <w:t>2.4.1 投标人对招标文件的质疑须符合本章第9.2款规定。</w:t>
      </w:r>
    </w:p>
    <w:p w14:paraId="267A9BF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2.4.2 采购人对质疑的答复构成对招标文件澄清或者修改的，采购人将按照本章第2.2款、第2.3款规定办理。</w:t>
      </w:r>
    </w:p>
    <w:p w14:paraId="1846FA26">
      <w:pPr>
        <w:pStyle w:val="3"/>
        <w:rPr>
          <w:rStyle w:val="106"/>
          <w:rFonts w:ascii="宋体" w:hAnsi="宋体" w:eastAsia="仿宋"/>
          <w:b/>
          <w:bCs/>
          <w:color w:val="000000"/>
          <w:sz w:val="24"/>
          <w:szCs w:val="24"/>
          <w:highlight w:val="none"/>
        </w:rPr>
      </w:pPr>
      <w:r>
        <w:rPr>
          <w:rStyle w:val="106"/>
          <w:rFonts w:hint="eastAsia" w:ascii="宋体" w:hAnsi="宋体" w:eastAsia="仿宋"/>
          <w:b/>
          <w:bCs/>
          <w:color w:val="000000"/>
          <w:sz w:val="24"/>
          <w:szCs w:val="24"/>
          <w:highlight w:val="none"/>
        </w:rPr>
        <w:t>3. 投标文件</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19715225">
      <w:pPr>
        <w:pStyle w:val="4"/>
        <w:adjustRightInd w:val="0"/>
        <w:ind w:firstLine="482" w:firstLineChars="200"/>
        <w:rPr>
          <w:rFonts w:eastAsia="仿宋"/>
          <w:color w:val="000000"/>
          <w:sz w:val="24"/>
          <w:highlight w:val="none"/>
          <w:lang w:eastAsia="zh-CN"/>
        </w:rPr>
      </w:pPr>
      <w:bookmarkStart w:id="255" w:name="_Toc342296180"/>
      <w:bookmarkStart w:id="256" w:name="_Toc179632565"/>
      <w:bookmarkStart w:id="257" w:name="_Toc333600701"/>
      <w:bookmarkStart w:id="258" w:name="_Toc445554706"/>
      <w:bookmarkStart w:id="259" w:name="_Toc338943718"/>
      <w:bookmarkStart w:id="260" w:name="_Toc333599677"/>
      <w:bookmarkStart w:id="261" w:name="_Toc371415934"/>
      <w:bookmarkStart w:id="262" w:name="_Toc152042323"/>
      <w:bookmarkStart w:id="263" w:name="_Toc455587049"/>
      <w:bookmarkStart w:id="264" w:name="_Toc458504833"/>
      <w:bookmarkStart w:id="265" w:name="_Toc466024515"/>
      <w:bookmarkStart w:id="266" w:name="_Toc152045547"/>
      <w:bookmarkStart w:id="267" w:name="_Toc333587871"/>
      <w:bookmarkStart w:id="268" w:name="_Toc342294732"/>
      <w:bookmarkStart w:id="269" w:name="_Toc455587233"/>
      <w:bookmarkStart w:id="270" w:name="_Toc338944623"/>
      <w:bookmarkStart w:id="271" w:name="_Toc342297637"/>
      <w:bookmarkStart w:id="272" w:name="_Toc144974515"/>
      <w:r>
        <w:rPr>
          <w:rFonts w:hint="eastAsia" w:eastAsia="仿宋"/>
          <w:color w:val="000000"/>
          <w:sz w:val="24"/>
          <w:highlight w:val="none"/>
          <w:lang w:eastAsia="zh-CN"/>
        </w:rPr>
        <w:t>3.1 投标文件的组成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2E82A2B5">
      <w:pPr>
        <w:widowControl/>
        <w:adjustRightInd w:val="0"/>
        <w:snapToGrid w:val="0"/>
        <w:spacing w:line="360" w:lineRule="auto"/>
        <w:ind w:firstLine="480" w:firstLineChars="200"/>
        <w:rPr>
          <w:rFonts w:hint="eastAsia" w:ascii="宋体" w:hAnsi="宋体" w:eastAsia="仿宋"/>
          <w:color w:val="000000"/>
          <w:sz w:val="24"/>
          <w:highlight w:val="none"/>
        </w:rPr>
      </w:pPr>
      <w:bookmarkStart w:id="273" w:name="_Toc342296181"/>
      <w:bookmarkStart w:id="274" w:name="_Toc152045548"/>
      <w:bookmarkStart w:id="275" w:name="_Toc144974516"/>
      <w:bookmarkStart w:id="276" w:name="_Toc333587872"/>
      <w:bookmarkStart w:id="277" w:name="_Toc338943719"/>
      <w:bookmarkStart w:id="278" w:name="_Toc152042324"/>
      <w:bookmarkStart w:id="279" w:name="_Toc179632566"/>
      <w:bookmarkStart w:id="280" w:name="_Toc342294733"/>
      <w:bookmarkStart w:id="281" w:name="_Toc333600702"/>
      <w:bookmarkStart w:id="282" w:name="_Toc342297638"/>
      <w:bookmarkStart w:id="283" w:name="_Toc338944624"/>
      <w:bookmarkStart w:id="284" w:name="_Toc333599678"/>
      <w:r>
        <w:rPr>
          <w:rFonts w:hint="eastAsia" w:ascii="宋体" w:hAnsi="宋体" w:eastAsia="仿宋"/>
          <w:color w:val="000000"/>
          <w:sz w:val="24"/>
          <w:highlight w:val="none"/>
        </w:rPr>
        <w:t>3.1</w:t>
      </w:r>
      <w:r>
        <w:rPr>
          <w:rFonts w:ascii="宋体" w:hAnsi="宋体" w:eastAsia="仿宋"/>
          <w:color w:val="000000"/>
          <w:sz w:val="24"/>
          <w:highlight w:val="none"/>
        </w:rPr>
        <w:t>.1</w:t>
      </w:r>
      <w:r>
        <w:rPr>
          <w:rFonts w:hint="eastAsia" w:ascii="宋体" w:hAnsi="宋体" w:eastAsia="仿宋"/>
          <w:color w:val="000000"/>
          <w:sz w:val="24"/>
          <w:highlight w:val="none"/>
        </w:rPr>
        <w:t xml:space="preserve"> 投标文件应包括下列内容：</w:t>
      </w:r>
    </w:p>
    <w:p w14:paraId="06889CE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（1）投标函；</w:t>
      </w:r>
    </w:p>
    <w:p w14:paraId="3FBFCE3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（2）开标一览表；</w:t>
      </w:r>
    </w:p>
    <w:p w14:paraId="45A65F4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（3）分项报价表；</w:t>
      </w:r>
    </w:p>
    <w:p w14:paraId="6A75EEEE">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（4）投标人综合情况简介；</w:t>
      </w:r>
    </w:p>
    <w:p w14:paraId="667EA161">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（5）中小企业声明函（货物）；</w:t>
      </w:r>
    </w:p>
    <w:p w14:paraId="46F4447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（6）法定代表人（单位负责人）身份证明或授权委托书；</w:t>
      </w:r>
    </w:p>
    <w:p w14:paraId="1876928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（7）联合体协议书（如有）；</w:t>
      </w:r>
    </w:p>
    <w:p w14:paraId="0CC2C19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（8）分包意向协议书（如有）；</w:t>
      </w:r>
    </w:p>
    <w:p w14:paraId="435BE3E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（9）资格审查材料；</w:t>
      </w:r>
    </w:p>
    <w:p w14:paraId="1562798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（10）符合性审查与详细评审材料；</w:t>
      </w:r>
    </w:p>
    <w:p w14:paraId="7BB3373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（11）主要标的承诺函；</w:t>
      </w:r>
    </w:p>
    <w:p w14:paraId="559B9B3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（12）投标人认为应该提供的其他材料。</w:t>
      </w:r>
    </w:p>
    <w:p w14:paraId="09537176">
      <w:pPr>
        <w:widowControl/>
        <w:adjustRightInd w:val="0"/>
        <w:snapToGrid w:val="0"/>
        <w:spacing w:line="360" w:lineRule="auto"/>
        <w:ind w:firstLine="480" w:firstLineChars="200"/>
        <w:rPr>
          <w:rFonts w:eastAsia="仿宋"/>
          <w:color w:val="000000"/>
          <w:sz w:val="24"/>
          <w:highlight w:val="none"/>
        </w:rPr>
      </w:pPr>
      <w:r>
        <w:rPr>
          <w:rFonts w:eastAsia="仿宋"/>
          <w:color w:val="000000"/>
          <w:sz w:val="24"/>
          <w:highlight w:val="none"/>
        </w:rPr>
        <w:t>投标人在评标过程中作出的符合法律法规和招标文件规定的澄清确认，构成投标文件的组成部分。</w:t>
      </w:r>
    </w:p>
    <w:p w14:paraId="045A0950">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3.1.2 投标人须知前附表规定不接受联合体投标的，或投标人没有组成联合体的，投标文件不包括本章第3.1.1（7）目所指的联合体协议书。</w:t>
      </w:r>
    </w:p>
    <w:p w14:paraId="1EA8A1D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3.1.3 投标人须知前附表规定不接受分包的，或投标人没有分包的，投标文件不包括本章第3.1.1（8）目所指的分包意向协议书。</w:t>
      </w:r>
    </w:p>
    <w:p w14:paraId="64AE57C8">
      <w:pPr>
        <w:adjustRightInd w:val="0"/>
        <w:spacing w:line="360" w:lineRule="auto"/>
        <w:ind w:firstLine="480" w:firstLineChars="200"/>
        <w:rPr>
          <w:rFonts w:hint="eastAsia" w:ascii="宋体" w:hAnsi="宋体" w:eastAsia="仿宋"/>
          <w:color w:val="000000"/>
          <w:sz w:val="24"/>
          <w:highlight w:val="none"/>
        </w:rPr>
      </w:pPr>
      <w:bookmarkStart w:id="285" w:name="_Toc445554707"/>
      <w:bookmarkStart w:id="286" w:name="_Toc455587050"/>
      <w:bookmarkStart w:id="287" w:name="_Toc455587234"/>
      <w:bookmarkStart w:id="288" w:name="_Toc458504834"/>
      <w:bookmarkStart w:id="289" w:name="_Toc466024516"/>
      <w:r>
        <w:rPr>
          <w:rFonts w:hint="eastAsia" w:ascii="宋体" w:hAnsi="宋体" w:eastAsia="仿宋"/>
          <w:color w:val="000000"/>
          <w:sz w:val="24"/>
          <w:highlight w:val="none"/>
        </w:rPr>
        <w:t>3.1.4 投标人须知前附表规定要求递交投标货物样品的，投标人应按照投标人须知前附表的规定提供投标货物样品。</w:t>
      </w:r>
    </w:p>
    <w:p w14:paraId="537108DB">
      <w:pPr>
        <w:pStyle w:val="4"/>
        <w:adjustRightInd w:val="0"/>
        <w:ind w:firstLine="482" w:firstLineChars="200"/>
        <w:rPr>
          <w:rFonts w:eastAsia="仿宋"/>
          <w:color w:val="000000"/>
          <w:sz w:val="24"/>
          <w:highlight w:val="none"/>
          <w:lang w:eastAsia="zh-CN"/>
        </w:rPr>
      </w:pPr>
      <w:r>
        <w:rPr>
          <w:rFonts w:hint="eastAsia" w:eastAsia="仿宋"/>
          <w:color w:val="000000"/>
          <w:sz w:val="24"/>
          <w:highlight w:val="none"/>
          <w:lang w:eastAsia="zh-CN"/>
        </w:rPr>
        <w:t>3.2 投标报价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Start w:id="290" w:name="_Toc370199958"/>
    </w:p>
    <w:p w14:paraId="3D3EB50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3.2</w:t>
      </w:r>
      <w:r>
        <w:rPr>
          <w:rFonts w:ascii="宋体" w:hAnsi="宋体" w:eastAsia="仿宋"/>
          <w:color w:val="000000"/>
          <w:sz w:val="24"/>
          <w:highlight w:val="none"/>
        </w:rPr>
        <w:t>.1</w:t>
      </w:r>
      <w:r>
        <w:rPr>
          <w:rFonts w:hint="eastAsia" w:ascii="宋体" w:hAnsi="宋体" w:eastAsia="仿宋"/>
          <w:color w:val="000000"/>
          <w:sz w:val="24"/>
          <w:highlight w:val="none"/>
        </w:rPr>
        <w:t xml:space="preserve"> 投标报价应当包括的内容见投标人须知前附表规定。投标人应当按招标文件规定进行投标报价，并按给定格式填写投标报价表格。</w:t>
      </w:r>
      <w:bookmarkEnd w:id="290"/>
      <w:bookmarkStart w:id="291" w:name="_Toc370199959"/>
    </w:p>
    <w:p w14:paraId="196514B1">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 xml:space="preserve">3.2.2 </w:t>
      </w:r>
      <w:r>
        <w:rPr>
          <w:rFonts w:ascii="宋体" w:hAnsi="宋体" w:eastAsia="仿宋"/>
          <w:color w:val="000000"/>
          <w:sz w:val="24"/>
          <w:highlight w:val="none"/>
        </w:rPr>
        <w:t>投标人应充分了解该项目的总体情况以及影响报价的其他要素。</w:t>
      </w:r>
    </w:p>
    <w:p w14:paraId="7874F7D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3.2.3 投标报价为各分项报价之和。如分项报价中存在缺漏项，则视为缺漏项价格已包含在其他分项报价之中。投标人在投标截止时间前修改开标一览表中的投标报价总额，应同时修改投标文件“分项报价表”中的相应报价。此修改须符合本章第4.3款的有关要求。</w:t>
      </w:r>
    </w:p>
    <w:p w14:paraId="0612E956">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3.2.4 投标报价的其他要求见投标人须知前附表。</w:t>
      </w:r>
    </w:p>
    <w:bookmarkEnd w:id="291"/>
    <w:p w14:paraId="495653CC">
      <w:pPr>
        <w:pStyle w:val="4"/>
        <w:adjustRightInd w:val="0"/>
        <w:ind w:firstLine="482" w:firstLineChars="200"/>
        <w:rPr>
          <w:rFonts w:eastAsia="仿宋"/>
          <w:color w:val="000000"/>
          <w:sz w:val="24"/>
          <w:highlight w:val="none"/>
          <w:lang w:eastAsia="zh-CN"/>
        </w:rPr>
      </w:pPr>
      <w:bookmarkStart w:id="292" w:name="_Toc458504835"/>
      <w:bookmarkStart w:id="293" w:name="_Toc338943720"/>
      <w:bookmarkStart w:id="294" w:name="_Toc333599679"/>
      <w:bookmarkStart w:id="295" w:name="_Toc371415937"/>
      <w:bookmarkStart w:id="296" w:name="_Toc333587873"/>
      <w:bookmarkStart w:id="297" w:name="_Toc445554708"/>
      <w:bookmarkStart w:id="298" w:name="_Toc342294734"/>
      <w:bookmarkStart w:id="299" w:name="_Toc342297639"/>
      <w:bookmarkStart w:id="300" w:name="_Toc466024517"/>
      <w:bookmarkStart w:id="301" w:name="_Toc152042325"/>
      <w:bookmarkStart w:id="302" w:name="_Toc144974517"/>
      <w:bookmarkStart w:id="303" w:name="_Toc179632567"/>
      <w:bookmarkStart w:id="304" w:name="_Toc152045549"/>
      <w:bookmarkStart w:id="305" w:name="_Toc333600703"/>
      <w:bookmarkStart w:id="306" w:name="_Toc455587051"/>
      <w:bookmarkStart w:id="307" w:name="_Toc338944625"/>
      <w:bookmarkStart w:id="308" w:name="_Toc342296182"/>
      <w:bookmarkStart w:id="309" w:name="_Toc455587235"/>
      <w:r>
        <w:rPr>
          <w:rFonts w:hint="eastAsia" w:eastAsia="仿宋"/>
          <w:color w:val="000000"/>
          <w:sz w:val="24"/>
          <w:highlight w:val="none"/>
          <w:lang w:eastAsia="zh-CN"/>
        </w:rPr>
        <w:t>3.3 投标有效期</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797DB4C5">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3.3</w:t>
      </w:r>
      <w:r>
        <w:rPr>
          <w:rFonts w:ascii="宋体" w:hAnsi="宋体" w:eastAsia="仿宋"/>
          <w:color w:val="000000"/>
          <w:sz w:val="24"/>
          <w:highlight w:val="none"/>
        </w:rPr>
        <w:t>.1</w:t>
      </w:r>
      <w:r>
        <w:rPr>
          <w:rFonts w:hint="eastAsia" w:ascii="宋体" w:hAnsi="宋体" w:eastAsia="仿宋"/>
          <w:color w:val="000000"/>
          <w:sz w:val="24"/>
          <w:highlight w:val="none"/>
        </w:rPr>
        <w:t xml:space="preserve"> 在投标人须知前附表规定的投标有效期内，投标文件保持有效，投标人不得要求撤销或修改其投标文件，否则应承担招标文件和法律法规规定的责任。</w:t>
      </w:r>
    </w:p>
    <w:p w14:paraId="62DFDD4D">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3.3</w:t>
      </w:r>
      <w:r>
        <w:rPr>
          <w:rFonts w:ascii="宋体" w:hAnsi="宋体" w:eastAsia="仿宋"/>
          <w:color w:val="000000"/>
          <w:sz w:val="24"/>
          <w:highlight w:val="none"/>
        </w:rPr>
        <w:t>.2</w:t>
      </w:r>
      <w:r>
        <w:rPr>
          <w:rFonts w:hint="eastAsia" w:ascii="宋体" w:hAnsi="宋体" w:eastAsia="仿宋"/>
          <w:color w:val="000000"/>
          <w:sz w:val="24"/>
          <w:highlight w:val="none"/>
        </w:rPr>
        <w:t xml:space="preserve"> 出现特殊情况需要延长投标有效期的，采购人以书面形式通知所有投标人延长投标有效期。投标人同意延长的，应当相应延长其投标保证金的有效期，但不得要求或被允许修改或撤销其投标文件；投标人拒绝延长的，其投标失效，但投标人有权收回其投标保证金。</w:t>
      </w:r>
      <w:r>
        <w:rPr>
          <w:rFonts w:ascii="宋体" w:hAnsi="宋体" w:eastAsia="仿宋"/>
          <w:color w:val="000000"/>
          <w:sz w:val="24"/>
          <w:highlight w:val="none"/>
        </w:rPr>
        <w:t xml:space="preserve"> </w:t>
      </w:r>
    </w:p>
    <w:p w14:paraId="0770C9EA">
      <w:pPr>
        <w:pStyle w:val="4"/>
        <w:adjustRightInd w:val="0"/>
        <w:ind w:firstLine="482" w:firstLineChars="200"/>
        <w:rPr>
          <w:rFonts w:eastAsia="仿宋"/>
          <w:color w:val="000000"/>
          <w:sz w:val="24"/>
          <w:highlight w:val="none"/>
          <w:lang w:eastAsia="zh-CN"/>
        </w:rPr>
      </w:pPr>
      <w:bookmarkStart w:id="310" w:name="_Toc455587236"/>
      <w:bookmarkStart w:id="311" w:name="_Toc342296183"/>
      <w:bookmarkStart w:id="312" w:name="_Toc342297640"/>
      <w:bookmarkStart w:id="313" w:name="_Toc458504836"/>
      <w:bookmarkStart w:id="314" w:name="_Toc466024518"/>
      <w:bookmarkStart w:id="315" w:name="_Toc333599680"/>
      <w:bookmarkStart w:id="316" w:name="_Toc371415938"/>
      <w:bookmarkStart w:id="317" w:name="_Toc455587052"/>
      <w:bookmarkStart w:id="318" w:name="_Toc338943721"/>
      <w:bookmarkStart w:id="319" w:name="_Toc179632568"/>
      <w:bookmarkStart w:id="320" w:name="_Toc445554709"/>
      <w:bookmarkStart w:id="321" w:name="_Toc152045550"/>
      <w:bookmarkStart w:id="322" w:name="_Toc333600704"/>
      <w:bookmarkStart w:id="323" w:name="_Toc144974518"/>
      <w:bookmarkStart w:id="324" w:name="_Toc338944626"/>
      <w:bookmarkStart w:id="325" w:name="_Toc342294735"/>
      <w:bookmarkStart w:id="326" w:name="_Toc152042326"/>
      <w:bookmarkStart w:id="327" w:name="_Toc333587874"/>
      <w:r>
        <w:rPr>
          <w:rFonts w:hint="eastAsia" w:eastAsia="仿宋"/>
          <w:color w:val="000000"/>
          <w:sz w:val="24"/>
          <w:highlight w:val="none"/>
          <w:lang w:eastAsia="zh-CN"/>
        </w:rPr>
        <w:t>3.4 投标保证金</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14:paraId="0B1F91C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对投标保证金的要求见投标人须知前附表。</w:t>
      </w:r>
    </w:p>
    <w:p w14:paraId="1DDC7B85">
      <w:pPr>
        <w:pStyle w:val="4"/>
        <w:adjustRightInd w:val="0"/>
        <w:ind w:firstLine="482" w:firstLineChars="200"/>
        <w:rPr>
          <w:rFonts w:eastAsia="仿宋"/>
          <w:color w:val="000000"/>
          <w:sz w:val="24"/>
          <w:highlight w:val="none"/>
          <w:lang w:eastAsia="zh-CN"/>
        </w:rPr>
      </w:pPr>
      <w:bookmarkStart w:id="328" w:name="_Toc333599681"/>
      <w:bookmarkStart w:id="329" w:name="_Toc333587875"/>
      <w:bookmarkStart w:id="330" w:name="_Toc152045551"/>
      <w:bookmarkStart w:id="331" w:name="_Toc338943722"/>
      <w:bookmarkStart w:id="332" w:name="_Toc445554710"/>
      <w:bookmarkStart w:id="333" w:name="_Toc333600705"/>
      <w:bookmarkStart w:id="334" w:name="_Toc342296184"/>
      <w:bookmarkStart w:id="335" w:name="_Toc371415939"/>
      <w:bookmarkStart w:id="336" w:name="_Toc152042327"/>
      <w:bookmarkStart w:id="337" w:name="_Toc179632569"/>
      <w:bookmarkStart w:id="338" w:name="_Toc466024519"/>
      <w:bookmarkStart w:id="339" w:name="_Toc342297641"/>
      <w:bookmarkStart w:id="340" w:name="_Toc458504837"/>
      <w:bookmarkStart w:id="341" w:name="_Toc455587053"/>
      <w:bookmarkStart w:id="342" w:name="_Toc144974519"/>
      <w:bookmarkStart w:id="343" w:name="_Toc455587237"/>
      <w:bookmarkStart w:id="344" w:name="_Toc342294736"/>
      <w:bookmarkStart w:id="345" w:name="_Toc338944627"/>
      <w:r>
        <w:rPr>
          <w:rFonts w:hint="eastAsia" w:eastAsia="仿宋"/>
          <w:color w:val="000000"/>
          <w:sz w:val="24"/>
          <w:highlight w:val="none"/>
          <w:lang w:eastAsia="zh-CN"/>
        </w:rPr>
        <w:t>3.5 资格审查资料（适用于已进行资格预审的）</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1CFD4D15">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3.5.1 投标人在递交投标文件前，发生可能影响其投标资格的新情况的，应更新或补充其在申请资格预审时提供的资料，以证实其各项资格条件仍能继续满足资格预审文件的要求。</w:t>
      </w:r>
    </w:p>
    <w:p w14:paraId="16A8C3D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3.5.2 投标人是代理商或经销商的，通过资格预审后如确定了拟投标货物（服务）的制造商（提供商）的，投标时不得更换，否则其投标将按无效处理。</w:t>
      </w:r>
    </w:p>
    <w:p w14:paraId="3A61B14A">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3.5.3 如本招标文件“评标办法”中涉及对相关投标人资格进行评审的，投标人应在投标文件相应的“资格审查资料”中提供证明文件。</w:t>
      </w:r>
    </w:p>
    <w:p w14:paraId="6782CDB4">
      <w:pPr>
        <w:pStyle w:val="4"/>
        <w:adjustRightInd w:val="0"/>
        <w:ind w:firstLine="482" w:firstLineChars="200"/>
        <w:rPr>
          <w:rFonts w:hint="eastAsia" w:eastAsia="仿宋"/>
          <w:color w:val="000000"/>
          <w:sz w:val="24"/>
          <w:highlight w:val="none"/>
          <w:lang w:eastAsia="zh-CN"/>
        </w:rPr>
      </w:pPr>
      <w:bookmarkStart w:id="346" w:name="_Toc455587238"/>
      <w:bookmarkStart w:id="347" w:name="_Toc342296185"/>
      <w:bookmarkStart w:id="348" w:name="_Toc144974520"/>
      <w:bookmarkStart w:id="349" w:name="_Toc333600706"/>
      <w:bookmarkStart w:id="350" w:name="_Toc333587876"/>
      <w:bookmarkStart w:id="351" w:name="_Toc458504838"/>
      <w:bookmarkStart w:id="352" w:name="_Toc445554711"/>
      <w:bookmarkStart w:id="353" w:name="_Toc333599682"/>
      <w:bookmarkStart w:id="354" w:name="_Toc455587054"/>
      <w:bookmarkStart w:id="355" w:name="_Toc342294737"/>
      <w:bookmarkStart w:id="356" w:name="_Toc152042328"/>
      <w:bookmarkStart w:id="357" w:name="_Toc152045552"/>
      <w:bookmarkStart w:id="358" w:name="_Toc371415940"/>
      <w:bookmarkStart w:id="359" w:name="_Toc466024520"/>
      <w:bookmarkStart w:id="360" w:name="_Toc338943723"/>
      <w:bookmarkStart w:id="361" w:name="_Toc179632570"/>
      <w:bookmarkStart w:id="362" w:name="_Toc338944628"/>
      <w:bookmarkStart w:id="363" w:name="_Toc342297642"/>
      <w:r>
        <w:rPr>
          <w:rFonts w:hint="eastAsia" w:eastAsia="仿宋"/>
          <w:color w:val="000000"/>
          <w:sz w:val="24"/>
          <w:highlight w:val="none"/>
          <w:lang w:eastAsia="zh-CN"/>
        </w:rPr>
        <w:t>3.5 资格审查资料（适用于未进行资格预审的）</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14:paraId="16CE04B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3.5.1 资格审查办法见第四章第一节 资格审查。</w:t>
      </w:r>
    </w:p>
    <w:p w14:paraId="152D899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3.5.2 “资格审查材料”应按规定格式填写，并提供符合要求的相关证明材料的扫描件或电子证照。</w:t>
      </w:r>
    </w:p>
    <w:p w14:paraId="0D0EACC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3.5.3 投标人须知前附表规定接受联合体投标的，本章第3.5.1项至第3.5.2项规定的表格和资料包括联合体各方成员相关情况。</w:t>
      </w:r>
    </w:p>
    <w:p w14:paraId="3F21BD43">
      <w:pPr>
        <w:pStyle w:val="4"/>
        <w:adjustRightInd w:val="0"/>
        <w:ind w:firstLine="482" w:firstLineChars="200"/>
        <w:rPr>
          <w:rFonts w:eastAsia="仿宋"/>
          <w:color w:val="000000"/>
          <w:sz w:val="24"/>
          <w:highlight w:val="none"/>
          <w:lang w:eastAsia="zh-CN"/>
        </w:rPr>
      </w:pPr>
      <w:bookmarkStart w:id="364" w:name="_Toc152045553"/>
      <w:bookmarkStart w:id="365" w:name="_Toc342294738"/>
      <w:bookmarkStart w:id="366" w:name="_Toc342296186"/>
      <w:bookmarkStart w:id="367" w:name="_Toc342297643"/>
      <w:bookmarkStart w:id="368" w:name="_Toc333600707"/>
      <w:bookmarkStart w:id="369" w:name="_Toc144974521"/>
      <w:bookmarkStart w:id="370" w:name="_Toc466024522"/>
      <w:bookmarkStart w:id="371" w:name="_Toc152042329"/>
      <w:bookmarkStart w:id="372" w:name="_Toc458504840"/>
      <w:bookmarkStart w:id="373" w:name="_Toc338944629"/>
      <w:bookmarkStart w:id="374" w:name="_Toc455587240"/>
      <w:bookmarkStart w:id="375" w:name="_Toc333587877"/>
      <w:bookmarkStart w:id="376" w:name="_Toc179632571"/>
      <w:bookmarkStart w:id="377" w:name="_Toc333599683"/>
      <w:bookmarkStart w:id="378" w:name="_Toc445554713"/>
      <w:bookmarkStart w:id="379" w:name="_Toc455587056"/>
      <w:bookmarkStart w:id="380" w:name="_Toc338943724"/>
      <w:bookmarkStart w:id="381" w:name="_Toc371415941"/>
      <w:r>
        <w:rPr>
          <w:rFonts w:hint="eastAsia" w:eastAsia="仿宋"/>
          <w:color w:val="000000"/>
          <w:sz w:val="24"/>
          <w:highlight w:val="none"/>
          <w:lang w:eastAsia="zh-CN"/>
        </w:rPr>
        <w:t>3.6 备选投标方案</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14:paraId="5742E76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3.6.1 除投标人须知前附表另有规定外，投标人不得递交备选投标方案，</w:t>
      </w:r>
      <w:r>
        <w:rPr>
          <w:rFonts w:eastAsia="仿宋"/>
          <w:color w:val="000000"/>
          <w:sz w:val="24"/>
          <w:highlight w:val="none"/>
        </w:rPr>
        <w:t>否则其投标将</w:t>
      </w:r>
      <w:r>
        <w:rPr>
          <w:rFonts w:hint="eastAsia" w:eastAsia="仿宋"/>
          <w:color w:val="000000"/>
          <w:sz w:val="24"/>
          <w:highlight w:val="none"/>
        </w:rPr>
        <w:t>按无效处理</w:t>
      </w:r>
      <w:r>
        <w:rPr>
          <w:rFonts w:hint="eastAsia" w:ascii="宋体" w:hAnsi="宋体" w:eastAsia="仿宋"/>
          <w:color w:val="000000"/>
          <w:sz w:val="24"/>
          <w:highlight w:val="none"/>
        </w:rPr>
        <w:t>。</w:t>
      </w:r>
    </w:p>
    <w:p w14:paraId="27C1C5FE">
      <w:pPr>
        <w:widowControl/>
        <w:adjustRightInd w:val="0"/>
        <w:snapToGrid w:val="0"/>
        <w:spacing w:line="360" w:lineRule="auto"/>
        <w:ind w:firstLine="480" w:firstLineChars="200"/>
        <w:rPr>
          <w:rFonts w:hint="eastAsia" w:eastAsia="仿宋"/>
          <w:color w:val="000000"/>
          <w:sz w:val="24"/>
          <w:highlight w:val="none"/>
        </w:rPr>
      </w:pPr>
      <w:r>
        <w:rPr>
          <w:rFonts w:hint="eastAsia" w:ascii="宋体" w:hAnsi="宋体" w:eastAsia="仿宋"/>
          <w:color w:val="000000"/>
          <w:sz w:val="24"/>
          <w:highlight w:val="none"/>
        </w:rPr>
        <w:t xml:space="preserve">3.6.2 </w:t>
      </w:r>
      <w:r>
        <w:rPr>
          <w:rFonts w:eastAsia="仿宋"/>
          <w:color w:val="000000"/>
          <w:sz w:val="24"/>
          <w:highlight w:val="none"/>
        </w:rPr>
        <w:t>允许投标人递交备选投标方案的，只有中标人所递交的备选投标方案方可予以考虑。评标委员会认为中标人的备选投标方案优于其按照招标文件要求编制的投标方案的，</w:t>
      </w:r>
      <w:r>
        <w:rPr>
          <w:rFonts w:hint="eastAsia" w:eastAsia="仿宋"/>
          <w:color w:val="000000"/>
          <w:sz w:val="24"/>
          <w:highlight w:val="none"/>
        </w:rPr>
        <w:t>采购</w:t>
      </w:r>
      <w:r>
        <w:rPr>
          <w:rFonts w:eastAsia="仿宋"/>
          <w:color w:val="000000"/>
          <w:sz w:val="24"/>
          <w:highlight w:val="none"/>
        </w:rPr>
        <w:t>人可以接受该备选投标方案。</w:t>
      </w:r>
    </w:p>
    <w:p w14:paraId="0BECCC23">
      <w:pPr>
        <w:widowControl/>
        <w:adjustRightInd w:val="0"/>
        <w:snapToGrid w:val="0"/>
        <w:spacing w:line="360" w:lineRule="auto"/>
        <w:ind w:firstLine="480" w:firstLineChars="200"/>
        <w:rPr>
          <w:rFonts w:eastAsia="仿宋"/>
          <w:color w:val="000000"/>
          <w:sz w:val="24"/>
          <w:highlight w:val="none"/>
        </w:rPr>
      </w:pPr>
      <w:r>
        <w:rPr>
          <w:rFonts w:ascii="宋体" w:hAnsi="宋体" w:eastAsia="仿宋"/>
          <w:color w:val="000000"/>
          <w:sz w:val="24"/>
          <w:highlight w:val="none"/>
        </w:rPr>
        <w:t>3.6.3 投标人提供两个或两个以上投标报价，或者在投标文件中提供一个报价，但同时提供两个或两</w:t>
      </w:r>
      <w:r>
        <w:rPr>
          <w:rFonts w:eastAsia="仿宋"/>
          <w:color w:val="000000"/>
          <w:sz w:val="24"/>
          <w:highlight w:val="none"/>
        </w:rPr>
        <w:t>个以上</w:t>
      </w:r>
      <w:bookmarkStart w:id="382" w:name="_Toc352691495"/>
      <w:bookmarkStart w:id="383" w:name="_Toc247527575"/>
      <w:bookmarkStart w:id="384" w:name="_Toc361508607"/>
      <w:bookmarkStart w:id="385" w:name="_Toc384308232"/>
      <w:bookmarkStart w:id="386" w:name="_Toc369531538"/>
      <w:bookmarkStart w:id="387" w:name="_Toc247513974"/>
      <w:bookmarkStart w:id="388" w:name="_Toc300834971"/>
      <w:bookmarkStart w:id="389" w:name="_Toc29902"/>
      <w:r>
        <w:rPr>
          <w:rFonts w:hint="eastAsia" w:eastAsia="仿宋"/>
          <w:color w:val="000000"/>
          <w:sz w:val="24"/>
          <w:highlight w:val="none"/>
        </w:rPr>
        <w:t>供货方案</w:t>
      </w:r>
      <w:r>
        <w:rPr>
          <w:rFonts w:eastAsia="仿宋"/>
          <w:color w:val="000000"/>
          <w:sz w:val="24"/>
          <w:highlight w:val="none"/>
        </w:rPr>
        <w:t>的</w:t>
      </w:r>
      <w:bookmarkEnd w:id="382"/>
      <w:bookmarkEnd w:id="383"/>
      <w:bookmarkEnd w:id="384"/>
      <w:bookmarkEnd w:id="385"/>
      <w:bookmarkEnd w:id="386"/>
      <w:bookmarkEnd w:id="387"/>
      <w:bookmarkEnd w:id="388"/>
      <w:bookmarkEnd w:id="389"/>
      <w:r>
        <w:rPr>
          <w:rFonts w:eastAsia="仿宋"/>
          <w:color w:val="000000"/>
          <w:sz w:val="24"/>
          <w:highlight w:val="none"/>
        </w:rPr>
        <w:t>，视为提供备选方案。</w:t>
      </w:r>
    </w:p>
    <w:p w14:paraId="0F3E6168">
      <w:pPr>
        <w:pStyle w:val="4"/>
        <w:adjustRightInd w:val="0"/>
        <w:ind w:firstLine="482" w:firstLineChars="200"/>
        <w:rPr>
          <w:rFonts w:eastAsia="仿宋"/>
          <w:color w:val="000000"/>
          <w:sz w:val="24"/>
          <w:highlight w:val="none"/>
          <w:lang w:eastAsia="zh-CN"/>
        </w:rPr>
      </w:pPr>
      <w:bookmarkStart w:id="390" w:name="_Toc445554714"/>
      <w:bookmarkStart w:id="391" w:name="_Toc371415942"/>
      <w:bookmarkStart w:id="392" w:name="_Toc455587057"/>
      <w:bookmarkStart w:id="393" w:name="_Toc458504841"/>
      <w:bookmarkStart w:id="394" w:name="_Toc466024523"/>
      <w:bookmarkStart w:id="395" w:name="_Toc455587241"/>
      <w:r>
        <w:rPr>
          <w:rFonts w:hint="eastAsia" w:eastAsia="仿宋"/>
          <w:color w:val="000000"/>
          <w:sz w:val="24"/>
          <w:highlight w:val="none"/>
          <w:lang w:eastAsia="zh-CN"/>
        </w:rPr>
        <w:t>3.7 投标文件的编制</w:t>
      </w:r>
      <w:bookmarkEnd w:id="390"/>
      <w:bookmarkEnd w:id="391"/>
      <w:bookmarkEnd w:id="392"/>
      <w:bookmarkEnd w:id="393"/>
      <w:bookmarkEnd w:id="394"/>
      <w:bookmarkEnd w:id="395"/>
    </w:p>
    <w:p w14:paraId="58957F30">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3.7</w:t>
      </w:r>
      <w:r>
        <w:rPr>
          <w:rFonts w:ascii="宋体" w:hAnsi="宋体" w:eastAsia="仿宋"/>
          <w:color w:val="000000"/>
          <w:sz w:val="24"/>
          <w:highlight w:val="none"/>
        </w:rPr>
        <w:t>.1</w:t>
      </w:r>
      <w:r>
        <w:rPr>
          <w:rFonts w:hint="eastAsia" w:ascii="宋体" w:hAnsi="宋体" w:eastAsia="仿宋"/>
          <w:color w:val="000000"/>
          <w:sz w:val="24"/>
          <w:highlight w:val="none"/>
        </w:rPr>
        <w:t xml:space="preserve"> 投标文件应按</w:t>
      </w:r>
      <w:r>
        <w:rPr>
          <w:rFonts w:hint="eastAsia" w:eastAsia="仿宋"/>
          <w:color w:val="000000"/>
          <w:sz w:val="24"/>
          <w:highlight w:val="none"/>
        </w:rPr>
        <w:t>招标文件</w:t>
      </w:r>
      <w:r>
        <w:rPr>
          <w:rFonts w:hint="eastAsia" w:ascii="宋体" w:hAnsi="宋体" w:eastAsia="仿宋"/>
          <w:color w:val="000000"/>
          <w:sz w:val="24"/>
          <w:highlight w:val="none"/>
        </w:rPr>
        <w:t>规定格式进行编写，如有必要，可以增加附页、扩展表格，作为投标文件的组成部分。</w:t>
      </w:r>
    </w:p>
    <w:p w14:paraId="06056520">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3.7</w:t>
      </w:r>
      <w:r>
        <w:rPr>
          <w:rFonts w:ascii="宋体" w:hAnsi="宋体" w:eastAsia="仿宋"/>
          <w:color w:val="000000"/>
          <w:sz w:val="24"/>
          <w:highlight w:val="none"/>
        </w:rPr>
        <w:t>.2</w:t>
      </w:r>
      <w:r>
        <w:rPr>
          <w:rFonts w:hint="eastAsia" w:ascii="宋体" w:hAnsi="宋体" w:eastAsia="仿宋"/>
          <w:color w:val="000000"/>
          <w:sz w:val="24"/>
          <w:highlight w:val="none"/>
        </w:rPr>
        <w:t xml:space="preserve"> 投标文件应当对招标文件有关采购需求、交付（实施）的时间（期限）、交付（实施）的地点（范围）、质保期、技术与服务要求、投标报价要求、投标有效期、付款方式、合同条款等实质性</w:t>
      </w:r>
      <w:r>
        <w:rPr>
          <w:rFonts w:hint="eastAsia" w:eastAsia="仿宋"/>
          <w:color w:val="000000"/>
          <w:sz w:val="24"/>
          <w:highlight w:val="none"/>
        </w:rPr>
        <w:t>内容</w:t>
      </w:r>
      <w:r>
        <w:rPr>
          <w:rFonts w:hint="eastAsia" w:ascii="宋体" w:hAnsi="宋体" w:eastAsia="仿宋"/>
          <w:color w:val="000000"/>
          <w:sz w:val="24"/>
          <w:highlight w:val="none"/>
        </w:rPr>
        <w:t>作出响应。投标文件在满足招标文件实质性要求的基础上，可以提出比招标文件要求更有利于采购人的承诺。</w:t>
      </w:r>
    </w:p>
    <w:p w14:paraId="1C33A518">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3.7.3 投标人必须对其提交的资料的真实性负责，并接受采购人对其中任何资料进一步审查的要求。</w:t>
      </w:r>
    </w:p>
    <w:p w14:paraId="3ED5E393">
      <w:pPr>
        <w:widowControl/>
        <w:adjustRightInd w:val="0"/>
        <w:snapToGrid w:val="0"/>
        <w:spacing w:line="360" w:lineRule="auto"/>
        <w:ind w:firstLine="480" w:firstLineChars="200"/>
        <w:rPr>
          <w:rFonts w:hint="eastAsia" w:ascii="宋体" w:hAnsi="宋体" w:eastAsia="仿宋"/>
          <w:color w:val="000000"/>
          <w:sz w:val="24"/>
          <w:highlight w:val="none"/>
        </w:rPr>
      </w:pPr>
      <w:r>
        <w:rPr>
          <w:rFonts w:ascii="宋体" w:hAnsi="宋体" w:eastAsia="仿宋"/>
          <w:color w:val="000000"/>
          <w:sz w:val="24"/>
          <w:highlight w:val="none"/>
        </w:rPr>
        <w:t>3.7.</w:t>
      </w:r>
      <w:r>
        <w:rPr>
          <w:rFonts w:hint="eastAsia" w:ascii="宋体" w:hAnsi="宋体" w:eastAsia="仿宋"/>
          <w:color w:val="000000"/>
          <w:sz w:val="24"/>
          <w:highlight w:val="none"/>
        </w:rPr>
        <w:t>4 投标文件的制作应满足以下规定：</w:t>
      </w:r>
    </w:p>
    <w:p w14:paraId="6913C8B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1</w:t>
      </w:r>
      <w:r>
        <w:rPr>
          <w:rFonts w:hint="eastAsia" w:ascii="宋体" w:hAnsi="宋体" w:eastAsia="仿宋"/>
          <w:color w:val="000000"/>
          <w:sz w:val="24"/>
          <w:highlight w:val="none"/>
        </w:rPr>
        <w:t>）投标文件由投标人使用</w:t>
      </w:r>
      <w:r>
        <w:rPr>
          <w:rFonts w:ascii="宋体" w:hAnsi="宋体" w:eastAsia="仿宋"/>
          <w:color w:val="000000"/>
          <w:sz w:val="24"/>
          <w:highlight w:val="none"/>
        </w:rPr>
        <w:t>“</w:t>
      </w:r>
      <w:r>
        <w:rPr>
          <w:rFonts w:hint="eastAsia" w:ascii="宋体" w:hAnsi="宋体" w:eastAsia="仿宋"/>
          <w:color w:val="000000"/>
          <w:sz w:val="24"/>
          <w:highlight w:val="none"/>
        </w:rPr>
        <w:t>电子交易平台</w:t>
      </w:r>
      <w:r>
        <w:rPr>
          <w:rFonts w:ascii="宋体" w:hAnsi="宋体" w:eastAsia="仿宋"/>
          <w:color w:val="000000"/>
          <w:sz w:val="24"/>
          <w:highlight w:val="none"/>
        </w:rPr>
        <w:t>”</w:t>
      </w:r>
      <w:r>
        <w:rPr>
          <w:rFonts w:hint="eastAsia" w:ascii="宋体" w:hAnsi="宋体" w:eastAsia="仿宋"/>
          <w:color w:val="000000"/>
          <w:sz w:val="24"/>
          <w:highlight w:val="none"/>
        </w:rPr>
        <w:t>自带的</w:t>
      </w:r>
      <w:r>
        <w:rPr>
          <w:rFonts w:ascii="宋体" w:hAnsi="宋体" w:eastAsia="仿宋"/>
          <w:color w:val="000000"/>
          <w:sz w:val="24"/>
          <w:highlight w:val="none"/>
        </w:rPr>
        <w:t>“</w:t>
      </w:r>
      <w:r>
        <w:rPr>
          <w:rFonts w:hint="eastAsia" w:ascii="宋体" w:hAnsi="宋体" w:eastAsia="仿宋"/>
          <w:color w:val="000000"/>
          <w:sz w:val="24"/>
          <w:highlight w:val="none"/>
        </w:rPr>
        <w:t>投标文件制作工具</w:t>
      </w:r>
      <w:r>
        <w:rPr>
          <w:rFonts w:ascii="宋体" w:hAnsi="宋体" w:eastAsia="仿宋"/>
          <w:color w:val="000000"/>
          <w:sz w:val="24"/>
          <w:highlight w:val="none"/>
        </w:rPr>
        <w:t>”</w:t>
      </w:r>
      <w:r>
        <w:rPr>
          <w:rFonts w:hint="eastAsia" w:ascii="宋体" w:hAnsi="宋体" w:eastAsia="仿宋"/>
          <w:color w:val="000000"/>
          <w:sz w:val="24"/>
          <w:highlight w:val="none"/>
        </w:rPr>
        <w:t>制作生成，详见投标人须知前附表规定。</w:t>
      </w:r>
    </w:p>
    <w:p w14:paraId="41732010">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2</w:t>
      </w:r>
      <w:r>
        <w:rPr>
          <w:rFonts w:hint="eastAsia" w:ascii="宋体" w:hAnsi="宋体" w:eastAsia="仿宋"/>
          <w:color w:val="000000"/>
          <w:sz w:val="24"/>
          <w:highlight w:val="none"/>
        </w:rPr>
        <w:t>）投标人在编制投标文件时应建立分级目录，并按照标签提示导入相关内容。</w:t>
      </w:r>
    </w:p>
    <w:p w14:paraId="3F6D20C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（3）除投标人须知前附表另有规定外，</w:t>
      </w:r>
      <w:r>
        <w:rPr>
          <w:rFonts w:ascii="宋体" w:hAnsi="宋体" w:eastAsia="仿宋"/>
          <w:color w:val="000000"/>
          <w:sz w:val="24"/>
          <w:highlight w:val="none"/>
        </w:rPr>
        <w:t>投标文件</w:t>
      </w:r>
      <w:r>
        <w:rPr>
          <w:rFonts w:hint="eastAsia" w:ascii="宋体" w:hAnsi="宋体" w:eastAsia="仿宋"/>
          <w:color w:val="000000"/>
          <w:sz w:val="24"/>
          <w:highlight w:val="none"/>
        </w:rPr>
        <w:t>中证明资料的</w:t>
      </w:r>
      <w:r>
        <w:rPr>
          <w:rFonts w:ascii="宋体" w:hAnsi="宋体" w:eastAsia="仿宋"/>
          <w:color w:val="000000"/>
          <w:sz w:val="24"/>
          <w:highlight w:val="none"/>
        </w:rPr>
        <w:t>“</w:t>
      </w:r>
      <w:r>
        <w:rPr>
          <w:rFonts w:hint="eastAsia" w:ascii="宋体" w:hAnsi="宋体" w:eastAsia="仿宋"/>
          <w:color w:val="000000"/>
          <w:sz w:val="24"/>
          <w:highlight w:val="none"/>
        </w:rPr>
        <w:t>复印件</w:t>
      </w:r>
      <w:r>
        <w:rPr>
          <w:rFonts w:ascii="宋体" w:hAnsi="宋体" w:eastAsia="仿宋"/>
          <w:color w:val="000000"/>
          <w:sz w:val="24"/>
          <w:highlight w:val="none"/>
        </w:rPr>
        <w:t>”均为</w:t>
      </w:r>
      <w:r>
        <w:rPr>
          <w:rFonts w:hint="eastAsia" w:ascii="宋体" w:hAnsi="宋体" w:eastAsia="仿宋"/>
          <w:color w:val="000000"/>
          <w:sz w:val="24"/>
          <w:highlight w:val="none"/>
        </w:rPr>
        <w:t>扫描件</w:t>
      </w:r>
      <w:r>
        <w:rPr>
          <w:rFonts w:ascii="宋体" w:hAnsi="宋体" w:eastAsia="仿宋"/>
          <w:color w:val="000000"/>
          <w:sz w:val="24"/>
          <w:highlight w:val="none"/>
        </w:rPr>
        <w:t>。</w:t>
      </w:r>
    </w:p>
    <w:p w14:paraId="4017B8F5">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w:t>
      </w:r>
      <w:r>
        <w:rPr>
          <w:rFonts w:ascii="宋体" w:hAnsi="宋体" w:eastAsia="仿宋"/>
          <w:color w:val="000000"/>
          <w:sz w:val="24"/>
          <w:highlight w:val="none"/>
        </w:rPr>
        <w:t>“</w:t>
      </w:r>
      <w:r>
        <w:rPr>
          <w:rFonts w:hint="eastAsia" w:ascii="宋体" w:hAnsi="宋体" w:eastAsia="仿宋"/>
          <w:color w:val="000000"/>
          <w:sz w:val="24"/>
          <w:highlight w:val="none"/>
        </w:rPr>
        <w:t>投标文件格式</w:t>
      </w:r>
      <w:r>
        <w:rPr>
          <w:rFonts w:ascii="宋体" w:hAnsi="宋体" w:eastAsia="仿宋"/>
          <w:color w:val="000000"/>
          <w:sz w:val="24"/>
          <w:highlight w:val="none"/>
        </w:rPr>
        <w:t>”</w:t>
      </w:r>
      <w:r>
        <w:rPr>
          <w:rFonts w:hint="eastAsia" w:ascii="宋体" w:hAnsi="宋体" w:eastAsia="仿宋"/>
          <w:color w:val="000000"/>
          <w:sz w:val="24"/>
          <w:highlight w:val="none"/>
        </w:rPr>
        <w:t>中要求盖单位章和（或）签字的地方，投标人均应使用</w:t>
      </w:r>
      <w:r>
        <w:rPr>
          <w:rFonts w:ascii="宋体" w:hAnsi="宋体" w:eastAsia="仿宋"/>
          <w:color w:val="000000"/>
          <w:sz w:val="24"/>
          <w:highlight w:val="none"/>
        </w:rPr>
        <w:t xml:space="preserve">CA </w:t>
      </w:r>
      <w:r>
        <w:rPr>
          <w:rFonts w:hint="eastAsia" w:ascii="宋体" w:hAnsi="宋体" w:eastAsia="仿宋"/>
          <w:color w:val="000000"/>
          <w:sz w:val="24"/>
          <w:highlight w:val="none"/>
        </w:rPr>
        <w:t>数字证书加盖投标人的单位电子印章和（或）法定代表人的个人电子印章或电子签名章。联合体投标的，投标文件由联合体牵头人按上述规定加盖联合体牵头人单位电子印章和（或）法定代表人的个人电子印章或电子签名章。</w:t>
      </w:r>
    </w:p>
    <w:p w14:paraId="08E1BEF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（5）投标文件制作完成后，投标人应使用</w:t>
      </w:r>
      <w:r>
        <w:rPr>
          <w:rFonts w:ascii="宋体" w:hAnsi="宋体" w:eastAsia="仿宋"/>
          <w:color w:val="000000"/>
          <w:sz w:val="24"/>
          <w:highlight w:val="none"/>
        </w:rPr>
        <w:t xml:space="preserve">CA </w:t>
      </w:r>
      <w:r>
        <w:rPr>
          <w:rFonts w:hint="eastAsia" w:ascii="宋体" w:hAnsi="宋体" w:eastAsia="仿宋"/>
          <w:color w:val="000000"/>
          <w:sz w:val="24"/>
          <w:highlight w:val="none"/>
        </w:rPr>
        <w:t>数字证书对投标文件进行文件加密，形成加密的投标文件、非加密的投标文件，非加密的投标文件提交形式见投标人须知前附表规定。</w:t>
      </w:r>
    </w:p>
    <w:p w14:paraId="4E9EDB8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（6）投标文件制作的具体方法详见</w:t>
      </w:r>
      <w:r>
        <w:rPr>
          <w:rFonts w:ascii="宋体" w:hAnsi="宋体" w:eastAsia="仿宋"/>
          <w:color w:val="000000"/>
          <w:sz w:val="24"/>
          <w:highlight w:val="none"/>
        </w:rPr>
        <w:t>“</w:t>
      </w:r>
      <w:r>
        <w:rPr>
          <w:rFonts w:hint="eastAsia" w:ascii="宋体" w:hAnsi="宋体" w:eastAsia="仿宋"/>
          <w:color w:val="000000"/>
          <w:sz w:val="24"/>
          <w:highlight w:val="none"/>
        </w:rPr>
        <w:t>投标文件制作工具</w:t>
      </w:r>
      <w:r>
        <w:rPr>
          <w:rFonts w:ascii="宋体" w:hAnsi="宋体" w:eastAsia="仿宋"/>
          <w:color w:val="000000"/>
          <w:sz w:val="24"/>
          <w:highlight w:val="none"/>
        </w:rPr>
        <w:t>”</w:t>
      </w:r>
      <w:r>
        <w:rPr>
          <w:rFonts w:hint="eastAsia" w:ascii="宋体" w:hAnsi="宋体" w:eastAsia="仿宋"/>
          <w:color w:val="000000"/>
          <w:sz w:val="24"/>
          <w:highlight w:val="none"/>
        </w:rPr>
        <w:t>中的帮助文档。</w:t>
      </w:r>
    </w:p>
    <w:p w14:paraId="76130938">
      <w:pPr>
        <w:widowControl/>
        <w:adjustRightInd w:val="0"/>
        <w:snapToGrid w:val="0"/>
        <w:spacing w:line="360" w:lineRule="auto"/>
        <w:ind w:firstLine="480" w:firstLineChars="200"/>
        <w:rPr>
          <w:rFonts w:hint="eastAsia" w:ascii="宋体" w:hAnsi="宋体" w:eastAsia="仿宋"/>
          <w:color w:val="000000"/>
          <w:sz w:val="24"/>
          <w:highlight w:val="none"/>
        </w:rPr>
      </w:pPr>
      <w:r>
        <w:rPr>
          <w:rFonts w:ascii="宋体" w:hAnsi="宋体" w:eastAsia="仿宋"/>
          <w:color w:val="000000"/>
          <w:sz w:val="24"/>
          <w:highlight w:val="none"/>
        </w:rPr>
        <w:t>3.7.</w:t>
      </w:r>
      <w:r>
        <w:rPr>
          <w:rFonts w:hint="eastAsia" w:ascii="宋体" w:hAnsi="宋体" w:eastAsia="仿宋"/>
          <w:color w:val="000000"/>
          <w:sz w:val="24"/>
          <w:highlight w:val="none"/>
        </w:rPr>
        <w:t>5</w:t>
      </w:r>
      <w:r>
        <w:rPr>
          <w:rFonts w:ascii="宋体" w:hAnsi="宋体" w:eastAsia="仿宋"/>
          <w:color w:val="000000"/>
          <w:sz w:val="24"/>
          <w:highlight w:val="none"/>
        </w:rPr>
        <w:t xml:space="preserve"> </w:t>
      </w:r>
      <w:r>
        <w:rPr>
          <w:rFonts w:hint="eastAsia" w:ascii="宋体" w:hAnsi="宋体" w:eastAsia="仿宋"/>
          <w:color w:val="000000"/>
          <w:sz w:val="24"/>
          <w:highlight w:val="none"/>
        </w:rPr>
        <w:t>因投标人自身原因而导致投标文件无法导入</w:t>
      </w:r>
      <w:r>
        <w:rPr>
          <w:rFonts w:ascii="宋体" w:hAnsi="宋体" w:eastAsia="仿宋"/>
          <w:color w:val="000000"/>
          <w:sz w:val="24"/>
          <w:highlight w:val="none"/>
        </w:rPr>
        <w:t>“</w:t>
      </w:r>
      <w:r>
        <w:rPr>
          <w:rFonts w:hint="eastAsia" w:ascii="宋体" w:hAnsi="宋体" w:eastAsia="仿宋"/>
          <w:color w:val="000000"/>
          <w:sz w:val="24"/>
          <w:highlight w:val="none"/>
        </w:rPr>
        <w:t>电子交易平台</w:t>
      </w:r>
      <w:r>
        <w:rPr>
          <w:rFonts w:ascii="宋体" w:hAnsi="宋体" w:eastAsia="仿宋"/>
          <w:color w:val="000000"/>
          <w:sz w:val="24"/>
          <w:highlight w:val="none"/>
        </w:rPr>
        <w:t>”</w:t>
      </w:r>
      <w:r>
        <w:rPr>
          <w:rFonts w:hint="eastAsia" w:ascii="宋体" w:hAnsi="宋体" w:eastAsia="仿宋"/>
          <w:color w:val="000000"/>
          <w:sz w:val="24"/>
          <w:highlight w:val="none"/>
        </w:rPr>
        <w:t>电子开标、评标系统，该投标视为无效投标，投标人自行承担由此导致的全部责任。</w:t>
      </w:r>
    </w:p>
    <w:p w14:paraId="34495FCD">
      <w:pPr>
        <w:pStyle w:val="3"/>
        <w:rPr>
          <w:rStyle w:val="106"/>
          <w:rFonts w:ascii="宋体" w:hAnsi="宋体" w:eastAsia="仿宋"/>
          <w:b/>
          <w:bCs/>
          <w:color w:val="000000"/>
          <w:sz w:val="24"/>
          <w:szCs w:val="24"/>
          <w:highlight w:val="none"/>
        </w:rPr>
      </w:pPr>
      <w:bookmarkStart w:id="396" w:name="_Toc466024524"/>
      <w:bookmarkStart w:id="397" w:name="_Toc152045555"/>
      <w:bookmarkStart w:id="398" w:name="_Toc333599685"/>
      <w:bookmarkStart w:id="399" w:name="_Toc455587058"/>
      <w:bookmarkStart w:id="400" w:name="_Toc338944631"/>
      <w:bookmarkStart w:id="401" w:name="_Toc333600709"/>
      <w:bookmarkStart w:id="402" w:name="_Toc342296188"/>
      <w:bookmarkStart w:id="403" w:name="_Toc144974523"/>
      <w:bookmarkStart w:id="404" w:name="_Toc445554715"/>
      <w:bookmarkStart w:id="405" w:name="_Toc342297645"/>
      <w:bookmarkStart w:id="406" w:name="_Toc152042331"/>
      <w:bookmarkStart w:id="407" w:name="_Toc338943726"/>
      <w:bookmarkStart w:id="408" w:name="_Toc458504842"/>
      <w:bookmarkStart w:id="409" w:name="_Toc179632573"/>
      <w:bookmarkStart w:id="410" w:name="_Toc342294740"/>
      <w:bookmarkStart w:id="411" w:name="_Toc371415943"/>
      <w:bookmarkStart w:id="412" w:name="_Toc455587242"/>
      <w:r>
        <w:rPr>
          <w:rStyle w:val="106"/>
          <w:rFonts w:hint="eastAsia" w:ascii="宋体" w:hAnsi="宋体" w:eastAsia="仿宋"/>
          <w:b/>
          <w:bCs/>
          <w:color w:val="000000"/>
          <w:sz w:val="24"/>
          <w:szCs w:val="24"/>
          <w:highlight w:val="none"/>
        </w:rPr>
        <w:t>4. 投标</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31DF3B02">
      <w:pPr>
        <w:pStyle w:val="4"/>
        <w:adjustRightInd w:val="0"/>
        <w:ind w:firstLine="482" w:firstLineChars="200"/>
        <w:rPr>
          <w:rFonts w:eastAsia="仿宋"/>
          <w:color w:val="000000"/>
          <w:sz w:val="24"/>
          <w:highlight w:val="none"/>
          <w:lang w:eastAsia="zh-CN"/>
        </w:rPr>
      </w:pPr>
      <w:bookmarkStart w:id="413" w:name="_Toc342296189"/>
      <w:bookmarkStart w:id="414" w:name="_Toc455587059"/>
      <w:bookmarkStart w:id="415" w:name="_Toc179632574"/>
      <w:bookmarkStart w:id="416" w:name="_Toc371415944"/>
      <w:bookmarkStart w:id="417" w:name="_Toc338944632"/>
      <w:bookmarkStart w:id="418" w:name="_Toc144974524"/>
      <w:bookmarkStart w:id="419" w:name="_Toc342294741"/>
      <w:bookmarkStart w:id="420" w:name="_Toc333599686"/>
      <w:bookmarkStart w:id="421" w:name="_Toc458504843"/>
      <w:bookmarkStart w:id="422" w:name="_Toc445554716"/>
      <w:bookmarkStart w:id="423" w:name="_Toc152042332"/>
      <w:bookmarkStart w:id="424" w:name="_Toc333600710"/>
      <w:bookmarkStart w:id="425" w:name="_Toc338943727"/>
      <w:bookmarkStart w:id="426" w:name="_Toc333587880"/>
      <w:bookmarkStart w:id="427" w:name="_Toc342297646"/>
      <w:bookmarkStart w:id="428" w:name="_Toc466024525"/>
      <w:bookmarkStart w:id="429" w:name="_Toc152045556"/>
      <w:bookmarkStart w:id="430" w:name="_Toc455587243"/>
      <w:r>
        <w:rPr>
          <w:rFonts w:hint="eastAsia" w:eastAsia="仿宋"/>
          <w:color w:val="000000"/>
          <w:sz w:val="24"/>
          <w:highlight w:val="none"/>
          <w:lang w:eastAsia="zh-CN"/>
        </w:rPr>
        <w:t>4.1 投标文件的加密</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0403F049">
      <w:pPr>
        <w:widowControl/>
        <w:adjustRightInd w:val="0"/>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4.1.1</w:t>
      </w:r>
      <w:r>
        <w:rPr>
          <w:rFonts w:hint="eastAsia" w:ascii="宋体" w:hAnsi="宋体" w:eastAsia="仿宋"/>
          <w:color w:val="000000"/>
          <w:sz w:val="24"/>
          <w:highlight w:val="none"/>
        </w:rPr>
        <w:t xml:space="preserve"> </w:t>
      </w:r>
      <w:r>
        <w:rPr>
          <w:rFonts w:ascii="宋体" w:hAnsi="宋体" w:eastAsia="仿宋"/>
          <w:color w:val="000000"/>
          <w:sz w:val="24"/>
          <w:highlight w:val="none"/>
        </w:rPr>
        <w:t>投标人应当按照招标文件和电子交易平台的要求加密投标文件，具体要求见投标人须知前附表。</w:t>
      </w:r>
    </w:p>
    <w:p w14:paraId="0EF51A3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4.1.2 未按照上述要求加密的投标文件，电子交易平台将予以拒收。</w:t>
      </w:r>
    </w:p>
    <w:p w14:paraId="5864EC04">
      <w:pPr>
        <w:pStyle w:val="4"/>
        <w:adjustRightInd w:val="0"/>
        <w:ind w:firstLine="482" w:firstLineChars="200"/>
        <w:rPr>
          <w:rFonts w:eastAsia="仿宋"/>
          <w:color w:val="000000"/>
          <w:sz w:val="24"/>
          <w:highlight w:val="none"/>
          <w:lang w:eastAsia="zh-CN"/>
        </w:rPr>
      </w:pPr>
      <w:bookmarkStart w:id="431" w:name="_Toc466024526"/>
      <w:bookmarkStart w:id="432" w:name="_Toc455587060"/>
      <w:bookmarkStart w:id="433" w:name="_Toc371415945"/>
      <w:bookmarkStart w:id="434" w:name="_Toc445554717"/>
      <w:bookmarkStart w:id="435" w:name="_Toc455587244"/>
      <w:bookmarkStart w:id="436" w:name="_Toc458504844"/>
      <w:r>
        <w:rPr>
          <w:rFonts w:hint="eastAsia" w:eastAsia="仿宋"/>
          <w:color w:val="000000"/>
          <w:sz w:val="24"/>
          <w:highlight w:val="none"/>
          <w:lang w:eastAsia="zh-CN"/>
        </w:rPr>
        <w:t>4.2 投标文件的递交</w:t>
      </w:r>
      <w:bookmarkEnd w:id="431"/>
      <w:bookmarkEnd w:id="432"/>
      <w:bookmarkEnd w:id="433"/>
      <w:bookmarkEnd w:id="434"/>
      <w:bookmarkEnd w:id="435"/>
      <w:bookmarkEnd w:id="436"/>
    </w:p>
    <w:p w14:paraId="59D35568">
      <w:pPr>
        <w:widowControl/>
        <w:adjustRightInd w:val="0"/>
        <w:snapToGrid w:val="0"/>
        <w:spacing w:line="360" w:lineRule="auto"/>
        <w:ind w:firstLine="480" w:firstLineChars="200"/>
        <w:rPr>
          <w:rFonts w:hint="eastAsia" w:eastAsia="仿宋"/>
          <w:color w:val="000000"/>
          <w:sz w:val="24"/>
          <w:highlight w:val="none"/>
        </w:rPr>
      </w:pPr>
      <w:r>
        <w:rPr>
          <w:rFonts w:hint="eastAsia" w:ascii="宋体" w:hAnsi="宋体" w:eastAsia="仿宋"/>
          <w:color w:val="000000"/>
          <w:sz w:val="24"/>
          <w:highlight w:val="none"/>
        </w:rPr>
        <w:t xml:space="preserve">4.2.1 </w:t>
      </w:r>
      <w:r>
        <w:rPr>
          <w:rFonts w:eastAsia="仿宋"/>
          <w:color w:val="000000"/>
          <w:sz w:val="24"/>
          <w:highlight w:val="none"/>
        </w:rPr>
        <w:t>投标人应在</w:t>
      </w:r>
      <w:r>
        <w:rPr>
          <w:rFonts w:hint="eastAsia" w:eastAsia="仿宋"/>
          <w:color w:val="000000"/>
          <w:sz w:val="24"/>
          <w:highlight w:val="none"/>
        </w:rPr>
        <w:t>招标公告规定的</w:t>
      </w:r>
      <w:r>
        <w:rPr>
          <w:rFonts w:eastAsia="仿宋"/>
          <w:color w:val="000000"/>
          <w:sz w:val="24"/>
          <w:highlight w:val="none"/>
        </w:rPr>
        <w:t>投标截止时间前递交投标文件。</w:t>
      </w:r>
    </w:p>
    <w:p w14:paraId="0E3D591F">
      <w:pPr>
        <w:widowControl/>
        <w:adjustRightInd w:val="0"/>
        <w:snapToGrid w:val="0"/>
        <w:spacing w:line="360" w:lineRule="auto"/>
        <w:ind w:firstLine="480" w:firstLineChars="200"/>
        <w:rPr>
          <w:rFonts w:eastAsia="仿宋"/>
          <w:color w:val="000000"/>
          <w:sz w:val="24"/>
          <w:highlight w:val="none"/>
        </w:rPr>
      </w:pPr>
      <w:r>
        <w:rPr>
          <w:rFonts w:hint="eastAsia" w:ascii="宋体" w:hAnsi="宋体" w:eastAsia="仿宋"/>
          <w:color w:val="000000"/>
          <w:sz w:val="24"/>
          <w:highlight w:val="none"/>
        </w:rPr>
        <w:t>4.2.2</w:t>
      </w:r>
      <w:r>
        <w:rPr>
          <w:rFonts w:hint="eastAsia" w:eastAsia="仿宋"/>
          <w:color w:val="000000"/>
          <w:sz w:val="24"/>
          <w:highlight w:val="none"/>
        </w:rPr>
        <w:t xml:space="preserve"> 投标人应当通过电子交易平台递交投标文件。投标人应充分考虑上传文件时的不可预见因素，未在投标截止时间前完成上传的，视为逾期送达，采购人（</w:t>
      </w:r>
      <w:r>
        <w:rPr>
          <w:rFonts w:eastAsia="仿宋"/>
          <w:color w:val="000000"/>
          <w:sz w:val="24"/>
          <w:highlight w:val="none"/>
        </w:rPr>
        <w:t>“</w:t>
      </w:r>
      <w:r>
        <w:rPr>
          <w:rFonts w:hint="eastAsia" w:eastAsia="仿宋"/>
          <w:color w:val="000000"/>
          <w:sz w:val="24"/>
          <w:highlight w:val="none"/>
        </w:rPr>
        <w:t>电子交易平台</w:t>
      </w:r>
      <w:r>
        <w:rPr>
          <w:rFonts w:eastAsia="仿宋"/>
          <w:color w:val="000000"/>
          <w:sz w:val="24"/>
          <w:highlight w:val="none"/>
        </w:rPr>
        <w:t>”</w:t>
      </w:r>
      <w:r>
        <w:rPr>
          <w:rFonts w:hint="eastAsia" w:eastAsia="仿宋"/>
          <w:color w:val="000000"/>
          <w:sz w:val="24"/>
          <w:highlight w:val="none"/>
        </w:rPr>
        <w:t>）将拒绝接收。详见投标人须知前附表规定。</w:t>
      </w:r>
    </w:p>
    <w:p w14:paraId="7E575D0B">
      <w:pPr>
        <w:widowControl/>
        <w:adjustRightInd w:val="0"/>
        <w:snapToGrid w:val="0"/>
        <w:spacing w:line="360" w:lineRule="auto"/>
        <w:ind w:firstLine="480" w:firstLineChars="200"/>
        <w:rPr>
          <w:rFonts w:eastAsia="仿宋"/>
          <w:color w:val="000000"/>
          <w:sz w:val="24"/>
          <w:highlight w:val="none"/>
        </w:rPr>
      </w:pPr>
      <w:r>
        <w:rPr>
          <w:rFonts w:hint="eastAsia" w:ascii="宋体" w:hAnsi="宋体" w:eastAsia="仿宋"/>
          <w:color w:val="000000"/>
          <w:sz w:val="24"/>
          <w:highlight w:val="none"/>
        </w:rPr>
        <w:t>4.2.3</w:t>
      </w:r>
      <w:r>
        <w:rPr>
          <w:rFonts w:hint="eastAsia" w:eastAsia="仿宋"/>
          <w:color w:val="000000"/>
          <w:sz w:val="24"/>
          <w:highlight w:val="none"/>
        </w:rPr>
        <w:t xml:space="preserve"> 除投标人须知前附表另有规定外，投标人所递交的投标文件不予退还。</w:t>
      </w:r>
    </w:p>
    <w:p w14:paraId="2E95279C">
      <w:pPr>
        <w:pStyle w:val="4"/>
        <w:adjustRightInd w:val="0"/>
        <w:ind w:firstLine="482" w:firstLineChars="200"/>
        <w:rPr>
          <w:rFonts w:eastAsia="仿宋"/>
          <w:color w:val="000000"/>
          <w:sz w:val="24"/>
          <w:highlight w:val="none"/>
          <w:lang w:eastAsia="zh-CN"/>
        </w:rPr>
      </w:pPr>
      <w:bookmarkStart w:id="437" w:name="_Toc342296191"/>
      <w:bookmarkStart w:id="438" w:name="_Toc179632576"/>
      <w:bookmarkStart w:id="439" w:name="_Toc338944634"/>
      <w:bookmarkStart w:id="440" w:name="_Toc455587061"/>
      <w:bookmarkStart w:id="441" w:name="_Toc371415946"/>
      <w:bookmarkStart w:id="442" w:name="_Toc333587882"/>
      <w:bookmarkStart w:id="443" w:name="_Toc152042334"/>
      <w:bookmarkStart w:id="444" w:name="_Toc466024527"/>
      <w:bookmarkStart w:id="445" w:name="_Toc144974526"/>
      <w:bookmarkStart w:id="446" w:name="_Toc445554718"/>
      <w:bookmarkStart w:id="447" w:name="_Toc342297648"/>
      <w:bookmarkStart w:id="448" w:name="_Toc342294743"/>
      <w:bookmarkStart w:id="449" w:name="_Toc152045558"/>
      <w:bookmarkStart w:id="450" w:name="_Toc455587245"/>
      <w:bookmarkStart w:id="451" w:name="_Toc333600712"/>
      <w:bookmarkStart w:id="452" w:name="_Toc338943729"/>
      <w:bookmarkStart w:id="453" w:name="_Toc458504845"/>
      <w:bookmarkStart w:id="454" w:name="_Toc333599688"/>
      <w:r>
        <w:rPr>
          <w:rFonts w:hint="eastAsia" w:eastAsia="仿宋"/>
          <w:color w:val="000000"/>
          <w:sz w:val="24"/>
          <w:highlight w:val="none"/>
          <w:lang w:eastAsia="zh-CN"/>
        </w:rPr>
        <w:t>4.3 投标文件的修改与撤回</w:t>
      </w:r>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6D105428">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4.3</w:t>
      </w:r>
      <w:r>
        <w:rPr>
          <w:rFonts w:ascii="宋体" w:hAnsi="宋体" w:eastAsia="仿宋"/>
          <w:color w:val="000000"/>
          <w:sz w:val="24"/>
          <w:highlight w:val="none"/>
        </w:rPr>
        <w:t>.1</w:t>
      </w:r>
      <w:r>
        <w:rPr>
          <w:rFonts w:hint="eastAsia" w:ascii="宋体" w:hAnsi="宋体" w:eastAsia="仿宋"/>
          <w:color w:val="000000"/>
          <w:sz w:val="24"/>
          <w:highlight w:val="none"/>
        </w:rPr>
        <w:t xml:space="preserve"> 在规定的投标截止时间前，投标人可以补充、修改或撤回已递交的投标文件，但应以书面形式通知采购人。</w:t>
      </w:r>
    </w:p>
    <w:p w14:paraId="000A3B2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4.3.2 投标人修改或撤回已递交投标文件的通知，应按照本章第3.7.4项的要求加盖电子印章。电子交易平台收到通知后，即时向投标人发出确认回执通知。</w:t>
      </w:r>
    </w:p>
    <w:p w14:paraId="70A2811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4.3.3 投标人撤回投标文件的，</w:t>
      </w:r>
      <w:r>
        <w:rPr>
          <w:rFonts w:hint="eastAsia" w:eastAsia="仿宋"/>
          <w:color w:val="000000"/>
          <w:sz w:val="24"/>
          <w:highlight w:val="none"/>
        </w:rPr>
        <w:t>采购</w:t>
      </w:r>
      <w:r>
        <w:rPr>
          <w:rFonts w:hint="eastAsia" w:ascii="宋体" w:hAnsi="宋体" w:eastAsia="仿宋"/>
          <w:color w:val="000000"/>
          <w:sz w:val="24"/>
          <w:highlight w:val="none"/>
        </w:rPr>
        <w:t>人自收到投标人书面撤回通知之日起5日内退还已收取的投标保证金。</w:t>
      </w:r>
    </w:p>
    <w:p w14:paraId="6631FE0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4.3.4 补充、修改的内容为投标文件的组成部分，只需提供一份。补充、修改的投标文件应按照本章第3条、第4条的规定进行编制、加密、标记和递交，并标明“补充”或“修改”字样。</w:t>
      </w:r>
    </w:p>
    <w:p w14:paraId="5476C87E">
      <w:pPr>
        <w:pStyle w:val="3"/>
        <w:rPr>
          <w:rStyle w:val="106"/>
          <w:rFonts w:hint="eastAsia" w:ascii="宋体" w:hAnsi="宋体" w:eastAsia="仿宋"/>
          <w:b/>
          <w:bCs/>
          <w:color w:val="000000"/>
          <w:sz w:val="24"/>
          <w:szCs w:val="24"/>
          <w:highlight w:val="none"/>
        </w:rPr>
      </w:pPr>
      <w:bookmarkStart w:id="455" w:name="_Toc152045559"/>
      <w:bookmarkStart w:id="456" w:name="_Toc333599689"/>
      <w:bookmarkStart w:id="457" w:name="_Toc342296192"/>
      <w:bookmarkStart w:id="458" w:name="_Toc338944635"/>
      <w:bookmarkStart w:id="459" w:name="_Toc455587246"/>
      <w:bookmarkStart w:id="460" w:name="_Toc179632577"/>
      <w:bookmarkStart w:id="461" w:name="_Toc333600713"/>
      <w:bookmarkStart w:id="462" w:name="_Toc342294744"/>
      <w:bookmarkStart w:id="463" w:name="_Toc152042335"/>
      <w:bookmarkStart w:id="464" w:name="_Toc144974527"/>
      <w:bookmarkStart w:id="465" w:name="_Toc466024528"/>
      <w:bookmarkStart w:id="466" w:name="_Toc342297649"/>
      <w:bookmarkStart w:id="467" w:name="_Toc458504846"/>
      <w:bookmarkStart w:id="468" w:name="_Toc455587062"/>
      <w:bookmarkStart w:id="469" w:name="_Toc371415947"/>
      <w:bookmarkStart w:id="470" w:name="_Toc445554719"/>
      <w:bookmarkStart w:id="471" w:name="_Toc338943730"/>
      <w:r>
        <w:rPr>
          <w:rStyle w:val="106"/>
          <w:rFonts w:hint="eastAsia" w:ascii="宋体" w:hAnsi="宋体" w:eastAsia="仿宋"/>
          <w:b/>
          <w:bCs/>
          <w:color w:val="000000"/>
          <w:sz w:val="24"/>
          <w:szCs w:val="24"/>
          <w:highlight w:val="none"/>
        </w:rPr>
        <w:t>5. 开标</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 w14:paraId="26087B88">
      <w:pPr>
        <w:pStyle w:val="4"/>
        <w:adjustRightInd w:val="0"/>
        <w:ind w:firstLine="482" w:firstLineChars="200"/>
        <w:rPr>
          <w:rFonts w:eastAsia="仿宋"/>
          <w:color w:val="000000"/>
          <w:sz w:val="24"/>
          <w:highlight w:val="none"/>
          <w:lang w:eastAsia="zh-CN"/>
        </w:rPr>
      </w:pPr>
      <w:bookmarkStart w:id="472" w:name="_Toc371415948"/>
      <w:bookmarkStart w:id="473" w:name="_Toc342294745"/>
      <w:bookmarkStart w:id="474" w:name="_Toc333599690"/>
      <w:bookmarkStart w:id="475" w:name="_Toc338943731"/>
      <w:bookmarkStart w:id="476" w:name="_Toc455587247"/>
      <w:bookmarkStart w:id="477" w:name="_Toc455587063"/>
      <w:bookmarkStart w:id="478" w:name="_Toc458504847"/>
      <w:bookmarkStart w:id="479" w:name="_Toc179632578"/>
      <w:bookmarkStart w:id="480" w:name="_Toc333600714"/>
      <w:bookmarkStart w:id="481" w:name="_Toc144974528"/>
      <w:bookmarkStart w:id="482" w:name="_Toc333587884"/>
      <w:bookmarkStart w:id="483" w:name="_Toc445554720"/>
      <w:bookmarkStart w:id="484" w:name="_Toc466024529"/>
      <w:bookmarkStart w:id="485" w:name="_Toc152042336"/>
      <w:bookmarkStart w:id="486" w:name="_Toc152045560"/>
      <w:bookmarkStart w:id="487" w:name="_Toc342297650"/>
      <w:bookmarkStart w:id="488" w:name="_Toc338944636"/>
      <w:bookmarkStart w:id="489" w:name="_Toc342296193"/>
      <w:r>
        <w:rPr>
          <w:rFonts w:hint="eastAsia" w:eastAsia="仿宋"/>
          <w:color w:val="000000"/>
          <w:sz w:val="24"/>
          <w:highlight w:val="none"/>
          <w:lang w:eastAsia="zh-CN"/>
        </w:rPr>
        <w:t xml:space="preserve">5.1 </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hint="eastAsia" w:eastAsia="仿宋"/>
          <w:color w:val="000000"/>
          <w:sz w:val="24"/>
          <w:highlight w:val="none"/>
          <w:lang w:eastAsia="zh-CN"/>
        </w:rPr>
        <w:t>开标时间和地点</w:t>
      </w:r>
    </w:p>
    <w:p w14:paraId="3855F3A1">
      <w:pPr>
        <w:widowControl/>
        <w:adjustRightInd w:val="0"/>
        <w:snapToGrid w:val="0"/>
        <w:spacing w:line="360" w:lineRule="auto"/>
        <w:ind w:firstLine="480" w:firstLineChars="200"/>
        <w:rPr>
          <w:rFonts w:eastAsia="仿宋"/>
          <w:color w:val="000000"/>
          <w:sz w:val="24"/>
          <w:highlight w:val="none"/>
        </w:rPr>
      </w:pPr>
      <w:r>
        <w:rPr>
          <w:rFonts w:hint="eastAsia" w:eastAsia="仿宋"/>
          <w:color w:val="000000"/>
          <w:sz w:val="24"/>
          <w:highlight w:val="none"/>
        </w:rPr>
        <w:t>采购</w:t>
      </w:r>
      <w:r>
        <w:rPr>
          <w:rFonts w:eastAsia="仿宋"/>
          <w:color w:val="000000"/>
          <w:sz w:val="24"/>
          <w:highlight w:val="none"/>
        </w:rPr>
        <w:t>人在</w:t>
      </w:r>
      <w:r>
        <w:rPr>
          <w:rFonts w:hint="eastAsia" w:eastAsia="仿宋"/>
          <w:color w:val="000000"/>
          <w:sz w:val="24"/>
          <w:highlight w:val="none"/>
        </w:rPr>
        <w:t>招标公告规定的</w:t>
      </w:r>
      <w:r>
        <w:rPr>
          <w:rFonts w:eastAsia="仿宋"/>
          <w:color w:val="000000"/>
          <w:sz w:val="24"/>
          <w:highlight w:val="none"/>
        </w:rPr>
        <w:t>开标时间</w:t>
      </w:r>
      <w:r>
        <w:rPr>
          <w:rFonts w:hint="eastAsia" w:eastAsia="仿宋"/>
          <w:color w:val="000000"/>
          <w:sz w:val="24"/>
          <w:highlight w:val="none"/>
        </w:rPr>
        <w:t>和开标地点，</w:t>
      </w:r>
      <w:r>
        <w:rPr>
          <w:rFonts w:eastAsia="仿宋"/>
          <w:color w:val="000000"/>
          <w:sz w:val="24"/>
          <w:highlight w:val="none"/>
        </w:rPr>
        <w:t>通过电子招标投标交易平台公开开标，所有投标人的法定代表人</w:t>
      </w:r>
      <w:r>
        <w:rPr>
          <w:rFonts w:hint="eastAsia" w:eastAsia="仿宋"/>
          <w:color w:val="000000"/>
          <w:sz w:val="24"/>
          <w:highlight w:val="none"/>
        </w:rPr>
        <w:t>（单位负责人）</w:t>
      </w:r>
      <w:r>
        <w:rPr>
          <w:rFonts w:eastAsia="仿宋"/>
          <w:color w:val="000000"/>
          <w:sz w:val="24"/>
          <w:highlight w:val="none"/>
        </w:rPr>
        <w:t>或其委托代理人应当准时参加。</w:t>
      </w:r>
    </w:p>
    <w:p w14:paraId="34C36260">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5.2 开标程序</w:t>
      </w:r>
    </w:p>
    <w:p w14:paraId="41D90BAE">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主持人按下列程序进行开标：</w:t>
      </w:r>
    </w:p>
    <w:p w14:paraId="6E7D864C">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1</w:t>
      </w:r>
      <w:r>
        <w:rPr>
          <w:rFonts w:hint="eastAsia" w:ascii="宋体" w:hAnsi="宋体" w:eastAsia="仿宋"/>
          <w:color w:val="000000"/>
          <w:sz w:val="24"/>
          <w:highlight w:val="none"/>
        </w:rPr>
        <w:t>）宣布开标纪律；</w:t>
      </w:r>
    </w:p>
    <w:p w14:paraId="500A9BBB">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2</w:t>
      </w:r>
      <w:r>
        <w:rPr>
          <w:rFonts w:hint="eastAsia" w:ascii="宋体" w:hAnsi="宋体" w:eastAsia="仿宋"/>
          <w:color w:val="000000"/>
          <w:sz w:val="24"/>
          <w:highlight w:val="none"/>
        </w:rPr>
        <w:t>）公布在投标截止时间前递交投标文件的投标人名称；</w:t>
      </w:r>
    </w:p>
    <w:p w14:paraId="53E995C4">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w:t>
      </w:r>
      <w:r>
        <w:rPr>
          <w:rFonts w:ascii="宋体" w:hAnsi="宋体" w:eastAsia="仿宋"/>
          <w:color w:val="000000"/>
          <w:sz w:val="24"/>
          <w:highlight w:val="none"/>
        </w:rPr>
        <w:t>3</w:t>
      </w:r>
      <w:r>
        <w:rPr>
          <w:rFonts w:hint="eastAsia" w:ascii="宋体" w:hAnsi="宋体" w:eastAsia="仿宋"/>
          <w:color w:val="000000"/>
          <w:sz w:val="24"/>
          <w:highlight w:val="none"/>
        </w:rPr>
        <w:t>）宣布开标人、唱标人、记录人等有关人员姓名；</w:t>
      </w:r>
    </w:p>
    <w:p w14:paraId="1F53FB4A">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（4）按投标人须知前附表规定通过电子招标投标交易平台对已递交的电子投标文件进行解密，公布招标项目名称、投标人名称、投标报价及其他内容，并记录在案；</w:t>
      </w:r>
    </w:p>
    <w:p w14:paraId="3443D7F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（5）开标结束。</w:t>
      </w:r>
    </w:p>
    <w:p w14:paraId="65DD5B31">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5.3 开标疑义</w:t>
      </w:r>
    </w:p>
    <w:p w14:paraId="6DC93E5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15024E0">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投标人未参加开标的，视同认可开标结果。</w:t>
      </w:r>
    </w:p>
    <w:p w14:paraId="089F2761">
      <w:pPr>
        <w:pStyle w:val="3"/>
        <w:rPr>
          <w:rStyle w:val="106"/>
          <w:rFonts w:hint="eastAsia" w:ascii="宋体" w:hAnsi="宋体" w:eastAsia="仿宋"/>
          <w:b/>
          <w:bCs/>
          <w:color w:val="000000"/>
          <w:sz w:val="24"/>
          <w:szCs w:val="24"/>
          <w:highlight w:val="none"/>
        </w:rPr>
      </w:pPr>
      <w:bookmarkStart w:id="490" w:name="_Toc333600716"/>
      <w:bookmarkStart w:id="491" w:name="_Toc371415950"/>
      <w:bookmarkStart w:id="492" w:name="_Toc458504849"/>
      <w:bookmarkStart w:id="493" w:name="_Toc342294747"/>
      <w:bookmarkStart w:id="494" w:name="_Toc342297652"/>
      <w:bookmarkStart w:id="495" w:name="_Toc445554723"/>
      <w:bookmarkStart w:id="496" w:name="_Toc179632580"/>
      <w:bookmarkStart w:id="497" w:name="_Toc152045562"/>
      <w:bookmarkStart w:id="498" w:name="_Toc342296195"/>
      <w:bookmarkStart w:id="499" w:name="_Toc144974530"/>
      <w:bookmarkStart w:id="500" w:name="_Toc333599692"/>
      <w:bookmarkStart w:id="501" w:name="_Toc338943733"/>
      <w:bookmarkStart w:id="502" w:name="_Toc455587066"/>
      <w:bookmarkStart w:id="503" w:name="_Toc152042338"/>
      <w:bookmarkStart w:id="504" w:name="_Toc455587250"/>
      <w:bookmarkStart w:id="505" w:name="_Toc338944638"/>
      <w:bookmarkStart w:id="506" w:name="_Toc466024531"/>
      <w:r>
        <w:rPr>
          <w:rStyle w:val="106"/>
          <w:rFonts w:hint="eastAsia" w:ascii="宋体" w:hAnsi="宋体" w:eastAsia="仿宋"/>
          <w:b/>
          <w:bCs/>
          <w:color w:val="000000"/>
          <w:sz w:val="24"/>
          <w:szCs w:val="24"/>
          <w:highlight w:val="none"/>
        </w:rPr>
        <w:t>6. 评标</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691777A9">
      <w:pPr>
        <w:pStyle w:val="4"/>
        <w:adjustRightInd w:val="0"/>
        <w:ind w:firstLine="482" w:firstLineChars="200"/>
        <w:rPr>
          <w:rFonts w:eastAsia="仿宋"/>
          <w:color w:val="000000"/>
          <w:sz w:val="24"/>
          <w:highlight w:val="none"/>
          <w:lang w:eastAsia="zh-CN"/>
        </w:rPr>
      </w:pPr>
      <w:bookmarkStart w:id="507" w:name="_Toc466024532"/>
      <w:bookmarkStart w:id="508" w:name="_Toc342297653"/>
      <w:bookmarkStart w:id="509" w:name="_Toc455587251"/>
      <w:bookmarkStart w:id="510" w:name="_Toc333599693"/>
      <w:bookmarkStart w:id="511" w:name="_Toc338943734"/>
      <w:bookmarkStart w:id="512" w:name="_Toc342296196"/>
      <w:bookmarkStart w:id="513" w:name="_Toc152045563"/>
      <w:bookmarkStart w:id="514" w:name="_Toc371415951"/>
      <w:bookmarkStart w:id="515" w:name="_Toc445554724"/>
      <w:bookmarkStart w:id="516" w:name="_Toc455587067"/>
      <w:bookmarkStart w:id="517" w:name="_Toc338944639"/>
      <w:bookmarkStart w:id="518" w:name="_Toc144974531"/>
      <w:bookmarkStart w:id="519" w:name="_Toc333587887"/>
      <w:bookmarkStart w:id="520" w:name="_Toc458504850"/>
      <w:bookmarkStart w:id="521" w:name="_Toc342294748"/>
      <w:bookmarkStart w:id="522" w:name="_Toc179632581"/>
      <w:bookmarkStart w:id="523" w:name="_Toc333600717"/>
      <w:bookmarkStart w:id="524" w:name="_Toc152042339"/>
      <w:r>
        <w:rPr>
          <w:rFonts w:hint="eastAsia" w:eastAsia="仿宋"/>
          <w:color w:val="000000"/>
          <w:sz w:val="24"/>
          <w:highlight w:val="none"/>
          <w:lang w:eastAsia="zh-CN"/>
        </w:rPr>
        <w:t>6.1 评标委员会</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p>
    <w:p w14:paraId="01CADFD8">
      <w:pPr>
        <w:widowControl/>
        <w:adjustRightInd w:val="0"/>
        <w:snapToGrid w:val="0"/>
        <w:spacing w:line="360" w:lineRule="auto"/>
        <w:ind w:firstLine="480" w:firstLineChars="200"/>
        <w:rPr>
          <w:rFonts w:hint="eastAsia" w:ascii="楷体" w:hAnsi="楷体" w:eastAsia="楷体" w:cs="楷体"/>
          <w:i/>
          <w:iCs/>
          <w:color w:val="000000"/>
          <w:sz w:val="24"/>
          <w:highlight w:val="none"/>
          <w:u w:val="single"/>
          <w:lang w:bidi="ar"/>
        </w:rPr>
      </w:pPr>
      <w:r>
        <w:rPr>
          <w:rFonts w:hint="eastAsia" w:ascii="宋体" w:hAnsi="宋体" w:eastAsia="仿宋"/>
          <w:color w:val="000000"/>
          <w:sz w:val="24"/>
          <w:highlight w:val="none"/>
        </w:rPr>
        <w:t>6.1</w:t>
      </w:r>
      <w:r>
        <w:rPr>
          <w:rFonts w:ascii="宋体" w:hAnsi="宋体" w:eastAsia="仿宋"/>
          <w:color w:val="000000"/>
          <w:sz w:val="24"/>
          <w:highlight w:val="none"/>
        </w:rPr>
        <w:t>.1</w:t>
      </w:r>
      <w:r>
        <w:rPr>
          <w:rFonts w:hint="eastAsia" w:ascii="宋体" w:hAnsi="宋体" w:eastAsia="仿宋"/>
          <w:color w:val="000000"/>
          <w:sz w:val="24"/>
          <w:highlight w:val="none"/>
        </w:rPr>
        <w:t xml:space="preserve"> 按照《中华人民共和国政府采购法》《中华人民共和国政府采购法实施条例》及本项目本级和上级财政部门、政府采购监督管理部门的有关规定依法组建的评标委员会，负责本项目评标工作。</w:t>
      </w:r>
      <w:r>
        <w:rPr>
          <w:rFonts w:hint="eastAsia" w:ascii="宋体" w:hAnsi="宋体" w:eastAsia="仿宋" w:cs="Calibri"/>
          <w:color w:val="000000"/>
          <w:sz w:val="24"/>
          <w:highlight w:val="none"/>
          <w:lang w:bidi="ar"/>
        </w:rPr>
        <w:t>评标委员会</w:t>
      </w:r>
      <w:r>
        <w:rPr>
          <w:rFonts w:hint="eastAsia" w:ascii="宋体" w:hAnsi="宋体" w:eastAsia="仿宋"/>
          <w:color w:val="000000"/>
          <w:sz w:val="24"/>
          <w:highlight w:val="none"/>
        </w:rPr>
        <w:t>成员人数应当为5人以上单数，</w:t>
      </w:r>
      <w:r>
        <w:rPr>
          <w:rFonts w:hint="eastAsia" w:ascii="宋体" w:hAnsi="宋体" w:eastAsia="仿宋"/>
          <w:color w:val="000000"/>
          <w:sz w:val="24"/>
          <w:highlight w:val="none"/>
          <w:lang w:bidi="ar"/>
        </w:rPr>
        <w:t>其中采购预算金额在1000万元以上或者技术复杂或者社会影响较大的项目，评标委员会成员人数应当为7人以上单数。</w:t>
      </w:r>
    </w:p>
    <w:p w14:paraId="097F0487">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6.1</w:t>
      </w:r>
      <w:r>
        <w:rPr>
          <w:rFonts w:ascii="宋体" w:hAnsi="宋体" w:eastAsia="仿宋"/>
          <w:color w:val="000000"/>
          <w:sz w:val="24"/>
          <w:highlight w:val="none"/>
        </w:rPr>
        <w:t>.2</w:t>
      </w:r>
      <w:r>
        <w:rPr>
          <w:rFonts w:hint="eastAsia" w:ascii="宋体" w:hAnsi="宋体" w:eastAsia="仿宋"/>
          <w:color w:val="000000"/>
          <w:sz w:val="24"/>
          <w:highlight w:val="none"/>
        </w:rPr>
        <w:t xml:space="preserve"> 评标委员会成员有下列情形之一的，应当回避：</w:t>
      </w:r>
    </w:p>
    <w:p w14:paraId="4F3D033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（1）参加采购活动前三年内，与投标人存在劳动关系，或者担任过投标人的董事、监事，或者是投标人的控股股东或实际控制人；</w:t>
      </w:r>
    </w:p>
    <w:p w14:paraId="5D6DD10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（2）与投标人的法定代表人或者负责人有夫妻、直系血亲、三代以内旁系血亲或者近姻亲关系；</w:t>
      </w:r>
    </w:p>
    <w:p w14:paraId="402BF4F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（3）参与本项目进口产品论证的专家；</w:t>
      </w:r>
    </w:p>
    <w:p w14:paraId="1AEB2685">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（4）与投标人有其他可能影响政府采购活动公平、公正进行的关系。</w:t>
      </w:r>
    </w:p>
    <w:p w14:paraId="622EB775">
      <w:pPr>
        <w:widowControl/>
        <w:topLinePunct/>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6.1.3 评标过程中，评标委员会成员有回避事由、擅离职守或者因健康等原因不能继续评标的，采购人有权更换。被更换的评标委员会成员作出的评审结论无效，由更换后的评标委员会成员重新进行评审。</w:t>
      </w:r>
    </w:p>
    <w:p w14:paraId="2234B957">
      <w:pPr>
        <w:pStyle w:val="4"/>
        <w:adjustRightInd w:val="0"/>
        <w:ind w:firstLine="482" w:firstLineChars="200"/>
        <w:rPr>
          <w:rFonts w:hint="eastAsia" w:eastAsia="楷体_GB2312"/>
          <w:i/>
          <w:color w:val="000000"/>
          <w:sz w:val="24"/>
          <w:highlight w:val="none"/>
          <w:lang w:eastAsia="zh-CN"/>
        </w:rPr>
      </w:pPr>
      <w:bookmarkStart w:id="525" w:name="_Toc445554725"/>
      <w:bookmarkStart w:id="526" w:name="_Toc333599694"/>
      <w:bookmarkStart w:id="527" w:name="_Toc342297654"/>
      <w:bookmarkStart w:id="528" w:name="_Toc342296197"/>
      <w:bookmarkStart w:id="529" w:name="_Toc466024533"/>
      <w:bookmarkStart w:id="530" w:name="_Toc455587068"/>
      <w:bookmarkStart w:id="531" w:name="_Toc144974532"/>
      <w:bookmarkStart w:id="532" w:name="_Toc152045564"/>
      <w:bookmarkStart w:id="533" w:name="_Toc333600718"/>
      <w:bookmarkStart w:id="534" w:name="_Toc333587888"/>
      <w:bookmarkStart w:id="535" w:name="_Toc455587252"/>
      <w:bookmarkStart w:id="536" w:name="_Toc371415952"/>
      <w:bookmarkStart w:id="537" w:name="_Toc338943735"/>
      <w:bookmarkStart w:id="538" w:name="_Toc458504851"/>
      <w:bookmarkStart w:id="539" w:name="_Toc179632582"/>
      <w:bookmarkStart w:id="540" w:name="_Toc152042340"/>
      <w:bookmarkStart w:id="541" w:name="_Toc338944640"/>
      <w:bookmarkStart w:id="542" w:name="_Toc342294749"/>
      <w:r>
        <w:rPr>
          <w:rFonts w:hint="eastAsia" w:eastAsia="仿宋"/>
          <w:color w:val="000000"/>
          <w:sz w:val="24"/>
          <w:highlight w:val="none"/>
          <w:lang w:eastAsia="zh-CN"/>
        </w:rPr>
        <w:t>6.2 评标原则</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25A84ECB">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评标委员会应该按照客观、公正、审慎的原则，根据招标文件规定的评审程序、评审方法和评审标准进行独立评审。</w:t>
      </w:r>
    </w:p>
    <w:p w14:paraId="28D1392C">
      <w:pPr>
        <w:pStyle w:val="4"/>
        <w:adjustRightInd w:val="0"/>
        <w:ind w:firstLine="482" w:firstLineChars="200"/>
        <w:rPr>
          <w:rFonts w:eastAsia="仿宋"/>
          <w:color w:val="000000"/>
          <w:sz w:val="24"/>
          <w:highlight w:val="none"/>
          <w:lang w:eastAsia="zh-CN"/>
        </w:rPr>
      </w:pPr>
      <w:bookmarkStart w:id="543" w:name="_Toc333599695"/>
      <w:bookmarkStart w:id="544" w:name="_Toc342294750"/>
      <w:bookmarkStart w:id="545" w:name="_Toc333587889"/>
      <w:bookmarkStart w:id="546" w:name="_Toc152045565"/>
      <w:bookmarkStart w:id="547" w:name="_Toc458504852"/>
      <w:bookmarkStart w:id="548" w:name="_Toc445554726"/>
      <w:bookmarkStart w:id="549" w:name="_Toc466024534"/>
      <w:bookmarkStart w:id="550" w:name="_Toc333600719"/>
      <w:bookmarkStart w:id="551" w:name="_Toc342296198"/>
      <w:bookmarkStart w:id="552" w:name="_Toc338943736"/>
      <w:bookmarkStart w:id="553" w:name="_Toc371415953"/>
      <w:bookmarkStart w:id="554" w:name="_Toc179632583"/>
      <w:bookmarkStart w:id="555" w:name="_Toc455587069"/>
      <w:bookmarkStart w:id="556" w:name="_Toc152042341"/>
      <w:bookmarkStart w:id="557" w:name="_Toc338944641"/>
      <w:bookmarkStart w:id="558" w:name="_Toc455587253"/>
      <w:bookmarkStart w:id="559" w:name="_Toc144974533"/>
      <w:bookmarkStart w:id="560" w:name="_Toc342297655"/>
      <w:r>
        <w:rPr>
          <w:rFonts w:hint="eastAsia" w:eastAsia="仿宋"/>
          <w:color w:val="000000"/>
          <w:sz w:val="24"/>
          <w:highlight w:val="none"/>
          <w:lang w:eastAsia="zh-CN"/>
        </w:rPr>
        <w:t>6.3 评标</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p>
    <w:p w14:paraId="1D23098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6.3.1 评标委员会按照招标文件第四章“资格审查和评标办法”规定的方法、评审因素、标准和程序对投标文件进行评审。“评标办法”没有规定的方法、评审因素和标准，不作为评标依据。</w:t>
      </w:r>
      <w:bookmarkStart w:id="561" w:name="_Toc342294751"/>
      <w:bookmarkStart w:id="562" w:name="_Toc144974534"/>
      <w:bookmarkStart w:id="563" w:name="_Toc338943737"/>
      <w:bookmarkStart w:id="564" w:name="_Toc333599696"/>
      <w:bookmarkStart w:id="565" w:name="_Toc338944642"/>
      <w:bookmarkStart w:id="566" w:name="_Toc179632584"/>
      <w:bookmarkStart w:id="567" w:name="_Toc342296199"/>
      <w:bookmarkStart w:id="568" w:name="_Toc342297656"/>
      <w:bookmarkStart w:id="569" w:name="_Toc152045566"/>
      <w:bookmarkStart w:id="570" w:name="_Toc152042342"/>
      <w:bookmarkStart w:id="571" w:name="_Toc333600720"/>
    </w:p>
    <w:p w14:paraId="264274D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 xml:space="preserve">6.3.2 </w:t>
      </w:r>
      <w:r>
        <w:rPr>
          <w:rFonts w:ascii="宋体" w:hAnsi="宋体" w:eastAsia="仿宋"/>
          <w:color w:val="000000"/>
          <w:sz w:val="24"/>
          <w:highlight w:val="none"/>
        </w:rPr>
        <w:t>评标完成后，评标委员会应当向</w:t>
      </w:r>
      <w:r>
        <w:rPr>
          <w:rFonts w:hint="eastAsia" w:eastAsia="仿宋"/>
          <w:color w:val="000000"/>
          <w:sz w:val="24"/>
          <w:highlight w:val="none"/>
        </w:rPr>
        <w:t>采购</w:t>
      </w:r>
      <w:r>
        <w:rPr>
          <w:rFonts w:ascii="宋体" w:hAnsi="宋体" w:eastAsia="仿宋"/>
          <w:color w:val="000000"/>
          <w:sz w:val="24"/>
          <w:highlight w:val="none"/>
        </w:rPr>
        <w:t>人提交书面评标报告和中标候选人名单。评标委员会推荐中标</w:t>
      </w:r>
      <w:bookmarkStart w:id="572" w:name="_Toc369531546"/>
      <w:bookmarkStart w:id="573" w:name="_Toc247513982"/>
      <w:bookmarkStart w:id="574" w:name="_Toc352691502"/>
      <w:bookmarkStart w:id="575" w:name="_Toc384308240"/>
      <w:bookmarkStart w:id="576" w:name="_Toc300834979"/>
      <w:bookmarkStart w:id="577" w:name="_Toc361508615"/>
      <w:bookmarkStart w:id="578" w:name="_Toc247527583"/>
      <w:bookmarkStart w:id="579" w:name="_Toc12259"/>
      <w:r>
        <w:rPr>
          <w:rFonts w:ascii="宋体" w:hAnsi="宋体" w:eastAsia="仿宋"/>
          <w:color w:val="000000"/>
          <w:sz w:val="24"/>
          <w:highlight w:val="none"/>
        </w:rPr>
        <w:t>候选人的人数见投标人须知前附</w:t>
      </w:r>
      <w:bookmarkEnd w:id="572"/>
      <w:bookmarkEnd w:id="573"/>
      <w:bookmarkEnd w:id="574"/>
      <w:bookmarkEnd w:id="575"/>
      <w:bookmarkEnd w:id="576"/>
      <w:bookmarkEnd w:id="577"/>
      <w:bookmarkEnd w:id="578"/>
      <w:bookmarkEnd w:id="579"/>
      <w:r>
        <w:rPr>
          <w:rFonts w:ascii="宋体" w:hAnsi="宋体" w:eastAsia="仿宋"/>
          <w:color w:val="000000"/>
          <w:sz w:val="24"/>
          <w:highlight w:val="none"/>
        </w:rPr>
        <w:t>表。</w:t>
      </w:r>
    </w:p>
    <w:p w14:paraId="59116914">
      <w:pPr>
        <w:pStyle w:val="3"/>
        <w:rPr>
          <w:rStyle w:val="106"/>
          <w:rFonts w:hint="eastAsia" w:ascii="宋体" w:hAnsi="宋体" w:eastAsia="仿宋"/>
          <w:b/>
          <w:bCs/>
          <w:color w:val="000000"/>
          <w:sz w:val="24"/>
          <w:szCs w:val="24"/>
          <w:highlight w:val="none"/>
        </w:rPr>
      </w:pPr>
      <w:bookmarkStart w:id="580" w:name="_Toc458504853"/>
      <w:bookmarkStart w:id="581" w:name="_Toc466024535"/>
      <w:bookmarkStart w:id="582" w:name="_Toc455587254"/>
      <w:bookmarkStart w:id="583" w:name="_Toc455587070"/>
      <w:bookmarkStart w:id="584" w:name="_Toc445554727"/>
      <w:bookmarkStart w:id="585" w:name="_Toc371415954"/>
      <w:r>
        <w:rPr>
          <w:rStyle w:val="106"/>
          <w:rFonts w:hint="eastAsia" w:ascii="宋体" w:hAnsi="宋体" w:eastAsia="仿宋"/>
          <w:b/>
          <w:bCs/>
          <w:color w:val="000000"/>
          <w:sz w:val="24"/>
          <w:szCs w:val="24"/>
          <w:highlight w:val="none"/>
        </w:rPr>
        <w:t>7. 合同授予</w:t>
      </w:r>
      <w:bookmarkEnd w:id="561"/>
      <w:bookmarkEnd w:id="562"/>
      <w:bookmarkEnd w:id="563"/>
      <w:bookmarkEnd w:id="564"/>
      <w:bookmarkEnd w:id="565"/>
      <w:bookmarkEnd w:id="566"/>
      <w:bookmarkEnd w:id="567"/>
      <w:bookmarkEnd w:id="568"/>
      <w:bookmarkEnd w:id="569"/>
      <w:bookmarkEnd w:id="570"/>
      <w:bookmarkEnd w:id="571"/>
      <w:bookmarkEnd w:id="580"/>
      <w:bookmarkEnd w:id="581"/>
      <w:bookmarkEnd w:id="582"/>
      <w:bookmarkEnd w:id="583"/>
      <w:bookmarkEnd w:id="584"/>
      <w:bookmarkEnd w:id="585"/>
    </w:p>
    <w:p w14:paraId="746C8681">
      <w:pPr>
        <w:pStyle w:val="4"/>
        <w:adjustRightInd w:val="0"/>
        <w:ind w:firstLine="482" w:firstLineChars="200"/>
        <w:rPr>
          <w:rFonts w:eastAsia="仿宋"/>
          <w:color w:val="000000"/>
          <w:sz w:val="24"/>
          <w:highlight w:val="none"/>
          <w:lang w:eastAsia="zh-CN"/>
        </w:rPr>
      </w:pPr>
      <w:bookmarkStart w:id="586" w:name="_Toc362252685"/>
      <w:bookmarkStart w:id="587" w:name="_Toc445554728"/>
      <w:bookmarkStart w:id="588" w:name="_Toc458504854"/>
      <w:bookmarkStart w:id="589" w:name="_Toc466024536"/>
      <w:bookmarkStart w:id="590" w:name="_Toc455587071"/>
      <w:bookmarkStart w:id="591" w:name="_Toc455587255"/>
      <w:bookmarkStart w:id="592" w:name="_Toc349730879"/>
      <w:bookmarkStart w:id="593" w:name="_Toc371415955"/>
      <w:bookmarkStart w:id="594" w:name="_Toc338944643"/>
      <w:bookmarkStart w:id="595" w:name="_Toc338943738"/>
      <w:bookmarkStart w:id="596" w:name="_Toc144974535"/>
      <w:bookmarkStart w:id="597" w:name="_Toc152042343"/>
      <w:bookmarkStart w:id="598" w:name="_Toc333599697"/>
      <w:bookmarkStart w:id="599" w:name="_Toc152045567"/>
      <w:bookmarkStart w:id="600" w:name="_Toc342294752"/>
      <w:bookmarkStart w:id="601" w:name="_Toc333600721"/>
      <w:bookmarkStart w:id="602" w:name="_Toc179632585"/>
      <w:bookmarkStart w:id="603" w:name="_Toc333587891"/>
      <w:bookmarkStart w:id="604" w:name="_Toc342296200"/>
      <w:bookmarkStart w:id="605" w:name="_Toc342297657"/>
      <w:r>
        <w:rPr>
          <w:rFonts w:hint="eastAsia" w:eastAsia="仿宋"/>
          <w:color w:val="000000"/>
          <w:sz w:val="24"/>
          <w:highlight w:val="none"/>
          <w:lang w:eastAsia="zh-CN"/>
        </w:rPr>
        <w:t>7.1</w:t>
      </w:r>
      <w:bookmarkEnd w:id="586"/>
      <w:bookmarkEnd w:id="587"/>
      <w:bookmarkEnd w:id="588"/>
      <w:bookmarkEnd w:id="589"/>
      <w:bookmarkEnd w:id="590"/>
      <w:bookmarkEnd w:id="591"/>
      <w:bookmarkEnd w:id="592"/>
      <w:bookmarkEnd w:id="593"/>
      <w:r>
        <w:rPr>
          <w:rFonts w:hint="eastAsia" w:eastAsia="仿宋"/>
          <w:color w:val="000000"/>
          <w:sz w:val="24"/>
          <w:highlight w:val="none"/>
          <w:lang w:eastAsia="zh-CN"/>
        </w:rPr>
        <w:t xml:space="preserve"> 确定中标人</w:t>
      </w:r>
    </w:p>
    <w:p w14:paraId="7967D3B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7.1.1 按照投标人须知前附表规定，采购人或采购人授权评标委员会</w:t>
      </w:r>
      <w:r>
        <w:rPr>
          <w:rFonts w:hint="eastAsia" w:ascii="宋体" w:hAnsi="宋体" w:eastAsia="仿宋" w:cs="宋体"/>
          <w:color w:val="000000"/>
          <w:kern w:val="0"/>
          <w:sz w:val="24"/>
          <w:highlight w:val="none"/>
        </w:rPr>
        <w:t>在评标报告确定的中标候选人名单中按顺序确定中标人。</w:t>
      </w:r>
    </w:p>
    <w:p w14:paraId="3BD8C20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7.1.2 采购人确定中标人后，按投标人须知前附表规定的方式与内容公告中标结果。</w:t>
      </w:r>
    </w:p>
    <w:p w14:paraId="6B912688">
      <w:pPr>
        <w:pStyle w:val="4"/>
        <w:adjustRightInd w:val="0"/>
        <w:ind w:firstLine="482" w:firstLineChars="200"/>
        <w:rPr>
          <w:rFonts w:eastAsia="仿宋"/>
          <w:color w:val="000000"/>
          <w:sz w:val="24"/>
          <w:highlight w:val="none"/>
          <w:lang w:eastAsia="zh-CN"/>
        </w:rPr>
      </w:pPr>
      <w:r>
        <w:rPr>
          <w:rFonts w:hint="eastAsia" w:eastAsia="仿宋"/>
          <w:color w:val="000000"/>
          <w:sz w:val="24"/>
          <w:highlight w:val="none"/>
          <w:lang w:eastAsia="zh-CN"/>
        </w:rPr>
        <w:t>7.2</w:t>
      </w:r>
      <w:bookmarkStart w:id="606" w:name="_Toc349730880"/>
      <w:bookmarkStart w:id="607" w:name="_Toc455587256"/>
      <w:bookmarkStart w:id="608" w:name="_Toc455587072"/>
      <w:bookmarkStart w:id="609" w:name="_Toc362252686"/>
      <w:bookmarkStart w:id="610" w:name="_Toc445554730"/>
      <w:bookmarkStart w:id="611" w:name="_Toc466024537"/>
      <w:bookmarkStart w:id="612" w:name="_Toc458504855"/>
      <w:bookmarkStart w:id="613" w:name="_Toc371415957"/>
      <w:r>
        <w:rPr>
          <w:rFonts w:hint="eastAsia" w:eastAsia="仿宋"/>
          <w:color w:val="000000"/>
          <w:sz w:val="24"/>
          <w:highlight w:val="none"/>
          <w:lang w:eastAsia="zh-CN"/>
        </w:rPr>
        <w:t xml:space="preserve"> 中标通知</w:t>
      </w:r>
      <w:bookmarkEnd w:id="606"/>
      <w:bookmarkEnd w:id="607"/>
      <w:bookmarkEnd w:id="608"/>
      <w:bookmarkEnd w:id="609"/>
      <w:bookmarkEnd w:id="610"/>
      <w:bookmarkEnd w:id="611"/>
      <w:bookmarkEnd w:id="612"/>
      <w:bookmarkEnd w:id="613"/>
    </w:p>
    <w:p w14:paraId="2878EC3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7.2.1 中标结果确定后，采购人以书面形式向中标人发出中标通知书。</w:t>
      </w:r>
    </w:p>
    <w:p w14:paraId="27AB3C9A">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7.2.2 中标人须按投标人须知前附表规定向采购代理机构支付招标代理服务费，其计取标准见投标人须知前附表。</w:t>
      </w:r>
    </w:p>
    <w:p w14:paraId="041C501B">
      <w:pPr>
        <w:pStyle w:val="4"/>
        <w:adjustRightInd w:val="0"/>
        <w:ind w:firstLine="482" w:firstLineChars="200"/>
        <w:rPr>
          <w:rFonts w:eastAsia="仿宋"/>
          <w:color w:val="000000"/>
          <w:sz w:val="24"/>
          <w:highlight w:val="none"/>
          <w:lang w:eastAsia="zh-CN"/>
        </w:rPr>
      </w:pPr>
      <w:bookmarkStart w:id="614" w:name="_Toc371415958"/>
      <w:bookmarkStart w:id="615" w:name="_Toc455587073"/>
      <w:bookmarkStart w:id="616" w:name="_Toc445554731"/>
      <w:bookmarkStart w:id="617" w:name="_Toc349730881"/>
      <w:bookmarkStart w:id="618" w:name="_Toc362252687"/>
      <w:bookmarkStart w:id="619" w:name="_Toc466024538"/>
      <w:bookmarkStart w:id="620" w:name="_Toc455587257"/>
      <w:bookmarkStart w:id="621" w:name="_Toc458504856"/>
      <w:r>
        <w:rPr>
          <w:rFonts w:hint="eastAsia" w:eastAsia="仿宋"/>
          <w:color w:val="000000"/>
          <w:sz w:val="24"/>
          <w:highlight w:val="none"/>
          <w:lang w:eastAsia="zh-CN"/>
        </w:rPr>
        <w:t>7.3 履约</w:t>
      </w:r>
      <w:bookmarkEnd w:id="614"/>
      <w:bookmarkEnd w:id="615"/>
      <w:bookmarkEnd w:id="616"/>
      <w:bookmarkEnd w:id="617"/>
      <w:bookmarkEnd w:id="618"/>
      <w:bookmarkEnd w:id="619"/>
      <w:bookmarkEnd w:id="620"/>
      <w:bookmarkEnd w:id="621"/>
      <w:r>
        <w:rPr>
          <w:rFonts w:hint="eastAsia" w:eastAsia="仿宋"/>
          <w:color w:val="000000"/>
          <w:sz w:val="24"/>
          <w:highlight w:val="none"/>
          <w:lang w:eastAsia="zh-CN"/>
        </w:rPr>
        <w:t>保证金</w:t>
      </w:r>
    </w:p>
    <w:p w14:paraId="2887EB9E">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7.3</w:t>
      </w:r>
      <w:r>
        <w:rPr>
          <w:rFonts w:ascii="宋体" w:hAnsi="宋体" w:eastAsia="仿宋"/>
          <w:color w:val="000000"/>
          <w:sz w:val="24"/>
          <w:highlight w:val="none"/>
        </w:rPr>
        <w:t>.1</w:t>
      </w:r>
      <w:r>
        <w:rPr>
          <w:rFonts w:hint="eastAsia" w:ascii="宋体" w:hAnsi="宋体" w:eastAsia="仿宋"/>
          <w:color w:val="000000"/>
          <w:sz w:val="24"/>
          <w:highlight w:val="none"/>
        </w:rPr>
        <w:t xml:space="preserve"> 在签订合同前，中标人应按投标人须知前附表规定的金额、形式向采购人提交履约保证金。</w:t>
      </w:r>
      <w:r>
        <w:rPr>
          <w:rFonts w:eastAsia="仿宋"/>
          <w:color w:val="000000"/>
          <w:sz w:val="24"/>
          <w:highlight w:val="none"/>
        </w:rPr>
        <w:t>除投标人须知前附表另有规定外，履约保证金为中标合同金额的</w:t>
      </w:r>
      <w:r>
        <w:rPr>
          <w:rFonts w:hint="eastAsia" w:eastAsia="仿宋"/>
          <w:color w:val="000000"/>
          <w:sz w:val="24"/>
          <w:highlight w:val="none"/>
        </w:rPr>
        <w:t>10</w:t>
      </w:r>
      <w:r>
        <w:rPr>
          <w:rFonts w:eastAsia="仿宋"/>
          <w:color w:val="000000"/>
          <w:sz w:val="24"/>
          <w:highlight w:val="none"/>
        </w:rPr>
        <w:t>%。联合体中标的，其履约保证金以联合体各方或者联合体中牵头人的名义提交。</w:t>
      </w:r>
    </w:p>
    <w:p w14:paraId="29C74E28">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7.3</w:t>
      </w:r>
      <w:r>
        <w:rPr>
          <w:rFonts w:ascii="宋体" w:hAnsi="宋体" w:eastAsia="仿宋"/>
          <w:color w:val="000000"/>
          <w:sz w:val="24"/>
          <w:highlight w:val="none"/>
        </w:rPr>
        <w:t>.2</w:t>
      </w:r>
      <w:r>
        <w:rPr>
          <w:rFonts w:hint="eastAsia" w:ascii="宋体" w:hAnsi="宋体" w:eastAsia="仿宋"/>
          <w:color w:val="000000"/>
          <w:sz w:val="24"/>
          <w:highlight w:val="none"/>
        </w:rPr>
        <w:t xml:space="preserve"> 中标人不能按要求提交履约保证金的，视为中标人拒绝与采购人签订合同，其投标保证金不予退还；给采购人造成的损失超过投标保证金数额的，中标人还应当对超过部分予以赔偿。</w:t>
      </w:r>
    </w:p>
    <w:p w14:paraId="76A9EFA3">
      <w:pPr>
        <w:pStyle w:val="4"/>
        <w:adjustRightInd w:val="0"/>
        <w:ind w:firstLine="482" w:firstLineChars="200"/>
        <w:rPr>
          <w:rFonts w:eastAsia="仿宋"/>
          <w:color w:val="000000"/>
          <w:sz w:val="24"/>
          <w:highlight w:val="none"/>
          <w:lang w:eastAsia="zh-CN"/>
        </w:rPr>
      </w:pPr>
      <w:bookmarkStart w:id="622" w:name="_Toc455587258"/>
      <w:bookmarkStart w:id="623" w:name="_Toc458504857"/>
      <w:bookmarkStart w:id="624" w:name="_Toc466024539"/>
      <w:bookmarkStart w:id="625" w:name="_Toc342294755"/>
      <w:bookmarkStart w:id="626" w:name="_Toc179632588"/>
      <w:bookmarkStart w:id="627" w:name="_Toc371415959"/>
      <w:bookmarkStart w:id="628" w:name="_Toc333587894"/>
      <w:bookmarkStart w:id="629" w:name="_Toc338944646"/>
      <w:bookmarkStart w:id="630" w:name="_Toc455587074"/>
      <w:bookmarkStart w:id="631" w:name="_Toc362252688"/>
      <w:bookmarkStart w:id="632" w:name="_Toc338943741"/>
      <w:bookmarkStart w:id="633" w:name="_Toc445554732"/>
      <w:bookmarkStart w:id="634" w:name="_Toc349730882"/>
      <w:bookmarkStart w:id="635" w:name="_Toc333599700"/>
      <w:bookmarkStart w:id="636" w:name="_Toc342296203"/>
      <w:bookmarkStart w:id="637" w:name="_Toc333600724"/>
      <w:r>
        <w:rPr>
          <w:rFonts w:hint="eastAsia" w:eastAsia="仿宋"/>
          <w:color w:val="000000"/>
          <w:sz w:val="24"/>
          <w:highlight w:val="none"/>
          <w:lang w:eastAsia="zh-CN"/>
        </w:rPr>
        <w:t>7.4 签订合同</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1156EA7C">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7.4</w:t>
      </w:r>
      <w:r>
        <w:rPr>
          <w:rFonts w:ascii="宋体" w:hAnsi="宋体" w:eastAsia="仿宋"/>
          <w:color w:val="000000"/>
          <w:sz w:val="24"/>
          <w:highlight w:val="none"/>
        </w:rPr>
        <w:t>.1</w:t>
      </w:r>
      <w:r>
        <w:rPr>
          <w:rFonts w:hint="eastAsia" w:ascii="宋体" w:hAnsi="宋体" w:eastAsia="仿宋"/>
          <w:color w:val="000000"/>
          <w:sz w:val="24"/>
          <w:highlight w:val="none"/>
        </w:rPr>
        <w:t xml:space="preserve"> 除投标人须知前附表另有规定外，</w:t>
      </w:r>
      <w:r>
        <w:rPr>
          <w:rFonts w:eastAsia="仿宋"/>
          <w:color w:val="000000"/>
          <w:sz w:val="24"/>
          <w:highlight w:val="none"/>
        </w:rPr>
        <w:t>采购人和中标人应当在中标通知书发出之日起</w:t>
      </w:r>
      <w:r>
        <w:rPr>
          <w:rFonts w:hint="eastAsia" w:eastAsia="仿宋"/>
          <w:color w:val="000000"/>
          <w:sz w:val="24"/>
          <w:highlight w:val="none"/>
        </w:rPr>
        <w:t>三十日内</w:t>
      </w:r>
      <w:r>
        <w:rPr>
          <w:rFonts w:eastAsia="仿宋"/>
          <w:color w:val="000000"/>
          <w:sz w:val="24"/>
          <w:highlight w:val="none"/>
        </w:rPr>
        <w:t>，根据招标文件和中标人的投标文件订立书面合同</w:t>
      </w:r>
      <w:r>
        <w:rPr>
          <w:rFonts w:hint="eastAsia" w:eastAsia="仿宋"/>
          <w:color w:val="000000"/>
          <w:sz w:val="24"/>
          <w:highlight w:val="none"/>
        </w:rPr>
        <w:t>，所签订的合同不得对招标文件确定的事项和中标人投标文件作实质性修改。</w:t>
      </w:r>
      <w:r>
        <w:rPr>
          <w:rFonts w:eastAsia="仿宋"/>
          <w:color w:val="000000"/>
          <w:sz w:val="24"/>
          <w:highlight w:val="none"/>
        </w:rPr>
        <w:t>中标人无正当理由</w:t>
      </w:r>
      <w:r>
        <w:rPr>
          <w:rFonts w:hint="eastAsia" w:eastAsia="仿宋"/>
          <w:color w:val="000000"/>
          <w:sz w:val="24"/>
          <w:highlight w:val="none"/>
        </w:rPr>
        <w:t>拒签</w:t>
      </w:r>
      <w:r>
        <w:rPr>
          <w:rFonts w:eastAsia="仿宋"/>
          <w:color w:val="000000"/>
          <w:sz w:val="24"/>
          <w:highlight w:val="none"/>
        </w:rPr>
        <w:t>合同，</w:t>
      </w:r>
      <w:r>
        <w:rPr>
          <w:rFonts w:hint="eastAsia" w:eastAsia="仿宋"/>
          <w:color w:val="000000"/>
          <w:sz w:val="24"/>
          <w:highlight w:val="none"/>
        </w:rPr>
        <w:t>包括但不限于</w:t>
      </w:r>
      <w:r>
        <w:rPr>
          <w:rFonts w:eastAsia="仿宋"/>
          <w:color w:val="000000"/>
          <w:sz w:val="24"/>
          <w:highlight w:val="none"/>
        </w:rPr>
        <w:t>在签订合同时向采购人提出</w:t>
      </w:r>
      <w:r>
        <w:rPr>
          <w:rFonts w:hint="eastAsia" w:eastAsia="仿宋"/>
          <w:color w:val="000000"/>
          <w:sz w:val="24"/>
          <w:highlight w:val="none"/>
        </w:rPr>
        <w:t>非法的附加条件</w:t>
      </w:r>
      <w:r>
        <w:rPr>
          <w:rFonts w:eastAsia="仿宋"/>
          <w:color w:val="000000"/>
          <w:sz w:val="24"/>
          <w:highlight w:val="none"/>
        </w:rPr>
        <w:t>，其投标保证金不予退还；给采购人造成的损失超过投标保证金数额的，中标人还应当对超过部分予以赔偿。</w:t>
      </w:r>
    </w:p>
    <w:p w14:paraId="3B397E1F">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7.4</w:t>
      </w:r>
      <w:r>
        <w:rPr>
          <w:rFonts w:ascii="宋体" w:hAnsi="宋体" w:eastAsia="仿宋"/>
          <w:color w:val="000000"/>
          <w:sz w:val="24"/>
          <w:highlight w:val="none"/>
        </w:rPr>
        <w:t>.2</w:t>
      </w:r>
      <w:r>
        <w:rPr>
          <w:rFonts w:hint="eastAsia" w:ascii="宋体" w:hAnsi="宋体" w:eastAsia="仿宋"/>
          <w:color w:val="000000"/>
          <w:sz w:val="24"/>
          <w:highlight w:val="none"/>
        </w:rPr>
        <w:t xml:space="preserve"> 因中标人原因未签订合同的，采购人可以按照评审报告推荐的中标候选人名单排序，确定下一候选人为中标人，也可以重新开展政府采购活动。</w:t>
      </w:r>
    </w:p>
    <w:p w14:paraId="39888D7A">
      <w:pPr>
        <w:widowControl/>
        <w:adjustRightInd w:val="0"/>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7.</w:t>
      </w:r>
      <w:r>
        <w:rPr>
          <w:rFonts w:hint="eastAsia" w:ascii="宋体" w:hAnsi="宋体" w:eastAsia="仿宋"/>
          <w:color w:val="000000"/>
          <w:sz w:val="24"/>
          <w:highlight w:val="none"/>
        </w:rPr>
        <w:t>4</w:t>
      </w:r>
      <w:r>
        <w:rPr>
          <w:rFonts w:ascii="宋体" w:hAnsi="宋体" w:eastAsia="仿宋"/>
          <w:color w:val="000000"/>
          <w:sz w:val="24"/>
          <w:highlight w:val="none"/>
        </w:rPr>
        <w:t>.</w:t>
      </w:r>
      <w:r>
        <w:rPr>
          <w:rFonts w:hint="eastAsia" w:ascii="宋体" w:hAnsi="宋体" w:eastAsia="仿宋"/>
          <w:color w:val="000000"/>
          <w:sz w:val="24"/>
          <w:highlight w:val="none"/>
        </w:rPr>
        <w:t xml:space="preserve">3 </w:t>
      </w:r>
      <w:r>
        <w:rPr>
          <w:rFonts w:ascii="宋体" w:hAnsi="宋体" w:eastAsia="仿宋"/>
          <w:color w:val="000000"/>
          <w:sz w:val="24"/>
          <w:highlight w:val="none"/>
        </w:rPr>
        <w:t>联合体中标的，联合体各方应当共同与采购人签订合同，就中标项目向采购人承担连带责任。</w:t>
      </w:r>
    </w:p>
    <w:bookmarkEnd w:id="594"/>
    <w:bookmarkEnd w:id="595"/>
    <w:bookmarkEnd w:id="596"/>
    <w:bookmarkEnd w:id="597"/>
    <w:bookmarkEnd w:id="598"/>
    <w:bookmarkEnd w:id="599"/>
    <w:bookmarkEnd w:id="600"/>
    <w:bookmarkEnd w:id="601"/>
    <w:bookmarkEnd w:id="602"/>
    <w:bookmarkEnd w:id="603"/>
    <w:bookmarkEnd w:id="604"/>
    <w:bookmarkEnd w:id="605"/>
    <w:p w14:paraId="0E24A522">
      <w:pPr>
        <w:pStyle w:val="3"/>
        <w:rPr>
          <w:rStyle w:val="106"/>
          <w:rFonts w:hint="eastAsia" w:ascii="宋体" w:hAnsi="宋体" w:eastAsia="仿宋"/>
          <w:b/>
          <w:bCs/>
          <w:color w:val="000000"/>
          <w:sz w:val="24"/>
          <w:szCs w:val="24"/>
          <w:highlight w:val="none"/>
        </w:rPr>
      </w:pPr>
      <w:bookmarkStart w:id="638" w:name="_Toc455587259"/>
      <w:bookmarkStart w:id="639" w:name="_Toc458504860"/>
      <w:bookmarkStart w:id="640" w:name="_Toc455587075"/>
      <w:bookmarkStart w:id="641" w:name="_Toc466024542"/>
      <w:r>
        <w:rPr>
          <w:rStyle w:val="106"/>
          <w:rFonts w:hint="eastAsia" w:ascii="宋体" w:hAnsi="宋体" w:eastAsia="仿宋"/>
          <w:b/>
          <w:bCs/>
          <w:color w:val="000000"/>
          <w:sz w:val="24"/>
          <w:szCs w:val="24"/>
          <w:highlight w:val="none"/>
        </w:rPr>
        <w:t>8. 废标</w:t>
      </w:r>
      <w:bookmarkEnd w:id="638"/>
      <w:bookmarkEnd w:id="639"/>
      <w:bookmarkEnd w:id="640"/>
      <w:r>
        <w:rPr>
          <w:rStyle w:val="106"/>
          <w:rFonts w:hint="eastAsia" w:ascii="宋体" w:hAnsi="宋体" w:eastAsia="仿宋"/>
          <w:b/>
          <w:bCs/>
          <w:color w:val="000000"/>
          <w:sz w:val="24"/>
          <w:szCs w:val="24"/>
          <w:highlight w:val="none"/>
        </w:rPr>
        <w:t>、变更采购方式与终止招标</w:t>
      </w:r>
      <w:bookmarkEnd w:id="641"/>
    </w:p>
    <w:p w14:paraId="369C9402">
      <w:pPr>
        <w:pStyle w:val="4"/>
        <w:adjustRightInd w:val="0"/>
        <w:ind w:firstLine="482" w:firstLineChars="200"/>
        <w:rPr>
          <w:rFonts w:hint="eastAsia" w:eastAsia="仿宋"/>
          <w:color w:val="000000"/>
          <w:sz w:val="24"/>
          <w:highlight w:val="none"/>
          <w:lang w:eastAsia="zh-CN"/>
        </w:rPr>
      </w:pPr>
      <w:bookmarkStart w:id="642" w:name="_Toc455587260"/>
      <w:bookmarkStart w:id="643" w:name="_Toc458504861"/>
      <w:bookmarkStart w:id="644" w:name="_Toc466024543"/>
      <w:bookmarkStart w:id="645" w:name="_Toc455587076"/>
      <w:bookmarkStart w:id="646" w:name="_Toc333599702"/>
      <w:bookmarkStart w:id="647" w:name="_Toc179632590"/>
      <w:bookmarkStart w:id="648" w:name="_Toc152042348"/>
      <w:bookmarkStart w:id="649" w:name="_Toc144974540"/>
      <w:bookmarkStart w:id="650" w:name="_Toc445554734"/>
      <w:bookmarkStart w:id="651" w:name="_Toc371415961"/>
      <w:bookmarkStart w:id="652" w:name="_Toc338943743"/>
      <w:bookmarkStart w:id="653" w:name="_Toc342294757"/>
      <w:bookmarkStart w:id="654" w:name="_Toc338944648"/>
      <w:bookmarkStart w:id="655" w:name="_Toc333600726"/>
      <w:bookmarkStart w:id="656" w:name="_Toc342297662"/>
      <w:bookmarkStart w:id="657" w:name="_Toc152045572"/>
      <w:bookmarkStart w:id="658" w:name="_Toc333587896"/>
      <w:bookmarkStart w:id="659" w:name="_Toc342296205"/>
      <w:r>
        <w:rPr>
          <w:rFonts w:hint="eastAsia" w:eastAsia="仿宋"/>
          <w:color w:val="000000"/>
          <w:sz w:val="24"/>
          <w:highlight w:val="none"/>
          <w:lang w:eastAsia="zh-CN"/>
        </w:rPr>
        <w:t>8.1 废标</w:t>
      </w:r>
      <w:bookmarkEnd w:id="642"/>
      <w:bookmarkEnd w:id="643"/>
      <w:bookmarkEnd w:id="644"/>
      <w:bookmarkEnd w:id="645"/>
    </w:p>
    <w:p w14:paraId="711D373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8.1.1 出现下列情形之一的，应予废标：</w:t>
      </w:r>
    </w:p>
    <w:p w14:paraId="4B029B0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（1）符合专业条件的投标人或者对招标文件作实质响应的投标人不足3家的；</w:t>
      </w:r>
    </w:p>
    <w:p w14:paraId="5F9CEC6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（2）出现影响采购公正的违法、违规行为的；</w:t>
      </w:r>
    </w:p>
    <w:p w14:paraId="389EADA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（3）投标人的报价均超过了采购预算或最高限价，采购人不能支付的；</w:t>
      </w:r>
    </w:p>
    <w:p w14:paraId="5BCA276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（4）因重大变故，采购任务取消的。</w:t>
      </w:r>
    </w:p>
    <w:p w14:paraId="1F4CBCA9">
      <w:pPr>
        <w:pStyle w:val="4"/>
        <w:adjustRightInd w:val="0"/>
        <w:ind w:firstLine="482" w:firstLineChars="200"/>
        <w:rPr>
          <w:rFonts w:eastAsia="仿宋"/>
          <w:color w:val="000000"/>
          <w:sz w:val="24"/>
          <w:highlight w:val="none"/>
          <w:lang w:eastAsia="zh-CN"/>
        </w:rPr>
      </w:pPr>
      <w:bookmarkStart w:id="660" w:name="_Toc455587077"/>
      <w:bookmarkStart w:id="661" w:name="_Toc455587261"/>
      <w:bookmarkStart w:id="662" w:name="_Toc466024544"/>
      <w:bookmarkStart w:id="663" w:name="_Toc458504862"/>
      <w:r>
        <w:rPr>
          <w:rFonts w:hint="eastAsia" w:eastAsia="仿宋"/>
          <w:color w:val="000000"/>
          <w:sz w:val="24"/>
          <w:highlight w:val="none"/>
          <w:lang w:eastAsia="zh-CN"/>
        </w:rPr>
        <w:t>8.2</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Pr>
          <w:rFonts w:hint="eastAsia" w:eastAsia="仿宋"/>
          <w:color w:val="000000"/>
          <w:sz w:val="24"/>
          <w:highlight w:val="none"/>
          <w:lang w:eastAsia="zh-CN"/>
        </w:rPr>
        <w:t xml:space="preserve"> 重新招标与变更采购方式</w:t>
      </w:r>
      <w:bookmarkEnd w:id="662"/>
      <w:bookmarkEnd w:id="663"/>
    </w:p>
    <w:p w14:paraId="28BF4515">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8.2.1 公开招标数额标准以上的采购项目，投标截止后投标人不足3家或者通过资格审查或符合性审查的投标人不足3家的，除采购任务取消情形外，按照以下方式处理：</w:t>
      </w:r>
    </w:p>
    <w:p w14:paraId="6E3F6FED">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（1）招标文件存在不合理条款或者招标程序不符合规定的，采购人、采购代理机构改正后依法重新招标；</w:t>
      </w:r>
    </w:p>
    <w:p w14:paraId="78D702F0">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（2）招标文件没有不合理条款、招标程序符合规定，需要采用其他采购方式采购的，采购人应当依法报财政部门批准。</w:t>
      </w:r>
    </w:p>
    <w:p w14:paraId="21ACC34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8.2.2 公开招标数额标准以上的采购项目，出现本章8.2.1项情形或者重新招标未能成立的，采购人拟申请采用其他方式采购的，应由评标委员会或者3名以上评审专家出具招标文件没有不合理条款的论证意见。</w:t>
      </w:r>
    </w:p>
    <w:p w14:paraId="1F3CF823">
      <w:pPr>
        <w:pStyle w:val="4"/>
        <w:adjustRightInd w:val="0"/>
        <w:ind w:firstLine="482" w:firstLineChars="200"/>
        <w:rPr>
          <w:rFonts w:hint="eastAsia" w:eastAsia="仿宋"/>
          <w:color w:val="000000"/>
          <w:sz w:val="24"/>
          <w:highlight w:val="none"/>
          <w:lang w:eastAsia="zh-CN"/>
        </w:rPr>
      </w:pPr>
      <w:bookmarkStart w:id="664" w:name="_Toc445554736"/>
      <w:bookmarkStart w:id="665" w:name="_Toc466024545"/>
      <w:bookmarkStart w:id="666" w:name="_Toc455587262"/>
      <w:bookmarkStart w:id="667" w:name="_Toc458504863"/>
      <w:bookmarkStart w:id="668" w:name="_Toc455587078"/>
      <w:bookmarkStart w:id="669" w:name="_Toc179632592"/>
      <w:bookmarkStart w:id="670" w:name="_Toc342296207"/>
      <w:bookmarkStart w:id="671" w:name="_Toc333600728"/>
      <w:bookmarkStart w:id="672" w:name="_Toc152045574"/>
      <w:bookmarkStart w:id="673" w:name="_Toc144974542"/>
      <w:bookmarkStart w:id="674" w:name="_Toc333599704"/>
      <w:bookmarkStart w:id="675" w:name="_Toc342294759"/>
      <w:bookmarkStart w:id="676" w:name="_Toc338944650"/>
      <w:bookmarkStart w:id="677" w:name="_Toc342297664"/>
      <w:bookmarkStart w:id="678" w:name="_Toc152042350"/>
      <w:bookmarkStart w:id="679" w:name="_Toc338943745"/>
      <w:r>
        <w:rPr>
          <w:rFonts w:hint="eastAsia" w:eastAsia="仿宋"/>
          <w:color w:val="000000"/>
          <w:sz w:val="24"/>
          <w:highlight w:val="none"/>
          <w:lang w:eastAsia="zh-CN"/>
        </w:rPr>
        <w:t>8.3 终止招标</w:t>
      </w:r>
      <w:bookmarkEnd w:id="664"/>
      <w:bookmarkEnd w:id="665"/>
      <w:bookmarkEnd w:id="666"/>
      <w:bookmarkEnd w:id="667"/>
      <w:bookmarkEnd w:id="668"/>
    </w:p>
    <w:p w14:paraId="0034F08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因不可抗力等原因，采购人终止招标的，将及时发布公告，或者以书面形式通知被邀请的或者已经获取招标文件的潜在投标人。</w:t>
      </w:r>
    </w:p>
    <w:bookmarkEnd w:id="669"/>
    <w:bookmarkEnd w:id="670"/>
    <w:bookmarkEnd w:id="671"/>
    <w:bookmarkEnd w:id="672"/>
    <w:bookmarkEnd w:id="673"/>
    <w:bookmarkEnd w:id="674"/>
    <w:bookmarkEnd w:id="675"/>
    <w:bookmarkEnd w:id="676"/>
    <w:bookmarkEnd w:id="677"/>
    <w:bookmarkEnd w:id="678"/>
    <w:bookmarkEnd w:id="679"/>
    <w:p w14:paraId="5F50670B">
      <w:pPr>
        <w:pStyle w:val="3"/>
        <w:rPr>
          <w:rStyle w:val="106"/>
          <w:rFonts w:hint="eastAsia" w:ascii="宋体" w:hAnsi="宋体" w:eastAsia="仿宋"/>
          <w:b/>
          <w:bCs/>
          <w:color w:val="000000"/>
          <w:sz w:val="24"/>
          <w:szCs w:val="24"/>
          <w:highlight w:val="none"/>
        </w:rPr>
      </w:pPr>
      <w:bookmarkStart w:id="680" w:name="_Toc455587263"/>
      <w:bookmarkStart w:id="681" w:name="_Toc445554737"/>
      <w:bookmarkStart w:id="682" w:name="_Toc466024546"/>
      <w:bookmarkStart w:id="683" w:name="_Toc455587079"/>
      <w:bookmarkStart w:id="684" w:name="_Toc458504864"/>
      <w:r>
        <w:rPr>
          <w:rStyle w:val="106"/>
          <w:rFonts w:hint="eastAsia" w:ascii="宋体" w:hAnsi="宋体" w:eastAsia="仿宋"/>
          <w:b/>
          <w:bCs/>
          <w:color w:val="000000"/>
          <w:sz w:val="24"/>
          <w:szCs w:val="24"/>
          <w:highlight w:val="none"/>
        </w:rPr>
        <w:t>9. 询问与质疑</w:t>
      </w:r>
    </w:p>
    <w:p w14:paraId="5BEE7939">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9.1 询问</w:t>
      </w:r>
    </w:p>
    <w:p w14:paraId="7E28FCF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9.1.1 投标人对政府采购活动事项有疑问的，可依法按投标人须知前附表载明的时间提出询问。</w:t>
      </w:r>
    </w:p>
    <w:p w14:paraId="02F3B045">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9.1.2 采购人或采购代理机构对供应商依法提出的询问，在3个工作日内作出答复，但答复的内容不得涉及商业秘密。</w:t>
      </w:r>
    </w:p>
    <w:p w14:paraId="62C41122">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9.1.3 除非采购人认为确有必要答复，否则，采购人有权拒绝回复投标人在本章第9.1.1项规定的时间后的询问。</w:t>
      </w:r>
    </w:p>
    <w:p w14:paraId="320FBED0">
      <w:pPr>
        <w:pStyle w:val="4"/>
        <w:adjustRightInd w:val="0"/>
        <w:ind w:firstLine="482" w:firstLineChars="200"/>
        <w:rPr>
          <w:rFonts w:eastAsia="仿宋"/>
          <w:color w:val="000000"/>
          <w:sz w:val="24"/>
          <w:highlight w:val="none"/>
          <w:lang w:eastAsia="zh-CN"/>
        </w:rPr>
      </w:pPr>
      <w:r>
        <w:rPr>
          <w:rFonts w:hint="eastAsia" w:eastAsia="仿宋"/>
          <w:color w:val="000000"/>
          <w:sz w:val="24"/>
          <w:highlight w:val="none"/>
          <w:lang w:eastAsia="zh-CN"/>
        </w:rPr>
        <w:t>9.2 质疑</w:t>
      </w:r>
    </w:p>
    <w:p w14:paraId="764B3BC2">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9.2.1 投标人认为招标文件、采购过程、中标结果使自己的权益受到损害的，可以在投标人须知前附表载明的时间向采购人、采购代理机构提出质疑，逾期提出的，采购人、采购代理机构可不予受理。对招标文件提出质疑的，质疑期限为供应商获得招标文件之日或者招标文件公告期限届满之日起计算。对采购过程提出质疑的，质疑期限为各采购程序环节结束之日起计算。对采购结果提出质疑的，质疑期限自采购结果公告期限届满之日起计算。</w:t>
      </w:r>
    </w:p>
    <w:p w14:paraId="5986B4C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投标人应以书面形式向采购人、采购代理机构提出质疑，质疑函须使用财政部制定的《政府采购供应商质疑函范本》格式，详见本章附件二“政府采购供应商询问函和质疑函范本”。质疑材料应当采用中文，有关材料是外文的，应当同时提供其中文译本。</w:t>
      </w:r>
    </w:p>
    <w:p w14:paraId="361983E1">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9.2.2 接收质疑的联系方式见投标人须知前附表，采购人、采购代理机构在收到质疑函后7个工作日内作出答复。</w:t>
      </w:r>
    </w:p>
    <w:p w14:paraId="0BB5E63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9.2.3 投标人为自然人的，质疑函应当由本人签字；投标人为法人或者其他组织的，质疑函应当由法定代表人、主要负责人，或者其授权代表签字或者盖章，并加盖公章，附法定代表人（单位负责人）及其委托联系人的有效身份证复印件。</w:t>
      </w:r>
    </w:p>
    <w:p w14:paraId="60B1D02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9.2.4 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01170E4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9.2.5 投标人应在法定质疑期内一次性提出针对同一采购程序环节的质疑，法定质疑期内针对同一采购程序环节再次提出的质疑，采购人、采购代理机构有权不予答复。质疑应当有具体的事项及根据，不得进行虚假、恶意质疑，扰乱政府采购活动正常的工作秩序。</w:t>
      </w:r>
    </w:p>
    <w:p w14:paraId="5ABAA75E">
      <w:pPr>
        <w:widowControl/>
        <w:adjustRightInd w:val="0"/>
        <w:snapToGrid w:val="0"/>
        <w:spacing w:line="360" w:lineRule="auto"/>
        <w:ind w:firstLine="480" w:firstLineChars="200"/>
        <w:rPr>
          <w:rFonts w:eastAsia="仿宋"/>
          <w:color w:val="000000"/>
          <w:sz w:val="24"/>
          <w:highlight w:val="none"/>
        </w:rPr>
      </w:pPr>
      <w:r>
        <w:rPr>
          <w:rFonts w:hint="eastAsia" w:ascii="宋体" w:hAnsi="宋体" w:eastAsia="仿宋"/>
          <w:color w:val="000000"/>
          <w:sz w:val="24"/>
          <w:highlight w:val="none"/>
        </w:rPr>
        <w:t xml:space="preserve">9.2.6 </w:t>
      </w:r>
      <w:r>
        <w:rPr>
          <w:rFonts w:eastAsia="仿宋"/>
          <w:color w:val="000000"/>
          <w:sz w:val="24"/>
          <w:highlight w:val="none"/>
        </w:rPr>
        <w:t>提出质疑的</w:t>
      </w:r>
      <w:r>
        <w:rPr>
          <w:rFonts w:hint="eastAsia" w:eastAsia="仿宋"/>
          <w:color w:val="000000"/>
          <w:sz w:val="24"/>
          <w:highlight w:val="none"/>
        </w:rPr>
        <w:t>投标人</w:t>
      </w:r>
      <w:r>
        <w:rPr>
          <w:rFonts w:eastAsia="仿宋"/>
          <w:color w:val="000000"/>
          <w:sz w:val="24"/>
          <w:highlight w:val="none"/>
        </w:rPr>
        <w:t>应当是参与所质疑项目采购活动的</w:t>
      </w:r>
      <w:r>
        <w:rPr>
          <w:rFonts w:hint="eastAsia" w:eastAsia="仿宋"/>
          <w:color w:val="000000"/>
          <w:sz w:val="24"/>
          <w:highlight w:val="none"/>
        </w:rPr>
        <w:t>投标人</w:t>
      </w:r>
      <w:r>
        <w:rPr>
          <w:rFonts w:eastAsia="仿宋"/>
          <w:color w:val="000000"/>
          <w:sz w:val="24"/>
          <w:highlight w:val="none"/>
        </w:rPr>
        <w:t>。潜在</w:t>
      </w:r>
      <w:r>
        <w:rPr>
          <w:rFonts w:hint="eastAsia" w:eastAsia="仿宋"/>
          <w:color w:val="000000"/>
          <w:sz w:val="24"/>
          <w:highlight w:val="none"/>
        </w:rPr>
        <w:t>投标人</w:t>
      </w:r>
      <w:r>
        <w:rPr>
          <w:rFonts w:eastAsia="仿宋"/>
          <w:color w:val="000000"/>
          <w:sz w:val="24"/>
          <w:highlight w:val="none"/>
        </w:rPr>
        <w:t>已依法获取其可质疑的</w:t>
      </w:r>
      <w:r>
        <w:rPr>
          <w:rFonts w:hint="eastAsia" w:eastAsia="仿宋"/>
          <w:color w:val="000000"/>
          <w:sz w:val="24"/>
          <w:highlight w:val="none"/>
        </w:rPr>
        <w:t>招标</w:t>
      </w:r>
      <w:r>
        <w:rPr>
          <w:rFonts w:eastAsia="仿宋"/>
          <w:color w:val="000000"/>
          <w:sz w:val="24"/>
          <w:highlight w:val="none"/>
        </w:rPr>
        <w:t>文件的，可以对</w:t>
      </w:r>
      <w:r>
        <w:rPr>
          <w:rFonts w:hint="eastAsia" w:eastAsia="仿宋"/>
          <w:color w:val="000000"/>
          <w:sz w:val="24"/>
          <w:highlight w:val="none"/>
        </w:rPr>
        <w:t>招标</w:t>
      </w:r>
      <w:r>
        <w:rPr>
          <w:rFonts w:eastAsia="仿宋"/>
          <w:color w:val="000000"/>
          <w:sz w:val="24"/>
          <w:highlight w:val="none"/>
        </w:rPr>
        <w:t>文件提出</w:t>
      </w:r>
      <w:r>
        <w:rPr>
          <w:rFonts w:hint="eastAsia" w:eastAsia="仿宋"/>
          <w:color w:val="000000"/>
          <w:sz w:val="24"/>
          <w:highlight w:val="none"/>
        </w:rPr>
        <w:t>质疑</w:t>
      </w:r>
      <w:r>
        <w:rPr>
          <w:rFonts w:eastAsia="仿宋"/>
          <w:color w:val="000000"/>
          <w:sz w:val="24"/>
          <w:highlight w:val="none"/>
        </w:rPr>
        <w:t>。</w:t>
      </w:r>
    </w:p>
    <w:p w14:paraId="3DEDBEAE">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9.2.7 质疑材料存在以下情形的，采购人、采购代理机构不予受理。</w:t>
      </w:r>
    </w:p>
    <w:p w14:paraId="40DE56E4">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（1）提起质疑的主体不是参与该政府采购项目活动的供应商；</w:t>
      </w:r>
    </w:p>
    <w:p w14:paraId="53BE7376">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（2）提起质疑的时间超过规定时限的；</w:t>
      </w:r>
    </w:p>
    <w:p w14:paraId="6F667AC9">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（3）质疑材料不完整的；</w:t>
      </w:r>
    </w:p>
    <w:p w14:paraId="54095AB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（4）质疑事项含有主观猜测等内容且未提供充分有效线索、难以查证的；</w:t>
      </w:r>
    </w:p>
    <w:p w14:paraId="5721118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（5）质疑</w:t>
      </w:r>
      <w:r>
        <w:rPr>
          <w:rFonts w:ascii="宋体" w:hAnsi="宋体" w:eastAsia="仿宋"/>
          <w:color w:val="000000"/>
          <w:sz w:val="24"/>
          <w:highlight w:val="none"/>
        </w:rPr>
        <w:t>事项缺乏事实依据，</w:t>
      </w:r>
      <w:r>
        <w:rPr>
          <w:rFonts w:hint="eastAsia" w:ascii="宋体" w:hAnsi="宋体" w:eastAsia="仿宋"/>
          <w:color w:val="000000"/>
          <w:sz w:val="24"/>
          <w:highlight w:val="none"/>
        </w:rPr>
        <w:t>质疑</w:t>
      </w:r>
      <w:r>
        <w:rPr>
          <w:rFonts w:ascii="宋体" w:hAnsi="宋体" w:eastAsia="仿宋"/>
          <w:color w:val="000000"/>
          <w:sz w:val="24"/>
          <w:highlight w:val="none"/>
        </w:rPr>
        <w:t>事项不成立</w:t>
      </w:r>
      <w:r>
        <w:rPr>
          <w:rFonts w:hint="eastAsia" w:ascii="宋体" w:hAnsi="宋体" w:eastAsia="仿宋"/>
          <w:color w:val="000000"/>
          <w:sz w:val="24"/>
          <w:highlight w:val="none"/>
        </w:rPr>
        <w:t>的；</w:t>
      </w:r>
    </w:p>
    <w:p w14:paraId="44C4C05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（6）</w:t>
      </w:r>
      <w:r>
        <w:rPr>
          <w:rFonts w:ascii="宋体" w:hAnsi="宋体" w:eastAsia="仿宋"/>
          <w:color w:val="000000"/>
          <w:sz w:val="24"/>
          <w:highlight w:val="none"/>
        </w:rPr>
        <w:t>捏造事实或者提供虚假材料；</w:t>
      </w:r>
    </w:p>
    <w:p w14:paraId="4DEA557A">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（7）</w:t>
      </w:r>
      <w:r>
        <w:rPr>
          <w:rFonts w:ascii="宋体" w:hAnsi="宋体" w:eastAsia="仿宋"/>
          <w:color w:val="000000"/>
          <w:sz w:val="24"/>
          <w:highlight w:val="none"/>
        </w:rPr>
        <w:t>以非法手段取得证明材料。</w:t>
      </w:r>
      <w:r>
        <w:rPr>
          <w:rFonts w:hint="eastAsia" w:ascii="宋体" w:hAnsi="宋体" w:eastAsia="仿宋"/>
          <w:color w:val="000000"/>
          <w:sz w:val="24"/>
          <w:highlight w:val="none"/>
        </w:rPr>
        <w:t>证明材料</w:t>
      </w:r>
      <w:r>
        <w:rPr>
          <w:rFonts w:ascii="宋体" w:hAnsi="宋体" w:eastAsia="仿宋"/>
          <w:color w:val="000000"/>
          <w:sz w:val="24"/>
          <w:highlight w:val="none"/>
        </w:rPr>
        <w:t>来源的合法性存在明显疑问，</w:t>
      </w:r>
      <w:r>
        <w:rPr>
          <w:rFonts w:hint="eastAsia" w:ascii="宋体" w:hAnsi="宋体" w:eastAsia="仿宋"/>
          <w:color w:val="000000"/>
          <w:sz w:val="24"/>
          <w:highlight w:val="none"/>
        </w:rPr>
        <w:t>质疑</w:t>
      </w:r>
      <w:r>
        <w:rPr>
          <w:rFonts w:ascii="宋体" w:hAnsi="宋体" w:eastAsia="仿宋"/>
          <w:color w:val="000000"/>
          <w:sz w:val="24"/>
          <w:highlight w:val="none"/>
        </w:rPr>
        <w:t>人无法证明其取得方式合法的，视为以非法手段取得证明材料</w:t>
      </w:r>
      <w:r>
        <w:rPr>
          <w:rFonts w:hint="eastAsia" w:ascii="宋体" w:hAnsi="宋体" w:eastAsia="仿宋"/>
          <w:color w:val="000000"/>
          <w:sz w:val="24"/>
          <w:highlight w:val="none"/>
        </w:rPr>
        <w:t>；</w:t>
      </w:r>
    </w:p>
    <w:p w14:paraId="4A03795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（8）对其他投标人的投标文件详细内容质疑，无法提供合法来源渠道的。</w:t>
      </w:r>
    </w:p>
    <w:p w14:paraId="306FDE40">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9.2.8 质疑人在答复期满前撤回质疑的，应由法定代表人或授权代表人签字确认。质疑人不得以同一理由再次提出质疑。</w:t>
      </w:r>
    </w:p>
    <w:p w14:paraId="0A82026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9.2.9 因处理质疑发生的检验、检测、鉴定等费用，</w:t>
      </w:r>
      <w:r>
        <w:rPr>
          <w:rFonts w:ascii="宋体" w:hAnsi="宋体" w:eastAsia="仿宋"/>
          <w:color w:val="000000"/>
          <w:sz w:val="24"/>
          <w:highlight w:val="none"/>
        </w:rPr>
        <w:t>由提出申请的</w:t>
      </w:r>
      <w:r>
        <w:rPr>
          <w:rFonts w:hint="eastAsia" w:ascii="宋体" w:hAnsi="宋体" w:eastAsia="仿宋"/>
          <w:color w:val="000000"/>
          <w:sz w:val="24"/>
          <w:highlight w:val="none"/>
        </w:rPr>
        <w:t>投标人</w:t>
      </w:r>
      <w:r>
        <w:rPr>
          <w:rFonts w:ascii="宋体" w:hAnsi="宋体" w:eastAsia="仿宋"/>
          <w:color w:val="000000"/>
          <w:sz w:val="24"/>
          <w:highlight w:val="none"/>
        </w:rPr>
        <w:t>先行垫付。</w:t>
      </w:r>
      <w:r>
        <w:rPr>
          <w:rFonts w:hint="eastAsia" w:ascii="宋体" w:hAnsi="宋体" w:eastAsia="仿宋"/>
          <w:color w:val="000000"/>
          <w:sz w:val="24"/>
          <w:highlight w:val="none"/>
        </w:rPr>
        <w:t>质疑处理决定各方无异议</w:t>
      </w:r>
      <w:r>
        <w:rPr>
          <w:rFonts w:ascii="宋体" w:hAnsi="宋体" w:eastAsia="仿宋"/>
          <w:color w:val="000000"/>
          <w:sz w:val="24"/>
          <w:highlight w:val="none"/>
        </w:rPr>
        <w:t>后，按照</w:t>
      </w:r>
      <w:r>
        <w:rPr>
          <w:rFonts w:hint="eastAsia" w:ascii="宋体" w:hAnsi="宋体" w:eastAsia="仿宋"/>
          <w:color w:val="000000"/>
          <w:sz w:val="24"/>
          <w:highlight w:val="none"/>
        </w:rPr>
        <w:t>“</w:t>
      </w:r>
      <w:r>
        <w:rPr>
          <w:rFonts w:ascii="宋体" w:hAnsi="宋体" w:eastAsia="仿宋"/>
          <w:color w:val="000000"/>
          <w:sz w:val="24"/>
          <w:highlight w:val="none"/>
        </w:rPr>
        <w:t>谁过错谁负担</w:t>
      </w:r>
      <w:r>
        <w:rPr>
          <w:rFonts w:hint="eastAsia" w:ascii="宋体" w:hAnsi="宋体" w:eastAsia="仿宋"/>
          <w:color w:val="000000"/>
          <w:sz w:val="24"/>
          <w:highlight w:val="none"/>
        </w:rPr>
        <w:t>”</w:t>
      </w:r>
      <w:r>
        <w:rPr>
          <w:rFonts w:ascii="宋体" w:hAnsi="宋体" w:eastAsia="仿宋"/>
          <w:color w:val="000000"/>
          <w:sz w:val="24"/>
          <w:highlight w:val="none"/>
        </w:rPr>
        <w:t>的原则由承担责任的一方负担；双方都有责任的，由双方合理分担。</w:t>
      </w:r>
    </w:p>
    <w:p w14:paraId="02CCE51C">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9.2.10 投标人不得以质疑为名进行虚假、恶意质疑，扰乱政府采购正常的工作秩序。投标人有下列情形之一的，属于虚假、恶意质疑，被质疑人应当驳回质疑，并向同级政府采购监督管理部门报告，将其列入不良行为记录名单，并依法予以处罚：</w:t>
      </w:r>
    </w:p>
    <w:p w14:paraId="058D4AEB">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（1）一年内三次以上投诉均查无实据的；</w:t>
      </w:r>
    </w:p>
    <w:p w14:paraId="12CD60C8">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（2）捏造事实或者提供虚假质疑材料的；</w:t>
      </w:r>
    </w:p>
    <w:p w14:paraId="40C76FD7">
      <w:pPr>
        <w:widowControl/>
        <w:adjustRightInd w:val="0"/>
        <w:snapToGrid w:val="0"/>
        <w:spacing w:line="360" w:lineRule="auto"/>
        <w:ind w:firstLine="480" w:firstLineChars="200"/>
        <w:rPr>
          <w:rFonts w:hint="eastAsia" w:eastAsia="仿宋"/>
          <w:color w:val="000000"/>
          <w:sz w:val="24"/>
          <w:highlight w:val="none"/>
        </w:rPr>
      </w:pPr>
      <w:r>
        <w:rPr>
          <w:rFonts w:hint="eastAsia" w:ascii="宋体" w:hAnsi="宋体" w:eastAsia="仿宋"/>
          <w:color w:val="000000"/>
          <w:sz w:val="24"/>
          <w:highlight w:val="none"/>
        </w:rPr>
        <w:t>（3）</w:t>
      </w:r>
      <w:r>
        <w:rPr>
          <w:rFonts w:ascii="宋体" w:hAnsi="宋体" w:eastAsia="仿宋"/>
          <w:color w:val="000000"/>
          <w:sz w:val="24"/>
          <w:highlight w:val="none"/>
        </w:rPr>
        <w:t>以非法手段取</w:t>
      </w:r>
      <w:r>
        <w:rPr>
          <w:rFonts w:eastAsia="仿宋"/>
          <w:color w:val="000000"/>
          <w:sz w:val="24"/>
          <w:highlight w:val="none"/>
        </w:rPr>
        <w:t>得证明材料。</w:t>
      </w:r>
      <w:r>
        <w:rPr>
          <w:rFonts w:hint="eastAsia" w:eastAsia="仿宋"/>
          <w:color w:val="000000"/>
          <w:sz w:val="24"/>
          <w:highlight w:val="none"/>
        </w:rPr>
        <w:t>证明材料</w:t>
      </w:r>
      <w:r>
        <w:rPr>
          <w:rFonts w:eastAsia="仿宋"/>
          <w:color w:val="000000"/>
          <w:sz w:val="24"/>
          <w:highlight w:val="none"/>
        </w:rPr>
        <w:t>来源的合法性存在明显疑问，</w:t>
      </w:r>
      <w:r>
        <w:rPr>
          <w:rFonts w:hint="eastAsia" w:eastAsia="仿宋"/>
          <w:color w:val="000000"/>
          <w:sz w:val="24"/>
          <w:highlight w:val="none"/>
        </w:rPr>
        <w:t>质疑</w:t>
      </w:r>
      <w:r>
        <w:rPr>
          <w:rFonts w:eastAsia="仿宋"/>
          <w:color w:val="000000"/>
          <w:sz w:val="24"/>
          <w:highlight w:val="none"/>
        </w:rPr>
        <w:t>人无法证明其取得方式</w:t>
      </w:r>
      <w:r>
        <w:rPr>
          <w:rFonts w:ascii="宋体" w:hAnsi="宋体" w:eastAsia="仿宋"/>
          <w:color w:val="000000"/>
          <w:sz w:val="24"/>
          <w:highlight w:val="none"/>
        </w:rPr>
        <w:t>合法的，视为以非法手段取得证明材料</w:t>
      </w:r>
      <w:r>
        <w:rPr>
          <w:rFonts w:hint="eastAsia" w:ascii="宋体" w:hAnsi="宋体" w:eastAsia="仿宋"/>
          <w:color w:val="000000"/>
          <w:sz w:val="24"/>
          <w:highlight w:val="none"/>
        </w:rPr>
        <w:t>。</w:t>
      </w:r>
    </w:p>
    <w:p w14:paraId="365E933C">
      <w:pPr>
        <w:pStyle w:val="3"/>
        <w:rPr>
          <w:rStyle w:val="106"/>
          <w:rFonts w:hint="eastAsia" w:ascii="宋体" w:hAnsi="宋体" w:eastAsia="仿宋"/>
          <w:b/>
          <w:bCs/>
          <w:color w:val="000000"/>
          <w:sz w:val="24"/>
          <w:szCs w:val="24"/>
          <w:highlight w:val="none"/>
        </w:rPr>
      </w:pPr>
      <w:r>
        <w:rPr>
          <w:rStyle w:val="106"/>
          <w:rFonts w:hint="eastAsia" w:ascii="宋体" w:hAnsi="宋体" w:eastAsia="仿宋"/>
          <w:b/>
          <w:bCs/>
          <w:color w:val="000000"/>
          <w:sz w:val="24"/>
          <w:szCs w:val="24"/>
          <w:highlight w:val="none"/>
        </w:rPr>
        <w:t>10. 纪律和监督</w:t>
      </w:r>
      <w:bookmarkEnd w:id="680"/>
      <w:bookmarkEnd w:id="681"/>
      <w:bookmarkEnd w:id="682"/>
      <w:bookmarkEnd w:id="683"/>
      <w:bookmarkEnd w:id="684"/>
    </w:p>
    <w:p w14:paraId="15D32E79">
      <w:pPr>
        <w:pStyle w:val="4"/>
        <w:adjustRightInd w:val="0"/>
        <w:ind w:firstLine="482" w:firstLineChars="200"/>
        <w:rPr>
          <w:rFonts w:eastAsia="仿宋"/>
          <w:color w:val="000000"/>
          <w:sz w:val="24"/>
          <w:highlight w:val="none"/>
          <w:lang w:eastAsia="zh-CN"/>
        </w:rPr>
      </w:pPr>
      <w:bookmarkStart w:id="685" w:name="_Toc152045575"/>
      <w:bookmarkStart w:id="686" w:name="_Toc338943746"/>
      <w:bookmarkStart w:id="687" w:name="_Toc333587899"/>
      <w:bookmarkStart w:id="688" w:name="_Toc455587080"/>
      <w:bookmarkStart w:id="689" w:name="_Toc338944651"/>
      <w:bookmarkStart w:id="690" w:name="_Toc333600729"/>
      <w:bookmarkStart w:id="691" w:name="_Toc144974543"/>
      <w:bookmarkStart w:id="692" w:name="_Toc333599705"/>
      <w:bookmarkStart w:id="693" w:name="_Toc455587264"/>
      <w:bookmarkStart w:id="694" w:name="_Toc371415965"/>
      <w:bookmarkStart w:id="695" w:name="_Toc445554738"/>
      <w:bookmarkStart w:id="696" w:name="_Toc179632593"/>
      <w:bookmarkStart w:id="697" w:name="_Toc458504865"/>
      <w:bookmarkStart w:id="698" w:name="_Toc342297665"/>
      <w:bookmarkStart w:id="699" w:name="_Toc466024547"/>
      <w:bookmarkStart w:id="700" w:name="_Toc342296208"/>
      <w:bookmarkStart w:id="701" w:name="_Toc152042351"/>
      <w:bookmarkStart w:id="702" w:name="_Toc342294760"/>
      <w:r>
        <w:rPr>
          <w:rFonts w:hint="eastAsia" w:eastAsia="仿宋"/>
          <w:color w:val="000000"/>
          <w:sz w:val="24"/>
          <w:highlight w:val="none"/>
          <w:lang w:eastAsia="zh-CN"/>
        </w:rPr>
        <w:t>10.1 对采购人的纪律要求</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76BCCE19">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采购人不得泄露招标投标活动中应当保密的情况和资料，不得与投标人串通损害国家利益、社会公共利益或者他人合法权益。</w:t>
      </w:r>
    </w:p>
    <w:p w14:paraId="47D90AE1">
      <w:pPr>
        <w:pStyle w:val="4"/>
        <w:adjustRightInd w:val="0"/>
        <w:ind w:firstLine="482" w:firstLineChars="200"/>
        <w:rPr>
          <w:rFonts w:eastAsia="仿宋"/>
          <w:color w:val="000000"/>
          <w:sz w:val="24"/>
          <w:highlight w:val="none"/>
          <w:lang w:eastAsia="zh-CN"/>
        </w:rPr>
      </w:pPr>
      <w:bookmarkStart w:id="703" w:name="_Toc152042352"/>
      <w:bookmarkStart w:id="704" w:name="_Toc455587081"/>
      <w:bookmarkStart w:id="705" w:name="_Toc342296209"/>
      <w:bookmarkStart w:id="706" w:name="_Toc371415966"/>
      <w:bookmarkStart w:id="707" w:name="_Toc144974544"/>
      <w:bookmarkStart w:id="708" w:name="_Toc333599706"/>
      <w:bookmarkStart w:id="709" w:name="_Toc458504866"/>
      <w:bookmarkStart w:id="710" w:name="_Toc342297666"/>
      <w:bookmarkStart w:id="711" w:name="_Toc342294761"/>
      <w:bookmarkStart w:id="712" w:name="_Toc333600730"/>
      <w:bookmarkStart w:id="713" w:name="_Toc466024548"/>
      <w:bookmarkStart w:id="714" w:name="_Toc455587265"/>
      <w:bookmarkStart w:id="715" w:name="_Toc338944652"/>
      <w:bookmarkStart w:id="716" w:name="_Toc338943747"/>
      <w:bookmarkStart w:id="717" w:name="_Toc445554739"/>
      <w:bookmarkStart w:id="718" w:name="_Toc333587900"/>
      <w:bookmarkStart w:id="719" w:name="_Toc179632594"/>
      <w:bookmarkStart w:id="720" w:name="_Toc152045576"/>
      <w:r>
        <w:rPr>
          <w:rFonts w:hint="eastAsia" w:eastAsia="仿宋"/>
          <w:color w:val="000000"/>
          <w:sz w:val="24"/>
          <w:highlight w:val="none"/>
          <w:lang w:eastAsia="zh-CN"/>
        </w:rPr>
        <w:t>10.2 对投标人的纪律要求</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p>
    <w:p w14:paraId="7D2561F0">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56D97A05">
      <w:pPr>
        <w:pStyle w:val="3"/>
        <w:rPr>
          <w:rStyle w:val="106"/>
          <w:rFonts w:hint="eastAsia" w:ascii="宋体" w:hAnsi="宋体" w:eastAsia="仿宋"/>
          <w:b/>
          <w:bCs/>
          <w:color w:val="000000"/>
          <w:sz w:val="24"/>
          <w:szCs w:val="24"/>
          <w:highlight w:val="none"/>
        </w:rPr>
      </w:pPr>
      <w:bookmarkStart w:id="721" w:name="_Toc342297670"/>
      <w:bookmarkStart w:id="722" w:name="_Toc455587269"/>
      <w:bookmarkStart w:id="723" w:name="_Toc458504870"/>
      <w:bookmarkStart w:id="724" w:name="_Toc152042357"/>
      <w:bookmarkStart w:id="725" w:name="_Toc338943751"/>
      <w:bookmarkStart w:id="726" w:name="_Toc338944656"/>
      <w:bookmarkStart w:id="727" w:name="_Toc333600734"/>
      <w:bookmarkStart w:id="728" w:name="_Toc466024552"/>
      <w:bookmarkStart w:id="729" w:name="_Toc179632598"/>
      <w:bookmarkStart w:id="730" w:name="_Toc342294765"/>
      <w:bookmarkStart w:id="731" w:name="_Toc152045580"/>
      <w:bookmarkStart w:id="732" w:name="_Toc333599710"/>
      <w:bookmarkStart w:id="733" w:name="_Toc144974547"/>
      <w:bookmarkStart w:id="734" w:name="_Toc342296213"/>
      <w:bookmarkStart w:id="735" w:name="_Toc455587085"/>
      <w:bookmarkStart w:id="736" w:name="_Toc371415963"/>
      <w:bookmarkStart w:id="737" w:name="_Toc445554743"/>
      <w:r>
        <w:rPr>
          <w:rStyle w:val="106"/>
          <w:rFonts w:hint="eastAsia" w:ascii="宋体" w:hAnsi="宋体" w:eastAsia="仿宋"/>
          <w:b/>
          <w:bCs/>
          <w:color w:val="000000"/>
          <w:sz w:val="24"/>
          <w:szCs w:val="24"/>
          <w:highlight w:val="none"/>
        </w:rPr>
        <w:t>11. 政府采购政策</w:t>
      </w:r>
    </w:p>
    <w:p w14:paraId="26D56E18">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11.1 节能与环保</w:t>
      </w:r>
    </w:p>
    <w:p w14:paraId="461E4614">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11.1.1 采购标的在《关于印发节能产品政府采购品目清单的通知》（财库〔2019〕19号）清单内的，应当实行强制采购或优先采购。投标人所投产品如不具备国家确定的认证机构出具的、处于有效期内的节字标志认证证书，其投标将被认定为投标无效（产品属于强制采购）或不具有优先采购的条件（产品属于优先采购）。本次招标实行政府强制采购的节能产品详见投标人须知前附表。</w:t>
      </w:r>
    </w:p>
    <w:p w14:paraId="0F858D38">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11.1.2 采购标的在《关于印发环境标志产品政府采购品目清单的通知》（财库〔2019〕18号）清单内的，应当实行优先采购。投标人所投产品如不具备国家确定的认证机构出具的、处于有效期内的环境标志产品认证证书，其投标不具有优先采购的条件。</w:t>
      </w:r>
    </w:p>
    <w:p w14:paraId="23EB837F">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11.2 促进中小企业发展</w:t>
      </w:r>
    </w:p>
    <w:p w14:paraId="2852CC9B">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11.2.1根据《政府采购促进中小企业发展管理办法》（财库〔2020〕46号）规定，投标人提供的货物、工程或者服务符合下列情形的，享受本条规定的中小企业扶持政策：</w:t>
      </w:r>
    </w:p>
    <w:p w14:paraId="49B1E85F">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（1）在货物采购项目中，货物由中小企业制造，即货物由中小企业生产且使用该中小企业商号或者注册商标；</w:t>
      </w:r>
    </w:p>
    <w:p w14:paraId="376A6DBB">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（2）在工程采购项目中，工程由中小企业承建，即工程施工单位为中小企业；</w:t>
      </w:r>
    </w:p>
    <w:p w14:paraId="2D603122">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（3）在服务采购项目中，服务由中小企业承接，即提供服务的人员为中小企业依照《中华人民共和国劳动合同法》订立劳动合同的从业人员。</w:t>
      </w:r>
    </w:p>
    <w:p w14:paraId="06C634D5">
      <w:pPr>
        <w:widowControl/>
        <w:adjustRightInd w:val="0"/>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在货物采购项目中，供应商提供的货物既有中小企业制造货物，也有大型企业制造货物的，不享受本条规定的中小企业扶持政策。</w:t>
      </w:r>
    </w:p>
    <w:p w14:paraId="01504855">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以联合体形式参加政府采购活动（如接受联合体投标时），联合体各方均为中小企业的，联合体视同中小企业。其中，联合体各方均为小微企业的，联合体视同小微企业。</w:t>
      </w:r>
    </w:p>
    <w:p w14:paraId="640D0190">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中小企业应当在投标文件中提供招标文件规定格式的《中小企业声明函》，并对其真实性负责。</w:t>
      </w:r>
    </w:p>
    <w:p w14:paraId="5973AB74">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中小企业划型标准见工信部联企业〔2011〕300号文件。</w:t>
      </w:r>
    </w:p>
    <w:p w14:paraId="73EBDD7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11.2.2投标人须知前附表第1.1.7项规定本项目属于专门面向中小企业（含中型、小型、微型企业，下同）采购的，投标人应符合本章第11.2.1项规定外，还应符合本项目的资格要求。</w:t>
      </w:r>
    </w:p>
    <w:p w14:paraId="4F226458">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11.2.3</w:t>
      </w:r>
      <w:r>
        <w:rPr>
          <w:rFonts w:hint="eastAsia" w:ascii="宋体" w:hAnsi="宋体" w:eastAsia="仿宋"/>
          <w:color w:val="000000"/>
          <w:sz w:val="24"/>
          <w:highlight w:val="none"/>
        </w:rPr>
        <w:t>投标人须知前附表第1.1.7项规定</w:t>
      </w:r>
      <w:r>
        <w:rPr>
          <w:rFonts w:hint="eastAsia" w:ascii="宋体" w:hAnsi="宋体" w:eastAsia="仿宋"/>
          <w:color w:val="000000"/>
          <w:sz w:val="24"/>
          <w:highlight w:val="none"/>
          <w:lang w:bidi="en-US"/>
        </w:rPr>
        <w:t>本项目属于未预留份额专门面向中小企业采购的采购项目，以及预留份额项目中的非预留部分采购时，对小微企业的投标报价按照投标人须知前附表规定的比例给予扣除；</w:t>
      </w:r>
      <w:r>
        <w:rPr>
          <w:rFonts w:hint="eastAsia" w:ascii="宋体" w:hAnsi="宋体" w:eastAsia="仿宋"/>
          <w:color w:val="000000"/>
          <w:sz w:val="24"/>
          <w:highlight w:val="none"/>
        </w:rPr>
        <w:t>接受大中型企业与小微企业组成联合体或者允许大中型企业向一家或者多家小微企业分包的，对于联合协议或者分包意向协议约定小微企业的合同份额占到合同总金额30%以上的，对联合体或者大中型企业的报价按照投标人须知前附表规定的比例给予报价扣除。用扣除后的价格参加评审。组成联合体或者接受分包的小微企业与联合体内其他企业、分包企业之间存在直接控股、管理关系的，不享受价格扣除优惠政策。</w:t>
      </w:r>
    </w:p>
    <w:p w14:paraId="6E0DFB4A">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11.2.4 根据《关于政府采购支持监狱企业发展有关问题的通知》(财库〔2014〕68号)，监狱企业视同小型、微型企业。监狱企业参加政府采购活动时，提供由省级以上监狱管理局、戒毒管理局(含新疆生产建设兵团)出具的属于监狱企业的证明文件，无需提供《中小企业声明函》。</w:t>
      </w:r>
    </w:p>
    <w:p w14:paraId="26D23946">
      <w:pPr>
        <w:widowControl/>
        <w:adjustRightInd w:val="0"/>
        <w:snapToGrid w:val="0"/>
        <w:spacing w:line="360" w:lineRule="auto"/>
        <w:ind w:firstLine="480" w:firstLineChars="200"/>
        <w:rPr>
          <w:rFonts w:hint="eastAsia" w:ascii="宋体" w:hAnsi="宋体" w:eastAsia="仿宋"/>
          <w:color w:val="000000"/>
          <w:sz w:val="24"/>
          <w:highlight w:val="none"/>
          <w:lang w:bidi="en-US"/>
        </w:rPr>
      </w:pPr>
      <w:r>
        <w:rPr>
          <w:rFonts w:hint="eastAsia" w:ascii="宋体" w:hAnsi="宋体" w:eastAsia="仿宋"/>
          <w:color w:val="000000"/>
          <w:sz w:val="24"/>
          <w:highlight w:val="none"/>
          <w:lang w:bidi="en-US"/>
        </w:rPr>
        <w:t>11.2.5 按照《财政部 民政部 中国残疾人联合会关于促进残疾人就业政府采购政策的通知》（财库〔2017〕141号）的规定，在</w:t>
      </w:r>
      <w:r>
        <w:rPr>
          <w:rFonts w:hint="eastAsia" w:ascii="宋体" w:hAnsi="宋体" w:eastAsia="仿宋"/>
          <w:color w:val="000000"/>
          <w:sz w:val="24"/>
          <w:highlight w:val="none"/>
        </w:rPr>
        <w:t>政府</w:t>
      </w:r>
      <w:r>
        <w:rPr>
          <w:rFonts w:hint="eastAsia" w:ascii="宋体" w:hAnsi="宋体" w:eastAsia="仿宋"/>
          <w:color w:val="000000"/>
          <w:sz w:val="24"/>
          <w:highlight w:val="none"/>
          <w:lang w:bidi="en-US"/>
        </w:rPr>
        <w:t>采购活动中，符合条件的残疾人福利性单位视同小型、微型企业，享受评审价格扣除的政府采购政策。符合条件的残疾人福利性单位在参加政府采购活动时，应当提供招标文件规定格式的《残疾人福利性单位声明函》，无需提供《中小企业声明函》。</w:t>
      </w:r>
    </w:p>
    <w:p w14:paraId="082F1812">
      <w:pPr>
        <w:widowControl/>
        <w:adjustRightInd w:val="0"/>
        <w:snapToGrid w:val="0"/>
        <w:spacing w:line="360" w:lineRule="auto"/>
        <w:ind w:firstLine="480" w:firstLineChars="200"/>
        <w:rPr>
          <w:rFonts w:ascii="宋体" w:hAnsi="宋体" w:eastAsia="仿宋"/>
          <w:color w:val="000000"/>
          <w:sz w:val="24"/>
          <w:highlight w:val="none"/>
          <w:lang w:bidi="en-US"/>
        </w:rPr>
      </w:pPr>
      <w:r>
        <w:rPr>
          <w:rFonts w:hint="eastAsia" w:ascii="宋体" w:hAnsi="宋体" w:eastAsia="仿宋"/>
          <w:color w:val="000000"/>
          <w:sz w:val="24"/>
          <w:highlight w:val="none"/>
          <w:lang w:bidi="en-US"/>
        </w:rPr>
        <w:t>11.2.6 监狱企业、残疾人福利性单位属于小微企业的，不重复享受中小企业价格评审优惠政策。</w:t>
      </w:r>
    </w:p>
    <w:p w14:paraId="4DC7154E">
      <w:pPr>
        <w:widowControl/>
        <w:adjustRightInd w:val="0"/>
        <w:snapToGrid w:val="0"/>
        <w:spacing w:line="360" w:lineRule="auto"/>
        <w:ind w:firstLine="482" w:firstLineChars="200"/>
        <w:outlineLvl w:val="2"/>
        <w:rPr>
          <w:rFonts w:hint="eastAsia" w:ascii="宋体" w:hAnsi="宋体" w:eastAsia="仿宋"/>
          <w:b/>
          <w:bCs/>
          <w:color w:val="000000"/>
          <w:kern w:val="0"/>
          <w:sz w:val="24"/>
          <w:highlight w:val="none"/>
          <w:lang w:bidi="en-US"/>
        </w:rPr>
      </w:pPr>
      <w:r>
        <w:rPr>
          <w:rFonts w:hint="eastAsia" w:ascii="宋体" w:hAnsi="宋体" w:eastAsia="仿宋"/>
          <w:b/>
          <w:bCs/>
          <w:color w:val="000000"/>
          <w:kern w:val="0"/>
          <w:sz w:val="24"/>
          <w:highlight w:val="none"/>
          <w:lang w:bidi="en-US"/>
        </w:rPr>
        <w:t>11.3 采购本国货物、工程和服务</w:t>
      </w:r>
    </w:p>
    <w:p w14:paraId="0DF20C2F">
      <w:pPr>
        <w:widowControl/>
        <w:adjustRightInd w:val="0"/>
        <w:snapToGrid w:val="0"/>
        <w:spacing w:line="360" w:lineRule="auto"/>
        <w:ind w:firstLine="480" w:firstLineChars="200"/>
        <w:rPr>
          <w:rFonts w:ascii="宋体" w:hAnsi="宋体" w:eastAsia="仿宋"/>
          <w:color w:val="000000"/>
          <w:sz w:val="24"/>
          <w:highlight w:val="none"/>
          <w:lang w:bidi="en-US"/>
        </w:rPr>
      </w:pPr>
      <w:r>
        <w:rPr>
          <w:rFonts w:hint="eastAsia" w:ascii="宋体" w:hAnsi="宋体" w:eastAsia="仿宋"/>
          <w:color w:val="000000"/>
          <w:sz w:val="24"/>
          <w:highlight w:val="none"/>
          <w:lang w:bidi="en-US"/>
        </w:rPr>
        <w:t>11</w:t>
      </w:r>
      <w:r>
        <w:rPr>
          <w:rFonts w:ascii="宋体" w:hAnsi="宋体" w:eastAsia="仿宋"/>
          <w:color w:val="000000"/>
          <w:sz w:val="24"/>
          <w:highlight w:val="none"/>
          <w:lang w:bidi="en-US"/>
        </w:rPr>
        <w:t>.</w:t>
      </w:r>
      <w:r>
        <w:rPr>
          <w:rFonts w:hint="eastAsia" w:ascii="宋体" w:hAnsi="宋体" w:eastAsia="仿宋"/>
          <w:color w:val="000000"/>
          <w:sz w:val="24"/>
          <w:highlight w:val="none"/>
          <w:lang w:bidi="en-US"/>
        </w:rPr>
        <w:t>3</w:t>
      </w:r>
      <w:r>
        <w:rPr>
          <w:rFonts w:ascii="宋体" w:hAnsi="宋体" w:eastAsia="仿宋"/>
          <w:color w:val="000000"/>
          <w:sz w:val="24"/>
          <w:highlight w:val="none"/>
          <w:lang w:bidi="en-US"/>
        </w:rPr>
        <w:t>.1 政府采购应当采购本国货物、工程和服务。但有《中华人民共和国政府采购法》第十条规定情形的除外。</w:t>
      </w:r>
    </w:p>
    <w:p w14:paraId="2EF54D03">
      <w:pPr>
        <w:widowControl/>
        <w:adjustRightInd w:val="0"/>
        <w:snapToGrid w:val="0"/>
        <w:spacing w:line="360" w:lineRule="auto"/>
        <w:ind w:firstLine="480" w:firstLineChars="200"/>
        <w:rPr>
          <w:rFonts w:ascii="宋体" w:hAnsi="宋体" w:eastAsia="仿宋"/>
          <w:color w:val="000000"/>
          <w:sz w:val="24"/>
          <w:highlight w:val="none"/>
          <w:lang w:bidi="en-US"/>
        </w:rPr>
      </w:pPr>
      <w:r>
        <w:rPr>
          <w:rFonts w:hint="eastAsia" w:ascii="宋体" w:hAnsi="宋体" w:eastAsia="仿宋"/>
          <w:color w:val="000000"/>
          <w:sz w:val="24"/>
          <w:highlight w:val="none"/>
          <w:lang w:bidi="en-US"/>
        </w:rPr>
        <w:t>11</w:t>
      </w:r>
      <w:r>
        <w:rPr>
          <w:rFonts w:ascii="宋体" w:hAnsi="宋体" w:eastAsia="仿宋"/>
          <w:color w:val="000000"/>
          <w:sz w:val="24"/>
          <w:highlight w:val="none"/>
          <w:lang w:bidi="en-US"/>
        </w:rPr>
        <w:t>.</w:t>
      </w:r>
      <w:r>
        <w:rPr>
          <w:rFonts w:hint="eastAsia" w:ascii="宋体" w:hAnsi="宋体" w:eastAsia="仿宋"/>
          <w:color w:val="000000"/>
          <w:sz w:val="24"/>
          <w:highlight w:val="none"/>
          <w:lang w:bidi="en-US"/>
        </w:rPr>
        <w:t>3</w:t>
      </w:r>
      <w:r>
        <w:rPr>
          <w:rFonts w:ascii="宋体" w:hAnsi="宋体" w:eastAsia="仿宋"/>
          <w:color w:val="000000"/>
          <w:sz w:val="24"/>
          <w:highlight w:val="none"/>
          <w:lang w:bidi="en-US"/>
        </w:rPr>
        <w:t>.2 本项目进口产品采购情况见投标人须知前附表。本项目如接受非本国货物、工程、服务参与投标，则具体要求见第</w:t>
      </w:r>
      <w:r>
        <w:rPr>
          <w:rFonts w:hint="eastAsia" w:ascii="宋体" w:hAnsi="宋体" w:eastAsia="仿宋"/>
          <w:color w:val="000000"/>
          <w:sz w:val="24"/>
          <w:highlight w:val="none"/>
          <w:lang w:bidi="en-US"/>
        </w:rPr>
        <w:t>三</w:t>
      </w:r>
      <w:r>
        <w:rPr>
          <w:rFonts w:ascii="宋体" w:hAnsi="宋体" w:eastAsia="仿宋"/>
          <w:color w:val="000000"/>
          <w:sz w:val="24"/>
          <w:highlight w:val="none"/>
          <w:lang w:bidi="en-US"/>
        </w:rPr>
        <w:t>章《采购需求》。</w:t>
      </w:r>
    </w:p>
    <w:p w14:paraId="18BC92FA">
      <w:pPr>
        <w:widowControl/>
        <w:adjustRightInd w:val="0"/>
        <w:snapToGrid w:val="0"/>
        <w:spacing w:line="360" w:lineRule="auto"/>
        <w:ind w:firstLine="480" w:firstLineChars="200"/>
        <w:rPr>
          <w:rFonts w:ascii="宋体" w:hAnsi="宋体" w:eastAsia="仿宋"/>
          <w:color w:val="000000"/>
          <w:sz w:val="24"/>
          <w:highlight w:val="none"/>
          <w:lang w:bidi="en-US"/>
        </w:rPr>
      </w:pPr>
      <w:r>
        <w:rPr>
          <w:rFonts w:hint="eastAsia" w:ascii="宋体" w:hAnsi="宋体" w:eastAsia="仿宋"/>
          <w:color w:val="000000"/>
          <w:sz w:val="24"/>
          <w:highlight w:val="none"/>
          <w:lang w:bidi="en-US"/>
        </w:rPr>
        <w:t>11</w:t>
      </w:r>
      <w:r>
        <w:rPr>
          <w:rFonts w:ascii="宋体" w:hAnsi="宋体" w:eastAsia="仿宋"/>
          <w:color w:val="000000"/>
          <w:sz w:val="24"/>
          <w:highlight w:val="none"/>
          <w:lang w:bidi="en-US"/>
        </w:rPr>
        <w:t>.</w:t>
      </w:r>
      <w:r>
        <w:rPr>
          <w:rFonts w:hint="eastAsia" w:ascii="宋体" w:hAnsi="宋体" w:eastAsia="仿宋"/>
          <w:color w:val="000000"/>
          <w:sz w:val="24"/>
          <w:highlight w:val="none"/>
          <w:lang w:bidi="en-US"/>
        </w:rPr>
        <w:t>3</w:t>
      </w:r>
      <w:r>
        <w:rPr>
          <w:rFonts w:ascii="宋体" w:hAnsi="宋体" w:eastAsia="仿宋"/>
          <w:color w:val="000000"/>
          <w:sz w:val="24"/>
          <w:highlight w:val="none"/>
          <w:lang w:bidi="en-US"/>
        </w:rPr>
        <w:t>.3 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2C560A87">
      <w:pPr>
        <w:widowControl/>
        <w:adjustRightInd w:val="0"/>
        <w:snapToGrid w:val="0"/>
        <w:spacing w:line="360" w:lineRule="auto"/>
        <w:ind w:firstLine="482" w:firstLineChars="200"/>
        <w:outlineLvl w:val="2"/>
        <w:rPr>
          <w:rFonts w:hint="eastAsia" w:ascii="宋体" w:hAnsi="宋体" w:eastAsia="仿宋"/>
          <w:b/>
          <w:bCs/>
          <w:color w:val="000000"/>
          <w:kern w:val="0"/>
          <w:sz w:val="24"/>
          <w:highlight w:val="none"/>
          <w:lang w:bidi="en-US"/>
        </w:rPr>
      </w:pPr>
      <w:r>
        <w:rPr>
          <w:rFonts w:hint="eastAsia" w:ascii="宋体" w:hAnsi="宋体" w:eastAsia="仿宋"/>
          <w:b/>
          <w:bCs/>
          <w:color w:val="000000"/>
          <w:kern w:val="0"/>
          <w:sz w:val="24"/>
          <w:highlight w:val="none"/>
          <w:lang w:bidi="en-US"/>
        </w:rPr>
        <w:t>11.4 需要执行的其他政府采购政策</w:t>
      </w:r>
    </w:p>
    <w:p w14:paraId="7992B1F3">
      <w:pPr>
        <w:widowControl/>
        <w:adjustRightInd w:val="0"/>
        <w:snapToGrid w:val="0"/>
        <w:spacing w:line="360" w:lineRule="auto"/>
        <w:ind w:firstLine="480" w:firstLineChars="200"/>
        <w:rPr>
          <w:rFonts w:ascii="宋体" w:hAnsi="宋体" w:eastAsia="仿宋"/>
          <w:color w:val="000000"/>
          <w:sz w:val="24"/>
          <w:highlight w:val="none"/>
          <w:lang w:bidi="en-US"/>
        </w:rPr>
      </w:pPr>
      <w:r>
        <w:rPr>
          <w:rFonts w:hint="eastAsia" w:ascii="宋体" w:hAnsi="宋体" w:eastAsia="仿宋"/>
          <w:color w:val="000000"/>
          <w:sz w:val="24"/>
          <w:highlight w:val="none"/>
          <w:lang w:bidi="en-US"/>
        </w:rPr>
        <w:t>需要执行的其他政府采购政策：见投标人须知前附表。</w:t>
      </w:r>
    </w:p>
    <w:p w14:paraId="0C3F8DB1">
      <w:pPr>
        <w:pStyle w:val="3"/>
        <w:rPr>
          <w:rStyle w:val="106"/>
          <w:rFonts w:hint="eastAsia" w:ascii="宋体" w:hAnsi="宋体" w:eastAsia="仿宋"/>
          <w:b/>
          <w:bCs/>
          <w:color w:val="000000"/>
          <w:sz w:val="24"/>
          <w:szCs w:val="24"/>
          <w:highlight w:val="none"/>
        </w:rPr>
      </w:pPr>
      <w:r>
        <w:rPr>
          <w:rStyle w:val="106"/>
          <w:rFonts w:hint="eastAsia" w:ascii="宋体" w:hAnsi="宋体" w:eastAsia="仿宋"/>
          <w:b/>
          <w:bCs/>
          <w:color w:val="000000"/>
          <w:sz w:val="24"/>
          <w:szCs w:val="24"/>
          <w:highlight w:val="none"/>
        </w:rPr>
        <w:t>12. 需要补充的其他内容</w:t>
      </w:r>
    </w:p>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p w14:paraId="61CFB10D">
      <w:pPr>
        <w:widowControl/>
        <w:adjustRightInd w:val="0"/>
        <w:snapToGrid w:val="0"/>
        <w:spacing w:line="360" w:lineRule="auto"/>
        <w:ind w:firstLine="480" w:firstLineChars="200"/>
        <w:rPr>
          <w:rFonts w:hint="eastAsia" w:eastAsia="仿宋"/>
          <w:color w:val="000000"/>
          <w:sz w:val="24"/>
          <w:highlight w:val="none"/>
          <w:lang w:bidi="en-US"/>
        </w:rPr>
      </w:pPr>
      <w:bookmarkStart w:id="738" w:name="_Toc458504872"/>
      <w:bookmarkStart w:id="739" w:name="_Toc455587087"/>
      <w:bookmarkStart w:id="740" w:name="_Toc466024554"/>
      <w:bookmarkStart w:id="741" w:name="_Toc455587271"/>
      <w:bookmarkStart w:id="742" w:name="_Toc445554745"/>
      <w:r>
        <w:rPr>
          <w:rFonts w:hint="eastAsia" w:eastAsia="仿宋"/>
          <w:color w:val="000000"/>
          <w:sz w:val="24"/>
          <w:highlight w:val="none"/>
          <w:lang w:bidi="en-US"/>
        </w:rPr>
        <w:t>需要补充的其他内容</w:t>
      </w:r>
      <w:bookmarkEnd w:id="738"/>
      <w:bookmarkEnd w:id="739"/>
      <w:bookmarkEnd w:id="740"/>
      <w:bookmarkEnd w:id="741"/>
      <w:bookmarkEnd w:id="742"/>
      <w:r>
        <w:rPr>
          <w:rFonts w:hint="eastAsia" w:eastAsia="仿宋"/>
          <w:color w:val="000000"/>
          <w:sz w:val="24"/>
          <w:highlight w:val="none"/>
          <w:lang w:bidi="en-US"/>
        </w:rPr>
        <w:t>：见投标人须知前附表。</w:t>
      </w:r>
    </w:p>
    <w:p w14:paraId="08F0D6DE">
      <w:pPr>
        <w:pStyle w:val="3"/>
        <w:jc w:val="center"/>
        <w:rPr>
          <w:rFonts w:eastAsia="黑体"/>
          <w:color w:val="000000"/>
          <w:highlight w:val="none"/>
        </w:rPr>
      </w:pPr>
      <w:r>
        <w:rPr>
          <w:rFonts w:ascii="宋体" w:hAnsi="宋体" w:eastAsia="仿宋"/>
          <w:color w:val="000000"/>
          <w:szCs w:val="21"/>
          <w:highlight w:val="none"/>
        </w:rPr>
        <w:br w:type="page"/>
      </w:r>
      <w:bookmarkStart w:id="743" w:name="_Toc24418"/>
      <w:bookmarkStart w:id="744" w:name="_Hlk44246314"/>
      <w:r>
        <w:rPr>
          <w:rFonts w:eastAsia="黑体"/>
          <w:color w:val="000000"/>
          <w:highlight w:val="none"/>
        </w:rPr>
        <w:t>附件</w:t>
      </w:r>
      <w:r>
        <w:rPr>
          <w:rFonts w:hint="eastAsia" w:eastAsia="黑体"/>
          <w:color w:val="000000"/>
          <w:highlight w:val="none"/>
        </w:rPr>
        <w:t>一</w:t>
      </w:r>
      <w:r>
        <w:rPr>
          <w:rFonts w:eastAsia="黑体"/>
          <w:color w:val="000000"/>
          <w:highlight w:val="none"/>
        </w:rPr>
        <w:t>：</w:t>
      </w:r>
      <w:r>
        <w:rPr>
          <w:rFonts w:hint="eastAsia" w:eastAsia="黑体"/>
          <w:color w:val="000000"/>
          <w:highlight w:val="none"/>
        </w:rPr>
        <w:t>全流程电子招标采购</w:t>
      </w:r>
      <w:r>
        <w:rPr>
          <w:rFonts w:eastAsia="黑体"/>
          <w:color w:val="000000"/>
          <w:highlight w:val="none"/>
        </w:rPr>
        <w:t>具体要求</w:t>
      </w:r>
      <w:bookmarkEnd w:id="743"/>
    </w:p>
    <w:bookmarkEnd w:id="744"/>
    <w:p w14:paraId="1BE72895">
      <w:pPr>
        <w:spacing w:line="400" w:lineRule="exact"/>
        <w:ind w:firstLine="420" w:firstLineChars="200"/>
        <w:rPr>
          <w:rFonts w:ascii="黑体" w:hAnsi="黑体" w:eastAsia="黑体"/>
          <w:color w:val="000000"/>
          <w:highlight w:val="none"/>
        </w:rPr>
      </w:pPr>
      <w:r>
        <w:rPr>
          <w:rFonts w:hint="eastAsia" w:ascii="黑体" w:hAnsi="黑体" w:eastAsia="黑体"/>
          <w:color w:val="000000"/>
          <w:highlight w:val="none"/>
        </w:rPr>
        <w:t>说明：当采用非招标方式进行全流程电子采购活动时，按照本规定执行，其中本要求“投标人”按“供应商”理解，“投标文件”按“响应文件”理解，“招标文件”按“采购文件”理解，“投标文件递交截止时间”按“首次递交响应文件截止时间”理解，“开标”按“开启响应文件”理解，“</w:t>
      </w:r>
      <w:r>
        <w:rPr>
          <w:rFonts w:ascii="黑体" w:hAnsi="黑体" w:eastAsia="黑体"/>
          <w:color w:val="000000"/>
          <w:highlight w:val="none"/>
        </w:rPr>
        <w:t>评标委员会</w:t>
      </w:r>
      <w:r>
        <w:rPr>
          <w:rFonts w:hint="eastAsia" w:ascii="黑体" w:hAnsi="黑体" w:eastAsia="黑体"/>
          <w:color w:val="000000"/>
          <w:highlight w:val="none"/>
        </w:rPr>
        <w:t>”按“评审小组”理解，“投标无效”按“响应文件无效”理解。</w:t>
      </w:r>
    </w:p>
    <w:p w14:paraId="57EF9108">
      <w:pPr>
        <w:spacing w:line="400" w:lineRule="exact"/>
        <w:ind w:firstLine="420" w:firstLineChars="200"/>
        <w:rPr>
          <w:rFonts w:ascii="黑体" w:hAnsi="黑体" w:eastAsia="黑体"/>
          <w:color w:val="000000"/>
          <w:highlight w:val="none"/>
        </w:rPr>
      </w:pPr>
    </w:p>
    <w:p w14:paraId="0DA9870C">
      <w:pPr>
        <w:spacing w:line="400" w:lineRule="exact"/>
        <w:ind w:firstLine="420" w:firstLineChars="200"/>
        <w:rPr>
          <w:rFonts w:hint="eastAsia" w:ascii="黑体" w:hAnsi="黑体" w:eastAsia="黑体"/>
          <w:color w:val="000000"/>
          <w:highlight w:val="none"/>
        </w:rPr>
      </w:pPr>
      <w:r>
        <w:rPr>
          <w:rFonts w:hint="eastAsia" w:ascii="黑体" w:hAnsi="黑体" w:eastAsia="黑体"/>
          <w:color w:val="000000"/>
          <w:highlight w:val="none"/>
        </w:rPr>
        <w:t>一</w:t>
      </w:r>
      <w:r>
        <w:rPr>
          <w:rFonts w:ascii="黑体" w:hAnsi="黑体" w:eastAsia="黑体"/>
          <w:color w:val="000000"/>
          <w:highlight w:val="none"/>
        </w:rPr>
        <w:t>、</w:t>
      </w:r>
      <w:r>
        <w:rPr>
          <w:rFonts w:hint="eastAsia"/>
          <w:color w:val="000000"/>
          <w:highlight w:val="none"/>
        </w:rPr>
        <w:t>CA</w:t>
      </w:r>
      <w:r>
        <w:rPr>
          <w:rFonts w:hint="eastAsia" w:ascii="黑体" w:hAnsi="黑体" w:eastAsia="黑体"/>
          <w:color w:val="000000"/>
          <w:highlight w:val="none"/>
        </w:rPr>
        <w:t>证书办理和</w:t>
      </w:r>
      <w:r>
        <w:rPr>
          <w:rFonts w:ascii="黑体" w:hAnsi="黑体" w:eastAsia="黑体"/>
          <w:color w:val="000000"/>
          <w:highlight w:val="none"/>
        </w:rPr>
        <w:t>注意事项</w:t>
      </w:r>
    </w:p>
    <w:p w14:paraId="366135F0">
      <w:pPr>
        <w:spacing w:line="400" w:lineRule="exact"/>
        <w:ind w:firstLine="420" w:firstLineChars="200"/>
        <w:rPr>
          <w:color w:val="000000"/>
          <w:highlight w:val="none"/>
        </w:rPr>
      </w:pPr>
      <w:r>
        <w:rPr>
          <w:rFonts w:ascii="宋体" w:hAnsi="宋体"/>
          <w:color w:val="000000"/>
          <w:highlight w:val="none"/>
        </w:rPr>
        <w:t>1.</w:t>
      </w:r>
      <w:r>
        <w:rPr>
          <w:rFonts w:hint="eastAsia" w:ascii="宋体" w:hAnsi="宋体"/>
          <w:color w:val="000000"/>
          <w:highlight w:val="none"/>
        </w:rPr>
        <w:t>本项目采用全流程电子招标采购方式，</w:t>
      </w:r>
      <w:r>
        <w:rPr>
          <w:rFonts w:hint="eastAsia"/>
          <w:color w:val="000000"/>
          <w:highlight w:val="none"/>
        </w:rPr>
        <w:t>潜在投标人应及时办理CA证书，用于对投标文件进行电子签章及加、解密。</w:t>
      </w:r>
    </w:p>
    <w:p w14:paraId="66316B81">
      <w:pPr>
        <w:spacing w:line="400" w:lineRule="exact"/>
        <w:ind w:firstLine="420" w:firstLineChars="200"/>
        <w:rPr>
          <w:bCs/>
          <w:color w:val="000000"/>
          <w:highlight w:val="none"/>
        </w:rPr>
      </w:pPr>
      <w:r>
        <w:rPr>
          <w:rFonts w:ascii="宋体" w:hAnsi="宋体"/>
          <w:color w:val="000000"/>
          <w:highlight w:val="none"/>
        </w:rPr>
        <w:t>2.</w:t>
      </w:r>
      <w:r>
        <w:rPr>
          <w:rFonts w:hint="eastAsia" w:ascii="宋体" w:hAnsi="宋体"/>
          <w:color w:val="000000"/>
          <w:highlight w:val="none"/>
        </w:rPr>
        <w:t>CA</w:t>
      </w:r>
      <w:r>
        <w:rPr>
          <w:rFonts w:hint="eastAsia"/>
          <w:color w:val="000000"/>
          <w:highlight w:val="none"/>
        </w:rPr>
        <w:t>证书</w:t>
      </w:r>
      <w:r>
        <w:rPr>
          <w:rFonts w:hint="eastAsia" w:ascii="宋体" w:hAnsi="宋体"/>
          <w:color w:val="000000"/>
          <w:highlight w:val="none"/>
        </w:rPr>
        <w:t>办理详见</w:t>
      </w:r>
      <w:r>
        <w:rPr>
          <w:rFonts w:hint="eastAsia"/>
          <w:bCs/>
          <w:color w:val="000000"/>
          <w:highlight w:val="none"/>
        </w:rPr>
        <w:t>《优质采平台CA数字证书办理说明》：</w:t>
      </w:r>
    </w:p>
    <w:p w14:paraId="201B6DC3">
      <w:pPr>
        <w:spacing w:line="400" w:lineRule="exact"/>
        <w:rPr>
          <w:rFonts w:hint="eastAsia"/>
          <w:b/>
          <w:bCs/>
          <w:color w:val="000000"/>
          <w:highlight w:val="none"/>
        </w:rPr>
      </w:pPr>
      <w:r>
        <w:rPr>
          <w:bCs/>
          <w:color w:val="000000"/>
          <w:highlight w:val="none"/>
          <w:u w:val="single"/>
        </w:rPr>
        <w:fldChar w:fldCharType="begin"/>
      </w:r>
      <w:r>
        <w:rPr>
          <w:bCs/>
          <w:color w:val="000000"/>
          <w:highlight w:val="none"/>
          <w:u w:val="single"/>
        </w:rPr>
        <w:instrText xml:space="preserve"> HYPERLINK "http://www.youzhicai.com/ActivityTopic/AdviceDetail/8f80a7ec-911f-4c4d-a123-f8849880f045" </w:instrText>
      </w:r>
      <w:r>
        <w:rPr>
          <w:bCs/>
          <w:color w:val="000000"/>
          <w:highlight w:val="none"/>
          <w:u w:val="single"/>
        </w:rPr>
        <w:fldChar w:fldCharType="separate"/>
      </w:r>
      <w:r>
        <w:rPr>
          <w:rStyle w:val="56"/>
          <w:bCs/>
          <w:color w:val="000000"/>
          <w:highlight w:val="none"/>
        </w:rPr>
        <w:t>http://www.youzhicai.com/ActivityTopic/AdviceDetail/8f80a7ec-911f-4c4d-a123-f</w:t>
      </w:r>
      <w:bookmarkStart w:id="745" w:name="_Hlt105085547"/>
      <w:bookmarkStart w:id="746" w:name="_Hlt105085548"/>
      <w:r>
        <w:rPr>
          <w:rStyle w:val="56"/>
          <w:bCs/>
          <w:color w:val="000000"/>
          <w:highlight w:val="none"/>
        </w:rPr>
        <w:t>8</w:t>
      </w:r>
      <w:bookmarkEnd w:id="745"/>
      <w:bookmarkEnd w:id="746"/>
      <w:r>
        <w:rPr>
          <w:rStyle w:val="56"/>
          <w:bCs/>
          <w:color w:val="000000"/>
          <w:highlight w:val="none"/>
        </w:rPr>
        <w:t>849880f045</w:t>
      </w:r>
      <w:r>
        <w:rPr>
          <w:bCs/>
          <w:color w:val="000000"/>
          <w:highlight w:val="none"/>
          <w:u w:val="single"/>
        </w:rPr>
        <w:fldChar w:fldCharType="end"/>
      </w:r>
      <w:r>
        <w:rPr>
          <w:bCs/>
          <w:color w:val="000000"/>
          <w:highlight w:val="none"/>
        </w:rPr>
        <w:t>。</w:t>
      </w:r>
    </w:p>
    <w:p w14:paraId="13FF82C8">
      <w:pPr>
        <w:spacing w:line="400" w:lineRule="exact"/>
        <w:ind w:firstLine="420" w:firstLineChars="200"/>
        <w:rPr>
          <w:color w:val="000000"/>
          <w:highlight w:val="none"/>
        </w:rPr>
      </w:pPr>
      <w:r>
        <w:rPr>
          <w:rFonts w:ascii="宋体" w:hAnsi="宋体"/>
          <w:color w:val="000000"/>
          <w:highlight w:val="none"/>
        </w:rPr>
        <w:t>3.</w:t>
      </w:r>
      <w:r>
        <w:rPr>
          <w:rFonts w:hint="eastAsia" w:ascii="宋体" w:hAnsi="宋体"/>
          <w:color w:val="000000"/>
          <w:highlight w:val="none"/>
        </w:rPr>
        <w:t>CA</w:t>
      </w:r>
      <w:r>
        <w:rPr>
          <w:rFonts w:hint="eastAsia"/>
          <w:color w:val="000000"/>
          <w:highlight w:val="none"/>
        </w:rPr>
        <w:t>证书</w:t>
      </w:r>
      <w:r>
        <w:rPr>
          <w:rFonts w:hint="eastAsia" w:ascii="宋体" w:hAnsi="宋体"/>
          <w:color w:val="000000"/>
          <w:highlight w:val="none"/>
        </w:rPr>
        <w:t>到期或即将到期，须在递交投标文件前办理续期。</w:t>
      </w:r>
    </w:p>
    <w:p w14:paraId="46995B08">
      <w:pPr>
        <w:spacing w:line="400" w:lineRule="exact"/>
        <w:ind w:firstLine="420"/>
        <w:rPr>
          <w:color w:val="000000"/>
          <w:highlight w:val="none"/>
        </w:rPr>
      </w:pPr>
      <w:r>
        <w:rPr>
          <w:rFonts w:hint="eastAsia" w:ascii="宋体" w:hAnsi="宋体"/>
          <w:color w:val="000000"/>
          <w:highlight w:val="none"/>
        </w:rPr>
        <w:t>4</w:t>
      </w:r>
      <w:r>
        <w:rPr>
          <w:rFonts w:ascii="宋体" w:hAnsi="宋体"/>
          <w:color w:val="000000"/>
          <w:highlight w:val="none"/>
        </w:rPr>
        <w:t>.</w:t>
      </w:r>
      <w:r>
        <w:rPr>
          <w:rFonts w:hint="eastAsia" w:ascii="宋体" w:hAnsi="宋体"/>
          <w:color w:val="000000"/>
          <w:highlight w:val="none"/>
        </w:rPr>
        <w:t>CA锁</w:t>
      </w:r>
      <w:r>
        <w:rPr>
          <w:rFonts w:hint="eastAsia"/>
          <w:color w:val="000000"/>
          <w:highlight w:val="none"/>
        </w:rPr>
        <w:t>遗失、损坏等无法使用，须在递交投标文件前补办CA锁。</w:t>
      </w:r>
    </w:p>
    <w:p w14:paraId="4174DD66">
      <w:pPr>
        <w:spacing w:line="400" w:lineRule="exact"/>
        <w:ind w:firstLine="420"/>
        <w:rPr>
          <w:color w:val="000000"/>
          <w:highlight w:val="none"/>
        </w:rPr>
      </w:pPr>
      <w:r>
        <w:rPr>
          <w:rFonts w:ascii="宋体" w:hAnsi="宋体"/>
          <w:color w:val="000000"/>
          <w:highlight w:val="none"/>
        </w:rPr>
        <w:t>5.</w:t>
      </w:r>
      <w:r>
        <w:rPr>
          <w:rFonts w:hint="eastAsia" w:ascii="宋体" w:hAnsi="宋体"/>
          <w:color w:val="000000"/>
          <w:highlight w:val="none"/>
        </w:rPr>
        <w:t>企业</w:t>
      </w:r>
      <w:r>
        <w:rPr>
          <w:rFonts w:hint="eastAsia"/>
          <w:color w:val="000000"/>
          <w:highlight w:val="none"/>
        </w:rPr>
        <w:t>信息（包括但不限于企业名称和法定代表人信息）发生变更的，须在递交投标文件前变更CA证书。</w:t>
      </w:r>
    </w:p>
    <w:p w14:paraId="24D22D78">
      <w:pPr>
        <w:spacing w:line="400" w:lineRule="exact"/>
        <w:rPr>
          <w:rFonts w:ascii="宋体" w:hAnsi="宋体"/>
          <w:color w:val="000000"/>
          <w:highlight w:val="none"/>
        </w:rPr>
      </w:pPr>
      <w:r>
        <w:rPr>
          <w:rFonts w:ascii="宋体" w:hAnsi="宋体"/>
          <w:color w:val="000000"/>
          <w:highlight w:val="none"/>
        </w:rPr>
        <w:tab/>
      </w:r>
      <w:r>
        <w:rPr>
          <w:rFonts w:ascii="宋体" w:hAnsi="宋体"/>
          <w:color w:val="000000"/>
          <w:highlight w:val="none"/>
        </w:rPr>
        <w:t>6.</w:t>
      </w:r>
      <w:r>
        <w:rPr>
          <w:rFonts w:hint="eastAsia" w:ascii="宋体" w:hAnsi="宋体"/>
          <w:color w:val="000000"/>
          <w:highlight w:val="none"/>
        </w:rPr>
        <w:t>投标人由于</w:t>
      </w:r>
      <w:r>
        <w:rPr>
          <w:rFonts w:hint="eastAsia"/>
          <w:color w:val="000000"/>
          <w:highlight w:val="none"/>
        </w:rPr>
        <w:t>CA证书</w:t>
      </w:r>
      <w:r>
        <w:rPr>
          <w:rFonts w:hint="eastAsia" w:ascii="宋体" w:hAnsi="宋体"/>
          <w:color w:val="000000"/>
          <w:highlight w:val="none"/>
        </w:rPr>
        <w:t>遗失、损坏、更换、续期、企业信息变更等情况导致投标文件无法解密的，由投标人自行承担责任；</w:t>
      </w:r>
    </w:p>
    <w:p w14:paraId="32754F05">
      <w:pPr>
        <w:spacing w:line="400" w:lineRule="exact"/>
        <w:ind w:firstLine="420" w:firstLineChars="200"/>
        <w:rPr>
          <w:rFonts w:ascii="宋体" w:hAnsi="宋体"/>
          <w:color w:val="000000"/>
          <w:highlight w:val="none"/>
        </w:rPr>
      </w:pPr>
      <w:r>
        <w:rPr>
          <w:rFonts w:ascii="宋体" w:hAnsi="宋体"/>
          <w:color w:val="000000"/>
          <w:highlight w:val="none"/>
        </w:rPr>
        <w:t>7.</w:t>
      </w:r>
      <w:r>
        <w:rPr>
          <w:rFonts w:hint="eastAsia" w:ascii="宋体" w:hAnsi="宋体"/>
          <w:color w:val="000000"/>
          <w:highlight w:val="none"/>
        </w:rPr>
        <w:t>加密和解密投标文件</w:t>
      </w:r>
      <w:r>
        <w:rPr>
          <w:rFonts w:hint="eastAsia"/>
          <w:color w:val="000000"/>
          <w:highlight w:val="none"/>
        </w:rPr>
        <w:t>必须使用同一个CA证书</w:t>
      </w:r>
      <w:r>
        <w:rPr>
          <w:rFonts w:hint="eastAsia" w:ascii="宋体" w:hAnsi="宋体"/>
          <w:color w:val="000000"/>
          <w:highlight w:val="none"/>
        </w:rPr>
        <w:t>。</w:t>
      </w:r>
    </w:p>
    <w:p w14:paraId="07B095A1">
      <w:pPr>
        <w:spacing w:line="400" w:lineRule="exact"/>
        <w:ind w:firstLine="420" w:firstLineChars="200"/>
        <w:rPr>
          <w:rFonts w:ascii="黑体" w:hAnsi="黑体" w:eastAsia="黑体"/>
          <w:color w:val="000000"/>
          <w:highlight w:val="none"/>
        </w:rPr>
      </w:pPr>
      <w:r>
        <w:rPr>
          <w:rFonts w:hint="eastAsia" w:ascii="黑体" w:hAnsi="黑体" w:eastAsia="黑体"/>
          <w:color w:val="000000"/>
          <w:highlight w:val="none"/>
        </w:rPr>
        <w:t>二</w:t>
      </w:r>
      <w:r>
        <w:rPr>
          <w:rFonts w:ascii="黑体" w:hAnsi="黑体" w:eastAsia="黑体"/>
          <w:color w:val="000000"/>
          <w:highlight w:val="none"/>
        </w:rPr>
        <w:t>、制作、签章、加密、上传电子投标文件</w:t>
      </w:r>
    </w:p>
    <w:p w14:paraId="0DC15C48">
      <w:pPr>
        <w:spacing w:line="400" w:lineRule="exact"/>
        <w:ind w:firstLine="420" w:firstLineChars="200"/>
        <w:rPr>
          <w:rStyle w:val="56"/>
          <w:color w:val="000000"/>
          <w:highlight w:val="none"/>
        </w:rPr>
      </w:pPr>
      <w:r>
        <w:rPr>
          <w:rFonts w:ascii="宋体" w:hAnsi="宋体"/>
          <w:color w:val="000000"/>
          <w:highlight w:val="none"/>
        </w:rPr>
        <w:t>8.</w:t>
      </w:r>
      <w:r>
        <w:rPr>
          <w:rFonts w:hint="eastAsia" w:ascii="宋体" w:hAnsi="宋体"/>
          <w:color w:val="000000"/>
          <w:highlight w:val="none"/>
        </w:rPr>
        <w:t>本项目采用全流程电子化招标采购方式，潜在</w:t>
      </w:r>
      <w:r>
        <w:rPr>
          <w:rFonts w:hint="eastAsia"/>
          <w:color w:val="000000"/>
          <w:highlight w:val="none"/>
        </w:rPr>
        <w:t>投标人需使用</w:t>
      </w:r>
      <w:r>
        <w:rPr>
          <w:rFonts w:hint="eastAsia" w:ascii="宋体" w:hAnsi="宋体"/>
          <w:color w:val="000000"/>
          <w:highlight w:val="none"/>
        </w:rPr>
        <w:t>“</w:t>
      </w:r>
      <w:r>
        <w:rPr>
          <w:rFonts w:ascii="宋体" w:hAnsi="宋体"/>
          <w:color w:val="000000"/>
          <w:highlight w:val="none"/>
        </w:rPr>
        <w:t>优质采投标工具</w:t>
      </w:r>
      <w:r>
        <w:rPr>
          <w:rFonts w:hint="eastAsia" w:ascii="宋体" w:hAnsi="宋体"/>
          <w:color w:val="000000"/>
          <w:highlight w:val="none"/>
        </w:rPr>
        <w:t>客户端”（以下简称“投标工具”）制作</w:t>
      </w:r>
      <w:r>
        <w:rPr>
          <w:color w:val="000000"/>
          <w:highlight w:val="none"/>
        </w:rPr>
        <w:t>电子投标文件</w:t>
      </w:r>
      <w:r>
        <w:rPr>
          <w:rFonts w:hint="eastAsia"/>
          <w:color w:val="000000"/>
          <w:highlight w:val="none"/>
        </w:rPr>
        <w:t>，</w:t>
      </w:r>
      <w:r>
        <w:rPr>
          <w:rFonts w:hint="eastAsia" w:ascii="宋体" w:hAnsi="宋体"/>
          <w:color w:val="000000"/>
          <w:highlight w:val="none"/>
        </w:rPr>
        <w:t>投标工具及操作说明下载地址：</w:t>
      </w:r>
      <w:r>
        <w:rPr>
          <w:rStyle w:val="56"/>
          <w:rFonts w:hint="eastAsia"/>
          <w:color w:val="000000"/>
          <w:highlight w:val="none"/>
        </w:rPr>
        <w:fldChar w:fldCharType="begin"/>
      </w:r>
      <w:r>
        <w:rPr>
          <w:rStyle w:val="56"/>
          <w:rFonts w:hint="eastAsia"/>
          <w:color w:val="000000"/>
          <w:highlight w:val="none"/>
        </w:rPr>
        <w:instrText xml:space="preserve"> HYPERLINK "https://toolcdn.youzhicai.com/tools/BidderTools.zip" </w:instrText>
      </w:r>
      <w:r>
        <w:rPr>
          <w:rStyle w:val="56"/>
          <w:rFonts w:hint="eastAsia"/>
          <w:color w:val="000000"/>
          <w:highlight w:val="none"/>
        </w:rPr>
        <w:fldChar w:fldCharType="separate"/>
      </w:r>
      <w:r>
        <w:rPr>
          <w:rStyle w:val="56"/>
          <w:rFonts w:hint="eastAsia"/>
          <w:color w:val="000000"/>
          <w:highlight w:val="none"/>
        </w:rPr>
        <w:t>https://toolcdn.youzhicai.com/tools/BidderTools.zip</w:t>
      </w:r>
      <w:r>
        <w:rPr>
          <w:rStyle w:val="56"/>
          <w:rFonts w:hint="eastAsia"/>
          <w:color w:val="000000"/>
          <w:highlight w:val="none"/>
        </w:rPr>
        <w:fldChar w:fldCharType="end"/>
      </w:r>
      <w:r>
        <w:rPr>
          <w:rStyle w:val="56"/>
          <w:rFonts w:hint="eastAsia"/>
          <w:color w:val="000000"/>
          <w:highlight w:val="none"/>
        </w:rPr>
        <w:t>。</w:t>
      </w:r>
    </w:p>
    <w:p w14:paraId="0295DD28">
      <w:pPr>
        <w:spacing w:line="400" w:lineRule="exact"/>
        <w:ind w:firstLine="420" w:firstLineChars="200"/>
        <w:rPr>
          <w:rStyle w:val="56"/>
          <w:color w:val="000000"/>
          <w:highlight w:val="none"/>
        </w:rPr>
      </w:pPr>
      <w:r>
        <w:rPr>
          <w:rStyle w:val="56"/>
          <w:color w:val="000000"/>
          <w:highlight w:val="none"/>
        </w:rPr>
        <w:tab/>
      </w:r>
      <w:r>
        <w:rPr>
          <w:rStyle w:val="56"/>
          <w:color w:val="000000"/>
          <w:highlight w:val="none"/>
        </w:rPr>
        <w:t>8.1.投标工具建议在window7或windows10操作系统下使用；</w:t>
      </w:r>
    </w:p>
    <w:p w14:paraId="6C9C9A52">
      <w:pPr>
        <w:spacing w:line="400" w:lineRule="exact"/>
        <w:ind w:firstLine="420" w:firstLineChars="200"/>
        <w:rPr>
          <w:rFonts w:hint="eastAsia"/>
          <w:bCs/>
          <w:color w:val="000000"/>
          <w:sz w:val="18"/>
          <w:highlight w:val="none"/>
        </w:rPr>
      </w:pPr>
      <w:r>
        <w:rPr>
          <w:rStyle w:val="56"/>
          <w:color w:val="000000"/>
          <w:highlight w:val="none"/>
        </w:rPr>
        <w:tab/>
      </w:r>
      <w:r>
        <w:rPr>
          <w:rStyle w:val="56"/>
          <w:color w:val="000000"/>
          <w:highlight w:val="none"/>
        </w:rPr>
        <w:t>8.2.电子投标文件编制建议使用</w:t>
      </w:r>
      <w:r>
        <w:rPr>
          <w:color w:val="000000"/>
          <w:highlight w:val="none"/>
        </w:rPr>
        <w:t>office2010版本。</w:t>
      </w:r>
    </w:p>
    <w:p w14:paraId="555C7472">
      <w:pPr>
        <w:wordWrap w:val="0"/>
        <w:spacing w:line="400" w:lineRule="exact"/>
        <w:rPr>
          <w:bCs/>
          <w:color w:val="000000"/>
          <w:highlight w:val="none"/>
          <w:u w:val="single"/>
        </w:rPr>
      </w:pPr>
      <w:r>
        <w:rPr>
          <w:rFonts w:ascii="宋体" w:hAnsi="宋体"/>
          <w:color w:val="000000"/>
          <w:highlight w:val="none"/>
        </w:rPr>
        <w:tab/>
      </w:r>
      <w:r>
        <w:rPr>
          <w:rFonts w:hint="eastAsia" w:ascii="宋体" w:hAnsi="宋体"/>
          <w:color w:val="000000"/>
          <w:highlight w:val="none"/>
        </w:rPr>
        <w:t>9</w:t>
      </w:r>
      <w:r>
        <w:rPr>
          <w:rFonts w:ascii="宋体" w:hAnsi="宋体"/>
          <w:color w:val="000000"/>
          <w:highlight w:val="none"/>
        </w:rPr>
        <w:t>.</w:t>
      </w:r>
      <w:r>
        <w:rPr>
          <w:rFonts w:hint="eastAsia"/>
          <w:color w:val="000000"/>
          <w:highlight w:val="none"/>
        </w:rPr>
        <w:t>潜在投标人制作电子投标文件后，需在</w:t>
      </w:r>
      <w:r>
        <w:rPr>
          <w:rFonts w:hint="eastAsia" w:ascii="宋体" w:hAnsi="宋体"/>
          <w:color w:val="000000"/>
          <w:highlight w:val="none"/>
        </w:rPr>
        <w:t>投标工具</w:t>
      </w:r>
      <w:r>
        <w:rPr>
          <w:rFonts w:hint="eastAsia"/>
          <w:color w:val="000000"/>
          <w:highlight w:val="none"/>
        </w:rPr>
        <w:t>对</w:t>
      </w:r>
      <w:r>
        <w:rPr>
          <w:color w:val="000000"/>
          <w:highlight w:val="none"/>
        </w:rPr>
        <w:t>电子</w:t>
      </w:r>
      <w:r>
        <w:rPr>
          <w:rFonts w:hint="eastAsia"/>
          <w:color w:val="000000"/>
          <w:highlight w:val="none"/>
        </w:rPr>
        <w:t>投标文件进行电子签章（项目有特殊说明的除外），并使用CA</w:t>
      </w:r>
      <w:r>
        <w:rPr>
          <w:rFonts w:hint="eastAsia" w:ascii="宋体" w:hAnsi="宋体"/>
          <w:color w:val="000000"/>
          <w:highlight w:val="none"/>
        </w:rPr>
        <w:t>证书进行</w:t>
      </w:r>
      <w:r>
        <w:rPr>
          <w:rFonts w:hint="eastAsia"/>
          <w:color w:val="000000"/>
          <w:highlight w:val="none"/>
        </w:rPr>
        <w:t>加密。在</w:t>
      </w:r>
      <w:r>
        <w:rPr>
          <w:rFonts w:hint="eastAsia" w:ascii="宋体" w:hAnsi="宋体"/>
          <w:color w:val="000000"/>
          <w:highlight w:val="none"/>
        </w:rPr>
        <w:t>投标工具使用</w:t>
      </w:r>
      <w:r>
        <w:rPr>
          <w:rFonts w:ascii="宋体" w:hAnsi="宋体"/>
          <w:color w:val="000000"/>
          <w:highlight w:val="none"/>
        </w:rPr>
        <w:t>CA证书</w:t>
      </w:r>
      <w:r>
        <w:rPr>
          <w:rFonts w:hint="eastAsia"/>
          <w:color w:val="000000"/>
          <w:highlight w:val="none"/>
        </w:rPr>
        <w:t>时需安装“优质采数字证书助手”</w:t>
      </w:r>
      <w:r>
        <w:rPr>
          <w:rFonts w:hint="eastAsia" w:ascii="宋体" w:hAnsi="宋体"/>
          <w:color w:val="000000"/>
          <w:highlight w:val="none"/>
        </w:rPr>
        <w:t xml:space="preserve"> （即数字证书驱动）</w:t>
      </w:r>
      <w:r>
        <w:rPr>
          <w:rFonts w:hint="eastAsia"/>
          <w:color w:val="000000"/>
          <w:highlight w:val="none"/>
        </w:rPr>
        <w:t>，下载地址：</w:t>
      </w:r>
      <w:r>
        <w:rPr>
          <w:rStyle w:val="56"/>
          <w:rFonts w:hint="eastAsia"/>
          <w:color w:val="000000"/>
          <w:highlight w:val="none"/>
        </w:rPr>
        <w:fldChar w:fldCharType="begin"/>
      </w:r>
      <w:r>
        <w:rPr>
          <w:rStyle w:val="56"/>
          <w:rFonts w:hint="eastAsia"/>
          <w:color w:val="000000"/>
          <w:highlight w:val="none"/>
        </w:rPr>
        <w:instrText xml:space="preserve"> HYPERLINK "https://toolcdn.youzhicai.com/ca.zip" </w:instrText>
      </w:r>
      <w:r>
        <w:rPr>
          <w:rStyle w:val="56"/>
          <w:rFonts w:hint="eastAsia"/>
          <w:color w:val="000000"/>
          <w:highlight w:val="none"/>
        </w:rPr>
        <w:fldChar w:fldCharType="separate"/>
      </w:r>
      <w:r>
        <w:rPr>
          <w:rStyle w:val="56"/>
          <w:rFonts w:hint="eastAsia"/>
          <w:color w:val="000000"/>
          <w:highlight w:val="none"/>
        </w:rPr>
        <w:t>https://toolcdn.youzhicai.com/ca.zip</w:t>
      </w:r>
      <w:r>
        <w:rPr>
          <w:rStyle w:val="56"/>
          <w:rFonts w:hint="eastAsia"/>
          <w:color w:val="000000"/>
          <w:highlight w:val="none"/>
        </w:rPr>
        <w:fldChar w:fldCharType="end"/>
      </w:r>
      <w:r>
        <w:rPr>
          <w:rStyle w:val="56"/>
          <w:rFonts w:hint="eastAsia"/>
          <w:color w:val="000000"/>
          <w:highlight w:val="none"/>
        </w:rPr>
        <w:t>。</w:t>
      </w:r>
    </w:p>
    <w:p w14:paraId="5A251100">
      <w:pPr>
        <w:wordWrap w:val="0"/>
        <w:spacing w:line="400" w:lineRule="exact"/>
        <w:rPr>
          <w:rFonts w:ascii="宋体" w:hAnsi="宋体"/>
          <w:color w:val="000000"/>
          <w:highlight w:val="none"/>
        </w:rPr>
      </w:pPr>
      <w:r>
        <w:rPr>
          <w:color w:val="000000"/>
          <w:highlight w:val="none"/>
        </w:rPr>
        <w:tab/>
      </w:r>
      <w:r>
        <w:rPr>
          <w:rFonts w:ascii="宋体" w:hAnsi="宋体"/>
          <w:color w:val="000000"/>
          <w:highlight w:val="none"/>
        </w:rPr>
        <w:t>10.</w:t>
      </w:r>
      <w:r>
        <w:rPr>
          <w:rFonts w:hint="eastAsia" w:ascii="宋体" w:hAnsi="宋体"/>
          <w:color w:val="000000"/>
          <w:highlight w:val="none"/>
        </w:rPr>
        <w:t>潜在投标人完成制作、签章、加密投标文件后，需在</w:t>
      </w:r>
      <w:r>
        <w:rPr>
          <w:rFonts w:hint="eastAsia"/>
          <w:color w:val="000000"/>
          <w:highlight w:val="none"/>
        </w:rPr>
        <w:t>招标文件规定的投标截止时间前在</w:t>
      </w:r>
      <w:r>
        <w:rPr>
          <w:rFonts w:hint="eastAsia" w:ascii="宋体" w:hAnsi="宋体"/>
          <w:color w:val="000000"/>
          <w:highlight w:val="none"/>
        </w:rPr>
        <w:t>投标工具</w:t>
      </w:r>
      <w:r>
        <w:rPr>
          <w:rFonts w:hint="eastAsia"/>
          <w:color w:val="000000"/>
          <w:highlight w:val="none"/>
        </w:rPr>
        <w:t>完成上传。</w:t>
      </w:r>
      <w:r>
        <w:rPr>
          <w:rFonts w:hint="eastAsia" w:ascii="宋体" w:hAnsi="宋体"/>
          <w:color w:val="000000"/>
          <w:highlight w:val="none"/>
        </w:rPr>
        <w:t>投标截止时间以优质采云采购平台（</w:t>
      </w:r>
      <w:r>
        <w:rPr>
          <w:rFonts w:ascii="宋体" w:hAnsi="宋体"/>
          <w:color w:val="000000"/>
          <w:highlight w:val="none"/>
        </w:rPr>
        <w:t>www.youzhicai.com</w:t>
      </w:r>
      <w:r>
        <w:rPr>
          <w:rFonts w:hint="eastAsia" w:ascii="宋体" w:hAnsi="宋体"/>
          <w:color w:val="000000"/>
          <w:highlight w:val="none"/>
        </w:rPr>
        <w:t>）系统的时间为准，如未在投标截止时间前完成电子投标文件上传，系统将自动关闭上传通道。潜在投标人未完成电子投标文件上传的，视为没有递交投标文件。</w:t>
      </w:r>
    </w:p>
    <w:p w14:paraId="6F48DE2C">
      <w:pPr>
        <w:wordWrap w:val="0"/>
        <w:spacing w:line="400" w:lineRule="exact"/>
        <w:ind w:firstLine="420"/>
        <w:rPr>
          <w:rFonts w:ascii="宋体" w:hAnsi="宋体"/>
          <w:color w:val="000000"/>
          <w:highlight w:val="none"/>
        </w:rPr>
      </w:pPr>
      <w:r>
        <w:rPr>
          <w:rFonts w:hint="eastAsia" w:ascii="宋体" w:hAnsi="宋体"/>
          <w:color w:val="000000"/>
          <w:highlight w:val="none"/>
        </w:rPr>
        <w:t>1</w:t>
      </w:r>
      <w:r>
        <w:rPr>
          <w:rFonts w:ascii="宋体" w:hAnsi="宋体"/>
          <w:color w:val="000000"/>
          <w:highlight w:val="none"/>
        </w:rPr>
        <w:t>1.</w:t>
      </w:r>
      <w:r>
        <w:rPr>
          <w:rFonts w:hint="eastAsia" w:ascii="宋体" w:hAnsi="宋体"/>
          <w:color w:val="000000"/>
          <w:highlight w:val="none"/>
        </w:rPr>
        <w:t>潜在投标人在投标文件递交截止时间前，可以对其所递交的电子投标文件进行撤回，修改后重新上传。</w:t>
      </w:r>
    </w:p>
    <w:p w14:paraId="6DA1B770">
      <w:pPr>
        <w:spacing w:line="400" w:lineRule="exact"/>
        <w:ind w:firstLine="420" w:firstLineChars="200"/>
        <w:rPr>
          <w:rFonts w:ascii="宋体" w:hAnsi="宋体"/>
          <w:color w:val="000000"/>
          <w:highlight w:val="none"/>
        </w:rPr>
      </w:pPr>
      <w:r>
        <w:rPr>
          <w:rFonts w:hint="eastAsia" w:ascii="宋体" w:hAnsi="宋体"/>
          <w:color w:val="000000"/>
          <w:highlight w:val="none"/>
        </w:rPr>
        <w:t>1</w:t>
      </w:r>
      <w:r>
        <w:rPr>
          <w:rFonts w:ascii="宋体" w:hAnsi="宋体"/>
          <w:color w:val="000000"/>
          <w:highlight w:val="none"/>
        </w:rPr>
        <w:t>2.</w:t>
      </w:r>
      <w:r>
        <w:rPr>
          <w:rFonts w:hint="eastAsia" w:ascii="宋体" w:hAnsi="宋体"/>
          <w:color w:val="000000"/>
          <w:highlight w:val="none"/>
        </w:rPr>
        <w:t>潜在投标人在制作、签章、加密、上传电子投标文件过程中，若存在技术操作问题，请及时联系优质采云采购平台客服人员，客服电话：</w:t>
      </w:r>
      <w:r>
        <w:rPr>
          <w:rFonts w:ascii="宋体" w:hAnsi="宋体"/>
          <w:color w:val="000000"/>
          <w:highlight w:val="none"/>
        </w:rPr>
        <w:t>400-0099-555</w:t>
      </w:r>
      <w:r>
        <w:rPr>
          <w:rFonts w:hint="eastAsia" w:ascii="宋体" w:hAnsi="宋体"/>
          <w:color w:val="000000"/>
          <w:highlight w:val="none"/>
        </w:rPr>
        <w:t>，</w:t>
      </w:r>
      <w:r>
        <w:rPr>
          <w:rFonts w:ascii="宋体" w:hAnsi="宋体"/>
          <w:color w:val="000000"/>
          <w:highlight w:val="none"/>
        </w:rPr>
        <w:t>0551-62220164</w:t>
      </w:r>
      <w:r>
        <w:rPr>
          <w:rFonts w:hint="eastAsia" w:ascii="宋体" w:hAnsi="宋体"/>
          <w:color w:val="000000"/>
          <w:highlight w:val="none"/>
        </w:rPr>
        <w:t>。</w:t>
      </w:r>
    </w:p>
    <w:p w14:paraId="235237A7">
      <w:pPr>
        <w:spacing w:line="400" w:lineRule="exact"/>
        <w:ind w:firstLine="420" w:firstLineChars="200"/>
        <w:rPr>
          <w:rFonts w:ascii="黑体" w:hAnsi="黑体" w:eastAsia="黑体"/>
          <w:color w:val="000000"/>
          <w:highlight w:val="none"/>
        </w:rPr>
      </w:pPr>
      <w:r>
        <w:rPr>
          <w:rFonts w:hint="eastAsia" w:ascii="黑体" w:hAnsi="黑体" w:eastAsia="黑体"/>
          <w:color w:val="000000"/>
          <w:highlight w:val="none"/>
        </w:rPr>
        <w:t>三</w:t>
      </w:r>
      <w:r>
        <w:rPr>
          <w:rFonts w:ascii="黑体" w:hAnsi="黑体" w:eastAsia="黑体"/>
          <w:color w:val="000000"/>
          <w:highlight w:val="none"/>
        </w:rPr>
        <w:t>、</w:t>
      </w:r>
      <w:r>
        <w:rPr>
          <w:rFonts w:hint="eastAsia" w:ascii="黑体" w:hAnsi="黑体" w:eastAsia="黑体"/>
          <w:color w:val="000000"/>
          <w:highlight w:val="none"/>
        </w:rPr>
        <w:t>开标</w:t>
      </w:r>
      <w:r>
        <w:rPr>
          <w:rFonts w:ascii="黑体" w:hAnsi="黑体" w:eastAsia="黑体"/>
          <w:color w:val="000000"/>
          <w:highlight w:val="none"/>
        </w:rPr>
        <w:t>和解密</w:t>
      </w:r>
    </w:p>
    <w:p w14:paraId="51FDAA8A">
      <w:pPr>
        <w:spacing w:line="400" w:lineRule="exact"/>
        <w:ind w:firstLine="420" w:firstLineChars="200"/>
        <w:rPr>
          <w:rFonts w:ascii="宋体" w:hAnsi="宋体"/>
          <w:color w:val="000000"/>
          <w:highlight w:val="none"/>
        </w:rPr>
      </w:pPr>
      <w:r>
        <w:rPr>
          <w:rFonts w:ascii="宋体" w:hAnsi="宋体"/>
          <w:color w:val="000000"/>
          <w:highlight w:val="none"/>
        </w:rPr>
        <w:t>13.</w:t>
      </w:r>
      <w:r>
        <w:rPr>
          <w:rFonts w:hint="eastAsia" w:ascii="宋体" w:hAnsi="宋体"/>
          <w:color w:val="000000"/>
          <w:highlight w:val="none"/>
        </w:rPr>
        <w:t>招标人或招标代理机构工作人员（以下简称工作人员）根据有关规定登录系统组织开标。投标文件递交截止时间后由投标人使用</w:t>
      </w:r>
      <w:r>
        <w:rPr>
          <w:rFonts w:hint="eastAsia"/>
          <w:color w:val="000000"/>
          <w:highlight w:val="none"/>
        </w:rPr>
        <w:t>CA证书</w:t>
      </w:r>
      <w:r>
        <w:rPr>
          <w:rFonts w:hint="eastAsia" w:ascii="宋体" w:hAnsi="宋体"/>
          <w:color w:val="000000"/>
          <w:highlight w:val="none"/>
        </w:rPr>
        <w:t>解密投标文件，工作人员导入已解密投标文件并公布开标结果。</w:t>
      </w:r>
    </w:p>
    <w:p w14:paraId="7E7F1C72">
      <w:pPr>
        <w:spacing w:line="400" w:lineRule="exact"/>
        <w:ind w:firstLine="420" w:firstLineChars="200"/>
        <w:rPr>
          <w:rFonts w:ascii="宋体" w:hAnsi="宋体"/>
          <w:color w:val="000000"/>
          <w:highlight w:val="none"/>
        </w:rPr>
      </w:pPr>
      <w:r>
        <w:rPr>
          <w:rFonts w:ascii="宋体" w:hAnsi="宋体"/>
          <w:color w:val="000000"/>
          <w:highlight w:val="none"/>
        </w:rPr>
        <w:t>14.</w:t>
      </w:r>
      <w:r>
        <w:rPr>
          <w:rFonts w:hint="eastAsia" w:ascii="宋体" w:hAnsi="宋体"/>
          <w:color w:val="000000"/>
          <w:highlight w:val="none"/>
        </w:rPr>
        <w:t>投标文件可远程解密，投标人无需到达开标现场。招标文件“投标人须知”中另有规定的，从其规定。</w:t>
      </w:r>
    </w:p>
    <w:p w14:paraId="40F43EAB">
      <w:pPr>
        <w:spacing w:line="400" w:lineRule="exact"/>
        <w:ind w:firstLine="420" w:firstLineChars="200"/>
        <w:rPr>
          <w:rFonts w:ascii="宋体" w:hAnsi="宋体"/>
          <w:color w:val="000000"/>
          <w:highlight w:val="none"/>
        </w:rPr>
      </w:pPr>
      <w:r>
        <w:rPr>
          <w:rFonts w:ascii="宋体" w:hAnsi="宋体"/>
          <w:color w:val="000000"/>
          <w:highlight w:val="none"/>
        </w:rPr>
        <w:t>15.</w:t>
      </w:r>
      <w:r>
        <w:rPr>
          <w:rFonts w:hint="eastAsia" w:ascii="宋体" w:hAnsi="宋体"/>
          <w:color w:val="000000"/>
          <w:highlight w:val="none"/>
        </w:rPr>
        <w:t>潜在投标人须按照招标文件的要求在投标文件递交截止时间前登录投标工具并保持在线，关注开标互动大厅消息直到项目评审结束。</w:t>
      </w:r>
    </w:p>
    <w:p w14:paraId="42145F3D">
      <w:pPr>
        <w:spacing w:line="400" w:lineRule="exact"/>
        <w:ind w:firstLine="420" w:firstLineChars="200"/>
        <w:rPr>
          <w:rFonts w:ascii="宋体" w:hAnsi="宋体"/>
          <w:color w:val="000000"/>
          <w:highlight w:val="none"/>
        </w:rPr>
      </w:pPr>
      <w:r>
        <w:rPr>
          <w:rFonts w:ascii="宋体" w:hAnsi="宋体"/>
          <w:color w:val="000000"/>
          <w:highlight w:val="none"/>
        </w:rPr>
        <w:t>16.</w:t>
      </w:r>
      <w:r>
        <w:rPr>
          <w:rFonts w:hint="eastAsia" w:ascii="宋体" w:hAnsi="宋体"/>
          <w:color w:val="000000"/>
          <w:highlight w:val="none"/>
        </w:rPr>
        <w:t>投标文件解密时限为投标文件递交截止时间后</w:t>
      </w:r>
      <w:r>
        <w:rPr>
          <w:rFonts w:ascii="宋体" w:hAnsi="宋体"/>
          <w:color w:val="000000"/>
          <w:highlight w:val="none"/>
        </w:rPr>
        <w:t>30</w:t>
      </w:r>
      <w:r>
        <w:rPr>
          <w:rFonts w:hint="eastAsia" w:ascii="宋体" w:hAnsi="宋体"/>
          <w:color w:val="000000"/>
          <w:highlight w:val="none"/>
        </w:rPr>
        <w:t>分钟（招标文件</w:t>
      </w:r>
      <w:r>
        <w:rPr>
          <w:rFonts w:ascii="宋体" w:hAnsi="宋体"/>
          <w:color w:val="000000"/>
          <w:highlight w:val="none"/>
        </w:rPr>
        <w:t>“</w:t>
      </w:r>
      <w:r>
        <w:rPr>
          <w:rFonts w:hint="eastAsia" w:ascii="宋体" w:hAnsi="宋体"/>
          <w:color w:val="000000"/>
          <w:highlight w:val="none"/>
        </w:rPr>
        <w:t>投标人须知</w:t>
      </w:r>
      <w:r>
        <w:rPr>
          <w:rFonts w:ascii="宋体" w:hAnsi="宋体"/>
          <w:color w:val="000000"/>
          <w:highlight w:val="none"/>
        </w:rPr>
        <w:t>”</w:t>
      </w:r>
      <w:r>
        <w:rPr>
          <w:rFonts w:hint="eastAsia" w:ascii="宋体" w:hAnsi="宋体"/>
          <w:color w:val="000000"/>
          <w:highlight w:val="none"/>
        </w:rPr>
        <w:t>中另有规定的，从其规定）。潜在投标人须在投标文件解密时限内完成投标文件解密，未能成功解密的视为放弃投标。招标文件</w:t>
      </w:r>
      <w:r>
        <w:rPr>
          <w:rFonts w:ascii="宋体" w:hAnsi="宋体"/>
          <w:color w:val="000000"/>
          <w:highlight w:val="none"/>
        </w:rPr>
        <w:t>“</w:t>
      </w:r>
      <w:r>
        <w:rPr>
          <w:rFonts w:hint="eastAsia" w:ascii="宋体" w:hAnsi="宋体"/>
          <w:color w:val="000000"/>
          <w:highlight w:val="none"/>
        </w:rPr>
        <w:t>投标人须知</w:t>
      </w:r>
      <w:r>
        <w:rPr>
          <w:rFonts w:ascii="宋体" w:hAnsi="宋体"/>
          <w:color w:val="000000"/>
          <w:highlight w:val="none"/>
        </w:rPr>
        <w:t>”</w:t>
      </w:r>
      <w:r>
        <w:rPr>
          <w:rFonts w:hint="eastAsia" w:ascii="宋体" w:hAnsi="宋体"/>
          <w:color w:val="000000"/>
          <w:highlight w:val="none"/>
        </w:rPr>
        <w:t>中对投标文件解密设有线下补救方案的，执行该补救方案。</w:t>
      </w:r>
    </w:p>
    <w:p w14:paraId="7405106F">
      <w:pPr>
        <w:spacing w:line="400" w:lineRule="exact"/>
        <w:ind w:firstLine="420" w:firstLineChars="200"/>
        <w:rPr>
          <w:rFonts w:ascii="黑体" w:hAnsi="黑体" w:eastAsia="黑体"/>
          <w:color w:val="000000"/>
          <w:highlight w:val="none"/>
        </w:rPr>
      </w:pPr>
      <w:r>
        <w:rPr>
          <w:rFonts w:hint="eastAsia" w:ascii="黑体" w:hAnsi="黑体" w:eastAsia="黑体"/>
          <w:color w:val="000000"/>
          <w:highlight w:val="none"/>
        </w:rPr>
        <w:t>四</w:t>
      </w:r>
      <w:r>
        <w:rPr>
          <w:rFonts w:ascii="黑体" w:hAnsi="黑体" w:eastAsia="黑体"/>
          <w:color w:val="000000"/>
          <w:highlight w:val="none"/>
        </w:rPr>
        <w:t>、</w:t>
      </w:r>
      <w:r>
        <w:rPr>
          <w:rFonts w:hint="eastAsia" w:ascii="黑体" w:hAnsi="黑体" w:eastAsia="黑体"/>
          <w:color w:val="000000"/>
          <w:highlight w:val="none"/>
        </w:rPr>
        <w:t>评标</w:t>
      </w:r>
      <w:r>
        <w:rPr>
          <w:rFonts w:ascii="黑体" w:hAnsi="黑体" w:eastAsia="黑体"/>
          <w:color w:val="000000"/>
          <w:highlight w:val="none"/>
        </w:rPr>
        <w:t>和询标</w:t>
      </w:r>
    </w:p>
    <w:p w14:paraId="105E1439">
      <w:pPr>
        <w:spacing w:line="400" w:lineRule="exact"/>
        <w:ind w:firstLine="420" w:firstLineChars="200"/>
        <w:rPr>
          <w:rFonts w:ascii="宋体" w:hAnsi="宋体"/>
          <w:color w:val="000000"/>
          <w:highlight w:val="none"/>
        </w:rPr>
      </w:pPr>
      <w:r>
        <w:rPr>
          <w:rFonts w:ascii="宋体" w:hAnsi="宋体"/>
          <w:color w:val="000000"/>
          <w:highlight w:val="none"/>
        </w:rPr>
        <w:t>17.</w:t>
      </w:r>
      <w:r>
        <w:rPr>
          <w:rFonts w:hint="eastAsia" w:ascii="宋体" w:hAnsi="宋体"/>
          <w:color w:val="000000"/>
          <w:highlight w:val="none"/>
        </w:rPr>
        <w:t>评标委员会通过优质采电子评标工具将需要澄清、说明或补正的内容以询标函的形式发送给投标人，投标人</w:t>
      </w:r>
      <w:r>
        <w:rPr>
          <w:rFonts w:ascii="宋体" w:hAnsi="宋体"/>
          <w:color w:val="000000"/>
          <w:highlight w:val="none"/>
        </w:rPr>
        <w:t>/</w:t>
      </w:r>
      <w:r>
        <w:rPr>
          <w:rFonts w:hint="eastAsia" w:ascii="宋体" w:hAnsi="宋体"/>
          <w:color w:val="000000"/>
          <w:highlight w:val="none"/>
        </w:rPr>
        <w:t>供应商应登录投标工具并保持在线状态，以便及时接收评标委员会可能发出的询标函，并在询标函载明的时间内回复，若投标人未及时回复，视为放弃澄清。</w:t>
      </w:r>
    </w:p>
    <w:p w14:paraId="55FD113E">
      <w:pPr>
        <w:spacing w:line="400" w:lineRule="exact"/>
        <w:ind w:firstLine="420" w:firstLineChars="200"/>
        <w:rPr>
          <w:rFonts w:ascii="黑体" w:hAnsi="黑体" w:eastAsia="黑体"/>
          <w:color w:val="000000"/>
          <w:highlight w:val="none"/>
        </w:rPr>
      </w:pPr>
      <w:r>
        <w:rPr>
          <w:rFonts w:hint="eastAsia" w:ascii="黑体" w:hAnsi="黑体" w:eastAsia="黑体"/>
          <w:color w:val="000000"/>
          <w:highlight w:val="none"/>
        </w:rPr>
        <w:t>五、异常情形</w:t>
      </w:r>
    </w:p>
    <w:p w14:paraId="3440A867">
      <w:pPr>
        <w:spacing w:line="400" w:lineRule="exact"/>
        <w:ind w:firstLine="420" w:firstLineChars="200"/>
        <w:rPr>
          <w:rFonts w:ascii="宋体" w:hAnsi="宋体"/>
          <w:color w:val="000000"/>
          <w:highlight w:val="none"/>
        </w:rPr>
      </w:pPr>
      <w:r>
        <w:rPr>
          <w:rFonts w:hint="eastAsia" w:ascii="宋体" w:hAnsi="宋体"/>
          <w:color w:val="000000"/>
          <w:highlight w:val="none"/>
        </w:rPr>
        <w:t>1</w:t>
      </w:r>
      <w:r>
        <w:rPr>
          <w:rFonts w:ascii="宋体" w:hAnsi="宋体"/>
          <w:color w:val="000000"/>
          <w:highlight w:val="none"/>
        </w:rPr>
        <w:t>8</w:t>
      </w:r>
      <w:r>
        <w:rPr>
          <w:rFonts w:hint="eastAsia" w:ascii="宋体" w:hAnsi="宋体"/>
          <w:color w:val="000000"/>
          <w:highlight w:val="none"/>
        </w:rPr>
        <w:t>.出现下列情形导致电子交易系统无法正常运行，影响招投标过程的公平、公正和信息安全，经第三方机构认定后，各方当事人免责：</w:t>
      </w:r>
    </w:p>
    <w:p w14:paraId="27B95417">
      <w:pPr>
        <w:spacing w:line="400" w:lineRule="exact"/>
        <w:ind w:firstLine="420" w:firstLineChars="200"/>
        <w:rPr>
          <w:rFonts w:ascii="宋体" w:hAnsi="宋体"/>
          <w:color w:val="000000"/>
          <w:highlight w:val="none"/>
        </w:rPr>
      </w:pPr>
      <w:r>
        <w:rPr>
          <w:rFonts w:hint="eastAsia" w:ascii="宋体" w:hAnsi="宋体"/>
          <w:color w:val="000000"/>
          <w:highlight w:val="none"/>
        </w:rPr>
        <w:t>(1)网络、服务器、数据库发生故障造成无法访问或使用的；</w:t>
      </w:r>
    </w:p>
    <w:p w14:paraId="4137469B">
      <w:pPr>
        <w:spacing w:line="400" w:lineRule="exact"/>
        <w:ind w:firstLine="420" w:firstLineChars="200"/>
        <w:rPr>
          <w:rFonts w:ascii="宋体" w:hAnsi="宋体"/>
          <w:color w:val="000000"/>
          <w:highlight w:val="none"/>
        </w:rPr>
      </w:pPr>
      <w:r>
        <w:rPr>
          <w:rFonts w:hint="eastAsia" w:ascii="宋体" w:hAnsi="宋体"/>
          <w:color w:val="000000"/>
          <w:highlight w:val="none"/>
        </w:rPr>
        <w:t>(2)电力系统发生故障导致电子服务系统或电子交易系统无法运行；</w:t>
      </w:r>
    </w:p>
    <w:p w14:paraId="3710E572">
      <w:pPr>
        <w:spacing w:line="400" w:lineRule="exact"/>
        <w:ind w:firstLine="420" w:firstLineChars="200"/>
        <w:rPr>
          <w:rFonts w:ascii="宋体" w:hAnsi="宋体"/>
          <w:color w:val="000000"/>
          <w:highlight w:val="none"/>
        </w:rPr>
      </w:pPr>
      <w:r>
        <w:rPr>
          <w:rFonts w:hint="eastAsia" w:ascii="宋体" w:hAnsi="宋体"/>
          <w:color w:val="000000"/>
          <w:highlight w:val="none"/>
        </w:rPr>
        <w:t>(3)出现网络攻击、病毒入侵以及电子服务系统或电子交易系统安全漏洞导致无法正常提供服务的；</w:t>
      </w:r>
    </w:p>
    <w:p w14:paraId="23456320">
      <w:pPr>
        <w:spacing w:line="400" w:lineRule="exact"/>
        <w:ind w:firstLine="420" w:firstLineChars="200"/>
        <w:rPr>
          <w:rFonts w:ascii="宋体" w:hAnsi="宋体"/>
          <w:color w:val="000000"/>
          <w:highlight w:val="none"/>
        </w:rPr>
      </w:pPr>
      <w:r>
        <w:rPr>
          <w:rFonts w:hint="eastAsia" w:ascii="宋体" w:hAnsi="宋体"/>
          <w:color w:val="000000"/>
          <w:highlight w:val="none"/>
        </w:rPr>
        <w:t>(4)其他无法保证招投标过程公平、公正和信息安全的情形。</w:t>
      </w:r>
    </w:p>
    <w:p w14:paraId="0E80B489">
      <w:pPr>
        <w:spacing w:line="400" w:lineRule="exact"/>
        <w:ind w:firstLine="420" w:firstLineChars="200"/>
        <w:rPr>
          <w:rFonts w:ascii="黑体" w:hAnsi="黑体" w:eastAsia="黑体"/>
          <w:color w:val="000000"/>
          <w:highlight w:val="none"/>
        </w:rPr>
      </w:pPr>
      <w:r>
        <w:rPr>
          <w:rFonts w:hint="eastAsia" w:ascii="黑体" w:hAnsi="黑体" w:eastAsia="黑体"/>
          <w:color w:val="000000"/>
          <w:highlight w:val="none"/>
        </w:rPr>
        <w:t>六、异常情形处理</w:t>
      </w:r>
    </w:p>
    <w:p w14:paraId="39BF6FFB">
      <w:pPr>
        <w:spacing w:line="400" w:lineRule="exact"/>
        <w:ind w:firstLine="420" w:firstLineChars="200"/>
        <w:rPr>
          <w:color w:val="000000"/>
          <w:highlight w:val="none"/>
        </w:rPr>
      </w:pPr>
      <w:r>
        <w:rPr>
          <w:rFonts w:hint="eastAsia"/>
          <w:color w:val="000000"/>
          <w:highlight w:val="none"/>
        </w:rPr>
        <w:t>1</w:t>
      </w:r>
      <w:r>
        <w:rPr>
          <w:color w:val="000000"/>
          <w:highlight w:val="none"/>
        </w:rPr>
        <w:t>9</w:t>
      </w:r>
      <w:r>
        <w:rPr>
          <w:rFonts w:hint="eastAsia"/>
          <w:color w:val="000000"/>
          <w:highlight w:val="none"/>
        </w:rPr>
        <w:t>.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20CCE8B1">
      <w:pPr>
        <w:spacing w:line="400" w:lineRule="exact"/>
        <w:ind w:firstLine="420" w:firstLineChars="200"/>
        <w:rPr>
          <w:color w:val="000000"/>
          <w:highlight w:val="none"/>
        </w:rPr>
      </w:pPr>
      <w:r>
        <w:rPr>
          <w:rFonts w:hint="eastAsia"/>
          <w:color w:val="000000"/>
          <w:highlight w:val="none"/>
        </w:rPr>
        <w:t>（1）项目中止，中止期限由招标人或招标代理机构根据项目具体情况确定。中止期限届满后中止情形尚未消除的，招标人或代理机构可以根据实际情况决定延长中止期限。决定延长中止期限的，应向投标人发出延长中止期限通知，并发布公布。</w:t>
      </w:r>
    </w:p>
    <w:p w14:paraId="2F11DFD4">
      <w:pPr>
        <w:spacing w:line="400" w:lineRule="exact"/>
        <w:ind w:firstLine="420" w:firstLineChars="200"/>
        <w:rPr>
          <w:color w:val="000000"/>
          <w:highlight w:val="none"/>
        </w:rPr>
      </w:pPr>
      <w:r>
        <w:rPr>
          <w:rFonts w:hint="eastAsia"/>
          <w:color w:val="000000"/>
          <w:highlight w:val="none"/>
        </w:rPr>
        <w:t>（2）项目恢复，导致项目中止的情形消除后，招标人或代理机构应当尽快恢复招投标程序，向投标人发出恢复交易通知，并发布公布；已发出延长中止期限通知的，按通知执行。</w:t>
      </w:r>
    </w:p>
    <w:p w14:paraId="103D1AEE">
      <w:pPr>
        <w:widowControl/>
        <w:adjustRightInd w:val="0"/>
        <w:snapToGrid w:val="0"/>
        <w:spacing w:line="360" w:lineRule="auto"/>
        <w:ind w:firstLine="420" w:firstLineChars="200"/>
        <w:rPr>
          <w:rFonts w:hint="eastAsia" w:ascii="宋体" w:hAnsi="宋体" w:eastAsia="仿宋"/>
          <w:color w:val="000000"/>
          <w:szCs w:val="21"/>
          <w:highlight w:val="none"/>
        </w:rPr>
      </w:pPr>
    </w:p>
    <w:p w14:paraId="58101C75">
      <w:pPr>
        <w:spacing w:line="360" w:lineRule="auto"/>
        <w:jc w:val="center"/>
        <w:outlineLvl w:val="1"/>
        <w:rPr>
          <w:rFonts w:hint="eastAsia" w:ascii="Cambria" w:hAnsi="Cambria" w:eastAsia="黑体"/>
          <w:b/>
          <w:bCs/>
          <w:color w:val="000000"/>
          <w:sz w:val="32"/>
          <w:szCs w:val="32"/>
          <w:highlight w:val="none"/>
        </w:rPr>
      </w:pPr>
      <w:r>
        <w:rPr>
          <w:rFonts w:hint="eastAsia" w:ascii="宋体" w:hAnsi="宋体" w:eastAsia="仿宋"/>
          <w:color w:val="000000"/>
          <w:szCs w:val="21"/>
          <w:highlight w:val="none"/>
        </w:rPr>
        <w:br w:type="page"/>
      </w:r>
      <w:r>
        <w:rPr>
          <w:rFonts w:ascii="Cambria" w:hAnsi="Cambria" w:eastAsia="黑体"/>
          <w:b/>
          <w:bCs/>
          <w:color w:val="000000"/>
          <w:sz w:val="32"/>
          <w:szCs w:val="32"/>
          <w:highlight w:val="none"/>
        </w:rPr>
        <w:t>附件</w:t>
      </w:r>
      <w:r>
        <w:rPr>
          <w:rFonts w:hint="eastAsia" w:ascii="Cambria" w:hAnsi="Cambria" w:eastAsia="黑体"/>
          <w:b/>
          <w:bCs/>
          <w:color w:val="000000"/>
          <w:sz w:val="32"/>
          <w:szCs w:val="32"/>
          <w:highlight w:val="none"/>
        </w:rPr>
        <w:t>二</w:t>
      </w:r>
      <w:r>
        <w:rPr>
          <w:rFonts w:ascii="Cambria" w:hAnsi="Cambria" w:eastAsia="黑体"/>
          <w:b/>
          <w:bCs/>
          <w:color w:val="000000"/>
          <w:sz w:val="32"/>
          <w:szCs w:val="32"/>
          <w:highlight w:val="none"/>
        </w:rPr>
        <w:t>：</w:t>
      </w:r>
      <w:r>
        <w:rPr>
          <w:rFonts w:hint="eastAsia" w:ascii="Cambria" w:hAnsi="Cambria" w:eastAsia="黑体"/>
          <w:b/>
          <w:bCs/>
          <w:color w:val="000000"/>
          <w:sz w:val="32"/>
          <w:szCs w:val="32"/>
          <w:highlight w:val="none"/>
        </w:rPr>
        <w:t>政府采购供应商询问函和质疑函范本</w:t>
      </w:r>
    </w:p>
    <w:p w14:paraId="3863DA71">
      <w:pPr>
        <w:spacing w:line="360" w:lineRule="auto"/>
        <w:jc w:val="center"/>
        <w:rPr>
          <w:rFonts w:hint="eastAsia" w:ascii="仿宋" w:hAnsi="仿宋" w:eastAsia="仿宋" w:cs="仿宋"/>
          <w:b/>
          <w:bCs/>
          <w:color w:val="000000"/>
          <w:sz w:val="32"/>
          <w:szCs w:val="44"/>
          <w:highlight w:val="none"/>
        </w:rPr>
      </w:pPr>
      <w:r>
        <w:rPr>
          <w:rFonts w:hint="eastAsia" w:ascii="仿宋" w:hAnsi="仿宋" w:eastAsia="仿宋" w:cs="仿宋"/>
          <w:b/>
          <w:bCs/>
          <w:color w:val="000000"/>
          <w:sz w:val="32"/>
          <w:szCs w:val="44"/>
          <w:highlight w:val="none"/>
        </w:rPr>
        <w:t>询问函范本</w:t>
      </w:r>
    </w:p>
    <w:p w14:paraId="5BB79AFD">
      <w:pPr>
        <w:adjustRightInd w:val="0"/>
        <w:snapToGrid w:val="0"/>
        <w:spacing w:line="360" w:lineRule="auto"/>
        <w:ind w:firstLine="480" w:firstLineChars="200"/>
        <w:jc w:val="center"/>
        <w:rPr>
          <w:rFonts w:hint="eastAsia" w:ascii="仿宋" w:hAnsi="仿宋" w:eastAsia="仿宋" w:cs="仿宋"/>
          <w:b/>
          <w:bCs/>
          <w:color w:val="000000"/>
          <w:sz w:val="32"/>
          <w:szCs w:val="44"/>
          <w:highlight w:val="none"/>
        </w:rPr>
      </w:pPr>
      <w:r>
        <w:rPr>
          <w:rFonts w:hint="eastAsia" w:ascii="宋体" w:hAnsi="宋体" w:cs="仿宋"/>
          <w:i/>
          <w:iCs/>
          <w:color w:val="000000"/>
          <w:sz w:val="24"/>
          <w:highlight w:val="none"/>
        </w:rPr>
        <w:t>（如为对采购文件或采购程序的询问或疑问，请按询问函范本或电子交易系统中网上询问格式附件进行提交）</w:t>
      </w:r>
    </w:p>
    <w:p w14:paraId="21572E3D">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某采购单位、某代理机构：</w:t>
      </w:r>
    </w:p>
    <w:p w14:paraId="636E359C">
      <w:pPr>
        <w:adjustRightInd w:val="0"/>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我单位拟参与某项目(某编号)的采购活动，现有以下内容(或条款)存在疑问(或无法理解)，特提出询问。</w:t>
      </w:r>
    </w:p>
    <w:p w14:paraId="2DA12E82">
      <w:pPr>
        <w:adjustRightInd w:val="0"/>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一、(事项一)</w:t>
      </w:r>
    </w:p>
    <w:p w14:paraId="772E4085">
      <w:pPr>
        <w:adjustRightInd w:val="0"/>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1、(内容或条款)</w:t>
      </w:r>
    </w:p>
    <w:p w14:paraId="7909F110">
      <w:pPr>
        <w:adjustRightInd w:val="0"/>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2、(说明疑问或无法理解原因)</w:t>
      </w:r>
    </w:p>
    <w:p w14:paraId="19131AD4">
      <w:pPr>
        <w:adjustRightInd w:val="0"/>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3、(建议)</w:t>
      </w:r>
    </w:p>
    <w:p w14:paraId="50E30A4E">
      <w:pPr>
        <w:adjustRightInd w:val="0"/>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二、(事项二)</w:t>
      </w:r>
    </w:p>
    <w:p w14:paraId="59D6C65D">
      <w:pPr>
        <w:adjustRightInd w:val="0"/>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p w14:paraId="1C8EA4AB">
      <w:pPr>
        <w:adjustRightInd w:val="0"/>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随附相关证明材料如下： </w:t>
      </w:r>
    </w:p>
    <w:p w14:paraId="52356E54">
      <w:pPr>
        <w:spacing w:line="360" w:lineRule="auto"/>
        <w:ind w:firstLine="4228" w:firstLineChars="1762"/>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联 系 人：</w:t>
      </w:r>
      <w:r>
        <w:rPr>
          <w:rFonts w:hint="eastAsia" w:ascii="仿宋" w:hAnsi="仿宋" w:eastAsia="仿宋" w:cs="仿宋"/>
          <w:color w:val="000000"/>
          <w:sz w:val="24"/>
          <w:highlight w:val="none"/>
          <w:u w:val="single"/>
        </w:rPr>
        <w:t xml:space="preserve">              </w:t>
      </w:r>
    </w:p>
    <w:p w14:paraId="78556517">
      <w:pPr>
        <w:spacing w:line="360" w:lineRule="auto"/>
        <w:ind w:firstLine="4228" w:firstLineChars="1762"/>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联系电话：</w:t>
      </w:r>
      <w:r>
        <w:rPr>
          <w:rFonts w:hint="eastAsia" w:ascii="仿宋" w:hAnsi="仿宋" w:eastAsia="仿宋" w:cs="仿宋"/>
          <w:color w:val="000000"/>
          <w:sz w:val="24"/>
          <w:highlight w:val="none"/>
          <w:u w:val="single"/>
        </w:rPr>
        <w:t xml:space="preserve">              </w:t>
      </w:r>
    </w:p>
    <w:p w14:paraId="79805DB9">
      <w:pPr>
        <w:tabs>
          <w:tab w:val="left" w:pos="630"/>
        </w:tabs>
        <w:spacing w:line="360" w:lineRule="auto"/>
        <w:ind w:firstLine="4228" w:firstLineChars="1762"/>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rPr>
        <w:t>日    期：</w:t>
      </w:r>
      <w:r>
        <w:rPr>
          <w:rFonts w:hint="eastAsia" w:ascii="仿宋" w:hAnsi="仿宋" w:eastAsia="仿宋" w:cs="仿宋"/>
          <w:color w:val="000000"/>
          <w:sz w:val="24"/>
          <w:highlight w:val="none"/>
          <w:u w:val="single"/>
        </w:rPr>
        <w:t xml:space="preserve">              </w:t>
      </w:r>
    </w:p>
    <w:p w14:paraId="2429A256">
      <w:pPr>
        <w:rPr>
          <w:rFonts w:ascii="宋体" w:hAnsi="宋体"/>
          <w:b/>
          <w:color w:val="000000"/>
          <w:sz w:val="52"/>
          <w:highlight w:val="none"/>
        </w:rPr>
      </w:pPr>
      <w:r>
        <w:rPr>
          <w:rFonts w:hint="eastAsia" w:ascii="仿宋" w:hAnsi="仿宋" w:eastAsia="仿宋" w:cs="仿宋"/>
          <w:b/>
          <w:bCs/>
          <w:color w:val="000000"/>
          <w:sz w:val="32"/>
          <w:szCs w:val="44"/>
          <w:highlight w:val="none"/>
        </w:rPr>
        <w:br w:type="page"/>
      </w:r>
    </w:p>
    <w:p w14:paraId="00660FE2">
      <w:pPr>
        <w:jc w:val="center"/>
        <w:rPr>
          <w:rFonts w:ascii="仿宋" w:hAnsi="仿宋" w:eastAsia="仿宋" w:cs="仿宋"/>
          <w:b/>
          <w:bCs/>
          <w:color w:val="000000"/>
          <w:sz w:val="32"/>
          <w:szCs w:val="44"/>
          <w:highlight w:val="none"/>
        </w:rPr>
      </w:pPr>
      <w:r>
        <w:rPr>
          <w:rFonts w:hint="eastAsia" w:ascii="仿宋" w:hAnsi="仿宋" w:eastAsia="仿宋" w:cs="仿宋"/>
          <w:b/>
          <w:bCs/>
          <w:color w:val="000000"/>
          <w:sz w:val="32"/>
          <w:szCs w:val="44"/>
          <w:highlight w:val="none"/>
        </w:rPr>
        <w:t>质疑函范本</w:t>
      </w:r>
    </w:p>
    <w:p w14:paraId="4B04AE65">
      <w:pPr>
        <w:adjustRightInd w:val="0"/>
        <w:snapToGrid w:val="0"/>
        <w:spacing w:before="240" w:beforeLines="100" w:line="360" w:lineRule="auto"/>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一、质疑供应商基本信息</w:t>
      </w:r>
    </w:p>
    <w:p w14:paraId="74446ACC">
      <w:pPr>
        <w:adjustRightInd w:val="0"/>
        <w:snapToGrid w:val="0"/>
        <w:spacing w:line="360" w:lineRule="auto"/>
        <w:rPr>
          <w:rFonts w:hint="eastAsia" w:ascii="仿宋" w:hAnsi="仿宋" w:eastAsia="仿宋" w:cs="仿宋"/>
          <w:color w:val="000000"/>
          <w:sz w:val="24"/>
          <w:highlight w:val="none"/>
          <w:u w:val="dotted"/>
        </w:rPr>
      </w:pPr>
      <w:r>
        <w:rPr>
          <w:rFonts w:hint="eastAsia" w:ascii="仿宋" w:hAnsi="仿宋" w:eastAsia="仿宋" w:cs="仿宋"/>
          <w:color w:val="000000"/>
          <w:sz w:val="24"/>
          <w:highlight w:val="none"/>
        </w:rPr>
        <w:t>质疑供应商：</w:t>
      </w:r>
      <w:r>
        <w:rPr>
          <w:rFonts w:hint="eastAsia" w:ascii="仿宋" w:hAnsi="仿宋" w:eastAsia="仿宋" w:cs="仿宋"/>
          <w:color w:val="000000"/>
          <w:sz w:val="24"/>
          <w:highlight w:val="none"/>
          <w:u w:val="dotted"/>
        </w:rPr>
        <w:t xml:space="preserve">                                        </w:t>
      </w:r>
    </w:p>
    <w:p w14:paraId="42B5DF9F">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地址：</w:t>
      </w:r>
      <w:r>
        <w:rPr>
          <w:rFonts w:hint="eastAsia" w:ascii="仿宋" w:hAnsi="仿宋" w:eastAsia="仿宋" w:cs="仿宋"/>
          <w:color w:val="000000"/>
          <w:sz w:val="24"/>
          <w:highlight w:val="none"/>
          <w:u w:val="dotted"/>
        </w:rPr>
        <w:t xml:space="preserve">                          </w:t>
      </w:r>
      <w:r>
        <w:rPr>
          <w:rFonts w:hint="eastAsia" w:ascii="仿宋" w:hAnsi="仿宋" w:eastAsia="仿宋" w:cs="仿宋"/>
          <w:color w:val="000000"/>
          <w:sz w:val="24"/>
          <w:highlight w:val="none"/>
        </w:rPr>
        <w:t>邮编：</w:t>
      </w:r>
      <w:r>
        <w:rPr>
          <w:rFonts w:hint="eastAsia" w:ascii="仿宋" w:hAnsi="仿宋" w:eastAsia="仿宋" w:cs="仿宋"/>
          <w:color w:val="000000"/>
          <w:sz w:val="24"/>
          <w:highlight w:val="none"/>
          <w:u w:val="dotted"/>
        </w:rPr>
        <w:t xml:space="preserve">                                                   </w:t>
      </w:r>
    </w:p>
    <w:p w14:paraId="72CE3748">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联系人：</w:t>
      </w:r>
      <w:r>
        <w:rPr>
          <w:rFonts w:hint="eastAsia" w:ascii="仿宋" w:hAnsi="仿宋" w:eastAsia="仿宋" w:cs="仿宋"/>
          <w:color w:val="000000"/>
          <w:sz w:val="24"/>
          <w:highlight w:val="none"/>
          <w:u w:val="dotted"/>
        </w:rPr>
        <w:t xml:space="preserve">                      </w:t>
      </w:r>
      <w:r>
        <w:rPr>
          <w:rFonts w:hint="eastAsia" w:ascii="仿宋" w:hAnsi="仿宋" w:eastAsia="仿宋" w:cs="仿宋"/>
          <w:color w:val="000000"/>
          <w:sz w:val="24"/>
          <w:highlight w:val="none"/>
        </w:rPr>
        <w:t>联系电话：</w:t>
      </w:r>
      <w:r>
        <w:rPr>
          <w:rFonts w:hint="eastAsia" w:ascii="仿宋" w:hAnsi="仿宋" w:eastAsia="仿宋" w:cs="仿宋"/>
          <w:color w:val="000000"/>
          <w:sz w:val="24"/>
          <w:highlight w:val="none"/>
          <w:u w:val="dotted"/>
        </w:rPr>
        <w:t xml:space="preserve">                              </w:t>
      </w:r>
    </w:p>
    <w:p w14:paraId="4518972F">
      <w:pPr>
        <w:adjustRightInd w:val="0"/>
        <w:snapToGrid w:val="0"/>
        <w:spacing w:line="360" w:lineRule="auto"/>
        <w:rPr>
          <w:rFonts w:hint="eastAsia" w:ascii="仿宋" w:hAnsi="仿宋" w:eastAsia="仿宋" w:cs="仿宋"/>
          <w:color w:val="000000"/>
          <w:sz w:val="24"/>
          <w:highlight w:val="none"/>
          <w:u w:val="dotted"/>
        </w:rPr>
      </w:pPr>
      <w:r>
        <w:rPr>
          <w:rFonts w:hint="eastAsia" w:ascii="仿宋" w:hAnsi="仿宋" w:eastAsia="仿宋" w:cs="仿宋"/>
          <w:color w:val="000000"/>
          <w:sz w:val="24"/>
          <w:highlight w:val="none"/>
        </w:rPr>
        <w:t>授权代表：</w:t>
      </w:r>
      <w:r>
        <w:rPr>
          <w:rFonts w:hint="eastAsia" w:ascii="仿宋" w:hAnsi="仿宋" w:eastAsia="仿宋" w:cs="仿宋"/>
          <w:color w:val="000000"/>
          <w:sz w:val="24"/>
          <w:highlight w:val="none"/>
          <w:u w:val="dotted"/>
        </w:rPr>
        <w:t xml:space="preserve">                                          </w:t>
      </w:r>
    </w:p>
    <w:p w14:paraId="239CEBEB">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联系电话：</w:t>
      </w:r>
      <w:r>
        <w:rPr>
          <w:rFonts w:hint="eastAsia" w:ascii="仿宋" w:hAnsi="仿宋" w:eastAsia="仿宋" w:cs="仿宋"/>
          <w:color w:val="000000"/>
          <w:sz w:val="24"/>
          <w:highlight w:val="none"/>
          <w:u w:val="dotted"/>
        </w:rPr>
        <w:t xml:space="preserve">                                           </w:t>
      </w:r>
      <w:r>
        <w:rPr>
          <w:rFonts w:hint="eastAsia" w:ascii="仿宋" w:hAnsi="仿宋" w:eastAsia="仿宋" w:cs="仿宋"/>
          <w:color w:val="000000"/>
          <w:sz w:val="24"/>
          <w:highlight w:val="none"/>
        </w:rPr>
        <w:t xml:space="preserve"> </w:t>
      </w:r>
    </w:p>
    <w:p w14:paraId="50F70E01">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地址： </w:t>
      </w:r>
      <w:r>
        <w:rPr>
          <w:rFonts w:hint="eastAsia" w:ascii="仿宋" w:hAnsi="仿宋" w:eastAsia="仿宋" w:cs="仿宋"/>
          <w:color w:val="000000"/>
          <w:sz w:val="24"/>
          <w:highlight w:val="none"/>
          <w:u w:val="dotted"/>
        </w:rPr>
        <w:t xml:space="preserve">                        </w:t>
      </w:r>
      <w:r>
        <w:rPr>
          <w:rFonts w:hint="eastAsia" w:ascii="仿宋" w:hAnsi="仿宋" w:eastAsia="仿宋" w:cs="仿宋"/>
          <w:color w:val="000000"/>
          <w:sz w:val="24"/>
          <w:highlight w:val="none"/>
        </w:rPr>
        <w:t>邮编：</w:t>
      </w:r>
      <w:r>
        <w:rPr>
          <w:rFonts w:hint="eastAsia" w:ascii="仿宋" w:hAnsi="仿宋" w:eastAsia="仿宋" w:cs="仿宋"/>
          <w:color w:val="000000"/>
          <w:sz w:val="24"/>
          <w:highlight w:val="none"/>
          <w:u w:val="dotted"/>
        </w:rPr>
        <w:t xml:space="preserve">                                                </w:t>
      </w:r>
    </w:p>
    <w:p w14:paraId="4AFC639F">
      <w:pPr>
        <w:adjustRightInd w:val="0"/>
        <w:snapToGrid w:val="0"/>
        <w:spacing w:line="360" w:lineRule="auto"/>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二、质疑项目基本情况</w:t>
      </w:r>
    </w:p>
    <w:p w14:paraId="73855F18">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质疑项目的名称：</w:t>
      </w:r>
      <w:r>
        <w:rPr>
          <w:rFonts w:hint="eastAsia" w:ascii="仿宋" w:hAnsi="仿宋" w:eastAsia="仿宋" w:cs="仿宋"/>
          <w:color w:val="000000"/>
          <w:sz w:val="24"/>
          <w:highlight w:val="none"/>
          <w:u w:val="dotted"/>
        </w:rPr>
        <w:t xml:space="preserve">                                      </w:t>
      </w:r>
    </w:p>
    <w:p w14:paraId="2A058010">
      <w:pPr>
        <w:adjustRightInd w:val="0"/>
        <w:snapToGrid w:val="0"/>
        <w:spacing w:line="360" w:lineRule="auto"/>
        <w:rPr>
          <w:rFonts w:hint="eastAsia" w:ascii="仿宋" w:hAnsi="仿宋" w:eastAsia="仿宋" w:cs="仿宋"/>
          <w:color w:val="000000"/>
          <w:sz w:val="24"/>
          <w:highlight w:val="none"/>
          <w:u w:val="dotted"/>
        </w:rPr>
      </w:pPr>
      <w:r>
        <w:rPr>
          <w:rFonts w:hint="eastAsia" w:ascii="仿宋" w:hAnsi="仿宋" w:eastAsia="仿宋" w:cs="仿宋"/>
          <w:color w:val="000000"/>
          <w:sz w:val="24"/>
          <w:highlight w:val="none"/>
        </w:rPr>
        <w:t>质疑项目的编号：</w:t>
      </w:r>
      <w:r>
        <w:rPr>
          <w:rFonts w:hint="eastAsia" w:ascii="仿宋" w:hAnsi="仿宋" w:eastAsia="仿宋" w:cs="仿宋"/>
          <w:color w:val="000000"/>
          <w:sz w:val="24"/>
          <w:highlight w:val="none"/>
          <w:u w:val="dotted"/>
        </w:rPr>
        <w:t xml:space="preserve">               </w:t>
      </w:r>
      <w:r>
        <w:rPr>
          <w:rFonts w:hint="eastAsia" w:ascii="仿宋" w:hAnsi="仿宋" w:eastAsia="仿宋" w:cs="仿宋"/>
          <w:color w:val="000000"/>
          <w:sz w:val="24"/>
          <w:highlight w:val="none"/>
        </w:rPr>
        <w:t>包号：</w:t>
      </w:r>
      <w:r>
        <w:rPr>
          <w:rFonts w:hint="eastAsia" w:ascii="仿宋" w:hAnsi="仿宋" w:eastAsia="仿宋" w:cs="仿宋"/>
          <w:color w:val="000000"/>
          <w:sz w:val="24"/>
          <w:highlight w:val="none"/>
          <w:u w:val="dotted"/>
        </w:rPr>
        <w:t xml:space="preserve">                 </w:t>
      </w:r>
    </w:p>
    <w:p w14:paraId="09AC19FF">
      <w:pPr>
        <w:adjustRightInd w:val="0"/>
        <w:snapToGrid w:val="0"/>
        <w:spacing w:line="360" w:lineRule="auto"/>
        <w:rPr>
          <w:rFonts w:hint="eastAsia" w:ascii="仿宋" w:hAnsi="仿宋" w:eastAsia="仿宋" w:cs="仿宋"/>
          <w:color w:val="000000"/>
          <w:sz w:val="24"/>
          <w:highlight w:val="none"/>
          <w:u w:val="dotted"/>
        </w:rPr>
      </w:pPr>
      <w:r>
        <w:rPr>
          <w:rFonts w:hint="eastAsia" w:ascii="仿宋" w:hAnsi="仿宋" w:eastAsia="仿宋" w:cs="仿宋"/>
          <w:color w:val="000000"/>
          <w:sz w:val="24"/>
          <w:highlight w:val="none"/>
        </w:rPr>
        <w:t>采购人名称：</w:t>
      </w:r>
      <w:r>
        <w:rPr>
          <w:rFonts w:hint="eastAsia" w:ascii="仿宋" w:hAnsi="仿宋" w:eastAsia="仿宋" w:cs="仿宋"/>
          <w:color w:val="000000"/>
          <w:sz w:val="24"/>
          <w:highlight w:val="none"/>
          <w:u w:val="dotted"/>
        </w:rPr>
        <w:t xml:space="preserve">                                          </w:t>
      </w:r>
    </w:p>
    <w:p w14:paraId="2168A197">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采购文件获取日期：</w:t>
      </w:r>
      <w:r>
        <w:rPr>
          <w:rFonts w:hint="eastAsia" w:ascii="仿宋" w:hAnsi="仿宋" w:eastAsia="仿宋" w:cs="仿宋"/>
          <w:color w:val="000000"/>
          <w:sz w:val="24"/>
          <w:highlight w:val="none"/>
          <w:u w:val="dotted"/>
        </w:rPr>
        <w:t xml:space="preserve">                                    </w:t>
      </w:r>
    </w:p>
    <w:p w14:paraId="07C0FB95">
      <w:pPr>
        <w:adjustRightInd w:val="0"/>
        <w:snapToGrid w:val="0"/>
        <w:spacing w:line="360" w:lineRule="auto"/>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三、质疑事项具体内容</w:t>
      </w:r>
    </w:p>
    <w:p w14:paraId="65A687BC">
      <w:pPr>
        <w:adjustRightInd w:val="0"/>
        <w:snapToGrid w:val="0"/>
        <w:spacing w:line="360" w:lineRule="auto"/>
        <w:rPr>
          <w:rFonts w:hint="eastAsia" w:ascii="仿宋" w:hAnsi="仿宋" w:eastAsia="仿宋" w:cs="仿宋"/>
          <w:color w:val="000000"/>
          <w:sz w:val="24"/>
          <w:highlight w:val="none"/>
          <w:u w:val="dotted"/>
        </w:rPr>
      </w:pPr>
      <w:r>
        <w:rPr>
          <w:rFonts w:hint="eastAsia" w:ascii="仿宋" w:hAnsi="仿宋" w:eastAsia="仿宋" w:cs="仿宋"/>
          <w:color w:val="000000"/>
          <w:sz w:val="24"/>
          <w:highlight w:val="none"/>
        </w:rPr>
        <w:t>质疑事项1：</w:t>
      </w:r>
      <w:r>
        <w:rPr>
          <w:rFonts w:hint="eastAsia" w:ascii="仿宋" w:hAnsi="仿宋" w:eastAsia="仿宋" w:cs="仿宋"/>
          <w:color w:val="000000"/>
          <w:sz w:val="24"/>
          <w:highlight w:val="none"/>
          <w:u w:val="dotted"/>
        </w:rPr>
        <w:t xml:space="preserve">                                         </w:t>
      </w:r>
    </w:p>
    <w:p w14:paraId="522BB746">
      <w:pPr>
        <w:adjustRightInd w:val="0"/>
        <w:snapToGrid w:val="0"/>
        <w:spacing w:line="360" w:lineRule="auto"/>
        <w:rPr>
          <w:rFonts w:hint="eastAsia" w:ascii="仿宋" w:hAnsi="仿宋" w:eastAsia="仿宋" w:cs="仿宋"/>
          <w:color w:val="000000"/>
          <w:sz w:val="24"/>
          <w:highlight w:val="none"/>
          <w:u w:val="dotted"/>
        </w:rPr>
      </w:pPr>
      <w:r>
        <w:rPr>
          <w:rFonts w:hint="eastAsia" w:ascii="仿宋" w:hAnsi="仿宋" w:eastAsia="仿宋" w:cs="仿宋"/>
          <w:color w:val="000000"/>
          <w:sz w:val="24"/>
          <w:highlight w:val="none"/>
        </w:rPr>
        <w:t>事实依据：</w:t>
      </w:r>
      <w:r>
        <w:rPr>
          <w:rFonts w:hint="eastAsia" w:ascii="仿宋" w:hAnsi="仿宋" w:eastAsia="仿宋" w:cs="仿宋"/>
          <w:color w:val="000000"/>
          <w:sz w:val="24"/>
          <w:highlight w:val="none"/>
          <w:u w:val="dotted"/>
        </w:rPr>
        <w:t xml:space="preserve">                                          </w:t>
      </w:r>
    </w:p>
    <w:p w14:paraId="740EC9BE">
      <w:pPr>
        <w:adjustRightInd w:val="0"/>
        <w:snapToGrid w:val="0"/>
        <w:spacing w:line="360" w:lineRule="auto"/>
        <w:rPr>
          <w:rFonts w:hint="eastAsia" w:ascii="仿宋" w:hAnsi="仿宋" w:eastAsia="仿宋" w:cs="仿宋"/>
          <w:color w:val="000000"/>
          <w:sz w:val="24"/>
          <w:highlight w:val="none"/>
          <w:u w:val="dotted"/>
        </w:rPr>
      </w:pPr>
      <w:r>
        <w:rPr>
          <w:rFonts w:hint="eastAsia" w:ascii="仿宋" w:hAnsi="仿宋" w:eastAsia="仿宋" w:cs="仿宋"/>
          <w:color w:val="000000"/>
          <w:sz w:val="24"/>
          <w:highlight w:val="none"/>
          <w:u w:val="dotted"/>
        </w:rPr>
        <w:t xml:space="preserve">                                                    </w:t>
      </w:r>
    </w:p>
    <w:p w14:paraId="52DC6F74">
      <w:pPr>
        <w:adjustRightInd w:val="0"/>
        <w:snapToGrid w:val="0"/>
        <w:spacing w:line="360" w:lineRule="auto"/>
        <w:rPr>
          <w:rFonts w:hint="eastAsia" w:ascii="仿宋" w:hAnsi="仿宋" w:eastAsia="仿宋" w:cs="仿宋"/>
          <w:color w:val="000000"/>
          <w:sz w:val="24"/>
          <w:highlight w:val="none"/>
          <w:u w:val="dotted"/>
        </w:rPr>
      </w:pPr>
      <w:r>
        <w:rPr>
          <w:rFonts w:hint="eastAsia" w:ascii="仿宋" w:hAnsi="仿宋" w:eastAsia="仿宋" w:cs="仿宋"/>
          <w:color w:val="000000"/>
          <w:sz w:val="24"/>
          <w:highlight w:val="none"/>
        </w:rPr>
        <w:t>法律依据：</w:t>
      </w:r>
      <w:r>
        <w:rPr>
          <w:rFonts w:hint="eastAsia" w:ascii="仿宋" w:hAnsi="仿宋" w:eastAsia="仿宋" w:cs="仿宋"/>
          <w:color w:val="000000"/>
          <w:sz w:val="24"/>
          <w:highlight w:val="none"/>
          <w:u w:val="dotted"/>
        </w:rPr>
        <w:t xml:space="preserve">                                          </w:t>
      </w:r>
    </w:p>
    <w:p w14:paraId="3ED18104">
      <w:pPr>
        <w:adjustRightInd w:val="0"/>
        <w:snapToGrid w:val="0"/>
        <w:spacing w:line="360" w:lineRule="auto"/>
        <w:rPr>
          <w:rFonts w:hint="eastAsia" w:ascii="仿宋" w:hAnsi="仿宋" w:eastAsia="仿宋" w:cs="仿宋"/>
          <w:color w:val="000000"/>
          <w:sz w:val="24"/>
          <w:highlight w:val="none"/>
          <w:u w:val="dotted"/>
        </w:rPr>
      </w:pPr>
      <w:r>
        <w:rPr>
          <w:rFonts w:hint="eastAsia" w:ascii="仿宋" w:hAnsi="仿宋" w:eastAsia="仿宋" w:cs="仿宋"/>
          <w:color w:val="000000"/>
          <w:sz w:val="24"/>
          <w:highlight w:val="none"/>
          <w:u w:val="dotted"/>
        </w:rPr>
        <w:t xml:space="preserve">                                                    </w:t>
      </w:r>
    </w:p>
    <w:p w14:paraId="3CEF26BC">
      <w:pPr>
        <w:adjustRightInd w:val="0"/>
        <w:snapToGrid w:val="0"/>
        <w:spacing w:line="360" w:lineRule="auto"/>
        <w:rPr>
          <w:rFonts w:hint="eastAsia" w:ascii="仿宋" w:hAnsi="仿宋" w:eastAsia="仿宋" w:cs="仿宋"/>
          <w:color w:val="000000"/>
          <w:sz w:val="24"/>
          <w:highlight w:val="none"/>
          <w:u w:val="dotted"/>
        </w:rPr>
      </w:pPr>
      <w:r>
        <w:rPr>
          <w:rFonts w:hint="eastAsia" w:ascii="仿宋" w:hAnsi="仿宋" w:eastAsia="仿宋" w:cs="仿宋"/>
          <w:color w:val="000000"/>
          <w:sz w:val="24"/>
          <w:highlight w:val="none"/>
        </w:rPr>
        <w:t>质疑事项2</w:t>
      </w:r>
    </w:p>
    <w:p w14:paraId="4B1E4EBB">
      <w:pPr>
        <w:adjustRightInd w:val="0"/>
        <w:snapToGrid w:val="0"/>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p w14:paraId="41728EBD">
      <w:pPr>
        <w:adjustRightInd w:val="0"/>
        <w:snapToGrid w:val="0"/>
        <w:spacing w:line="360" w:lineRule="auto"/>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四、与质疑事项相关的质疑请求</w:t>
      </w:r>
    </w:p>
    <w:p w14:paraId="31254BDF">
      <w:pPr>
        <w:adjustRightInd w:val="0"/>
        <w:snapToGrid w:val="0"/>
        <w:spacing w:line="360" w:lineRule="auto"/>
        <w:rPr>
          <w:rFonts w:hint="eastAsia" w:ascii="仿宋" w:hAnsi="仿宋" w:eastAsia="仿宋" w:cs="仿宋"/>
          <w:color w:val="000000"/>
          <w:sz w:val="24"/>
          <w:highlight w:val="none"/>
          <w:u w:val="dotted"/>
        </w:rPr>
      </w:pPr>
      <w:r>
        <w:rPr>
          <w:rFonts w:hint="eastAsia" w:ascii="仿宋" w:hAnsi="仿宋" w:eastAsia="仿宋" w:cs="仿宋"/>
          <w:color w:val="000000"/>
          <w:sz w:val="24"/>
          <w:highlight w:val="none"/>
        </w:rPr>
        <w:t>请求：</w:t>
      </w:r>
      <w:r>
        <w:rPr>
          <w:rFonts w:hint="eastAsia" w:ascii="仿宋" w:hAnsi="仿宋" w:eastAsia="仿宋" w:cs="仿宋"/>
          <w:color w:val="000000"/>
          <w:sz w:val="24"/>
          <w:highlight w:val="none"/>
          <w:u w:val="dotted"/>
        </w:rPr>
        <w:t xml:space="preserve">                                               </w:t>
      </w:r>
    </w:p>
    <w:p w14:paraId="5B96E6AB">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签字(签章)：                   公章：                      </w:t>
      </w:r>
    </w:p>
    <w:p w14:paraId="6FDA7344">
      <w:pPr>
        <w:spacing w:line="360" w:lineRule="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 xml:space="preserve">日期：    </w:t>
      </w:r>
    </w:p>
    <w:p w14:paraId="14AA900F">
      <w:pPr>
        <w:widowControl/>
        <w:jc w:val="left"/>
        <w:rPr>
          <w:rFonts w:ascii="仿宋" w:hAnsi="仿宋" w:eastAsia="仿宋" w:cs="仿宋"/>
          <w:color w:val="000000"/>
          <w:sz w:val="32"/>
          <w:szCs w:val="32"/>
          <w:highlight w:val="none"/>
        </w:rPr>
      </w:pPr>
      <w:r>
        <w:rPr>
          <w:rFonts w:ascii="仿宋" w:hAnsi="仿宋" w:eastAsia="仿宋" w:cs="仿宋"/>
          <w:color w:val="000000"/>
          <w:sz w:val="32"/>
          <w:szCs w:val="32"/>
          <w:highlight w:val="none"/>
        </w:rPr>
        <w:br w:type="page"/>
      </w:r>
    </w:p>
    <w:p w14:paraId="6E69F71F">
      <w:pPr>
        <w:rPr>
          <w:rFonts w:hint="eastAsia" w:ascii="仿宋" w:hAnsi="仿宋" w:eastAsia="仿宋" w:cs="仿宋"/>
          <w:b/>
          <w:color w:val="000000"/>
          <w:sz w:val="28"/>
          <w:szCs w:val="32"/>
          <w:highlight w:val="none"/>
        </w:rPr>
      </w:pPr>
      <w:bookmarkStart w:id="747" w:name="_Toc11441"/>
      <w:r>
        <w:rPr>
          <w:rFonts w:hint="eastAsia" w:ascii="仿宋" w:hAnsi="仿宋" w:eastAsia="仿宋" w:cs="仿宋"/>
          <w:b/>
          <w:color w:val="000000"/>
          <w:sz w:val="28"/>
          <w:szCs w:val="32"/>
          <w:highlight w:val="none"/>
        </w:rPr>
        <w:t>质疑函制作说明：</w:t>
      </w:r>
      <w:bookmarkEnd w:id="747"/>
    </w:p>
    <w:p w14:paraId="36320B62">
      <w:pPr>
        <w:spacing w:line="360" w:lineRule="auto"/>
        <w:ind w:firstLine="435"/>
        <w:rPr>
          <w:rFonts w:hint="eastAsia" w:ascii="仿宋" w:hAnsi="仿宋" w:eastAsia="仿宋" w:cs="仿宋"/>
          <w:color w:val="000000"/>
          <w:sz w:val="24"/>
          <w:highlight w:val="none"/>
        </w:rPr>
      </w:pPr>
      <w:r>
        <w:rPr>
          <w:rFonts w:hint="eastAsia" w:ascii="仿宋" w:hAnsi="仿宋" w:eastAsia="仿宋" w:cs="仿宋"/>
          <w:color w:val="000000"/>
          <w:sz w:val="24"/>
          <w:highlight w:val="none"/>
        </w:rPr>
        <w:t>1.供应商提出质疑时，应提交质疑函和必要的证明材料。</w:t>
      </w:r>
    </w:p>
    <w:p w14:paraId="4C9BD201">
      <w:pPr>
        <w:spacing w:line="360" w:lineRule="auto"/>
        <w:ind w:firstLine="435"/>
        <w:rPr>
          <w:rFonts w:hint="eastAsia" w:ascii="仿宋" w:hAnsi="仿宋" w:eastAsia="仿宋" w:cs="仿宋"/>
          <w:color w:val="000000"/>
          <w:sz w:val="24"/>
          <w:highlight w:val="none"/>
        </w:rPr>
      </w:pPr>
      <w:r>
        <w:rPr>
          <w:rFonts w:hint="eastAsia" w:ascii="仿宋" w:hAnsi="仿宋" w:eastAsia="仿宋" w:cs="仿宋"/>
          <w:color w:val="000000"/>
          <w:sz w:val="24"/>
          <w:highlight w:val="none"/>
        </w:rPr>
        <w:t>2.质疑供应商若委托授权代表进行质疑的，质疑函应按要求列明“授权代表”的有关内容，并在附件中提交由质疑供应商签署的授权委托书。授权委托书应载明授权代表的姓名或者名称、代理事项、具体权限、期限和相关事项。</w:t>
      </w:r>
    </w:p>
    <w:p w14:paraId="0B4BBFF8">
      <w:pPr>
        <w:spacing w:line="360" w:lineRule="auto"/>
        <w:ind w:firstLine="435"/>
        <w:rPr>
          <w:rFonts w:hint="eastAsia" w:ascii="仿宋" w:hAnsi="仿宋" w:eastAsia="仿宋" w:cs="仿宋"/>
          <w:color w:val="000000"/>
          <w:sz w:val="24"/>
          <w:highlight w:val="none"/>
        </w:rPr>
      </w:pPr>
      <w:r>
        <w:rPr>
          <w:rFonts w:hint="eastAsia" w:ascii="仿宋" w:hAnsi="仿宋" w:eastAsia="仿宋" w:cs="仿宋"/>
          <w:color w:val="000000"/>
          <w:sz w:val="24"/>
          <w:highlight w:val="none"/>
        </w:rPr>
        <w:t>3.质疑供应商若对项目的某一采购包进行质疑，质疑函中应列明具体包号。</w:t>
      </w:r>
    </w:p>
    <w:p w14:paraId="5E452E0B">
      <w:pPr>
        <w:spacing w:line="360" w:lineRule="auto"/>
        <w:ind w:firstLine="435"/>
        <w:rPr>
          <w:rFonts w:hint="eastAsia" w:ascii="仿宋" w:hAnsi="仿宋" w:eastAsia="仿宋" w:cs="仿宋"/>
          <w:color w:val="000000"/>
          <w:sz w:val="24"/>
          <w:highlight w:val="none"/>
        </w:rPr>
      </w:pPr>
      <w:r>
        <w:rPr>
          <w:rFonts w:hint="eastAsia" w:ascii="仿宋" w:hAnsi="仿宋" w:eastAsia="仿宋" w:cs="仿宋"/>
          <w:color w:val="000000"/>
          <w:sz w:val="24"/>
          <w:highlight w:val="none"/>
        </w:rPr>
        <w:t>4.质疑函的质疑事项应具体、明确，并有必要的事实依据和法律依据。</w:t>
      </w:r>
    </w:p>
    <w:p w14:paraId="46117914">
      <w:pPr>
        <w:spacing w:line="360" w:lineRule="auto"/>
        <w:ind w:firstLine="435"/>
        <w:rPr>
          <w:rFonts w:hint="eastAsia" w:ascii="仿宋" w:hAnsi="仿宋" w:eastAsia="仿宋" w:cs="仿宋"/>
          <w:color w:val="000000"/>
          <w:sz w:val="24"/>
          <w:highlight w:val="none"/>
        </w:rPr>
      </w:pPr>
      <w:r>
        <w:rPr>
          <w:rFonts w:hint="eastAsia" w:ascii="仿宋" w:hAnsi="仿宋" w:eastAsia="仿宋" w:cs="仿宋"/>
          <w:color w:val="000000"/>
          <w:sz w:val="24"/>
          <w:highlight w:val="none"/>
        </w:rPr>
        <w:t>5.质疑函的质疑请求应与质疑事项相关。</w:t>
      </w:r>
    </w:p>
    <w:p w14:paraId="189C144C">
      <w:pPr>
        <w:spacing w:line="360" w:lineRule="auto"/>
        <w:ind w:firstLine="435"/>
        <w:rPr>
          <w:rFonts w:hint="eastAsia" w:ascii="宋体" w:hAnsi="宋体" w:cs="宋体"/>
          <w:color w:val="000000"/>
          <w:szCs w:val="28"/>
          <w:highlight w:val="none"/>
        </w:rPr>
      </w:pPr>
      <w:r>
        <w:rPr>
          <w:rFonts w:hint="eastAsia" w:ascii="仿宋" w:hAnsi="仿宋" w:eastAsia="仿宋" w:cs="仿宋"/>
          <w:color w:val="000000"/>
          <w:sz w:val="24"/>
          <w:highlight w:val="none"/>
        </w:rPr>
        <w:t>6.质疑供应商为自然人的，质疑函应由本人签字；质疑供应商为法人或者其他组织的，质疑函应由法定代表人/主要负责人/其授权代表签字或者盖签字章，并加盖公章。</w:t>
      </w:r>
    </w:p>
    <w:p w14:paraId="761B60C5">
      <w:pPr>
        <w:widowControl/>
        <w:adjustRightInd w:val="0"/>
        <w:snapToGrid w:val="0"/>
        <w:spacing w:line="360" w:lineRule="auto"/>
        <w:ind w:firstLine="420" w:firstLineChars="200"/>
        <w:rPr>
          <w:rFonts w:hint="eastAsia" w:ascii="宋体" w:hAnsi="宋体" w:eastAsia="仿宋"/>
          <w:color w:val="000000"/>
          <w:szCs w:val="21"/>
          <w:highlight w:val="none"/>
        </w:rPr>
      </w:pPr>
    </w:p>
    <w:p w14:paraId="17DDF224">
      <w:pPr>
        <w:widowControl/>
        <w:adjustRightInd w:val="0"/>
        <w:snapToGrid w:val="0"/>
        <w:spacing w:line="360" w:lineRule="auto"/>
        <w:ind w:firstLine="420" w:firstLineChars="200"/>
        <w:rPr>
          <w:rFonts w:hint="eastAsia" w:ascii="宋体" w:hAnsi="宋体" w:eastAsia="仿宋"/>
          <w:color w:val="000000"/>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6FE810B8">
      <w:pPr>
        <w:pStyle w:val="2"/>
        <w:widowControl/>
        <w:snapToGrid w:val="0"/>
        <w:spacing w:before="0" w:after="0" w:line="360" w:lineRule="auto"/>
        <w:jc w:val="center"/>
        <w:rPr>
          <w:rFonts w:hint="eastAsia" w:ascii="宋体" w:hAnsi="宋体" w:eastAsia="仿宋"/>
          <w:color w:val="000000"/>
          <w:highlight w:val="none"/>
        </w:rPr>
      </w:pPr>
      <w:bookmarkStart w:id="748" w:name="_Toc466024555"/>
      <w:bookmarkStart w:id="749" w:name="_Toc24366"/>
      <w:bookmarkStart w:id="750" w:name="_Toc445554746"/>
      <w:bookmarkStart w:id="751" w:name="_Toc241459648"/>
      <w:bookmarkStart w:id="752" w:name="_Toc342296244"/>
      <w:bookmarkStart w:id="753" w:name="_Toc144974565"/>
      <w:bookmarkStart w:id="754" w:name="_Toc152045598"/>
      <w:bookmarkStart w:id="755" w:name="_Toc152042375"/>
      <w:bookmarkStart w:id="756" w:name="_Toc342296242"/>
      <w:bookmarkStart w:id="757" w:name="_Toc179632616"/>
      <w:bookmarkStart w:id="758" w:name="_Toc342297699"/>
      <w:bookmarkStart w:id="759" w:name="_Toc342297701"/>
      <w:r>
        <w:rPr>
          <w:rFonts w:hint="eastAsia" w:ascii="宋体" w:hAnsi="宋体" w:eastAsia="仿宋"/>
          <w:color w:val="000000"/>
          <w:highlight w:val="none"/>
        </w:rPr>
        <w:t>第三章  采购需求</w:t>
      </w:r>
      <w:bookmarkEnd w:id="748"/>
      <w:bookmarkEnd w:id="749"/>
      <w:bookmarkEnd w:id="750"/>
    </w:p>
    <w:p w14:paraId="43512940">
      <w:pPr>
        <w:pStyle w:val="3"/>
        <w:rPr>
          <w:rStyle w:val="106"/>
          <w:rFonts w:ascii="宋体" w:hAnsi="宋体" w:eastAsia="仿宋"/>
          <w:b/>
          <w:bCs/>
          <w:color w:val="000000"/>
          <w:sz w:val="24"/>
          <w:szCs w:val="24"/>
          <w:highlight w:val="none"/>
        </w:rPr>
      </w:pPr>
      <w:bookmarkStart w:id="760" w:name="_Toc455587273"/>
      <w:bookmarkStart w:id="761" w:name="_Toc466024556"/>
      <w:bookmarkStart w:id="762" w:name="_Toc455587089"/>
      <w:bookmarkStart w:id="763" w:name="_Toc445554747"/>
      <w:r>
        <w:rPr>
          <w:rStyle w:val="106"/>
          <w:rFonts w:hint="eastAsia" w:ascii="宋体" w:hAnsi="宋体" w:eastAsia="仿宋"/>
          <w:b/>
          <w:bCs/>
          <w:color w:val="000000"/>
          <w:sz w:val="24"/>
          <w:szCs w:val="24"/>
          <w:highlight w:val="none"/>
        </w:rPr>
        <w:t xml:space="preserve">1. </w:t>
      </w:r>
      <w:bookmarkEnd w:id="760"/>
      <w:bookmarkEnd w:id="761"/>
      <w:bookmarkEnd w:id="762"/>
      <w:r>
        <w:rPr>
          <w:rStyle w:val="106"/>
          <w:rFonts w:hint="eastAsia" w:ascii="宋体" w:hAnsi="宋体" w:eastAsia="仿宋"/>
          <w:b/>
          <w:bCs/>
          <w:color w:val="000000"/>
          <w:sz w:val="24"/>
          <w:szCs w:val="24"/>
          <w:highlight w:val="none"/>
        </w:rPr>
        <w:t>总体说明</w:t>
      </w:r>
    </w:p>
    <w:p w14:paraId="614CEE1E">
      <w:pPr>
        <w:widowControl/>
        <w:tabs>
          <w:tab w:val="left" w:pos="1406"/>
        </w:tabs>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5387F679">
      <w:pPr>
        <w:widowControl/>
        <w:tabs>
          <w:tab w:val="left" w:pos="1406"/>
        </w:tabs>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7C4457A0">
      <w:pPr>
        <w:widowControl/>
        <w:tabs>
          <w:tab w:val="left" w:pos="1406"/>
        </w:tabs>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1.3 除非有特别说明，本章中所列的具体参数或参数范围，均理解为采购人可接受的最低要求。</w:t>
      </w:r>
    </w:p>
    <w:p w14:paraId="28932259">
      <w:pPr>
        <w:widowControl/>
        <w:tabs>
          <w:tab w:val="left" w:pos="1406"/>
        </w:tabs>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000000"/>
          <w:sz w:val="24"/>
          <w:highlight w:val="none"/>
        </w:rPr>
        <w:t>进口产品的认定按照财政部文件《关于政府采购进口产品管理有关问题的通知》（财办库〔2008〕248号）规定，整机设备内元器件不做限制。</w:t>
      </w:r>
    </w:p>
    <w:p w14:paraId="0ED6ED54">
      <w:pPr>
        <w:widowControl/>
        <w:tabs>
          <w:tab w:val="left" w:pos="1406"/>
        </w:tabs>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6F82C121">
      <w:pPr>
        <w:pStyle w:val="3"/>
        <w:rPr>
          <w:rStyle w:val="106"/>
          <w:rFonts w:hint="eastAsia" w:ascii="宋体" w:hAnsi="宋体" w:eastAsia="仿宋"/>
          <w:b/>
          <w:bCs/>
          <w:color w:val="000000"/>
          <w:sz w:val="24"/>
          <w:szCs w:val="24"/>
          <w:highlight w:val="none"/>
        </w:rPr>
      </w:pPr>
      <w:bookmarkStart w:id="764" w:name="_Toc455587090"/>
      <w:bookmarkStart w:id="765" w:name="_Toc455587274"/>
      <w:bookmarkStart w:id="766" w:name="_Toc466024557"/>
      <w:r>
        <w:rPr>
          <w:rStyle w:val="106"/>
          <w:rFonts w:hint="eastAsia" w:ascii="宋体" w:hAnsi="宋体" w:eastAsia="仿宋"/>
          <w:b/>
          <w:bCs/>
          <w:color w:val="000000"/>
          <w:sz w:val="24"/>
          <w:szCs w:val="24"/>
          <w:highlight w:val="none"/>
        </w:rPr>
        <w:t>2. 采购内容及范围</w:t>
      </w:r>
      <w:bookmarkEnd w:id="764"/>
      <w:bookmarkEnd w:id="765"/>
      <w:bookmarkEnd w:id="766"/>
    </w:p>
    <w:p w14:paraId="74CBD10A">
      <w:pPr>
        <w:widowControl/>
        <w:tabs>
          <w:tab w:val="left" w:pos="1406"/>
        </w:tabs>
        <w:snapToGrid w:val="0"/>
        <w:spacing w:line="360" w:lineRule="auto"/>
        <w:ind w:firstLine="412" w:firstLineChars="171"/>
        <w:rPr>
          <w:rFonts w:hint="eastAsia" w:ascii="宋体" w:hAnsi="宋体"/>
          <w:b/>
          <w:color w:val="000000"/>
          <w:sz w:val="24"/>
          <w:highlight w:val="none"/>
        </w:rPr>
      </w:pPr>
      <w:r>
        <w:rPr>
          <w:rFonts w:hint="eastAsia" w:ascii="宋体" w:hAnsi="宋体" w:eastAsia="仿宋"/>
          <w:b/>
          <w:color w:val="000000"/>
          <w:sz w:val="24"/>
          <w:highlight w:val="none"/>
        </w:rPr>
        <w:t>2.1 采购内容</w:t>
      </w: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50"/>
        <w:gridCol w:w="1555"/>
        <w:gridCol w:w="764"/>
        <w:gridCol w:w="790"/>
        <w:gridCol w:w="1032"/>
        <w:gridCol w:w="1070"/>
        <w:gridCol w:w="2139"/>
      </w:tblGrid>
      <w:tr w14:paraId="43C46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tcMar>
              <w:top w:w="0" w:type="dxa"/>
              <w:left w:w="108" w:type="dxa"/>
              <w:bottom w:w="0" w:type="dxa"/>
              <w:right w:w="108" w:type="dxa"/>
            </w:tcMar>
            <w:vAlign w:val="center"/>
          </w:tcPr>
          <w:p w14:paraId="698837AA">
            <w:pPr>
              <w:widowControl/>
              <w:autoSpaceDN w:val="0"/>
              <w:jc w:val="center"/>
              <w:rPr>
                <w:rFonts w:hint="eastAsia" w:ascii="仿宋" w:hAnsi="仿宋" w:eastAsia="仿宋"/>
                <w:color w:val="000000"/>
                <w:sz w:val="24"/>
                <w:highlight w:val="none"/>
              </w:rPr>
            </w:pPr>
            <w:r>
              <w:rPr>
                <w:rFonts w:hint="eastAsia" w:ascii="仿宋" w:hAnsi="仿宋" w:eastAsia="仿宋"/>
                <w:color w:val="000000"/>
                <w:sz w:val="24"/>
                <w:highlight w:val="none"/>
              </w:rPr>
              <w:t>包号</w:t>
            </w:r>
          </w:p>
        </w:tc>
        <w:tc>
          <w:tcPr>
            <w:tcW w:w="1050" w:type="dxa"/>
            <w:noWrap w:val="0"/>
            <w:tcMar>
              <w:top w:w="0" w:type="dxa"/>
              <w:left w:w="108" w:type="dxa"/>
              <w:bottom w:w="0" w:type="dxa"/>
              <w:right w:w="108" w:type="dxa"/>
            </w:tcMar>
            <w:vAlign w:val="center"/>
          </w:tcPr>
          <w:p w14:paraId="706E9B02">
            <w:pPr>
              <w:widowControl/>
              <w:autoSpaceDN w:val="0"/>
              <w:jc w:val="center"/>
              <w:rPr>
                <w:rFonts w:ascii="仿宋" w:hAnsi="仿宋" w:eastAsia="仿宋"/>
                <w:color w:val="000000"/>
                <w:sz w:val="24"/>
                <w:highlight w:val="none"/>
              </w:rPr>
            </w:pPr>
            <w:r>
              <w:rPr>
                <w:rFonts w:ascii="仿宋" w:hAnsi="仿宋" w:eastAsia="仿宋"/>
                <w:color w:val="000000"/>
                <w:sz w:val="24"/>
                <w:highlight w:val="none"/>
              </w:rPr>
              <w:t>序号</w:t>
            </w:r>
          </w:p>
        </w:tc>
        <w:tc>
          <w:tcPr>
            <w:tcW w:w="1555" w:type="dxa"/>
            <w:noWrap w:val="0"/>
            <w:tcMar>
              <w:top w:w="0" w:type="dxa"/>
              <w:left w:w="108" w:type="dxa"/>
              <w:bottom w:w="0" w:type="dxa"/>
              <w:right w:w="108" w:type="dxa"/>
            </w:tcMar>
            <w:vAlign w:val="center"/>
          </w:tcPr>
          <w:p w14:paraId="2071D5A2">
            <w:pPr>
              <w:widowControl/>
              <w:autoSpaceDN w:val="0"/>
              <w:jc w:val="center"/>
              <w:rPr>
                <w:rFonts w:ascii="仿宋" w:hAnsi="仿宋" w:eastAsia="仿宋"/>
                <w:color w:val="000000"/>
                <w:sz w:val="24"/>
                <w:highlight w:val="none"/>
              </w:rPr>
            </w:pPr>
            <w:r>
              <w:rPr>
                <w:rFonts w:hint="eastAsia" w:ascii="仿宋" w:hAnsi="仿宋" w:eastAsia="仿宋"/>
                <w:color w:val="000000"/>
                <w:sz w:val="24"/>
                <w:highlight w:val="none"/>
              </w:rPr>
              <w:t>标的</w:t>
            </w:r>
            <w:r>
              <w:rPr>
                <w:rFonts w:ascii="仿宋" w:hAnsi="仿宋" w:eastAsia="仿宋"/>
                <w:color w:val="000000"/>
                <w:sz w:val="24"/>
                <w:highlight w:val="none"/>
              </w:rPr>
              <w:t>名称</w:t>
            </w:r>
          </w:p>
        </w:tc>
        <w:tc>
          <w:tcPr>
            <w:tcW w:w="764" w:type="dxa"/>
            <w:noWrap w:val="0"/>
            <w:tcMar>
              <w:top w:w="0" w:type="dxa"/>
              <w:left w:w="108" w:type="dxa"/>
              <w:bottom w:w="0" w:type="dxa"/>
              <w:right w:w="108" w:type="dxa"/>
            </w:tcMar>
            <w:vAlign w:val="center"/>
          </w:tcPr>
          <w:p w14:paraId="701ADFC1">
            <w:pPr>
              <w:widowControl/>
              <w:autoSpaceDN w:val="0"/>
              <w:jc w:val="center"/>
              <w:rPr>
                <w:rFonts w:hint="eastAsia" w:ascii="仿宋" w:hAnsi="仿宋" w:eastAsia="仿宋"/>
                <w:color w:val="000000"/>
                <w:sz w:val="24"/>
                <w:highlight w:val="none"/>
              </w:rPr>
            </w:pPr>
            <w:r>
              <w:rPr>
                <w:rFonts w:hint="eastAsia" w:ascii="仿宋" w:hAnsi="仿宋" w:eastAsia="仿宋"/>
                <w:color w:val="000000"/>
                <w:sz w:val="24"/>
                <w:highlight w:val="none"/>
              </w:rPr>
              <w:t>单位</w:t>
            </w:r>
          </w:p>
        </w:tc>
        <w:tc>
          <w:tcPr>
            <w:tcW w:w="790" w:type="dxa"/>
            <w:noWrap w:val="0"/>
            <w:tcMar>
              <w:top w:w="0" w:type="dxa"/>
              <w:left w:w="108" w:type="dxa"/>
              <w:bottom w:w="0" w:type="dxa"/>
              <w:right w:w="108" w:type="dxa"/>
            </w:tcMar>
            <w:vAlign w:val="center"/>
          </w:tcPr>
          <w:p w14:paraId="060419D5">
            <w:pPr>
              <w:widowControl/>
              <w:autoSpaceDN w:val="0"/>
              <w:jc w:val="center"/>
              <w:rPr>
                <w:rFonts w:ascii="仿宋" w:hAnsi="仿宋" w:eastAsia="仿宋"/>
                <w:color w:val="000000"/>
                <w:sz w:val="24"/>
                <w:highlight w:val="none"/>
              </w:rPr>
            </w:pPr>
            <w:r>
              <w:rPr>
                <w:rFonts w:hint="eastAsia" w:ascii="仿宋" w:hAnsi="仿宋" w:eastAsia="仿宋"/>
                <w:color w:val="000000"/>
                <w:sz w:val="24"/>
                <w:highlight w:val="none"/>
              </w:rPr>
              <w:t>数量</w:t>
            </w:r>
          </w:p>
        </w:tc>
        <w:tc>
          <w:tcPr>
            <w:tcW w:w="1032" w:type="dxa"/>
            <w:noWrap w:val="0"/>
            <w:tcMar>
              <w:top w:w="0" w:type="dxa"/>
              <w:left w:w="108" w:type="dxa"/>
              <w:bottom w:w="0" w:type="dxa"/>
              <w:right w:w="108" w:type="dxa"/>
            </w:tcMar>
            <w:vAlign w:val="center"/>
          </w:tcPr>
          <w:p w14:paraId="16DC0BC4">
            <w:pPr>
              <w:widowControl/>
              <w:autoSpaceDN w:val="0"/>
              <w:jc w:val="center"/>
              <w:rPr>
                <w:rFonts w:ascii="仿宋" w:hAnsi="仿宋" w:eastAsia="仿宋"/>
                <w:color w:val="000000"/>
                <w:sz w:val="24"/>
                <w:highlight w:val="none"/>
              </w:rPr>
            </w:pPr>
            <w:r>
              <w:rPr>
                <w:rFonts w:hint="eastAsia" w:ascii="仿宋" w:hAnsi="仿宋" w:eastAsia="仿宋"/>
                <w:color w:val="000000"/>
                <w:sz w:val="24"/>
                <w:highlight w:val="none"/>
              </w:rPr>
              <w:t>所属行业</w:t>
            </w:r>
          </w:p>
        </w:tc>
        <w:tc>
          <w:tcPr>
            <w:tcW w:w="1070" w:type="dxa"/>
            <w:noWrap w:val="0"/>
            <w:tcMar>
              <w:top w:w="0" w:type="dxa"/>
              <w:left w:w="108" w:type="dxa"/>
              <w:bottom w:w="0" w:type="dxa"/>
              <w:right w:w="108" w:type="dxa"/>
            </w:tcMar>
            <w:vAlign w:val="center"/>
          </w:tcPr>
          <w:p w14:paraId="2CA6728E">
            <w:pPr>
              <w:widowControl/>
              <w:autoSpaceDN w:val="0"/>
              <w:jc w:val="center"/>
              <w:rPr>
                <w:rFonts w:ascii="仿宋" w:hAnsi="仿宋" w:eastAsia="仿宋"/>
                <w:color w:val="000000"/>
                <w:sz w:val="24"/>
                <w:highlight w:val="none"/>
              </w:rPr>
            </w:pPr>
            <w:r>
              <w:rPr>
                <w:rFonts w:hint="eastAsia" w:ascii="仿宋" w:hAnsi="仿宋" w:eastAsia="仿宋"/>
                <w:color w:val="000000"/>
                <w:sz w:val="24"/>
                <w:highlight w:val="none"/>
              </w:rPr>
              <w:t>是否接受进口</w:t>
            </w:r>
          </w:p>
        </w:tc>
        <w:tc>
          <w:tcPr>
            <w:tcW w:w="2139" w:type="dxa"/>
            <w:noWrap w:val="0"/>
            <w:tcMar>
              <w:top w:w="0" w:type="dxa"/>
              <w:left w:w="108" w:type="dxa"/>
              <w:bottom w:w="0" w:type="dxa"/>
              <w:right w:w="108" w:type="dxa"/>
            </w:tcMar>
            <w:vAlign w:val="center"/>
          </w:tcPr>
          <w:p w14:paraId="3AF40FE8">
            <w:pPr>
              <w:widowControl/>
              <w:autoSpaceDN w:val="0"/>
              <w:jc w:val="center"/>
              <w:rPr>
                <w:rFonts w:hint="eastAsia" w:ascii="仿宋" w:hAnsi="仿宋" w:eastAsia="仿宋"/>
                <w:color w:val="000000"/>
                <w:sz w:val="24"/>
                <w:highlight w:val="none"/>
              </w:rPr>
            </w:pPr>
            <w:r>
              <w:rPr>
                <w:rFonts w:hint="eastAsia" w:ascii="仿宋" w:hAnsi="仿宋" w:eastAsia="仿宋"/>
                <w:color w:val="000000"/>
                <w:sz w:val="24"/>
                <w:highlight w:val="none"/>
              </w:rPr>
              <w:t>备注</w:t>
            </w:r>
          </w:p>
        </w:tc>
      </w:tr>
      <w:tr w14:paraId="5E37C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noWrap w:val="0"/>
            <w:tcMar>
              <w:top w:w="0" w:type="dxa"/>
              <w:left w:w="108" w:type="dxa"/>
              <w:bottom w:w="0" w:type="dxa"/>
              <w:right w:w="108" w:type="dxa"/>
            </w:tcMar>
            <w:vAlign w:val="center"/>
          </w:tcPr>
          <w:p w14:paraId="6635B886">
            <w:pPr>
              <w:widowControl/>
              <w:autoSpaceDN w:val="0"/>
              <w:jc w:val="center"/>
              <w:rPr>
                <w:rFonts w:hint="eastAsia"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1</w:t>
            </w:r>
          </w:p>
        </w:tc>
        <w:tc>
          <w:tcPr>
            <w:tcW w:w="1050" w:type="dxa"/>
            <w:noWrap w:val="0"/>
            <w:tcMar>
              <w:top w:w="0" w:type="dxa"/>
              <w:left w:w="108" w:type="dxa"/>
              <w:bottom w:w="0" w:type="dxa"/>
              <w:right w:w="108" w:type="dxa"/>
            </w:tcMar>
            <w:vAlign w:val="center"/>
          </w:tcPr>
          <w:p w14:paraId="1E48D2F1">
            <w:pPr>
              <w:widowControl/>
              <w:autoSpaceDN w:val="0"/>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品目1</w:t>
            </w:r>
          </w:p>
        </w:tc>
        <w:tc>
          <w:tcPr>
            <w:tcW w:w="1555" w:type="dxa"/>
            <w:noWrap w:val="0"/>
            <w:tcMar>
              <w:top w:w="0" w:type="dxa"/>
              <w:left w:w="108" w:type="dxa"/>
              <w:bottom w:w="0" w:type="dxa"/>
              <w:right w:w="108" w:type="dxa"/>
            </w:tcMar>
            <w:vAlign w:val="center"/>
          </w:tcPr>
          <w:p w14:paraId="69922998">
            <w:pPr>
              <w:widowControl/>
              <w:jc w:val="center"/>
              <w:textAlignment w:val="center"/>
              <w:rPr>
                <w:rFonts w:ascii="仿宋" w:hAnsi="仿宋" w:eastAsia="仿宋"/>
                <w:color w:val="000000"/>
                <w:sz w:val="24"/>
                <w:highlight w:val="none"/>
              </w:rPr>
            </w:pPr>
            <w:r>
              <w:rPr>
                <w:rFonts w:hint="eastAsia" w:ascii="仿宋" w:hAnsi="仿宋" w:eastAsia="仿宋"/>
                <w:color w:val="000000"/>
                <w:sz w:val="24"/>
                <w:highlight w:val="none"/>
              </w:rPr>
              <w:t>结核分枝杆菌测序系统</w:t>
            </w:r>
          </w:p>
        </w:tc>
        <w:tc>
          <w:tcPr>
            <w:tcW w:w="764" w:type="dxa"/>
            <w:noWrap w:val="0"/>
            <w:tcMar>
              <w:top w:w="0" w:type="dxa"/>
              <w:left w:w="108" w:type="dxa"/>
              <w:bottom w:w="0" w:type="dxa"/>
              <w:right w:w="108" w:type="dxa"/>
            </w:tcMar>
            <w:vAlign w:val="center"/>
          </w:tcPr>
          <w:p w14:paraId="24339377">
            <w:pPr>
              <w:widowControl/>
              <w:autoSpaceDN w:val="0"/>
              <w:jc w:val="center"/>
              <w:rPr>
                <w:rFonts w:ascii="仿宋" w:hAnsi="仿宋" w:eastAsia="仿宋"/>
                <w:color w:val="000000"/>
                <w:sz w:val="24"/>
                <w:highlight w:val="none"/>
              </w:rPr>
            </w:pPr>
            <w:r>
              <w:rPr>
                <w:rFonts w:hint="eastAsia" w:ascii="仿宋" w:hAnsi="仿宋" w:eastAsia="仿宋"/>
                <w:color w:val="000000"/>
                <w:sz w:val="24"/>
                <w:highlight w:val="none"/>
              </w:rPr>
              <w:t>套</w:t>
            </w:r>
          </w:p>
        </w:tc>
        <w:tc>
          <w:tcPr>
            <w:tcW w:w="790" w:type="dxa"/>
            <w:noWrap w:val="0"/>
            <w:tcMar>
              <w:top w:w="0" w:type="dxa"/>
              <w:left w:w="108" w:type="dxa"/>
              <w:bottom w:w="0" w:type="dxa"/>
              <w:right w:w="108" w:type="dxa"/>
            </w:tcMar>
            <w:vAlign w:val="center"/>
          </w:tcPr>
          <w:p w14:paraId="7FF5F834">
            <w:pPr>
              <w:jc w:val="center"/>
              <w:rPr>
                <w:rFonts w:hint="eastAsia" w:ascii="仿宋" w:hAnsi="仿宋" w:eastAsia="仿宋"/>
                <w:color w:val="000000"/>
                <w:sz w:val="24"/>
                <w:highlight w:val="none"/>
                <w:lang w:eastAsia="zh-CN"/>
              </w:rPr>
            </w:pPr>
            <w:r>
              <w:rPr>
                <w:rFonts w:hint="eastAsia" w:ascii="仿宋" w:hAnsi="仿宋" w:eastAsia="仿宋"/>
                <w:color w:val="000000"/>
                <w:sz w:val="24"/>
                <w:highlight w:val="none"/>
                <w:lang w:val="en-US" w:eastAsia="zh-CN"/>
              </w:rPr>
              <w:t>1</w:t>
            </w:r>
          </w:p>
        </w:tc>
        <w:tc>
          <w:tcPr>
            <w:tcW w:w="1032" w:type="dxa"/>
            <w:noWrap w:val="0"/>
            <w:tcMar>
              <w:top w:w="0" w:type="dxa"/>
              <w:left w:w="108" w:type="dxa"/>
              <w:bottom w:w="0" w:type="dxa"/>
              <w:right w:w="108" w:type="dxa"/>
            </w:tcMar>
            <w:vAlign w:val="center"/>
          </w:tcPr>
          <w:p w14:paraId="762D1823">
            <w:pPr>
              <w:widowControl/>
              <w:autoSpaceDN w:val="0"/>
              <w:jc w:val="center"/>
              <w:rPr>
                <w:rFonts w:ascii="仿宋" w:hAnsi="仿宋" w:eastAsia="仿宋"/>
                <w:color w:val="000000"/>
                <w:sz w:val="24"/>
                <w:highlight w:val="none"/>
              </w:rPr>
            </w:pPr>
            <w:r>
              <w:rPr>
                <w:rFonts w:hint="eastAsia" w:ascii="仿宋" w:hAnsi="仿宋" w:eastAsia="仿宋"/>
                <w:color w:val="000000"/>
                <w:sz w:val="24"/>
                <w:highlight w:val="none"/>
              </w:rPr>
              <w:t>工业</w:t>
            </w:r>
          </w:p>
        </w:tc>
        <w:tc>
          <w:tcPr>
            <w:tcW w:w="1070" w:type="dxa"/>
            <w:noWrap w:val="0"/>
            <w:tcMar>
              <w:top w:w="0" w:type="dxa"/>
              <w:left w:w="108" w:type="dxa"/>
              <w:bottom w:w="0" w:type="dxa"/>
              <w:right w:w="108" w:type="dxa"/>
            </w:tcMar>
            <w:vAlign w:val="center"/>
          </w:tcPr>
          <w:p w14:paraId="5C0D9F01">
            <w:pPr>
              <w:widowControl/>
              <w:autoSpaceDN w:val="0"/>
              <w:jc w:val="center"/>
              <w:rPr>
                <w:rFonts w:ascii="仿宋" w:hAnsi="仿宋" w:eastAsia="仿宋"/>
                <w:color w:val="000000"/>
                <w:sz w:val="24"/>
                <w:highlight w:val="none"/>
              </w:rPr>
            </w:pPr>
            <w:r>
              <w:rPr>
                <w:rFonts w:hint="eastAsia" w:ascii="仿宋" w:hAnsi="仿宋" w:eastAsia="仿宋"/>
                <w:color w:val="000000"/>
                <w:sz w:val="24"/>
                <w:highlight w:val="none"/>
              </w:rPr>
              <w:t>否</w:t>
            </w:r>
          </w:p>
        </w:tc>
        <w:tc>
          <w:tcPr>
            <w:tcW w:w="2139" w:type="dxa"/>
            <w:noWrap w:val="0"/>
            <w:tcMar>
              <w:top w:w="0" w:type="dxa"/>
              <w:left w:w="108" w:type="dxa"/>
              <w:bottom w:w="0" w:type="dxa"/>
              <w:right w:w="108" w:type="dxa"/>
            </w:tcMar>
            <w:vAlign w:val="center"/>
          </w:tcPr>
          <w:p w14:paraId="6A47AB7A">
            <w:pPr>
              <w:widowControl/>
              <w:autoSpaceDN w:val="0"/>
              <w:jc w:val="center"/>
              <w:rPr>
                <w:rFonts w:ascii="仿宋" w:hAnsi="仿宋" w:eastAsia="仿宋"/>
                <w:color w:val="000000"/>
                <w:sz w:val="24"/>
                <w:highlight w:val="none"/>
              </w:rPr>
            </w:pPr>
          </w:p>
        </w:tc>
      </w:tr>
      <w:tr w14:paraId="23B9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Merge w:val="restart"/>
            <w:noWrap w:val="0"/>
            <w:tcMar>
              <w:top w:w="0" w:type="dxa"/>
              <w:left w:w="108" w:type="dxa"/>
              <w:bottom w:w="0" w:type="dxa"/>
              <w:right w:w="108" w:type="dxa"/>
            </w:tcMar>
            <w:vAlign w:val="center"/>
          </w:tcPr>
          <w:p w14:paraId="7CA4D602">
            <w:pPr>
              <w:widowControl/>
              <w:autoSpaceDN w:val="0"/>
              <w:jc w:val="center"/>
              <w:rPr>
                <w:rFonts w:hint="eastAsia"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2</w:t>
            </w:r>
          </w:p>
        </w:tc>
        <w:tc>
          <w:tcPr>
            <w:tcW w:w="1050" w:type="dxa"/>
            <w:noWrap w:val="0"/>
            <w:tcMar>
              <w:top w:w="0" w:type="dxa"/>
              <w:left w:w="108" w:type="dxa"/>
              <w:bottom w:w="0" w:type="dxa"/>
              <w:right w:w="108" w:type="dxa"/>
            </w:tcMar>
            <w:vAlign w:val="center"/>
          </w:tcPr>
          <w:p w14:paraId="0DA7EA34">
            <w:pPr>
              <w:widowControl/>
              <w:autoSpaceDN w:val="0"/>
              <w:jc w:val="center"/>
              <w:rPr>
                <w:rFonts w:ascii="仿宋" w:hAnsi="仿宋" w:eastAsia="仿宋"/>
                <w:color w:val="000000"/>
                <w:sz w:val="24"/>
                <w:highlight w:val="none"/>
              </w:rPr>
            </w:pPr>
            <w:r>
              <w:rPr>
                <w:rFonts w:hint="eastAsia" w:ascii="仿宋" w:hAnsi="仿宋" w:eastAsia="仿宋"/>
                <w:color w:val="000000"/>
                <w:sz w:val="24"/>
                <w:highlight w:val="none"/>
                <w:lang w:val="en-US" w:eastAsia="zh-CN"/>
              </w:rPr>
              <w:t>品目1</w:t>
            </w:r>
          </w:p>
        </w:tc>
        <w:tc>
          <w:tcPr>
            <w:tcW w:w="1555" w:type="dxa"/>
            <w:noWrap w:val="0"/>
            <w:tcMar>
              <w:top w:w="0" w:type="dxa"/>
              <w:left w:w="108" w:type="dxa"/>
              <w:bottom w:w="0" w:type="dxa"/>
              <w:right w:w="108" w:type="dxa"/>
            </w:tcMar>
            <w:vAlign w:val="center"/>
          </w:tcPr>
          <w:p w14:paraId="2062A302">
            <w:pPr>
              <w:widowControl/>
              <w:jc w:val="center"/>
              <w:rPr>
                <w:rFonts w:ascii="仿宋" w:hAnsi="仿宋" w:eastAsia="仿宋"/>
                <w:color w:val="000000"/>
                <w:sz w:val="24"/>
                <w:highlight w:val="none"/>
              </w:rPr>
            </w:pPr>
            <w:r>
              <w:rPr>
                <w:rFonts w:hint="eastAsia" w:ascii="仿宋" w:hAnsi="仿宋" w:eastAsia="仿宋"/>
                <w:color w:val="000000"/>
                <w:sz w:val="24"/>
                <w:highlight w:val="none"/>
              </w:rPr>
              <w:t>结核分枝杆菌蛋白转印系统</w:t>
            </w:r>
          </w:p>
        </w:tc>
        <w:tc>
          <w:tcPr>
            <w:tcW w:w="764" w:type="dxa"/>
            <w:noWrap w:val="0"/>
            <w:tcMar>
              <w:top w:w="0" w:type="dxa"/>
              <w:left w:w="108" w:type="dxa"/>
              <w:bottom w:w="0" w:type="dxa"/>
              <w:right w:w="108" w:type="dxa"/>
            </w:tcMar>
            <w:vAlign w:val="center"/>
          </w:tcPr>
          <w:p w14:paraId="7613716B">
            <w:pPr>
              <w:jc w:val="center"/>
              <w:rPr>
                <w:rFonts w:ascii="仿宋" w:hAnsi="仿宋" w:eastAsia="仿宋"/>
                <w:color w:val="000000"/>
                <w:highlight w:val="none"/>
              </w:rPr>
            </w:pPr>
            <w:r>
              <w:rPr>
                <w:rFonts w:hint="eastAsia" w:ascii="仿宋" w:hAnsi="仿宋" w:eastAsia="仿宋"/>
                <w:color w:val="000000"/>
                <w:sz w:val="24"/>
                <w:highlight w:val="none"/>
              </w:rPr>
              <w:t>套</w:t>
            </w:r>
          </w:p>
        </w:tc>
        <w:tc>
          <w:tcPr>
            <w:tcW w:w="790" w:type="dxa"/>
            <w:noWrap w:val="0"/>
            <w:tcMar>
              <w:top w:w="0" w:type="dxa"/>
              <w:left w:w="108" w:type="dxa"/>
              <w:bottom w:w="0" w:type="dxa"/>
              <w:right w:w="108" w:type="dxa"/>
            </w:tcMar>
            <w:vAlign w:val="center"/>
          </w:tcPr>
          <w:p w14:paraId="55659C4D">
            <w:pPr>
              <w:jc w:val="center"/>
              <w:rPr>
                <w:rFonts w:hint="eastAsia" w:ascii="仿宋" w:hAnsi="仿宋" w:eastAsia="仿宋"/>
                <w:color w:val="000000"/>
                <w:sz w:val="24"/>
                <w:highlight w:val="none"/>
                <w:lang w:eastAsia="zh-CN"/>
              </w:rPr>
            </w:pPr>
            <w:r>
              <w:rPr>
                <w:rFonts w:hint="eastAsia" w:ascii="仿宋" w:hAnsi="仿宋" w:eastAsia="仿宋"/>
                <w:color w:val="000000"/>
                <w:sz w:val="24"/>
                <w:highlight w:val="none"/>
                <w:lang w:val="en-US" w:eastAsia="zh-CN"/>
              </w:rPr>
              <w:t>1</w:t>
            </w:r>
          </w:p>
        </w:tc>
        <w:tc>
          <w:tcPr>
            <w:tcW w:w="1032" w:type="dxa"/>
            <w:noWrap w:val="0"/>
            <w:tcMar>
              <w:top w:w="0" w:type="dxa"/>
              <w:left w:w="108" w:type="dxa"/>
              <w:bottom w:w="0" w:type="dxa"/>
              <w:right w:w="108" w:type="dxa"/>
            </w:tcMar>
            <w:vAlign w:val="center"/>
          </w:tcPr>
          <w:p w14:paraId="0F1D3CA4">
            <w:pPr>
              <w:widowControl/>
              <w:autoSpaceDN w:val="0"/>
              <w:jc w:val="center"/>
              <w:rPr>
                <w:rFonts w:ascii="仿宋" w:hAnsi="仿宋" w:eastAsia="仿宋"/>
                <w:color w:val="000000"/>
                <w:sz w:val="24"/>
                <w:highlight w:val="none"/>
              </w:rPr>
            </w:pPr>
            <w:r>
              <w:rPr>
                <w:rFonts w:hint="eastAsia" w:ascii="仿宋" w:hAnsi="仿宋" w:eastAsia="仿宋"/>
                <w:color w:val="000000"/>
                <w:sz w:val="24"/>
                <w:highlight w:val="none"/>
              </w:rPr>
              <w:t>工业</w:t>
            </w:r>
          </w:p>
        </w:tc>
        <w:tc>
          <w:tcPr>
            <w:tcW w:w="1070" w:type="dxa"/>
            <w:noWrap w:val="0"/>
            <w:tcMar>
              <w:top w:w="0" w:type="dxa"/>
              <w:left w:w="108" w:type="dxa"/>
              <w:bottom w:w="0" w:type="dxa"/>
              <w:right w:w="108" w:type="dxa"/>
            </w:tcMar>
            <w:vAlign w:val="center"/>
          </w:tcPr>
          <w:p w14:paraId="37C921AE">
            <w:pPr>
              <w:widowControl/>
              <w:autoSpaceDN w:val="0"/>
              <w:jc w:val="center"/>
              <w:rPr>
                <w:rFonts w:ascii="仿宋" w:hAnsi="仿宋" w:eastAsia="仿宋"/>
                <w:color w:val="000000"/>
                <w:sz w:val="24"/>
                <w:highlight w:val="none"/>
              </w:rPr>
            </w:pPr>
            <w:r>
              <w:rPr>
                <w:rFonts w:hint="eastAsia" w:ascii="仿宋" w:hAnsi="仿宋" w:eastAsia="仿宋"/>
                <w:color w:val="000000"/>
                <w:sz w:val="24"/>
                <w:highlight w:val="none"/>
              </w:rPr>
              <w:t>否</w:t>
            </w:r>
          </w:p>
        </w:tc>
        <w:tc>
          <w:tcPr>
            <w:tcW w:w="2139" w:type="dxa"/>
            <w:noWrap w:val="0"/>
            <w:tcMar>
              <w:top w:w="0" w:type="dxa"/>
              <w:left w:w="108" w:type="dxa"/>
              <w:bottom w:w="0" w:type="dxa"/>
              <w:right w:w="108" w:type="dxa"/>
            </w:tcMar>
            <w:vAlign w:val="center"/>
          </w:tcPr>
          <w:p w14:paraId="595D7B95">
            <w:pPr>
              <w:widowControl/>
              <w:autoSpaceDN w:val="0"/>
              <w:jc w:val="center"/>
              <w:rPr>
                <w:rFonts w:hint="eastAsia" w:ascii="仿宋" w:hAnsi="仿宋" w:eastAsia="仿宋"/>
                <w:color w:val="000000"/>
                <w:sz w:val="24"/>
                <w:highlight w:val="none"/>
              </w:rPr>
            </w:pPr>
          </w:p>
        </w:tc>
      </w:tr>
      <w:tr w14:paraId="03C83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9" w:type="dxa"/>
            <w:vMerge w:val="continue"/>
            <w:noWrap w:val="0"/>
            <w:tcMar>
              <w:top w:w="0" w:type="dxa"/>
              <w:left w:w="108" w:type="dxa"/>
              <w:bottom w:w="0" w:type="dxa"/>
              <w:right w:w="108" w:type="dxa"/>
            </w:tcMar>
            <w:vAlign w:val="center"/>
          </w:tcPr>
          <w:p w14:paraId="04355A34">
            <w:pPr>
              <w:widowControl/>
              <w:autoSpaceDN w:val="0"/>
              <w:jc w:val="center"/>
              <w:rPr>
                <w:rFonts w:ascii="仿宋" w:hAnsi="仿宋" w:eastAsia="仿宋"/>
                <w:color w:val="000000"/>
                <w:sz w:val="24"/>
                <w:highlight w:val="none"/>
              </w:rPr>
            </w:pPr>
          </w:p>
        </w:tc>
        <w:tc>
          <w:tcPr>
            <w:tcW w:w="1050" w:type="dxa"/>
            <w:noWrap w:val="0"/>
            <w:tcMar>
              <w:top w:w="0" w:type="dxa"/>
              <w:left w:w="108" w:type="dxa"/>
              <w:bottom w:w="0" w:type="dxa"/>
              <w:right w:w="108" w:type="dxa"/>
            </w:tcMar>
            <w:vAlign w:val="center"/>
          </w:tcPr>
          <w:p w14:paraId="0FBDE7AC">
            <w:pPr>
              <w:widowControl/>
              <w:autoSpaceDN w:val="0"/>
              <w:jc w:val="center"/>
              <w:rPr>
                <w:rFonts w:hint="default" w:ascii="仿宋" w:hAnsi="仿宋" w:eastAsia="仿宋"/>
                <w:color w:val="000000"/>
                <w:sz w:val="24"/>
                <w:highlight w:val="none"/>
                <w:lang w:val="en-US" w:eastAsia="zh-CN"/>
              </w:rPr>
            </w:pPr>
            <w:r>
              <w:rPr>
                <w:rFonts w:hint="eastAsia" w:ascii="仿宋" w:hAnsi="仿宋" w:eastAsia="仿宋"/>
                <w:color w:val="000000"/>
                <w:sz w:val="24"/>
                <w:highlight w:val="none"/>
                <w:lang w:val="en-US" w:eastAsia="zh-CN"/>
              </w:rPr>
              <w:t>品目2</w:t>
            </w:r>
          </w:p>
        </w:tc>
        <w:tc>
          <w:tcPr>
            <w:tcW w:w="1555" w:type="dxa"/>
            <w:noWrap w:val="0"/>
            <w:tcMar>
              <w:top w:w="0" w:type="dxa"/>
              <w:left w:w="108" w:type="dxa"/>
              <w:bottom w:w="0" w:type="dxa"/>
              <w:right w:w="108" w:type="dxa"/>
            </w:tcMar>
            <w:vAlign w:val="center"/>
          </w:tcPr>
          <w:p w14:paraId="6AD1D8D6">
            <w:pPr>
              <w:widowControl/>
              <w:spacing w:after="240"/>
              <w:jc w:val="center"/>
              <w:rPr>
                <w:rFonts w:ascii="仿宋" w:hAnsi="仿宋" w:eastAsia="仿宋"/>
                <w:color w:val="000000"/>
                <w:sz w:val="24"/>
                <w:highlight w:val="none"/>
              </w:rPr>
            </w:pPr>
            <w:r>
              <w:rPr>
                <w:rFonts w:hint="eastAsia" w:ascii="仿宋" w:hAnsi="仿宋" w:eastAsia="仿宋"/>
                <w:color w:val="000000"/>
                <w:sz w:val="24"/>
                <w:highlight w:val="none"/>
              </w:rPr>
              <w:t>耐药结核分枝杆菌全自动分子检测系统</w:t>
            </w:r>
          </w:p>
        </w:tc>
        <w:tc>
          <w:tcPr>
            <w:tcW w:w="764" w:type="dxa"/>
            <w:noWrap w:val="0"/>
            <w:tcMar>
              <w:top w:w="0" w:type="dxa"/>
              <w:left w:w="108" w:type="dxa"/>
              <w:bottom w:w="0" w:type="dxa"/>
              <w:right w:w="108" w:type="dxa"/>
            </w:tcMar>
            <w:vAlign w:val="center"/>
          </w:tcPr>
          <w:p w14:paraId="388008B8">
            <w:pPr>
              <w:jc w:val="center"/>
              <w:rPr>
                <w:rFonts w:ascii="仿宋" w:hAnsi="仿宋" w:eastAsia="仿宋"/>
                <w:color w:val="000000"/>
                <w:highlight w:val="none"/>
              </w:rPr>
            </w:pPr>
            <w:r>
              <w:rPr>
                <w:rFonts w:hint="eastAsia" w:ascii="仿宋" w:hAnsi="仿宋" w:eastAsia="仿宋"/>
                <w:color w:val="000000"/>
                <w:sz w:val="24"/>
                <w:highlight w:val="none"/>
              </w:rPr>
              <w:t>套</w:t>
            </w:r>
          </w:p>
        </w:tc>
        <w:tc>
          <w:tcPr>
            <w:tcW w:w="790" w:type="dxa"/>
            <w:noWrap w:val="0"/>
            <w:tcMar>
              <w:top w:w="0" w:type="dxa"/>
              <w:left w:w="108" w:type="dxa"/>
              <w:bottom w:w="0" w:type="dxa"/>
              <w:right w:w="108" w:type="dxa"/>
            </w:tcMar>
            <w:vAlign w:val="center"/>
          </w:tcPr>
          <w:p w14:paraId="342112F4">
            <w:pPr>
              <w:jc w:val="center"/>
              <w:rPr>
                <w:rFonts w:ascii="仿宋" w:hAnsi="仿宋" w:eastAsia="仿宋"/>
                <w:color w:val="000000"/>
                <w:sz w:val="24"/>
                <w:highlight w:val="none"/>
              </w:rPr>
            </w:pPr>
            <w:r>
              <w:rPr>
                <w:rFonts w:ascii="仿宋" w:hAnsi="仿宋" w:eastAsia="仿宋"/>
                <w:color w:val="000000"/>
                <w:sz w:val="24"/>
                <w:highlight w:val="none"/>
              </w:rPr>
              <w:t>1</w:t>
            </w:r>
          </w:p>
        </w:tc>
        <w:tc>
          <w:tcPr>
            <w:tcW w:w="1032" w:type="dxa"/>
            <w:noWrap w:val="0"/>
            <w:tcMar>
              <w:top w:w="0" w:type="dxa"/>
              <w:left w:w="108" w:type="dxa"/>
              <w:bottom w:w="0" w:type="dxa"/>
              <w:right w:w="108" w:type="dxa"/>
            </w:tcMar>
            <w:vAlign w:val="center"/>
          </w:tcPr>
          <w:p w14:paraId="2631F0DB">
            <w:pPr>
              <w:widowControl/>
              <w:autoSpaceDN w:val="0"/>
              <w:jc w:val="center"/>
              <w:rPr>
                <w:rFonts w:ascii="仿宋" w:hAnsi="仿宋" w:eastAsia="仿宋"/>
                <w:color w:val="000000"/>
                <w:sz w:val="24"/>
                <w:highlight w:val="none"/>
              </w:rPr>
            </w:pPr>
            <w:r>
              <w:rPr>
                <w:rFonts w:hint="eastAsia" w:ascii="仿宋" w:hAnsi="仿宋" w:eastAsia="仿宋"/>
                <w:color w:val="000000"/>
                <w:sz w:val="24"/>
                <w:highlight w:val="none"/>
              </w:rPr>
              <w:t>工业</w:t>
            </w:r>
          </w:p>
        </w:tc>
        <w:tc>
          <w:tcPr>
            <w:tcW w:w="1070" w:type="dxa"/>
            <w:noWrap w:val="0"/>
            <w:tcMar>
              <w:top w:w="0" w:type="dxa"/>
              <w:left w:w="108" w:type="dxa"/>
              <w:bottom w:w="0" w:type="dxa"/>
              <w:right w:w="108" w:type="dxa"/>
            </w:tcMar>
            <w:vAlign w:val="center"/>
          </w:tcPr>
          <w:p w14:paraId="231D0E4C">
            <w:pPr>
              <w:widowControl/>
              <w:autoSpaceDN w:val="0"/>
              <w:jc w:val="center"/>
              <w:rPr>
                <w:rFonts w:ascii="仿宋" w:hAnsi="仿宋" w:eastAsia="仿宋"/>
                <w:color w:val="000000"/>
                <w:sz w:val="24"/>
                <w:highlight w:val="none"/>
              </w:rPr>
            </w:pPr>
            <w:r>
              <w:rPr>
                <w:rFonts w:hint="eastAsia" w:ascii="仿宋" w:hAnsi="仿宋" w:eastAsia="仿宋"/>
                <w:color w:val="000000"/>
                <w:sz w:val="24"/>
                <w:highlight w:val="none"/>
              </w:rPr>
              <w:t>否</w:t>
            </w:r>
          </w:p>
        </w:tc>
        <w:tc>
          <w:tcPr>
            <w:tcW w:w="2139" w:type="dxa"/>
            <w:noWrap w:val="0"/>
            <w:tcMar>
              <w:top w:w="0" w:type="dxa"/>
              <w:left w:w="108" w:type="dxa"/>
              <w:bottom w:w="0" w:type="dxa"/>
              <w:right w:w="108" w:type="dxa"/>
            </w:tcMar>
            <w:vAlign w:val="center"/>
          </w:tcPr>
          <w:p w14:paraId="2821E38A">
            <w:pPr>
              <w:widowControl/>
              <w:autoSpaceDN w:val="0"/>
              <w:jc w:val="center"/>
              <w:rPr>
                <w:rFonts w:hint="default" w:ascii="仿宋" w:hAnsi="仿宋" w:eastAsia="仿宋"/>
                <w:color w:val="000000"/>
                <w:sz w:val="24"/>
                <w:highlight w:val="none"/>
                <w:lang w:val="en-US" w:eastAsia="zh-CN"/>
              </w:rPr>
            </w:pPr>
            <w:r>
              <w:rPr>
                <w:rFonts w:hint="eastAsia" w:ascii="仿宋" w:hAnsi="仿宋" w:eastAsia="仿宋"/>
                <w:b/>
                <w:bCs/>
                <w:color w:val="000000"/>
                <w:sz w:val="24"/>
                <w:highlight w:val="none"/>
                <w:lang w:val="en-US" w:eastAsia="zh-CN"/>
              </w:rPr>
              <w:t>其中</w:t>
            </w:r>
            <w:r>
              <w:rPr>
                <w:rFonts w:hint="eastAsia" w:ascii="仿宋" w:hAnsi="仿宋" w:eastAsia="仿宋" w:cs="仿宋"/>
                <w:b/>
                <w:color w:val="000000"/>
                <w:kern w:val="0"/>
                <w:sz w:val="24"/>
                <w:szCs w:val="24"/>
                <w:highlight w:val="none"/>
              </w:rPr>
              <w:t>全自动核酸提纯及实时荧光PCR分析系统</w:t>
            </w:r>
            <w:r>
              <w:rPr>
                <w:rFonts w:hint="eastAsia" w:ascii="仿宋" w:hAnsi="仿宋" w:eastAsia="仿宋" w:cs="仿宋"/>
                <w:b/>
                <w:color w:val="000000"/>
                <w:kern w:val="0"/>
                <w:sz w:val="24"/>
                <w:szCs w:val="24"/>
                <w:highlight w:val="none"/>
                <w:lang w:val="en-US" w:eastAsia="zh-CN"/>
              </w:rPr>
              <w:t>属于医疗器械</w:t>
            </w:r>
          </w:p>
        </w:tc>
      </w:tr>
    </w:tbl>
    <w:p w14:paraId="5DE05E9D">
      <w:pPr>
        <w:widowControl/>
        <w:tabs>
          <w:tab w:val="left" w:pos="1406"/>
        </w:tabs>
        <w:snapToGrid w:val="0"/>
        <w:spacing w:line="360" w:lineRule="auto"/>
        <w:ind w:firstLine="412" w:firstLineChars="171"/>
        <w:rPr>
          <w:rFonts w:hint="eastAsia" w:ascii="宋体" w:hAnsi="宋体" w:eastAsia="仿宋"/>
          <w:b/>
          <w:color w:val="000000"/>
          <w:sz w:val="24"/>
          <w:highlight w:val="none"/>
        </w:rPr>
      </w:pPr>
      <w:r>
        <w:rPr>
          <w:rFonts w:hint="eastAsia" w:ascii="宋体" w:hAnsi="宋体" w:eastAsia="仿宋"/>
          <w:b/>
          <w:color w:val="000000"/>
          <w:sz w:val="24"/>
          <w:highlight w:val="none"/>
        </w:rPr>
        <w:t>2.2 采购范围</w:t>
      </w:r>
    </w:p>
    <w:p w14:paraId="03653216">
      <w:pPr>
        <w:pStyle w:val="24"/>
        <w:widowControl/>
        <w:snapToGrid w:val="0"/>
        <w:spacing w:line="360" w:lineRule="auto"/>
        <w:ind w:firstLine="480" w:firstLineChars="200"/>
        <w:rPr>
          <w:rFonts w:hint="eastAsia" w:hAnsi="宋体" w:eastAsia="仿宋"/>
          <w:color w:val="000000"/>
          <w:sz w:val="24"/>
          <w:szCs w:val="24"/>
          <w:highlight w:val="none"/>
        </w:rPr>
      </w:pPr>
      <w:r>
        <w:rPr>
          <w:rFonts w:hint="eastAsia" w:hAnsi="宋体" w:eastAsia="仿宋"/>
          <w:iCs/>
          <w:color w:val="000000"/>
          <w:sz w:val="24"/>
          <w:szCs w:val="24"/>
          <w:highlight w:val="none"/>
        </w:rPr>
        <w:t>包括所有货物的供货、包装运输（包括卸车及就位至采购人指定的安装地点）、安装、调试、技术服务、培训、售后服务等所有内容。</w:t>
      </w:r>
    </w:p>
    <w:p w14:paraId="36574FA7">
      <w:pPr>
        <w:widowControl/>
        <w:tabs>
          <w:tab w:val="left" w:pos="1406"/>
        </w:tabs>
        <w:snapToGrid w:val="0"/>
        <w:spacing w:line="360" w:lineRule="auto"/>
        <w:ind w:firstLine="480" w:firstLineChars="200"/>
        <w:rPr>
          <w:rFonts w:hint="eastAsia" w:ascii="宋体" w:hAnsi="宋体" w:eastAsia="仿宋"/>
          <w:color w:val="000000"/>
          <w:sz w:val="24"/>
          <w:highlight w:val="none"/>
        </w:rPr>
      </w:pPr>
    </w:p>
    <w:p w14:paraId="4A9CA032">
      <w:pPr>
        <w:pStyle w:val="3"/>
        <w:rPr>
          <w:rFonts w:ascii="宋体" w:hAnsi="宋体" w:eastAsia="仿宋"/>
          <w:color w:val="000000"/>
          <w:sz w:val="24"/>
          <w:highlight w:val="none"/>
        </w:rPr>
      </w:pPr>
      <w:r>
        <w:rPr>
          <w:rFonts w:hint="eastAsia" w:ascii="宋体" w:hAnsi="宋体" w:eastAsia="仿宋"/>
          <w:color w:val="000000"/>
          <w:sz w:val="24"/>
          <w:highlight w:val="none"/>
        </w:rPr>
        <w:t>3</w:t>
      </w:r>
      <w:r>
        <w:rPr>
          <w:rFonts w:ascii="宋体" w:hAnsi="宋体" w:eastAsia="仿宋"/>
          <w:color w:val="000000"/>
          <w:sz w:val="24"/>
          <w:highlight w:val="none"/>
        </w:rPr>
        <w:t>. 商务要求</w:t>
      </w:r>
    </w:p>
    <w:p w14:paraId="4B3348A2">
      <w:pPr>
        <w:rPr>
          <w:rFonts w:hint="eastAsia" w:ascii="仿宋" w:hAnsi="仿宋" w:eastAsia="仿宋" w:cs="仿宋"/>
          <w:b/>
          <w:bCs/>
          <w:color w:val="000000"/>
          <w:sz w:val="24"/>
          <w:szCs w:val="32"/>
          <w:highlight w:val="none"/>
        </w:rPr>
      </w:pPr>
      <w:r>
        <w:rPr>
          <w:rFonts w:hint="eastAsia" w:ascii="仿宋" w:hAnsi="仿宋" w:eastAsia="仿宋" w:cs="仿宋"/>
          <w:b/>
          <w:bCs/>
          <w:color w:val="000000"/>
          <w:sz w:val="24"/>
          <w:szCs w:val="32"/>
          <w:highlight w:val="none"/>
        </w:rPr>
        <w:t>除非有特别说明，本条为实质性要求。</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7479"/>
      </w:tblGrid>
      <w:tr w14:paraId="7D38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577FBEE5">
            <w:pPr>
              <w:widowControl/>
              <w:jc w:val="left"/>
              <w:rPr>
                <w:rFonts w:hint="eastAsia" w:ascii="宋体" w:hAnsi="宋体" w:eastAsia="仿宋"/>
                <w:color w:val="000000"/>
                <w:sz w:val="24"/>
                <w:highlight w:val="none"/>
              </w:rPr>
            </w:pPr>
            <w:r>
              <w:rPr>
                <w:rFonts w:hint="eastAsia" w:ascii="宋体" w:hAnsi="宋体" w:eastAsia="仿宋"/>
                <w:color w:val="000000"/>
                <w:sz w:val="24"/>
                <w:highlight w:val="none"/>
              </w:rPr>
              <w:t>交付（实施）的时间（期限）</w:t>
            </w:r>
          </w:p>
        </w:tc>
        <w:tc>
          <w:tcPr>
            <w:tcW w:w="7479" w:type="dxa"/>
            <w:noWrap w:val="0"/>
            <w:vAlign w:val="top"/>
          </w:tcPr>
          <w:p w14:paraId="76D4F43B">
            <w:pPr>
              <w:widowControl/>
              <w:adjustRightInd w:val="0"/>
              <w:snapToGrid w:val="0"/>
              <w:spacing w:line="288" w:lineRule="auto"/>
              <w:rPr>
                <w:rFonts w:hint="eastAsia" w:ascii="楷体" w:hAnsi="楷体" w:eastAsia="仿宋" w:cs="Calibri"/>
                <w:color w:val="000000"/>
                <w:sz w:val="24"/>
                <w:highlight w:val="none"/>
              </w:rPr>
            </w:pPr>
            <w:r>
              <w:rPr>
                <w:rFonts w:hint="eastAsia" w:ascii="楷体" w:hAnsi="楷体" w:eastAsia="仿宋" w:cs="Calibri"/>
                <w:color w:val="000000"/>
                <w:sz w:val="24"/>
                <w:highlight w:val="none"/>
              </w:rPr>
              <w:t>合同签订后30日内供货安装调试完毕。</w:t>
            </w:r>
          </w:p>
          <w:p w14:paraId="3C5E0BD3">
            <w:pPr>
              <w:widowControl/>
              <w:adjustRightInd w:val="0"/>
              <w:snapToGrid w:val="0"/>
              <w:spacing w:line="288" w:lineRule="auto"/>
              <w:rPr>
                <w:rFonts w:hint="eastAsia" w:ascii="楷体" w:hAnsi="楷体" w:eastAsia="仿宋" w:cs="Calibri"/>
                <w:color w:val="000000"/>
                <w:sz w:val="24"/>
                <w:highlight w:val="none"/>
              </w:rPr>
            </w:pPr>
            <w:r>
              <w:rPr>
                <w:rFonts w:hint="eastAsia" w:ascii="宋体" w:hAnsi="宋体" w:eastAsia="仿宋" w:cs="Calibri"/>
                <w:color w:val="000000"/>
                <w:sz w:val="24"/>
                <w:highlight w:val="none"/>
              </w:rPr>
              <w:t>是否接受负偏离：</w:t>
            </w:r>
            <w:r>
              <w:rPr>
                <w:rFonts w:ascii="Segoe UI Symbol" w:hAnsi="Segoe UI Symbol" w:eastAsia="仿宋" w:cs="Segoe UI Symbol"/>
                <w:color w:val="000000"/>
                <w:sz w:val="24"/>
                <w:highlight w:val="none"/>
              </w:rPr>
              <w:t>☑</w:t>
            </w:r>
            <w:r>
              <w:rPr>
                <w:rFonts w:hint="eastAsia" w:ascii="楷体" w:hAnsi="楷体" w:eastAsia="仿宋" w:cs="Calibri"/>
                <w:color w:val="000000"/>
                <w:sz w:val="24"/>
                <w:highlight w:val="none"/>
              </w:rPr>
              <w:t>不接受</w:t>
            </w:r>
          </w:p>
          <w:p w14:paraId="640B3083">
            <w:pPr>
              <w:pStyle w:val="92"/>
              <w:ind w:firstLine="480"/>
              <w:rPr>
                <w:rFonts w:hint="eastAsia" w:ascii="楷体" w:hAnsi="楷体" w:eastAsia="仿宋" w:cs="Calibri"/>
                <w:color w:val="000000"/>
                <w:sz w:val="24"/>
                <w:highlight w:val="none"/>
              </w:rPr>
            </w:pPr>
            <w:r>
              <w:rPr>
                <w:rFonts w:hint="eastAsia" w:ascii="楷体" w:hAnsi="楷体" w:eastAsia="仿宋" w:cs="Calibri"/>
                <w:color w:val="000000"/>
                <w:sz w:val="24"/>
                <w:highlight w:val="none"/>
              </w:rPr>
              <w:t xml:space="preserve">            □接受：</w:t>
            </w:r>
          </w:p>
          <w:p w14:paraId="2045B29A">
            <w:pPr>
              <w:pStyle w:val="92"/>
              <w:ind w:firstLine="2160" w:firstLineChars="900"/>
              <w:rPr>
                <w:rFonts w:hint="eastAsia" w:ascii="宋体" w:hAnsi="宋体" w:eastAsia="仿宋"/>
                <w:color w:val="000000"/>
                <w:sz w:val="24"/>
                <w:highlight w:val="none"/>
              </w:rPr>
            </w:pPr>
            <w:r>
              <w:rPr>
                <w:rFonts w:hint="eastAsia" w:ascii="楷体" w:hAnsi="楷体" w:eastAsia="仿宋" w:cs="Calibri"/>
                <w:color w:val="000000"/>
                <w:sz w:val="24"/>
                <w:highlight w:val="none"/>
              </w:rPr>
              <w:t>允许偏离的幅度：</w:t>
            </w:r>
            <w:r>
              <w:rPr>
                <w:rFonts w:hint="eastAsia" w:ascii="宋体" w:hAnsi="宋体" w:eastAsia="仿宋" w:cs="Calibri"/>
                <w:color w:val="000000"/>
                <w:sz w:val="24"/>
                <w:highlight w:val="none"/>
              </w:rPr>
              <w:t>/</w:t>
            </w:r>
          </w:p>
        </w:tc>
      </w:tr>
      <w:tr w14:paraId="0BA0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29246CA6">
            <w:pPr>
              <w:widowControl/>
              <w:jc w:val="left"/>
              <w:rPr>
                <w:rFonts w:hint="eastAsia" w:ascii="宋体" w:hAnsi="宋体" w:eastAsia="仿宋"/>
                <w:color w:val="000000"/>
                <w:sz w:val="24"/>
                <w:highlight w:val="none"/>
              </w:rPr>
            </w:pPr>
            <w:r>
              <w:rPr>
                <w:rFonts w:hint="eastAsia" w:ascii="宋体" w:hAnsi="宋体" w:eastAsia="仿宋"/>
                <w:color w:val="000000"/>
                <w:sz w:val="24"/>
                <w:highlight w:val="none"/>
              </w:rPr>
              <w:t>交付（实施）的地点（范围）</w:t>
            </w:r>
          </w:p>
        </w:tc>
        <w:tc>
          <w:tcPr>
            <w:tcW w:w="7479" w:type="dxa"/>
            <w:noWrap w:val="0"/>
            <w:vAlign w:val="top"/>
          </w:tcPr>
          <w:p w14:paraId="77742436">
            <w:pPr>
              <w:pStyle w:val="92"/>
              <w:ind w:firstLine="0" w:firstLineChars="0"/>
              <w:rPr>
                <w:rFonts w:ascii="宋体" w:hAnsi="宋体" w:eastAsia="仿宋"/>
                <w:color w:val="000000"/>
                <w:sz w:val="24"/>
                <w:highlight w:val="none"/>
              </w:rPr>
            </w:pPr>
            <w:r>
              <w:rPr>
                <w:rFonts w:hint="eastAsia" w:ascii="仿宋" w:hAnsi="仿宋" w:eastAsia="仿宋" w:cs="仿宋"/>
                <w:iCs/>
                <w:color w:val="000000"/>
                <w:sz w:val="24"/>
                <w:highlight w:val="none"/>
              </w:rPr>
              <w:t>安徽省疾病预防控制中心或采购人指定地点。</w:t>
            </w:r>
          </w:p>
        </w:tc>
      </w:tr>
      <w:tr w14:paraId="7BE3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2D8400F9">
            <w:pPr>
              <w:pStyle w:val="92"/>
              <w:ind w:firstLine="0" w:firstLineChars="0"/>
              <w:rPr>
                <w:rFonts w:ascii="宋体" w:hAnsi="宋体" w:eastAsia="仿宋"/>
                <w:color w:val="000000"/>
                <w:sz w:val="24"/>
                <w:highlight w:val="none"/>
              </w:rPr>
            </w:pPr>
            <w:r>
              <w:rPr>
                <w:rFonts w:hint="eastAsia" w:ascii="宋体" w:hAnsi="宋体" w:eastAsia="仿宋"/>
                <w:color w:val="000000"/>
                <w:sz w:val="24"/>
                <w:highlight w:val="none"/>
              </w:rPr>
              <w:t>付款方式</w:t>
            </w:r>
          </w:p>
        </w:tc>
        <w:tc>
          <w:tcPr>
            <w:tcW w:w="7479" w:type="dxa"/>
            <w:noWrap w:val="0"/>
            <w:vAlign w:val="top"/>
          </w:tcPr>
          <w:p w14:paraId="106293F8">
            <w:pPr>
              <w:widowControl/>
              <w:adjustRightInd w:val="0"/>
              <w:snapToGrid w:val="0"/>
              <w:spacing w:line="288" w:lineRule="auto"/>
              <w:rPr>
                <w:rFonts w:hint="eastAsia" w:ascii="楷体" w:hAnsi="楷体" w:eastAsia="仿宋" w:cs="Calibri"/>
                <w:color w:val="000000"/>
                <w:sz w:val="24"/>
                <w:highlight w:val="none"/>
              </w:rPr>
            </w:pPr>
            <w:r>
              <w:rPr>
                <w:rFonts w:hint="eastAsia" w:ascii="楷体" w:hAnsi="楷体" w:eastAsia="仿宋" w:cs="Calibri"/>
                <w:color w:val="000000"/>
                <w:sz w:val="24"/>
                <w:highlight w:val="none"/>
              </w:rPr>
              <w:t>验收合格后一次性支付合同价款。</w:t>
            </w:r>
          </w:p>
          <w:p w14:paraId="3C6F5576">
            <w:pPr>
              <w:widowControl/>
              <w:adjustRightInd w:val="0"/>
              <w:snapToGrid w:val="0"/>
              <w:spacing w:line="288" w:lineRule="auto"/>
              <w:rPr>
                <w:rFonts w:hint="eastAsia" w:ascii="楷体" w:hAnsi="楷体" w:eastAsia="仿宋" w:cs="Calibri"/>
                <w:color w:val="000000"/>
                <w:sz w:val="24"/>
                <w:highlight w:val="none"/>
              </w:rPr>
            </w:pPr>
            <w:r>
              <w:rPr>
                <w:rFonts w:hint="eastAsia" w:ascii="宋体" w:hAnsi="宋体" w:eastAsia="仿宋" w:cs="Calibri"/>
                <w:color w:val="000000"/>
                <w:sz w:val="24"/>
                <w:highlight w:val="none"/>
              </w:rPr>
              <w:t>是否接受负偏离：</w:t>
            </w:r>
            <w:r>
              <w:rPr>
                <w:rFonts w:ascii="Segoe UI Symbol" w:hAnsi="Segoe UI Symbol" w:eastAsia="仿宋" w:cs="Segoe UI Symbol"/>
                <w:color w:val="000000"/>
                <w:sz w:val="24"/>
                <w:highlight w:val="none"/>
              </w:rPr>
              <w:t>☑</w:t>
            </w:r>
            <w:r>
              <w:rPr>
                <w:rFonts w:hint="eastAsia" w:ascii="楷体" w:hAnsi="楷体" w:eastAsia="仿宋" w:cs="Calibri"/>
                <w:color w:val="000000"/>
                <w:sz w:val="24"/>
                <w:highlight w:val="none"/>
              </w:rPr>
              <w:t>不接受</w:t>
            </w:r>
          </w:p>
          <w:p w14:paraId="41D7661A">
            <w:pPr>
              <w:widowControl/>
              <w:adjustRightInd w:val="0"/>
              <w:snapToGrid w:val="0"/>
              <w:spacing w:line="288" w:lineRule="auto"/>
              <w:rPr>
                <w:rFonts w:hint="eastAsia" w:ascii="楷体" w:hAnsi="楷体" w:eastAsia="仿宋" w:cs="Calibri"/>
                <w:color w:val="000000"/>
                <w:sz w:val="24"/>
                <w:highlight w:val="none"/>
              </w:rPr>
            </w:pPr>
            <w:r>
              <w:rPr>
                <w:rFonts w:hint="eastAsia" w:ascii="楷体" w:hAnsi="楷体" w:eastAsia="仿宋" w:cs="Calibri"/>
                <w:color w:val="000000"/>
                <w:sz w:val="24"/>
                <w:highlight w:val="none"/>
              </w:rPr>
              <w:t xml:space="preserve">                □接受：</w:t>
            </w:r>
          </w:p>
          <w:p w14:paraId="440CF489">
            <w:pPr>
              <w:widowControl/>
              <w:adjustRightInd w:val="0"/>
              <w:snapToGrid w:val="0"/>
              <w:spacing w:line="288" w:lineRule="auto"/>
              <w:ind w:firstLine="1920" w:firstLineChars="800"/>
              <w:rPr>
                <w:rFonts w:ascii="宋体" w:hAnsi="宋体" w:eastAsia="仿宋"/>
                <w:color w:val="000000"/>
                <w:sz w:val="24"/>
                <w:highlight w:val="none"/>
              </w:rPr>
            </w:pPr>
            <w:r>
              <w:rPr>
                <w:rFonts w:hint="eastAsia" w:ascii="楷体" w:hAnsi="楷体" w:eastAsia="仿宋" w:cs="Calibri"/>
                <w:color w:val="000000"/>
                <w:sz w:val="24"/>
                <w:highlight w:val="none"/>
              </w:rPr>
              <w:t>允许偏离的幅度：</w:t>
            </w:r>
            <w:r>
              <w:rPr>
                <w:rFonts w:hint="eastAsia" w:ascii="仿宋" w:hAnsi="仿宋" w:eastAsia="仿宋" w:cs="仿宋"/>
                <w:iCs/>
                <w:color w:val="000000"/>
                <w:sz w:val="24"/>
                <w:highlight w:val="none"/>
              </w:rPr>
              <w:t>/</w:t>
            </w:r>
          </w:p>
        </w:tc>
      </w:tr>
      <w:tr w14:paraId="05B03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388DDD15">
            <w:pPr>
              <w:pStyle w:val="92"/>
              <w:ind w:firstLine="0" w:firstLineChars="0"/>
              <w:rPr>
                <w:rFonts w:ascii="宋体" w:hAnsi="宋体" w:eastAsia="仿宋"/>
                <w:color w:val="000000"/>
                <w:sz w:val="24"/>
                <w:highlight w:val="none"/>
              </w:rPr>
            </w:pPr>
            <w:r>
              <w:rPr>
                <w:rFonts w:hint="eastAsia" w:ascii="宋体" w:hAnsi="宋体" w:eastAsia="仿宋" w:cs="Calibri"/>
                <w:color w:val="000000"/>
                <w:sz w:val="24"/>
                <w:highlight w:val="none"/>
              </w:rPr>
              <w:t>质量保证期</w:t>
            </w:r>
          </w:p>
        </w:tc>
        <w:tc>
          <w:tcPr>
            <w:tcW w:w="7479" w:type="dxa"/>
            <w:noWrap w:val="0"/>
            <w:vAlign w:val="top"/>
          </w:tcPr>
          <w:p w14:paraId="7CEB3B42">
            <w:pPr>
              <w:widowControl/>
              <w:adjustRightInd w:val="0"/>
              <w:snapToGrid w:val="0"/>
              <w:spacing w:line="288" w:lineRule="auto"/>
              <w:rPr>
                <w:rFonts w:hint="eastAsia" w:ascii="宋体" w:hAnsi="宋体" w:eastAsia="仿宋" w:cs="Calibri"/>
                <w:color w:val="000000"/>
                <w:sz w:val="24"/>
                <w:highlight w:val="none"/>
              </w:rPr>
            </w:pPr>
            <w:r>
              <w:rPr>
                <w:rFonts w:hint="eastAsia" w:ascii="宋体" w:hAnsi="宋体" w:eastAsia="仿宋" w:cs="Calibri"/>
                <w:color w:val="000000"/>
                <w:sz w:val="24"/>
                <w:highlight w:val="none"/>
              </w:rPr>
              <w:t>质量保证期：验收合格后至少3年，所有设备终身维护，技术要求表另有规定的，以技术要求表为准。</w:t>
            </w:r>
          </w:p>
          <w:p w14:paraId="6DDC3767">
            <w:pPr>
              <w:widowControl/>
              <w:adjustRightInd w:val="0"/>
              <w:snapToGrid w:val="0"/>
              <w:spacing w:line="288" w:lineRule="auto"/>
              <w:rPr>
                <w:rFonts w:hint="eastAsia" w:ascii="楷体" w:hAnsi="楷体" w:eastAsia="仿宋" w:cs="Calibri"/>
                <w:color w:val="000000"/>
                <w:sz w:val="24"/>
                <w:highlight w:val="none"/>
              </w:rPr>
            </w:pPr>
            <w:r>
              <w:rPr>
                <w:rFonts w:hint="eastAsia" w:ascii="宋体" w:hAnsi="宋体" w:eastAsia="仿宋" w:cs="Calibri"/>
                <w:color w:val="000000"/>
                <w:sz w:val="24"/>
                <w:highlight w:val="none"/>
              </w:rPr>
              <w:t>是否接受负偏离：</w:t>
            </w:r>
            <w:r>
              <w:rPr>
                <w:rFonts w:ascii="Segoe UI Symbol" w:hAnsi="Segoe UI Symbol" w:eastAsia="仿宋" w:cs="Segoe UI Symbol"/>
                <w:color w:val="000000"/>
                <w:sz w:val="24"/>
                <w:highlight w:val="none"/>
              </w:rPr>
              <w:t>☑</w:t>
            </w:r>
            <w:r>
              <w:rPr>
                <w:rFonts w:hint="eastAsia" w:ascii="楷体" w:hAnsi="楷体" w:eastAsia="仿宋" w:cs="Calibri"/>
                <w:color w:val="000000"/>
                <w:sz w:val="24"/>
                <w:highlight w:val="none"/>
              </w:rPr>
              <w:t>不接受</w:t>
            </w:r>
          </w:p>
          <w:p w14:paraId="63C790BE">
            <w:pPr>
              <w:pStyle w:val="92"/>
              <w:ind w:firstLine="480"/>
              <w:rPr>
                <w:rFonts w:hint="eastAsia" w:ascii="楷体" w:hAnsi="楷体" w:eastAsia="仿宋" w:cs="Calibri"/>
                <w:color w:val="000000"/>
                <w:sz w:val="24"/>
                <w:highlight w:val="none"/>
              </w:rPr>
            </w:pPr>
            <w:r>
              <w:rPr>
                <w:rFonts w:hint="eastAsia" w:ascii="楷体" w:hAnsi="楷体" w:eastAsia="仿宋" w:cs="Calibri"/>
                <w:color w:val="000000"/>
                <w:sz w:val="24"/>
                <w:highlight w:val="none"/>
              </w:rPr>
              <w:t xml:space="preserve">            □接受：</w:t>
            </w:r>
          </w:p>
          <w:p w14:paraId="6C733A00">
            <w:pPr>
              <w:pStyle w:val="92"/>
              <w:ind w:firstLine="1920" w:firstLineChars="800"/>
              <w:rPr>
                <w:rFonts w:ascii="宋体" w:hAnsi="宋体" w:eastAsia="仿宋"/>
                <w:color w:val="000000"/>
                <w:sz w:val="24"/>
                <w:highlight w:val="none"/>
              </w:rPr>
            </w:pPr>
            <w:r>
              <w:rPr>
                <w:rFonts w:hint="eastAsia" w:ascii="楷体" w:hAnsi="楷体" w:eastAsia="仿宋" w:cs="Calibri"/>
                <w:color w:val="000000"/>
                <w:sz w:val="24"/>
                <w:highlight w:val="none"/>
              </w:rPr>
              <w:t>允许偏离的幅度：</w:t>
            </w:r>
            <w:r>
              <w:rPr>
                <w:rFonts w:hint="eastAsia" w:ascii="仿宋" w:hAnsi="仿宋" w:eastAsia="仿宋" w:cs="仿宋"/>
                <w:iCs/>
                <w:color w:val="000000"/>
                <w:sz w:val="24"/>
                <w:highlight w:val="none"/>
              </w:rPr>
              <w:t>/</w:t>
            </w:r>
          </w:p>
        </w:tc>
      </w:tr>
    </w:tbl>
    <w:p w14:paraId="157CF3D0">
      <w:pPr>
        <w:pStyle w:val="92"/>
        <w:ind w:firstLine="480"/>
        <w:rPr>
          <w:rFonts w:ascii="宋体" w:hAnsi="宋体" w:eastAsia="仿宋"/>
          <w:color w:val="000000"/>
          <w:sz w:val="24"/>
          <w:highlight w:val="none"/>
        </w:rPr>
      </w:pPr>
    </w:p>
    <w:bookmarkEnd w:id="763"/>
    <w:p w14:paraId="16EB54D7">
      <w:pPr>
        <w:pStyle w:val="24"/>
        <w:widowControl/>
        <w:snapToGrid w:val="0"/>
        <w:spacing w:line="360" w:lineRule="auto"/>
        <w:outlineLvl w:val="1"/>
        <w:rPr>
          <w:rStyle w:val="106"/>
          <w:rFonts w:hint="eastAsia" w:ascii="宋体" w:hAnsi="宋体" w:eastAsia="仿宋"/>
          <w:color w:val="000000"/>
          <w:sz w:val="24"/>
          <w:szCs w:val="24"/>
          <w:highlight w:val="none"/>
        </w:rPr>
      </w:pPr>
      <w:r>
        <w:rPr>
          <w:rFonts w:hint="eastAsia" w:hAnsi="宋体" w:eastAsia="仿宋"/>
          <w:color w:val="000000"/>
          <w:sz w:val="24"/>
          <w:szCs w:val="24"/>
          <w:highlight w:val="none"/>
        </w:rPr>
        <w:br w:type="page"/>
      </w:r>
      <w:bookmarkStart w:id="767" w:name="_Toc445554749"/>
      <w:bookmarkStart w:id="768" w:name="_Toc466024558"/>
      <w:bookmarkStart w:id="769" w:name="_Toc455587091"/>
      <w:bookmarkStart w:id="770" w:name="_Toc455587275"/>
      <w:r>
        <w:rPr>
          <w:rStyle w:val="106"/>
          <w:rFonts w:hint="eastAsia" w:ascii="宋体" w:hAnsi="宋体" w:eastAsia="仿宋"/>
          <w:color w:val="000000"/>
          <w:sz w:val="24"/>
          <w:szCs w:val="24"/>
          <w:highlight w:val="none"/>
        </w:rPr>
        <w:t>4. 技术要求</w:t>
      </w:r>
      <w:bookmarkEnd w:id="767"/>
      <w:bookmarkEnd w:id="768"/>
      <w:bookmarkEnd w:id="769"/>
      <w:bookmarkEnd w:id="770"/>
    </w:p>
    <w:p w14:paraId="6982DC5F">
      <w:pPr>
        <w:pStyle w:val="24"/>
        <w:widowControl/>
        <w:snapToGrid w:val="0"/>
        <w:spacing w:line="360" w:lineRule="auto"/>
        <w:ind w:firstLine="482" w:firstLineChars="200"/>
        <w:outlineLvl w:val="2"/>
        <w:rPr>
          <w:rFonts w:hint="eastAsia" w:hAnsi="宋体" w:eastAsia="仿宋"/>
          <w:b/>
          <w:bCs/>
          <w:color w:val="000000"/>
          <w:sz w:val="24"/>
          <w:szCs w:val="24"/>
          <w:highlight w:val="none"/>
        </w:rPr>
      </w:pPr>
      <w:r>
        <w:rPr>
          <w:rFonts w:hint="eastAsia" w:hAnsi="宋体" w:eastAsia="仿宋"/>
          <w:b/>
          <w:bCs/>
          <w:color w:val="000000"/>
          <w:sz w:val="24"/>
          <w:szCs w:val="24"/>
          <w:highlight w:val="none"/>
        </w:rPr>
        <w:t>4.1标识符号</w:t>
      </w:r>
    </w:p>
    <w:tbl>
      <w:tblPr>
        <w:tblStyle w:val="47"/>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0"/>
        <w:gridCol w:w="1530"/>
        <w:gridCol w:w="6184"/>
      </w:tblGrid>
      <w:tr w14:paraId="1E85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2" w:type="pct"/>
            <w:noWrap w:val="0"/>
            <w:vAlign w:val="center"/>
          </w:tcPr>
          <w:p w14:paraId="2A380371">
            <w:pPr>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标识类型</w:t>
            </w:r>
          </w:p>
        </w:tc>
        <w:tc>
          <w:tcPr>
            <w:tcW w:w="785" w:type="pct"/>
            <w:noWrap w:val="0"/>
            <w:vAlign w:val="center"/>
          </w:tcPr>
          <w:p w14:paraId="5499D4DE">
            <w:pPr>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标识符号</w:t>
            </w:r>
          </w:p>
        </w:tc>
        <w:tc>
          <w:tcPr>
            <w:tcW w:w="3172" w:type="pct"/>
            <w:noWrap w:val="0"/>
            <w:vAlign w:val="center"/>
          </w:tcPr>
          <w:p w14:paraId="2A3C28A6">
            <w:pPr>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标识符号含义</w:t>
            </w:r>
          </w:p>
        </w:tc>
      </w:tr>
      <w:tr w14:paraId="05FA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2" w:type="pct"/>
            <w:noWrap w:val="0"/>
            <w:vAlign w:val="center"/>
          </w:tcPr>
          <w:p w14:paraId="2B60A7DA">
            <w:pPr>
              <w:jc w:val="center"/>
              <w:rPr>
                <w:rFonts w:ascii="仿宋" w:hAnsi="仿宋" w:eastAsia="仿宋" w:cs="仿宋"/>
                <w:color w:val="000000"/>
                <w:sz w:val="24"/>
                <w:highlight w:val="none"/>
              </w:rPr>
            </w:pPr>
            <w:r>
              <w:rPr>
                <w:rFonts w:hint="eastAsia" w:ascii="仿宋" w:hAnsi="仿宋" w:eastAsia="仿宋" w:cs="仿宋"/>
                <w:color w:val="000000"/>
                <w:sz w:val="24"/>
                <w:highlight w:val="none"/>
              </w:rPr>
              <w:t>核心产品</w:t>
            </w:r>
          </w:p>
        </w:tc>
        <w:tc>
          <w:tcPr>
            <w:tcW w:w="785" w:type="pct"/>
            <w:noWrap w:val="0"/>
            <w:vAlign w:val="center"/>
          </w:tcPr>
          <w:p w14:paraId="3A2AFC34">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3172" w:type="pct"/>
            <w:noWrap w:val="0"/>
            <w:vAlign w:val="center"/>
          </w:tcPr>
          <w:p w14:paraId="79785A02">
            <w:pPr>
              <w:jc w:val="center"/>
              <w:rPr>
                <w:rFonts w:ascii="仿宋" w:hAnsi="仿宋" w:eastAsia="仿宋" w:cs="仿宋"/>
                <w:b/>
                <w:bCs/>
                <w:color w:val="000000"/>
                <w:sz w:val="24"/>
                <w:highlight w:val="none"/>
              </w:rPr>
            </w:pPr>
            <w:r>
              <w:rPr>
                <w:rFonts w:hint="eastAsia" w:ascii="仿宋" w:hAnsi="仿宋" w:eastAsia="仿宋" w:cs="仿宋"/>
                <w:b/>
                <w:bCs/>
                <w:color w:val="000000"/>
                <w:sz w:val="24"/>
                <w:highlight w:val="none"/>
              </w:rPr>
              <w:t>标的属于核心产品</w:t>
            </w:r>
          </w:p>
        </w:tc>
      </w:tr>
      <w:tr w14:paraId="6582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2" w:type="pct"/>
            <w:noWrap w:val="0"/>
            <w:vAlign w:val="center"/>
          </w:tcPr>
          <w:p w14:paraId="2BEFBDEF">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实质性参数</w:t>
            </w:r>
          </w:p>
        </w:tc>
        <w:tc>
          <w:tcPr>
            <w:tcW w:w="785" w:type="pct"/>
            <w:noWrap w:val="0"/>
            <w:vAlign w:val="center"/>
          </w:tcPr>
          <w:p w14:paraId="3014A846">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3172" w:type="pct"/>
            <w:noWrap w:val="0"/>
            <w:vAlign w:val="center"/>
          </w:tcPr>
          <w:p w14:paraId="3DF9133E">
            <w:pPr>
              <w:jc w:val="center"/>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t>负偏离或未响应视为实质性不响应招标文件要求</w:t>
            </w:r>
          </w:p>
        </w:tc>
      </w:tr>
      <w:tr w14:paraId="469C1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2" w:type="pct"/>
            <w:noWrap w:val="0"/>
            <w:vAlign w:val="center"/>
          </w:tcPr>
          <w:p w14:paraId="3AF87D72">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重要参数</w:t>
            </w:r>
          </w:p>
        </w:tc>
        <w:tc>
          <w:tcPr>
            <w:tcW w:w="785" w:type="pct"/>
            <w:noWrap w:val="0"/>
            <w:vAlign w:val="center"/>
          </w:tcPr>
          <w:p w14:paraId="76D713E1">
            <w:pPr>
              <w:jc w:val="center"/>
              <w:rPr>
                <w:rFonts w:hint="eastAsia" w:ascii="仿宋" w:hAnsi="仿宋" w:eastAsia="仿宋" w:cs="仿宋"/>
                <w:bCs/>
                <w:color w:val="000000"/>
                <w:sz w:val="24"/>
                <w:highlight w:val="none"/>
              </w:rPr>
            </w:pPr>
            <w:r>
              <w:rPr>
                <w:rFonts w:hint="eastAsia" w:ascii="仿宋" w:hAnsi="仿宋" w:eastAsia="仿宋" w:cs="仿宋"/>
                <w:color w:val="000000"/>
                <w:sz w:val="24"/>
                <w:highlight w:val="none"/>
              </w:rPr>
              <w:t>★</w:t>
            </w:r>
          </w:p>
        </w:tc>
        <w:tc>
          <w:tcPr>
            <w:tcW w:w="3172" w:type="pct"/>
            <w:noWrap w:val="0"/>
            <w:vAlign w:val="center"/>
          </w:tcPr>
          <w:p w14:paraId="32EAA967">
            <w:pPr>
              <w:jc w:val="center"/>
              <w:rPr>
                <w:rFonts w:hint="eastAsia" w:ascii="仿宋" w:hAnsi="仿宋" w:eastAsia="仿宋" w:cs="仿宋"/>
                <w:bCs/>
                <w:color w:val="000000"/>
                <w:sz w:val="24"/>
                <w:highlight w:val="none"/>
              </w:rPr>
            </w:pPr>
            <w:r>
              <w:rPr>
                <w:rFonts w:hint="eastAsia" w:ascii="仿宋" w:hAnsi="仿宋" w:eastAsia="仿宋" w:cs="仿宋"/>
                <w:color w:val="000000"/>
                <w:sz w:val="24"/>
                <w:highlight w:val="none"/>
              </w:rPr>
              <w:t>评分项</w:t>
            </w:r>
          </w:p>
        </w:tc>
      </w:tr>
      <w:tr w14:paraId="0CFC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2" w:type="pct"/>
            <w:vMerge w:val="restart"/>
            <w:noWrap w:val="0"/>
            <w:vAlign w:val="center"/>
          </w:tcPr>
          <w:p w14:paraId="1B708115">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一般参数</w:t>
            </w:r>
          </w:p>
        </w:tc>
        <w:tc>
          <w:tcPr>
            <w:tcW w:w="785" w:type="pct"/>
            <w:vMerge w:val="restart"/>
            <w:noWrap w:val="0"/>
            <w:vAlign w:val="center"/>
          </w:tcPr>
          <w:p w14:paraId="4ACAD27D">
            <w:pPr>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无标识</w:t>
            </w:r>
          </w:p>
        </w:tc>
        <w:tc>
          <w:tcPr>
            <w:tcW w:w="3172" w:type="pct"/>
            <w:noWrap w:val="0"/>
            <w:vAlign w:val="center"/>
          </w:tcPr>
          <w:p w14:paraId="5BCB5F5A">
            <w:pPr>
              <w:jc w:val="left"/>
              <w:rPr>
                <w:rFonts w:hint="eastAsia" w:ascii="Times New Roman" w:hAnsi="Times New Roman"/>
                <w:color w:val="000000"/>
                <w:highlight w:val="none"/>
              </w:rPr>
            </w:pPr>
            <w:r>
              <w:rPr>
                <w:rFonts w:ascii="Segoe UI Symbol" w:hAnsi="Segoe UI Symbol" w:cs="Segoe UI Symbol"/>
                <w:color w:val="000000"/>
                <w:highlight w:val="none"/>
              </w:rPr>
              <w:t>☑</w:t>
            </w:r>
            <w:r>
              <w:rPr>
                <w:rFonts w:hint="eastAsia" w:ascii="仿宋" w:hAnsi="仿宋" w:eastAsia="仿宋" w:cs="仿宋"/>
                <w:color w:val="000000"/>
                <w:sz w:val="24"/>
                <w:highlight w:val="none"/>
              </w:rPr>
              <w:t>评分项</w:t>
            </w:r>
          </w:p>
        </w:tc>
      </w:tr>
      <w:tr w14:paraId="3E64F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042" w:type="pct"/>
            <w:vMerge w:val="continue"/>
            <w:noWrap w:val="0"/>
            <w:vAlign w:val="center"/>
          </w:tcPr>
          <w:p w14:paraId="381421BA">
            <w:pPr>
              <w:jc w:val="left"/>
              <w:rPr>
                <w:color w:val="000000"/>
                <w:highlight w:val="none"/>
              </w:rPr>
            </w:pPr>
          </w:p>
        </w:tc>
        <w:tc>
          <w:tcPr>
            <w:tcW w:w="785" w:type="pct"/>
            <w:vMerge w:val="continue"/>
            <w:noWrap w:val="0"/>
            <w:vAlign w:val="center"/>
          </w:tcPr>
          <w:p w14:paraId="09C4DF69">
            <w:pPr>
              <w:jc w:val="left"/>
              <w:rPr>
                <w:color w:val="000000"/>
                <w:highlight w:val="none"/>
              </w:rPr>
            </w:pPr>
          </w:p>
        </w:tc>
        <w:tc>
          <w:tcPr>
            <w:tcW w:w="3172" w:type="pct"/>
            <w:noWrap w:val="0"/>
            <w:vAlign w:val="center"/>
          </w:tcPr>
          <w:p w14:paraId="459EDDCE">
            <w:pPr>
              <w:jc w:val="left"/>
              <w:rPr>
                <w:rFonts w:hint="eastAsia" w:ascii="Times New Roman" w:hAnsi="Times New Roman" w:eastAsia="仿宋"/>
                <w:color w:val="000000"/>
                <w:highlight w:val="none"/>
              </w:rPr>
            </w:pPr>
            <w:r>
              <w:rPr>
                <w:rFonts w:hint="eastAsia" w:ascii="Times New Roman" w:hAnsi="Times New Roman" w:eastAsia="仿宋"/>
                <w:color w:val="000000"/>
                <w:highlight w:val="none"/>
              </w:rPr>
              <w:t>/</w:t>
            </w:r>
          </w:p>
        </w:tc>
      </w:tr>
      <w:tr w14:paraId="1C19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5399BF61">
            <w:pPr>
              <w:jc w:val="left"/>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注：</w:t>
            </w:r>
          </w:p>
          <w:p w14:paraId="7D1CFFCB">
            <w:pPr>
              <w:jc w:val="left"/>
              <w:rPr>
                <w:rFonts w:hint="eastAsia" w:ascii="仿宋" w:hAnsi="仿宋" w:eastAsia="仿宋" w:cs="仿宋"/>
                <w:color w:val="000000"/>
                <w:sz w:val="22"/>
                <w:szCs w:val="22"/>
                <w:highlight w:val="none"/>
              </w:rPr>
            </w:pPr>
            <w:r>
              <w:rPr>
                <w:rFonts w:hint="eastAsia" w:ascii="仿宋" w:hAnsi="仿宋" w:eastAsia="仿宋" w:cs="仿宋"/>
                <w:color w:val="000000"/>
                <w:sz w:val="22"/>
                <w:szCs w:val="22"/>
                <w:highlight w:val="none"/>
              </w:rPr>
              <w:t>（1）标识条款中如包含多条子项技术参数或要求，则需满足或优于该标识条款内所有子项技术参数或要求方能得分。</w:t>
            </w:r>
          </w:p>
          <w:p w14:paraId="3CB3B603">
            <w:pPr>
              <w:jc w:val="left"/>
              <w:rPr>
                <w:rFonts w:hint="eastAsia" w:ascii="仿宋" w:hAnsi="仿宋" w:cs="仿宋"/>
                <w:color w:val="000000"/>
                <w:sz w:val="24"/>
                <w:highlight w:val="none"/>
              </w:rPr>
            </w:pPr>
            <w:r>
              <w:rPr>
                <w:rFonts w:hint="eastAsia" w:ascii="仿宋" w:hAnsi="仿宋" w:eastAsia="仿宋" w:cs="仿宋"/>
                <w:color w:val="000000"/>
                <w:sz w:val="22"/>
                <w:szCs w:val="22"/>
                <w:highlight w:val="none"/>
              </w:rPr>
              <w:t>（2）须按照第六章投标文件格式十、十一，提供技术要求偏离表和技术响应资料。</w:t>
            </w:r>
          </w:p>
        </w:tc>
      </w:tr>
    </w:tbl>
    <w:p w14:paraId="4A71612D">
      <w:pPr>
        <w:pStyle w:val="24"/>
        <w:widowControl/>
        <w:snapToGrid w:val="0"/>
        <w:spacing w:line="360" w:lineRule="auto"/>
        <w:ind w:firstLine="480" w:firstLineChars="200"/>
        <w:rPr>
          <w:rFonts w:hAnsi="宋体" w:eastAsia="仿宋"/>
          <w:color w:val="000000"/>
          <w:sz w:val="24"/>
          <w:szCs w:val="24"/>
          <w:highlight w:val="none"/>
        </w:rPr>
      </w:pPr>
    </w:p>
    <w:p w14:paraId="3609FFAF">
      <w:pPr>
        <w:pStyle w:val="90"/>
        <w:rPr>
          <w:rFonts w:hint="eastAsia"/>
          <w:color w:val="000000"/>
          <w:highlight w:val="none"/>
        </w:rPr>
      </w:pPr>
      <w:r>
        <w:rPr>
          <w:color w:val="000000"/>
          <w:highlight w:val="none"/>
        </w:rPr>
        <w:br w:type="page"/>
      </w:r>
    </w:p>
    <w:p w14:paraId="4FF4EE6E">
      <w:pPr>
        <w:pStyle w:val="24"/>
        <w:widowControl/>
        <w:snapToGrid w:val="0"/>
        <w:spacing w:line="360" w:lineRule="auto"/>
        <w:ind w:firstLine="482" w:firstLineChars="200"/>
        <w:outlineLvl w:val="2"/>
        <w:rPr>
          <w:rFonts w:hAnsi="宋体" w:eastAsia="仿宋"/>
          <w:b/>
          <w:bCs/>
          <w:color w:val="000000"/>
          <w:sz w:val="24"/>
          <w:szCs w:val="24"/>
          <w:highlight w:val="none"/>
        </w:rPr>
      </w:pPr>
      <w:r>
        <w:rPr>
          <w:rFonts w:hint="eastAsia" w:hAnsi="宋体" w:eastAsia="仿宋"/>
          <w:b/>
          <w:bCs/>
          <w:color w:val="000000"/>
          <w:sz w:val="24"/>
          <w:szCs w:val="24"/>
          <w:highlight w:val="none"/>
        </w:rPr>
        <w:t>4.2技术要求表</w:t>
      </w:r>
    </w:p>
    <w:p w14:paraId="6395DA81">
      <w:pPr>
        <w:pStyle w:val="24"/>
        <w:widowControl/>
        <w:snapToGrid w:val="0"/>
        <w:spacing w:line="360" w:lineRule="auto"/>
        <w:ind w:firstLine="482" w:firstLineChars="200"/>
        <w:rPr>
          <w:rFonts w:hint="eastAsia" w:hAnsi="宋体" w:eastAsia="仿宋"/>
          <w:b/>
          <w:iCs/>
          <w:color w:val="000000"/>
          <w:sz w:val="24"/>
          <w:szCs w:val="24"/>
          <w:highlight w:val="none"/>
        </w:rPr>
      </w:pPr>
      <w:r>
        <w:rPr>
          <w:rFonts w:hint="eastAsia" w:hAnsi="宋体" w:eastAsia="仿宋"/>
          <w:b/>
          <w:iCs/>
          <w:color w:val="000000"/>
          <w:sz w:val="24"/>
          <w:szCs w:val="24"/>
          <w:highlight w:val="none"/>
        </w:rPr>
        <w:t>备注：投标文件中所有</w:t>
      </w:r>
      <w:r>
        <w:rPr>
          <w:rFonts w:hint="eastAsia" w:hAnsi="宋体" w:eastAsia="仿宋"/>
          <w:b/>
          <w:iCs/>
          <w:color w:val="000000"/>
          <w:sz w:val="24"/>
          <w:szCs w:val="24"/>
          <w:highlight w:val="none"/>
          <w:lang w:val="en-US" w:eastAsia="zh-CN"/>
        </w:rPr>
        <w:t>带</w:t>
      </w:r>
      <w:r>
        <w:rPr>
          <w:rFonts w:hint="eastAsia" w:ascii="仿宋" w:hAnsi="仿宋" w:eastAsia="仿宋" w:cs="仿宋"/>
          <w:color w:val="000000"/>
          <w:sz w:val="24"/>
          <w:highlight w:val="none"/>
        </w:rPr>
        <w:t>●</w:t>
      </w:r>
      <w:r>
        <w:rPr>
          <w:rFonts w:hint="eastAsia" w:ascii="仿宋" w:hAnsi="仿宋" w:eastAsia="仿宋" w:cs="仿宋"/>
          <w:b/>
          <w:bCs/>
          <w:color w:val="000000"/>
          <w:sz w:val="24"/>
          <w:highlight w:val="none"/>
          <w:lang w:val="en-US" w:eastAsia="zh-CN"/>
        </w:rPr>
        <w:t>和</w:t>
      </w:r>
      <w:r>
        <w:rPr>
          <w:rFonts w:hAnsi="宋体" w:eastAsia="仿宋"/>
          <w:b/>
          <w:iCs/>
          <w:color w:val="000000"/>
          <w:sz w:val="24"/>
          <w:szCs w:val="24"/>
          <w:highlight w:val="none"/>
        </w:rPr>
        <w:t>★</w:t>
      </w:r>
      <w:r>
        <w:rPr>
          <w:rFonts w:hint="eastAsia" w:hAnsi="宋体" w:eastAsia="仿宋"/>
          <w:b/>
          <w:iCs/>
          <w:color w:val="000000"/>
          <w:sz w:val="24"/>
          <w:szCs w:val="24"/>
          <w:highlight w:val="none"/>
        </w:rPr>
        <w:t>参数须提供技术彩页或产品技术说明。</w:t>
      </w:r>
    </w:p>
    <w:p w14:paraId="218478E2">
      <w:pPr>
        <w:pStyle w:val="24"/>
        <w:widowControl/>
        <w:snapToGrid w:val="0"/>
        <w:spacing w:line="360" w:lineRule="auto"/>
        <w:ind w:firstLine="482" w:firstLineChars="200"/>
        <w:rPr>
          <w:rFonts w:hint="default" w:hAnsi="宋体" w:eastAsia="仿宋"/>
          <w:b/>
          <w:iCs/>
          <w:color w:val="000000"/>
          <w:sz w:val="24"/>
          <w:szCs w:val="24"/>
          <w:highlight w:val="none"/>
          <w:lang w:val="en-US" w:eastAsia="zh-CN"/>
        </w:rPr>
      </w:pPr>
      <w:r>
        <w:rPr>
          <w:rFonts w:hint="eastAsia" w:hAnsi="宋体" w:eastAsia="仿宋"/>
          <w:b/>
          <w:iCs/>
          <w:color w:val="000000"/>
          <w:sz w:val="24"/>
          <w:szCs w:val="24"/>
          <w:highlight w:val="none"/>
          <w:lang w:val="en-US" w:eastAsia="zh-CN"/>
        </w:rPr>
        <w:t>第</w:t>
      </w:r>
      <w:r>
        <w:rPr>
          <w:rFonts w:hint="eastAsia" w:hAnsi="宋体" w:eastAsia="仿宋"/>
          <w:b/>
          <w:iCs/>
          <w:color w:val="000000"/>
          <w:sz w:val="24"/>
          <w:szCs w:val="24"/>
          <w:highlight w:val="none"/>
          <w:lang w:val="en-US" w:eastAsia="zh-CN"/>
        </w:rPr>
        <w:t>1包：</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429"/>
        <w:gridCol w:w="4976"/>
        <w:gridCol w:w="1546"/>
      </w:tblGrid>
      <w:tr w14:paraId="68DBC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58" w:type="pct"/>
            <w:noWrap w:val="0"/>
            <w:vAlign w:val="center"/>
          </w:tcPr>
          <w:p w14:paraId="7B6C411C">
            <w:pPr>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序号</w:t>
            </w:r>
          </w:p>
        </w:tc>
        <w:tc>
          <w:tcPr>
            <w:tcW w:w="1232" w:type="pct"/>
            <w:noWrap w:val="0"/>
            <w:vAlign w:val="center"/>
          </w:tcPr>
          <w:p w14:paraId="209774CD">
            <w:pPr>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货物名称</w:t>
            </w:r>
          </w:p>
        </w:tc>
        <w:tc>
          <w:tcPr>
            <w:tcW w:w="2524" w:type="pct"/>
            <w:noWrap w:val="0"/>
            <w:vAlign w:val="center"/>
          </w:tcPr>
          <w:p w14:paraId="6B3FC454">
            <w:pPr>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技术参数</w:t>
            </w:r>
          </w:p>
        </w:tc>
        <w:tc>
          <w:tcPr>
            <w:tcW w:w="784" w:type="pct"/>
            <w:noWrap w:val="0"/>
            <w:vAlign w:val="center"/>
          </w:tcPr>
          <w:p w14:paraId="62312CCA">
            <w:pPr>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数量</w:t>
            </w:r>
          </w:p>
        </w:tc>
      </w:tr>
      <w:tr w14:paraId="577E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458" w:type="pct"/>
            <w:noWrap w:val="0"/>
            <w:vAlign w:val="center"/>
          </w:tcPr>
          <w:p w14:paraId="3D022889">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1</w:t>
            </w:r>
          </w:p>
        </w:tc>
        <w:tc>
          <w:tcPr>
            <w:tcW w:w="1232" w:type="pct"/>
            <w:noWrap w:val="0"/>
            <w:vAlign w:val="center"/>
          </w:tcPr>
          <w:p w14:paraId="596C6E95">
            <w:pPr>
              <w:widowControl/>
              <w:jc w:val="center"/>
              <w:rPr>
                <w:rFonts w:hint="eastAsia" w:ascii="仿宋" w:hAnsi="仿宋" w:eastAsia="仿宋" w:cs="仿宋"/>
                <w:color w:val="000000"/>
                <w:sz w:val="24"/>
                <w:szCs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szCs w:val="24"/>
                <w:highlight w:val="none"/>
              </w:rPr>
              <w:t>结核分枝杆菌测序系统</w:t>
            </w:r>
          </w:p>
        </w:tc>
        <w:tc>
          <w:tcPr>
            <w:tcW w:w="2524" w:type="pct"/>
            <w:noWrap w:val="0"/>
            <w:vAlign w:val="center"/>
          </w:tcPr>
          <w:p w14:paraId="521C5EDD">
            <w:pPr>
              <w:jc w:val="left"/>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1、测序仪</w:t>
            </w:r>
          </w:p>
          <w:p w14:paraId="711C8AF6">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1.1、采用线性扩增方式，每轮扩增均以原始文库分子为模板，能有效减少由PCR引入的错误累积的影响，所有扩增反应（包括文库拷贝数扩增）均需在测序载片加载文库操作之前，测序载片加载文库后，不进行任何扩增操作，有效减少文库之间的交叉污染；</w:t>
            </w:r>
          </w:p>
          <w:p w14:paraId="251A2F89">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1.2、支持单端测序（SE）和双端测序（PE），支持读长单端≥100个碱基，双端≥2×150个碱基；</w:t>
            </w:r>
          </w:p>
          <w:p w14:paraId="270BE008">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★1.3运行时间：SE100模式下，单次运行时间≤5小时，PE150模式下，单次运行时间≤12小时；</w:t>
            </w:r>
          </w:p>
          <w:p w14:paraId="28293800">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1.4、须配备与测序仪对应的服务器和分析软件或更新现有系统，具备测序和生信分析一体化功能，</w:t>
            </w:r>
            <w:r>
              <w:rPr>
                <w:rFonts w:hint="eastAsia" w:ascii="仿宋" w:hAnsi="仿宋" w:eastAsia="仿宋" w:cs="仿宋"/>
                <w:bCs/>
                <w:color w:val="000000"/>
                <w:kern w:val="0"/>
                <w:sz w:val="24"/>
                <w:szCs w:val="24"/>
                <w:highlight w:val="none"/>
                <w:lang w:val="zh-CN" w:bidi="zh-CN"/>
              </w:rPr>
              <w:t>提供基因组组装以及突变位点分析，支持数据比例和效应注释信息；</w:t>
            </w:r>
            <w:r>
              <w:rPr>
                <w:rFonts w:hint="eastAsia" w:ascii="仿宋" w:hAnsi="仿宋" w:eastAsia="仿宋" w:cs="仿宋"/>
                <w:b/>
                <w:color w:val="000000"/>
                <w:kern w:val="0"/>
                <w:sz w:val="24"/>
                <w:szCs w:val="24"/>
                <w:highlight w:val="none"/>
              </w:rPr>
              <w:t>（投标文件中须提供技术彩页或产品技术说明）</w:t>
            </w:r>
          </w:p>
          <w:p w14:paraId="483124D4">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1.5、下机数据：输出的数据格式需为带有质量打分的FASTQ通用格式，同时具备直接导出FASTQ文件的功能；</w:t>
            </w:r>
          </w:p>
          <w:p w14:paraId="24539453">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 xml:space="preserve">1.6、单次测序样本数≥12份文库，支持单端测序（SE）和双端测序（PE），支持读长单端≥100个碱基，双端≥2×150个碱基,自动化单端和自动化双端读取序列，读长≥300bp； </w:t>
            </w:r>
          </w:p>
          <w:p w14:paraId="4D8D0009">
            <w:pPr>
              <w:jc w:val="left"/>
              <w:rPr>
                <w:rFonts w:hint="eastAsia" w:ascii="仿宋" w:hAnsi="仿宋" w:eastAsia="仿宋" w:cs="仿宋"/>
                <w:color w:val="000000"/>
                <w:sz w:val="24"/>
                <w:szCs w:val="24"/>
                <w:highlight w:val="none"/>
              </w:rPr>
            </w:pPr>
            <w:r>
              <w:rPr>
                <w:rFonts w:hint="eastAsia" w:ascii="仿宋" w:hAnsi="仿宋" w:eastAsia="仿宋" w:cs="仿宋"/>
                <w:bCs/>
                <w:color w:val="000000"/>
                <w:kern w:val="0"/>
                <w:sz w:val="24"/>
                <w:szCs w:val="24"/>
                <w:highlight w:val="none"/>
              </w:rPr>
              <w:t>★1.7、运行时间：SE100模式下，单次运行时间≤5小时，PE150模式下，单次运行时间≤12小时，包括：样本加载、测序、碱基识别和数据处理时间。</w:t>
            </w:r>
          </w:p>
          <w:p w14:paraId="13D8005B">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1.8、数据通量：每次运行可产生≥48G碱基数据；</w:t>
            </w:r>
          </w:p>
          <w:p w14:paraId="33CD4744">
            <w:pPr>
              <w:jc w:val="left"/>
              <w:rPr>
                <w:rFonts w:hint="eastAsia" w:ascii="仿宋" w:hAnsi="仿宋" w:eastAsia="仿宋" w:cs="仿宋"/>
                <w:b/>
                <w:color w:val="000000"/>
                <w:kern w:val="0"/>
                <w:sz w:val="24"/>
                <w:szCs w:val="24"/>
                <w:highlight w:val="none"/>
              </w:rPr>
            </w:pPr>
            <w:r>
              <w:rPr>
                <w:rFonts w:hint="eastAsia" w:ascii="仿宋" w:hAnsi="仿宋" w:eastAsia="仿宋" w:cs="仿宋"/>
                <w:bCs/>
                <w:color w:val="000000"/>
                <w:kern w:val="0"/>
                <w:sz w:val="24"/>
                <w:szCs w:val="24"/>
                <w:highlight w:val="none"/>
              </w:rPr>
              <w:t>1.9、数据准确性：测序结果给出严格的Q30的数据质量评判，读长≤100bp时，测序Q30值≥90%。100&lt;读长≤300bp时，测序Q30值&gt;80%。</w:t>
            </w:r>
            <w:r>
              <w:rPr>
                <w:rFonts w:hint="eastAsia" w:ascii="仿宋" w:hAnsi="仿宋" w:eastAsia="仿宋" w:cs="仿宋"/>
                <w:b/>
                <w:color w:val="000000"/>
                <w:kern w:val="0"/>
                <w:sz w:val="24"/>
                <w:szCs w:val="24"/>
                <w:highlight w:val="none"/>
              </w:rPr>
              <w:t>（投标文件中须提供技术彩页或产品技术说明）</w:t>
            </w:r>
          </w:p>
          <w:p w14:paraId="35DDAFE7">
            <w:pPr>
              <w:jc w:val="left"/>
              <w:rPr>
                <w:rFonts w:hint="eastAsia" w:ascii="仿宋" w:hAnsi="仿宋" w:eastAsia="仿宋" w:cs="仿宋"/>
                <w:b/>
                <w:color w:val="000000"/>
                <w:kern w:val="0"/>
                <w:sz w:val="24"/>
                <w:szCs w:val="24"/>
                <w:highlight w:val="none"/>
              </w:rPr>
            </w:pPr>
            <w:r>
              <w:rPr>
                <w:rFonts w:hint="eastAsia" w:ascii="仿宋" w:hAnsi="仿宋" w:eastAsia="仿宋" w:cs="仿宋"/>
                <w:bCs/>
                <w:color w:val="000000"/>
                <w:kern w:val="0"/>
                <w:sz w:val="24"/>
                <w:szCs w:val="24"/>
                <w:highlight w:val="none"/>
              </w:rPr>
              <w:t>1.10、嵌入式操作系统，无需外部电脑即可独立工作；</w:t>
            </w:r>
          </w:p>
          <w:p w14:paraId="46FB35ED">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1.11、信息分析：测序同时能进行初步数据分析，并产生有质量打分的碱基序列。</w:t>
            </w:r>
          </w:p>
          <w:p w14:paraId="060E1064">
            <w:pPr>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1.12、仪器维护：测序流程运行结束后可直接进行自动清洗，无需手动干预。</w:t>
            </w:r>
          </w:p>
          <w:p w14:paraId="41F3B2CC">
            <w:pPr>
              <w:jc w:val="left"/>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2、快速自动建库仪</w:t>
            </w:r>
          </w:p>
          <w:p w14:paraId="13757115">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2.1、自动化建库仪需要与测序仪相匹配；</w:t>
            </w:r>
          </w:p>
          <w:p w14:paraId="0BD33895">
            <w:pPr>
              <w:widowControl/>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2.2、采用自动化集成建库流程，</w:t>
            </w:r>
            <w:r>
              <w:rPr>
                <w:rFonts w:hint="eastAsia" w:ascii="仿宋" w:hAnsi="仿宋" w:eastAsia="仿宋" w:cs="仿宋"/>
                <w:bCs/>
                <w:color w:val="000000"/>
                <w:kern w:val="0"/>
                <w:sz w:val="24"/>
                <w:szCs w:val="24"/>
                <w:highlight w:val="none"/>
                <w:lang w:val="zh-CN"/>
              </w:rPr>
              <w:t>适用于二代以及三代基因测序建库，</w:t>
            </w:r>
            <w:r>
              <w:rPr>
                <w:rFonts w:hint="eastAsia" w:ascii="仿宋" w:hAnsi="仿宋" w:eastAsia="仿宋" w:cs="仿宋"/>
                <w:bCs/>
                <w:color w:val="000000"/>
                <w:kern w:val="0"/>
                <w:sz w:val="24"/>
                <w:szCs w:val="24"/>
                <w:highlight w:val="none"/>
              </w:rPr>
              <w:t>可以在同一仪器上实现移液、分液、液滴融合、液滴混匀等操作，可</w:t>
            </w:r>
            <w:r>
              <w:rPr>
                <w:rFonts w:hint="eastAsia" w:ascii="仿宋" w:hAnsi="仿宋" w:eastAsia="仿宋" w:cs="仿宋"/>
                <w:bCs/>
                <w:color w:val="000000"/>
                <w:kern w:val="0"/>
                <w:sz w:val="24"/>
                <w:szCs w:val="24"/>
                <w:highlight w:val="none"/>
                <w:lang w:val="zh-CN"/>
              </w:rPr>
              <w:t>实现一体化文库制备</w:t>
            </w:r>
            <w:r>
              <w:rPr>
                <w:rFonts w:hint="eastAsia" w:ascii="仿宋" w:hAnsi="仿宋" w:eastAsia="仿宋" w:cs="仿宋"/>
                <w:bCs/>
                <w:color w:val="000000"/>
                <w:kern w:val="0"/>
                <w:sz w:val="24"/>
                <w:szCs w:val="24"/>
                <w:highlight w:val="none"/>
              </w:rPr>
              <w:t>和</w:t>
            </w:r>
            <w:r>
              <w:rPr>
                <w:rFonts w:hint="eastAsia" w:ascii="仿宋" w:hAnsi="仿宋" w:eastAsia="仿宋" w:cs="仿宋"/>
                <w:bCs/>
                <w:color w:val="000000"/>
                <w:kern w:val="0"/>
                <w:sz w:val="24"/>
                <w:szCs w:val="24"/>
                <w:highlight w:val="none"/>
                <w:lang w:val="zh-CN"/>
              </w:rPr>
              <w:t>纯化；</w:t>
            </w:r>
          </w:p>
          <w:p w14:paraId="064F60E9">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2.3、操作界面：支持中英文操作界面。</w:t>
            </w:r>
          </w:p>
          <w:p w14:paraId="6008AAE2">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2.4、输入样本类型：RNA或DNA；输出样本类型：待测序文库。</w:t>
            </w:r>
          </w:p>
          <w:p w14:paraId="13F96AC2">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2.5、样本通量：适用于高通量测序平台的自动化全基因组建库、PCR-FREE建库及纯化等，每次样本建库可以任选样本数，且最大样本数≥2；</w:t>
            </w:r>
          </w:p>
          <w:p w14:paraId="542DD107">
            <w:pPr>
              <w:jc w:val="left"/>
              <w:rPr>
                <w:rFonts w:hint="eastAsia" w:ascii="仿宋" w:hAnsi="仿宋" w:eastAsia="仿宋" w:cs="仿宋"/>
                <w:b/>
                <w:color w:val="000000"/>
                <w:kern w:val="0"/>
                <w:sz w:val="24"/>
                <w:szCs w:val="24"/>
                <w:highlight w:val="none"/>
              </w:rPr>
            </w:pPr>
            <w:r>
              <w:rPr>
                <w:rFonts w:hint="eastAsia" w:ascii="仿宋" w:hAnsi="仿宋" w:eastAsia="仿宋" w:cs="仿宋"/>
                <w:bCs/>
                <w:color w:val="000000"/>
                <w:kern w:val="0"/>
                <w:sz w:val="24"/>
                <w:szCs w:val="24"/>
                <w:highlight w:val="none"/>
              </w:rPr>
              <w:t>★2.6、加样过程：从样本制备到文库输出全流程操作简便，样本上机前手工准备时间≤15分钟，且无需人工看守，手动开盖次数≤1次，整个建库过程仅需一步加样</w:t>
            </w:r>
            <w:r>
              <w:rPr>
                <w:rFonts w:hint="eastAsia" w:ascii="仿宋" w:hAnsi="仿宋" w:eastAsia="仿宋" w:cs="仿宋"/>
                <w:b/>
                <w:color w:val="000000"/>
                <w:kern w:val="0"/>
                <w:sz w:val="24"/>
                <w:szCs w:val="24"/>
                <w:highlight w:val="none"/>
              </w:rPr>
              <w:t>（投标文件中须提供技术彩页或产品技术说明）；</w:t>
            </w:r>
          </w:p>
          <w:p w14:paraId="4E287E7E">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2.7、控温精度：反应区实际温度值与设定温度值误差≤0.5℃，最大升温速度≥2.5℃/s,最大降温速度≥2.0℃/s；</w:t>
            </w:r>
          </w:p>
          <w:p w14:paraId="0B2E18BD">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2.8、具有断电保护功能，意外断电后，短时间内接通电源可继续运行流程</w:t>
            </w:r>
            <w:r>
              <w:rPr>
                <w:rFonts w:hint="eastAsia" w:ascii="仿宋" w:hAnsi="仿宋" w:eastAsia="仿宋" w:cs="仿宋"/>
                <w:b/>
                <w:color w:val="000000"/>
                <w:kern w:val="0"/>
                <w:sz w:val="24"/>
                <w:szCs w:val="24"/>
                <w:highlight w:val="none"/>
              </w:rPr>
              <w:t>（投标文件中须提供技术彩页或产品技术说明）</w:t>
            </w:r>
            <w:r>
              <w:rPr>
                <w:rFonts w:hint="eastAsia" w:ascii="仿宋" w:hAnsi="仿宋" w:eastAsia="仿宋" w:cs="仿宋"/>
                <w:bCs/>
                <w:color w:val="000000"/>
                <w:kern w:val="0"/>
                <w:sz w:val="24"/>
                <w:szCs w:val="24"/>
                <w:highlight w:val="none"/>
              </w:rPr>
              <w:t>；</w:t>
            </w:r>
          </w:p>
          <w:p w14:paraId="75069675">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2.9、安全性：采用封闭式卡夹反应体系，卡夹采用全封闭单样本预分装式卡盒，样本之间相对独立，无交叉污染，运行全程不会产生任何气溶胶；</w:t>
            </w:r>
          </w:p>
          <w:p w14:paraId="01798B8B">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2.10、仪器至少适配有结核分枝杆菌、流感病毒、人副流感病毒1-4型和新布尼亚病毒等病原体的自动化建库试剂盒；</w:t>
            </w:r>
          </w:p>
          <w:p w14:paraId="4630BD7A">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2.11采用一次性耗材，仪器主机在运行间无需任何清洗、消毒，可实现不间断连续运行；</w:t>
            </w:r>
          </w:p>
          <w:p w14:paraId="55857D95">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3、其它要求：系统需包含手动移液器4套（0.5-10ul, 2-20ul, 20-200ul, 100-1000 ul各1把为1套）；</w:t>
            </w:r>
            <w:r>
              <w:rPr>
                <w:rFonts w:hint="eastAsia" w:ascii="仿宋" w:hAnsi="仿宋" w:eastAsia="仿宋" w:cs="仿宋"/>
                <w:color w:val="000000"/>
                <w:sz w:val="24"/>
                <w:szCs w:val="24"/>
                <w:highlight w:val="none"/>
                <w:lang w:val="en-US" w:eastAsia="zh-CN"/>
              </w:rPr>
              <w:t>便携式系统主机</w:t>
            </w:r>
            <w:r>
              <w:rPr>
                <w:rFonts w:hint="eastAsia" w:ascii="仿宋" w:hAnsi="仿宋" w:eastAsia="仿宋" w:cs="仿宋"/>
                <w:bCs/>
                <w:color w:val="000000"/>
                <w:kern w:val="0"/>
                <w:sz w:val="24"/>
                <w:szCs w:val="24"/>
                <w:highlight w:val="none"/>
              </w:rPr>
              <w:t>1台（i9及以上性能的CPU，显示屏</w:t>
            </w:r>
            <w:r>
              <w:rPr>
                <w:rFonts w:hint="eastAsia" w:ascii="仿宋" w:hAnsi="仿宋" w:eastAsia="仿宋" w:cs="仿宋"/>
                <w:color w:val="000000"/>
                <w:sz w:val="24"/>
                <w:szCs w:val="24"/>
                <w:highlight w:val="none"/>
              </w:rPr>
              <w:t>≤</w:t>
            </w:r>
            <w:r>
              <w:rPr>
                <w:rFonts w:hint="eastAsia" w:ascii="仿宋" w:hAnsi="仿宋" w:eastAsia="仿宋" w:cs="仿宋"/>
                <w:bCs/>
                <w:color w:val="000000"/>
                <w:kern w:val="0"/>
                <w:sz w:val="24"/>
                <w:szCs w:val="24"/>
                <w:highlight w:val="none"/>
              </w:rPr>
              <w:t>17</w:t>
            </w:r>
            <w:r>
              <w:rPr>
                <w:rFonts w:hint="eastAsia" w:ascii="仿宋" w:hAnsi="仿宋" w:eastAsia="仿宋" w:cs="仿宋"/>
                <w:bCs/>
                <w:color w:val="000000"/>
                <w:kern w:val="0"/>
                <w:sz w:val="24"/>
                <w:szCs w:val="24"/>
                <w:highlight w:val="none"/>
                <w:lang w:val="en-US" w:eastAsia="zh-CN"/>
              </w:rPr>
              <w:t>英</w:t>
            </w:r>
            <w:r>
              <w:rPr>
                <w:rFonts w:hint="eastAsia" w:ascii="仿宋" w:hAnsi="仿宋" w:eastAsia="仿宋" w:cs="仿宋"/>
                <w:bCs/>
                <w:color w:val="000000"/>
                <w:kern w:val="0"/>
                <w:sz w:val="24"/>
                <w:szCs w:val="24"/>
                <w:highlight w:val="none"/>
              </w:rPr>
              <w:t>寸，内存≥16G，1T以上固态硬盘）。</w:t>
            </w:r>
          </w:p>
        </w:tc>
        <w:tc>
          <w:tcPr>
            <w:tcW w:w="784" w:type="pct"/>
            <w:noWrap w:val="0"/>
            <w:vAlign w:val="center"/>
          </w:tcPr>
          <w:p w14:paraId="47C42B22">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1套</w:t>
            </w:r>
          </w:p>
        </w:tc>
      </w:tr>
    </w:tbl>
    <w:p w14:paraId="6D678D3E">
      <w:pPr>
        <w:pStyle w:val="24"/>
        <w:widowControl/>
        <w:snapToGrid w:val="0"/>
        <w:spacing w:line="360" w:lineRule="auto"/>
        <w:outlineLvl w:val="1"/>
        <w:rPr>
          <w:rStyle w:val="106"/>
          <w:rFonts w:ascii="宋体" w:hAnsi="宋体" w:eastAsia="仿宋"/>
          <w:color w:val="000000"/>
          <w:sz w:val="24"/>
          <w:szCs w:val="24"/>
          <w:highlight w:val="none"/>
        </w:rPr>
      </w:pPr>
    </w:p>
    <w:p w14:paraId="13ED228D">
      <w:pPr>
        <w:pStyle w:val="24"/>
        <w:widowControl/>
        <w:snapToGrid w:val="0"/>
        <w:spacing w:line="360" w:lineRule="auto"/>
        <w:outlineLvl w:val="1"/>
        <w:rPr>
          <w:rStyle w:val="106"/>
          <w:rFonts w:hint="eastAsia" w:hAnsi="宋体" w:eastAsia="仿宋"/>
          <w:color w:val="000000"/>
          <w:sz w:val="24"/>
          <w:szCs w:val="24"/>
          <w:highlight w:val="none"/>
          <w:lang w:val="en-US"/>
        </w:rPr>
      </w:pPr>
      <w:r>
        <w:rPr>
          <w:rStyle w:val="106"/>
          <w:rFonts w:hint="eastAsia" w:hAnsi="宋体" w:eastAsia="仿宋"/>
          <w:color w:val="000000"/>
          <w:sz w:val="24"/>
          <w:szCs w:val="24"/>
          <w:highlight w:val="none"/>
          <w:lang w:val="en-US"/>
        </w:rPr>
        <w:t>第2包：</w:t>
      </w:r>
    </w:p>
    <w:tbl>
      <w:tblPr>
        <w:tblStyle w:val="4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2429"/>
        <w:gridCol w:w="4976"/>
        <w:gridCol w:w="1546"/>
      </w:tblGrid>
      <w:tr w14:paraId="663C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458" w:type="pct"/>
            <w:noWrap w:val="0"/>
            <w:vAlign w:val="center"/>
          </w:tcPr>
          <w:p w14:paraId="054756AD">
            <w:pPr>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序号</w:t>
            </w:r>
          </w:p>
        </w:tc>
        <w:tc>
          <w:tcPr>
            <w:tcW w:w="1232" w:type="pct"/>
            <w:noWrap w:val="0"/>
            <w:vAlign w:val="center"/>
          </w:tcPr>
          <w:p w14:paraId="5C062A3B">
            <w:pPr>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货物名称</w:t>
            </w:r>
          </w:p>
        </w:tc>
        <w:tc>
          <w:tcPr>
            <w:tcW w:w="2524" w:type="pct"/>
            <w:noWrap w:val="0"/>
            <w:vAlign w:val="center"/>
          </w:tcPr>
          <w:p w14:paraId="7E5C1EB1">
            <w:pPr>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技术参数</w:t>
            </w:r>
          </w:p>
        </w:tc>
        <w:tc>
          <w:tcPr>
            <w:tcW w:w="784" w:type="pct"/>
            <w:noWrap w:val="0"/>
            <w:vAlign w:val="center"/>
          </w:tcPr>
          <w:p w14:paraId="466EB873">
            <w:pPr>
              <w:jc w:val="center"/>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数量</w:t>
            </w:r>
          </w:p>
        </w:tc>
      </w:tr>
      <w:tr w14:paraId="7C30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 w:type="pct"/>
            <w:noWrap w:val="0"/>
            <w:vAlign w:val="center"/>
          </w:tcPr>
          <w:p w14:paraId="190CAEDF">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w:t>
            </w:r>
          </w:p>
        </w:tc>
        <w:tc>
          <w:tcPr>
            <w:tcW w:w="1232" w:type="pct"/>
            <w:noWrap w:val="0"/>
            <w:vAlign w:val="center"/>
          </w:tcPr>
          <w:p w14:paraId="67CDBB02">
            <w:pPr>
              <w:widowControl/>
              <w:jc w:val="center"/>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szCs w:val="24"/>
                <w:highlight w:val="none"/>
              </w:rPr>
              <w:t>结核分枝杆菌蛋白转印系统</w:t>
            </w:r>
          </w:p>
        </w:tc>
        <w:tc>
          <w:tcPr>
            <w:tcW w:w="2524" w:type="pct"/>
            <w:noWrap w:val="0"/>
            <w:vAlign w:val="center"/>
          </w:tcPr>
          <w:p w14:paraId="184B16A4">
            <w:pPr>
              <w:jc w:val="left"/>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rPr>
              <w:t>1、多功能电泳仪</w:t>
            </w:r>
          </w:p>
          <w:p w14:paraId="0225ADD6">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Hans"/>
              </w:rPr>
              <w:t>1</w:t>
            </w:r>
            <w:r>
              <w:rPr>
                <w:rFonts w:hint="eastAsia" w:ascii="仿宋" w:hAnsi="仿宋" w:eastAsia="仿宋" w:cs="仿宋"/>
                <w:color w:val="000000"/>
                <w:sz w:val="24"/>
                <w:szCs w:val="24"/>
                <w:highlight w:val="none"/>
              </w:rPr>
              <w:t>.1设备可</w:t>
            </w:r>
            <w:r>
              <w:rPr>
                <w:rFonts w:hint="eastAsia" w:ascii="仿宋" w:hAnsi="仿宋" w:eastAsia="仿宋" w:cs="仿宋"/>
                <w:color w:val="000000"/>
                <w:sz w:val="24"/>
                <w:szCs w:val="24"/>
                <w:highlight w:val="none"/>
                <w:lang w:eastAsia="zh-Hans"/>
              </w:rPr>
              <w:t>用于核酸凝胶电泳、SDS-PAGE以及免疫印迹的湿式转印</w:t>
            </w:r>
            <w:r>
              <w:rPr>
                <w:rFonts w:hint="eastAsia" w:ascii="仿宋" w:hAnsi="仿宋" w:eastAsia="仿宋" w:cs="仿宋"/>
                <w:color w:val="000000"/>
                <w:sz w:val="24"/>
                <w:szCs w:val="24"/>
                <w:highlight w:val="none"/>
              </w:rPr>
              <w:t>；</w:t>
            </w:r>
          </w:p>
          <w:p w14:paraId="1791DD99">
            <w:pPr>
              <w:widowControl/>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Hans"/>
              </w:rPr>
              <w:t>1</w:t>
            </w:r>
            <w:r>
              <w:rPr>
                <w:rFonts w:hint="eastAsia" w:ascii="仿宋" w:hAnsi="仿宋" w:eastAsia="仿宋" w:cs="仿宋"/>
                <w:color w:val="000000"/>
                <w:sz w:val="24"/>
                <w:szCs w:val="24"/>
                <w:highlight w:val="none"/>
              </w:rPr>
              <w:t>.2</w:t>
            </w:r>
            <w:r>
              <w:rPr>
                <w:rFonts w:hint="eastAsia" w:ascii="仿宋" w:hAnsi="仿宋" w:eastAsia="仿宋" w:cs="仿宋"/>
                <w:color w:val="000000"/>
                <w:sz w:val="24"/>
                <w:szCs w:val="24"/>
                <w:highlight w:val="none"/>
                <w:lang w:eastAsia="zh-Hans"/>
              </w:rPr>
              <w:t xml:space="preserve"> </w:t>
            </w:r>
            <w:r>
              <w:rPr>
                <w:rFonts w:hint="eastAsia" w:ascii="仿宋" w:hAnsi="仿宋" w:eastAsia="仿宋" w:cs="仿宋"/>
                <w:color w:val="000000"/>
                <w:sz w:val="24"/>
                <w:szCs w:val="24"/>
                <w:highlight w:val="none"/>
              </w:rPr>
              <w:t>一体化设计，其集电源、水平电泳槽、垂直电泳槽、转印槽、切胶仪于⼀体；</w:t>
            </w:r>
          </w:p>
          <w:p w14:paraId="68841D0A">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Hans"/>
              </w:rPr>
              <w:t>1.</w:t>
            </w:r>
            <w:r>
              <w:rPr>
                <w:rFonts w:hint="eastAsia" w:ascii="仿宋" w:hAnsi="仿宋" w:eastAsia="仿宋" w:cs="仿宋"/>
                <w:color w:val="000000"/>
                <w:sz w:val="24"/>
                <w:szCs w:val="24"/>
                <w:highlight w:val="none"/>
              </w:rPr>
              <w:t>3</w:t>
            </w:r>
            <w:r>
              <w:rPr>
                <w:rFonts w:hint="eastAsia" w:ascii="仿宋" w:hAnsi="仿宋" w:eastAsia="仿宋" w:cs="仿宋"/>
                <w:color w:val="000000"/>
                <w:sz w:val="24"/>
                <w:szCs w:val="24"/>
                <w:highlight w:val="none"/>
                <w:lang w:eastAsia="zh-Hans"/>
              </w:rPr>
              <w:t xml:space="preserve"> 电源电压范围≥10-300V</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Hans"/>
              </w:rPr>
              <w:t>电源电流范围≥4-400mA</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Hans"/>
              </w:rPr>
              <w:t>电源功率范围</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Hans"/>
              </w:rPr>
              <w:t>1-75W</w:t>
            </w:r>
            <w:r>
              <w:rPr>
                <w:rFonts w:hint="eastAsia" w:ascii="仿宋" w:hAnsi="仿宋" w:eastAsia="仿宋" w:cs="仿宋"/>
                <w:color w:val="000000"/>
                <w:sz w:val="24"/>
                <w:szCs w:val="24"/>
                <w:highlight w:val="none"/>
              </w:rPr>
              <w:t>；</w:t>
            </w:r>
          </w:p>
          <w:p w14:paraId="53C4CC88">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Hans"/>
              </w:rPr>
              <w:t xml:space="preserve">1.4 </w:t>
            </w:r>
            <w:r>
              <w:rPr>
                <w:rFonts w:hint="eastAsia" w:ascii="仿宋" w:hAnsi="仿宋" w:eastAsia="仿宋" w:cs="仿宋"/>
                <w:color w:val="000000"/>
                <w:sz w:val="24"/>
                <w:szCs w:val="24"/>
                <w:highlight w:val="none"/>
              </w:rPr>
              <w:t>电泳过程中</w:t>
            </w:r>
            <w:r>
              <w:rPr>
                <w:rFonts w:hint="eastAsia" w:ascii="仿宋" w:hAnsi="仿宋" w:eastAsia="仿宋" w:cs="仿宋"/>
                <w:color w:val="000000"/>
                <w:sz w:val="24"/>
                <w:szCs w:val="24"/>
                <w:highlight w:val="none"/>
                <w:lang w:eastAsia="zh-Hans"/>
              </w:rPr>
              <w:t>，可一键实时查看核酸电泳状态</w:t>
            </w:r>
            <w:r>
              <w:rPr>
                <w:rFonts w:hint="eastAsia" w:ascii="仿宋" w:hAnsi="仿宋" w:eastAsia="仿宋" w:cs="仿宋"/>
                <w:color w:val="000000"/>
                <w:sz w:val="24"/>
                <w:szCs w:val="24"/>
                <w:highlight w:val="none"/>
              </w:rPr>
              <w:t>；</w:t>
            </w:r>
          </w:p>
          <w:p w14:paraId="1E6F2A5B">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Hans"/>
              </w:rPr>
              <w:t>1.5可存储≥</w:t>
            </w:r>
            <w:r>
              <w:rPr>
                <w:rFonts w:hint="eastAsia" w:ascii="仿宋" w:hAnsi="仿宋" w:eastAsia="仿宋" w:cs="仿宋"/>
                <w:color w:val="000000"/>
                <w:sz w:val="24"/>
                <w:szCs w:val="24"/>
                <w:highlight w:val="none"/>
              </w:rPr>
              <w:t>10种</w:t>
            </w:r>
            <w:r>
              <w:rPr>
                <w:rFonts w:hint="eastAsia" w:ascii="仿宋" w:hAnsi="仿宋" w:eastAsia="仿宋" w:cs="仿宋"/>
                <w:color w:val="000000"/>
                <w:sz w:val="24"/>
                <w:szCs w:val="24"/>
                <w:highlight w:val="none"/>
                <w:lang w:eastAsia="zh-Hans"/>
              </w:rPr>
              <w:t>实验方案，</w:t>
            </w:r>
            <w:r>
              <w:rPr>
                <w:rFonts w:hint="eastAsia" w:ascii="仿宋" w:hAnsi="仿宋" w:eastAsia="仿宋" w:cs="仿宋"/>
                <w:color w:val="000000"/>
                <w:sz w:val="24"/>
                <w:szCs w:val="24"/>
                <w:highlight w:val="none"/>
              </w:rPr>
              <w:t>可随时</w:t>
            </w:r>
            <w:r>
              <w:rPr>
                <w:rFonts w:hint="eastAsia" w:ascii="仿宋" w:hAnsi="仿宋" w:eastAsia="仿宋" w:cs="仿宋"/>
                <w:color w:val="000000"/>
                <w:sz w:val="24"/>
                <w:szCs w:val="24"/>
                <w:highlight w:val="none"/>
                <w:lang w:eastAsia="zh-Hans"/>
              </w:rPr>
              <w:t>调取并开始实验</w:t>
            </w:r>
            <w:r>
              <w:rPr>
                <w:rFonts w:hint="eastAsia" w:ascii="仿宋" w:hAnsi="仿宋" w:eastAsia="仿宋" w:cs="仿宋"/>
                <w:color w:val="000000"/>
                <w:sz w:val="24"/>
                <w:szCs w:val="24"/>
                <w:highlight w:val="none"/>
              </w:rPr>
              <w:t>；</w:t>
            </w:r>
          </w:p>
          <w:p w14:paraId="15A58F7F">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Hans"/>
              </w:rPr>
              <w:t>1.6设备配备紫外/蓝光防护罩，可进行核酸凝胶的切胶回收</w:t>
            </w:r>
            <w:r>
              <w:rPr>
                <w:rFonts w:hint="eastAsia" w:ascii="仿宋" w:hAnsi="仿宋" w:eastAsia="仿宋" w:cs="仿宋"/>
                <w:color w:val="000000"/>
                <w:sz w:val="24"/>
                <w:szCs w:val="24"/>
                <w:highlight w:val="none"/>
              </w:rPr>
              <w:t>；</w:t>
            </w:r>
          </w:p>
          <w:p w14:paraId="7A6E1AC0">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1.7</w:t>
            </w:r>
            <w:r>
              <w:rPr>
                <w:rFonts w:hint="eastAsia" w:ascii="仿宋" w:hAnsi="仿宋" w:eastAsia="仿宋" w:cs="仿宋"/>
                <w:color w:val="000000"/>
                <w:sz w:val="24"/>
                <w:szCs w:val="24"/>
                <w:highlight w:val="none"/>
                <w:lang w:eastAsia="zh-Hans"/>
              </w:rPr>
              <w:t>水平电泳槽可满足12×12cm</w:t>
            </w:r>
            <w:r>
              <w:rPr>
                <w:rFonts w:hint="eastAsia" w:ascii="仿宋" w:hAnsi="仿宋" w:eastAsia="仿宋" w:cs="仿宋"/>
                <w:color w:val="000000"/>
                <w:sz w:val="24"/>
                <w:szCs w:val="24"/>
                <w:highlight w:val="none"/>
              </w:rPr>
              <w:t>和</w:t>
            </w:r>
            <w:r>
              <w:rPr>
                <w:rFonts w:hint="eastAsia" w:ascii="仿宋" w:hAnsi="仿宋" w:eastAsia="仿宋" w:cs="仿宋"/>
                <w:color w:val="000000"/>
                <w:sz w:val="24"/>
                <w:szCs w:val="24"/>
                <w:highlight w:val="none"/>
                <w:lang w:eastAsia="zh-Hans"/>
              </w:rPr>
              <w:t>6×6cm</w:t>
            </w:r>
            <w:r>
              <w:rPr>
                <w:rFonts w:hint="eastAsia" w:ascii="仿宋" w:hAnsi="仿宋" w:eastAsia="仿宋" w:cs="仿宋"/>
                <w:color w:val="000000"/>
                <w:sz w:val="24"/>
                <w:szCs w:val="24"/>
                <w:highlight w:val="none"/>
              </w:rPr>
              <w:t>等多种规格凝</w:t>
            </w:r>
            <w:r>
              <w:rPr>
                <w:rFonts w:hint="eastAsia" w:ascii="仿宋" w:hAnsi="仿宋" w:eastAsia="仿宋" w:cs="仿宋"/>
                <w:color w:val="000000"/>
                <w:sz w:val="24"/>
                <w:szCs w:val="24"/>
                <w:highlight w:val="none"/>
                <w:lang w:eastAsia="zh-Hans"/>
              </w:rPr>
              <w:t>胶的电泳</w:t>
            </w:r>
            <w:r>
              <w:rPr>
                <w:rFonts w:hint="eastAsia" w:ascii="仿宋" w:hAnsi="仿宋" w:eastAsia="仿宋" w:cs="仿宋"/>
                <w:color w:val="000000"/>
                <w:sz w:val="24"/>
                <w:szCs w:val="24"/>
                <w:highlight w:val="none"/>
              </w:rPr>
              <w:t>；</w:t>
            </w:r>
          </w:p>
          <w:p w14:paraId="4BF24C5A">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1.8</w:t>
            </w:r>
            <w:r>
              <w:rPr>
                <w:rFonts w:hint="eastAsia" w:ascii="仿宋" w:hAnsi="仿宋" w:eastAsia="仿宋" w:cs="仿宋"/>
                <w:color w:val="000000"/>
                <w:sz w:val="24"/>
                <w:szCs w:val="24"/>
                <w:highlight w:val="none"/>
                <w:lang w:eastAsia="zh-Hans"/>
              </w:rPr>
              <w:t>垂直电泳槽可满足≥</w:t>
            </w:r>
            <w:r>
              <w:rPr>
                <w:rFonts w:hint="eastAsia" w:ascii="仿宋" w:hAnsi="仿宋" w:eastAsia="仿宋" w:cs="仿宋"/>
                <w:color w:val="000000"/>
                <w:sz w:val="24"/>
                <w:szCs w:val="24"/>
                <w:highlight w:val="none"/>
              </w:rPr>
              <w:t>6</w:t>
            </w:r>
            <w:r>
              <w:rPr>
                <w:rFonts w:hint="eastAsia" w:ascii="仿宋" w:hAnsi="仿宋" w:eastAsia="仿宋" w:cs="仿宋"/>
                <w:color w:val="000000"/>
                <w:sz w:val="24"/>
                <w:szCs w:val="24"/>
                <w:highlight w:val="none"/>
                <w:lang w:eastAsia="zh-Hans"/>
              </w:rPr>
              <w:t>块mini胶的同时电泳</w:t>
            </w:r>
            <w:r>
              <w:rPr>
                <w:rFonts w:hint="eastAsia" w:ascii="仿宋" w:hAnsi="仿宋" w:eastAsia="仿宋" w:cs="仿宋"/>
                <w:color w:val="000000"/>
                <w:sz w:val="24"/>
                <w:szCs w:val="24"/>
                <w:highlight w:val="none"/>
              </w:rPr>
              <w:t>；</w:t>
            </w:r>
          </w:p>
          <w:p w14:paraId="4F235CD2">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1.9</w:t>
            </w:r>
            <w:r>
              <w:rPr>
                <w:rFonts w:hint="eastAsia" w:ascii="仿宋" w:hAnsi="仿宋" w:eastAsia="仿宋" w:cs="仿宋"/>
                <w:color w:val="000000"/>
                <w:sz w:val="24"/>
                <w:szCs w:val="24"/>
                <w:highlight w:val="none"/>
                <w:lang w:eastAsia="zh-Hans"/>
              </w:rPr>
              <w:t>转印槽可满足≥4块mini胶的同时转印</w:t>
            </w:r>
            <w:r>
              <w:rPr>
                <w:rFonts w:hint="eastAsia" w:ascii="仿宋" w:hAnsi="仿宋" w:eastAsia="仿宋" w:cs="仿宋"/>
                <w:color w:val="000000"/>
                <w:sz w:val="24"/>
                <w:szCs w:val="24"/>
                <w:highlight w:val="none"/>
              </w:rPr>
              <w:t>。</w:t>
            </w:r>
          </w:p>
          <w:p w14:paraId="788DF685">
            <w:pPr>
              <w:widowControl/>
              <w:jc w:val="left"/>
              <w:textAlignment w:val="center"/>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rPr>
              <w:t>2、蛋白染色仪</w:t>
            </w:r>
          </w:p>
          <w:p w14:paraId="141B2A28">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2.1标准染色脱色时间≤15min；</w:t>
            </w:r>
          </w:p>
          <w:p w14:paraId="3FA7A9DF">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2.2仪器配备2个及以上通道，且通道间相互独立；</w:t>
            </w:r>
          </w:p>
          <w:p w14:paraId="792BEAAC">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2.3凝胶安放方式简单，无需排赶气泡，一键开始，中间过程无需人工参与；</w:t>
            </w:r>
          </w:p>
          <w:p w14:paraId="55314901">
            <w:pPr>
              <w:widowControl/>
              <w:jc w:val="left"/>
              <w:textAlignment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2.4设备应具备程序编辑功</w:t>
            </w:r>
            <w:r>
              <w:rPr>
                <w:rFonts w:hint="eastAsia" w:ascii="仿宋" w:hAnsi="仿宋" w:eastAsia="仿宋" w:cs="仿宋"/>
                <w:color w:val="000000"/>
                <w:sz w:val="24"/>
                <w:szCs w:val="24"/>
                <w:highlight w:val="none"/>
                <w:lang w:val="en-US" w:eastAsia="zh-CN"/>
              </w:rPr>
              <w:t>能</w:t>
            </w:r>
            <w:r>
              <w:rPr>
                <w:rFonts w:hint="eastAsia" w:ascii="仿宋" w:hAnsi="仿宋" w:eastAsia="仿宋" w:cs="仿宋"/>
                <w:color w:val="000000"/>
                <w:sz w:val="24"/>
                <w:szCs w:val="24"/>
                <w:highlight w:val="none"/>
              </w:rPr>
              <w:t>。</w:t>
            </w:r>
          </w:p>
          <w:p w14:paraId="4F87217C">
            <w:pPr>
              <w:jc w:val="left"/>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rPr>
              <w:t>3、全自动蛋白印记仪</w:t>
            </w:r>
          </w:p>
          <w:p w14:paraId="776CC8E0">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3.1可全自动完成Northern blot、Southern blot、Western blot试验的封闭、孵育、清洗和抗体回收等一系列操作；</w:t>
            </w:r>
          </w:p>
          <w:p w14:paraId="6CA9306E">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3.2.具有多种不同规格的样品盒，小号膜可同时处理张数≥6张，中号膜可同时处理张数≥4，大号膜可同时处理张数≥2；</w:t>
            </w:r>
          </w:p>
          <w:p w14:paraId="0F668617">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3.3. 孵育仓应有避光、防尘、防挥发功</w:t>
            </w:r>
            <w:r>
              <w:rPr>
                <w:rFonts w:hint="eastAsia" w:ascii="仿宋" w:hAnsi="仿宋" w:eastAsia="仿宋" w:cs="仿宋"/>
                <w:color w:val="000000"/>
                <w:sz w:val="24"/>
                <w:szCs w:val="24"/>
                <w:highlight w:val="none"/>
                <w:lang w:val="en-US" w:eastAsia="zh-CN"/>
              </w:rPr>
              <w:t>能</w:t>
            </w:r>
            <w:r>
              <w:rPr>
                <w:rFonts w:hint="eastAsia" w:ascii="仿宋" w:hAnsi="仿宋" w:eastAsia="仿宋" w:cs="仿宋"/>
                <w:color w:val="000000"/>
                <w:sz w:val="24"/>
                <w:szCs w:val="24"/>
                <w:highlight w:val="none"/>
              </w:rPr>
              <w:t>；</w:t>
            </w:r>
          </w:p>
          <w:p w14:paraId="2920C641">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3.4 加样体积1-15mL；</w:t>
            </w:r>
          </w:p>
          <w:p w14:paraId="21020507">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3.5孵育时间1min-96h，加样精度≥95%；</w:t>
            </w:r>
          </w:p>
          <w:p w14:paraId="4815C94A">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3.6仪器应内置抗体回收程序，回收精度&gt;90%；</w:t>
            </w:r>
          </w:p>
          <w:p w14:paraId="74822C01">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★3.7 设备应有制冷功能，满足实验所需温度，可实现抗体的长时间孵育；</w:t>
            </w:r>
          </w:p>
          <w:p w14:paraId="6D320891">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3.8试剂存储区可独立设置温控，实现试剂的长时间保存；</w:t>
            </w:r>
          </w:p>
          <w:p w14:paraId="61F39F2B">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3.9设备为全触控屏操作，需内置标准操作方案，可以直接点击使用，亦可自定义方案；</w:t>
            </w:r>
          </w:p>
          <w:p w14:paraId="5994B578">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★3.10设备断电时，系统自动保存当前实验进度，避免断电对实验的影响；</w:t>
            </w:r>
          </w:p>
          <w:p w14:paraId="75468084">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★3.11 设备应具备振荡速度和时间连续可调节功能；</w:t>
            </w:r>
          </w:p>
          <w:p w14:paraId="6CC61176">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3.12具有管路清洗功能；</w:t>
            </w:r>
          </w:p>
          <w:p w14:paraId="5399B64B">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3.13实验程序运行结束后，设备应作出提示，同时应保留缓冲液，以防止膜或凝胶脱水；</w:t>
            </w:r>
          </w:p>
          <w:p w14:paraId="42CCD726">
            <w:pPr>
              <w:jc w:val="left"/>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rPr>
              <w:t>4、全自动多功能成像仪</w:t>
            </w:r>
          </w:p>
          <w:p w14:paraId="4C470A62">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4.1适用于化学发光成像、核酸成像、SDS-PAGE胶成像、菌落成像，荧光标记实验；</w:t>
            </w:r>
          </w:p>
          <w:p w14:paraId="67219E68">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4.2金属架构机箱，应具备耐腐蚀、防静电和抗干扰等功能；</w:t>
            </w:r>
          </w:p>
          <w:p w14:paraId="7D1D836F">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4.3进样平台可实现自动/手动进出，且软件自动识别；</w:t>
            </w:r>
          </w:p>
          <w:p w14:paraId="1BD9C72F">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4.4 智能电动升降平台，平台高度可调，可实现自动对焦；</w:t>
            </w:r>
          </w:p>
          <w:p w14:paraId="308ADE77">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4.5内嵌式LCD触摸屏设计，屏幕尺寸≥12.0</w:t>
            </w:r>
            <w:r>
              <w:rPr>
                <w:rFonts w:hint="eastAsia" w:ascii="仿宋" w:hAnsi="仿宋" w:eastAsia="仿宋" w:cs="仿宋"/>
                <w:color w:val="000000"/>
                <w:sz w:val="24"/>
                <w:szCs w:val="24"/>
                <w:highlight w:val="none"/>
                <w:lang w:val="en-US" w:eastAsia="zh-CN"/>
              </w:rPr>
              <w:t>英</w:t>
            </w:r>
            <w:r>
              <w:rPr>
                <w:rFonts w:hint="eastAsia" w:ascii="仿宋" w:hAnsi="仿宋" w:eastAsia="仿宋" w:cs="仿宋"/>
                <w:color w:val="000000"/>
                <w:sz w:val="24"/>
                <w:szCs w:val="24"/>
                <w:highlight w:val="none"/>
              </w:rPr>
              <w:t>寸；</w:t>
            </w:r>
          </w:p>
          <w:p w14:paraId="56AE5EA9">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4.6 支持USB输出，外置多个USB接口，支持WIFI和有线网口；</w:t>
            </w:r>
          </w:p>
          <w:p w14:paraId="4858C539">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4.7 配备科研级制冷CCD相机，制冷温度≤-65℃，图像分辨率≥600DPI；</w:t>
            </w:r>
          </w:p>
          <w:p w14:paraId="0C81A792">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4.8 配备高分辨率电动镜头支持电动/手动调整焦距、光圈，镜头分辨率≥2000万像素；</w:t>
            </w:r>
          </w:p>
          <w:p w14:paraId="709A546A">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4.9配备组合式三波长LED紫外/蓝光/白光透射光源，透射光源光强可调，激发光源可实现智能开启与关闭；</w:t>
            </w:r>
          </w:p>
          <w:p w14:paraId="2B74CB85">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4.10 配备多通道RGB无影LED荧光，反射荧光激发光源光强多挡可调；</w:t>
            </w:r>
          </w:p>
          <w:p w14:paraId="3DE8343E">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4.11标配多组专业带通滤光片，透光率≥80%；</w:t>
            </w:r>
          </w:p>
          <w:p w14:paraId="5BBB3EC7">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4.12可在样品平台开启时进行观察与割胶；</w:t>
            </w:r>
          </w:p>
          <w:p w14:paraId="503ADBCC">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4.13 具备超大尺寸的样品拍摄，视野范围可调，最大成像面积≥20cm×25cm；</w:t>
            </w:r>
          </w:p>
          <w:p w14:paraId="785F481C">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4.14 设备可自动完成光源选择及拍摄，具备彩色 Marker 成像功能；</w:t>
            </w:r>
          </w:p>
          <w:p w14:paraId="7329EBB8">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4.15数据结果可实现多种方式的展示，包括但不限于三维图像；</w:t>
            </w:r>
          </w:p>
          <w:p w14:paraId="4324880D">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★4.16具备快速图像查阅功能，控制系统能以时间为线索自动备份图像数据；自动识别泳道条带、自动计算泳道中各条带的密度积分和峰值、计算分子量大小及条带的迁移率；分析数据可导出为EXCEL文件；</w:t>
            </w:r>
          </w:p>
          <w:p w14:paraId="0D894C13">
            <w:pPr>
              <w:jc w:val="left"/>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rPr>
              <w:t>5、快速湿转仪</w:t>
            </w:r>
          </w:p>
          <w:p w14:paraId="6B22B106">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5.1适用于Western blot在小型聚丙烯酰胺凝胶中快速转膜；</w:t>
            </w:r>
          </w:p>
          <w:p w14:paraId="3E0C6958">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5.2工作温度15-40℃；</w:t>
            </w:r>
          </w:p>
          <w:p w14:paraId="14858A24">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5.3设备操作应快速、安全、简便，设备连续运行稳定应可靠；</w:t>
            </w:r>
            <w:r>
              <w:rPr>
                <w:rFonts w:hint="eastAsia" w:ascii="仿宋" w:hAnsi="仿宋" w:eastAsia="仿宋" w:cs="仿宋"/>
                <w:color w:val="000000"/>
                <w:sz w:val="24"/>
                <w:szCs w:val="24"/>
                <w:highlight w:val="none"/>
              </w:rPr>
              <w:tab/>
            </w:r>
            <w:r>
              <w:rPr>
                <w:rFonts w:hint="eastAsia" w:ascii="仿宋" w:hAnsi="仿宋" w:eastAsia="仿宋" w:cs="仿宋"/>
                <w:color w:val="000000"/>
                <w:sz w:val="24"/>
                <w:szCs w:val="24"/>
                <w:highlight w:val="none"/>
              </w:rPr>
              <w:tab/>
            </w:r>
          </w:p>
          <w:p w14:paraId="25B52483">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5.4仪器应配备温控系统，方便使用，测量温度范围-10℃~40℃；</w:t>
            </w:r>
          </w:p>
          <w:p w14:paraId="399517D3">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5.5仪器应具备多个通道，通道间独立，可同时转胶数量≥2；</w:t>
            </w:r>
            <w:r>
              <w:rPr>
                <w:rFonts w:hint="eastAsia" w:ascii="仿宋" w:hAnsi="仿宋" w:eastAsia="仿宋" w:cs="仿宋"/>
                <w:color w:val="000000"/>
                <w:sz w:val="24"/>
                <w:szCs w:val="24"/>
                <w:highlight w:val="none"/>
              </w:rPr>
              <w:tab/>
            </w:r>
          </w:p>
          <w:p w14:paraId="0D76FB2C">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5.6单次转膜时间≤15分钟；</w:t>
            </w:r>
            <w:r>
              <w:rPr>
                <w:rFonts w:hint="eastAsia" w:ascii="仿宋" w:hAnsi="仿宋" w:eastAsia="仿宋" w:cs="仿宋"/>
                <w:color w:val="000000"/>
                <w:sz w:val="24"/>
                <w:szCs w:val="24"/>
                <w:highlight w:val="none"/>
              </w:rPr>
              <w:tab/>
            </w:r>
          </w:p>
          <w:p w14:paraId="3C5FD343">
            <w:pPr>
              <w:jc w:val="left"/>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5.7设备应具备数据存储功能，可实现数据存储和操作界面；</w:t>
            </w:r>
            <w:r>
              <w:rPr>
                <w:rFonts w:hint="eastAsia" w:ascii="仿宋" w:hAnsi="仿宋" w:eastAsia="仿宋" w:cs="仿宋"/>
                <w:color w:val="000000"/>
                <w:sz w:val="24"/>
                <w:szCs w:val="24"/>
                <w:highlight w:val="none"/>
              </w:rPr>
              <w:tab/>
            </w:r>
          </w:p>
          <w:p w14:paraId="113E57F2">
            <w:pPr>
              <w:jc w:val="left"/>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rPr>
              <w:t>6、其它要求</w:t>
            </w:r>
            <w:r>
              <w:rPr>
                <w:rFonts w:hint="eastAsia" w:ascii="仿宋" w:hAnsi="仿宋" w:eastAsia="仿宋" w:cs="仿宋"/>
                <w:color w:val="000000"/>
                <w:sz w:val="24"/>
                <w:szCs w:val="24"/>
                <w:highlight w:val="none"/>
              </w:rPr>
              <w:t>：系统需包含手动移液器4套（0.5-10ul, 2-20ul, 20-200ul,  100 -1000ul各1把为1套）；</w:t>
            </w:r>
            <w:r>
              <w:rPr>
                <w:rFonts w:hint="eastAsia" w:ascii="仿宋" w:hAnsi="仿宋" w:eastAsia="仿宋" w:cs="仿宋"/>
                <w:color w:val="000000"/>
                <w:sz w:val="24"/>
                <w:szCs w:val="24"/>
                <w:highlight w:val="none"/>
                <w:lang w:val="en-US" w:eastAsia="zh-CN"/>
              </w:rPr>
              <w:t>便携式系统主机</w:t>
            </w:r>
            <w:r>
              <w:rPr>
                <w:rFonts w:hint="eastAsia" w:ascii="仿宋" w:hAnsi="仿宋" w:eastAsia="仿宋" w:cs="仿宋"/>
                <w:color w:val="000000"/>
                <w:sz w:val="24"/>
                <w:szCs w:val="24"/>
                <w:highlight w:val="none"/>
              </w:rPr>
              <w:t>1台（i9及以上性能的CPU，显示屏≤17</w:t>
            </w:r>
            <w:r>
              <w:rPr>
                <w:rFonts w:hint="eastAsia" w:ascii="仿宋" w:hAnsi="仿宋" w:eastAsia="仿宋" w:cs="仿宋"/>
                <w:color w:val="000000"/>
                <w:sz w:val="24"/>
                <w:szCs w:val="24"/>
                <w:highlight w:val="none"/>
                <w:lang w:val="en-US" w:eastAsia="zh-CN"/>
              </w:rPr>
              <w:t>英</w:t>
            </w:r>
            <w:r>
              <w:rPr>
                <w:rFonts w:hint="eastAsia" w:ascii="仿宋" w:hAnsi="仿宋" w:eastAsia="仿宋" w:cs="仿宋"/>
                <w:color w:val="000000"/>
                <w:sz w:val="24"/>
                <w:szCs w:val="24"/>
                <w:highlight w:val="none"/>
              </w:rPr>
              <w:t>寸，内存≥16G，1T以上固态硬盘）</w:t>
            </w:r>
          </w:p>
        </w:tc>
        <w:tc>
          <w:tcPr>
            <w:tcW w:w="784" w:type="pct"/>
            <w:noWrap w:val="0"/>
            <w:vAlign w:val="center"/>
          </w:tcPr>
          <w:p w14:paraId="5FA4891F">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1套</w:t>
            </w:r>
          </w:p>
        </w:tc>
      </w:tr>
      <w:tr w14:paraId="5104D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trPr>
        <w:tc>
          <w:tcPr>
            <w:tcW w:w="458" w:type="pct"/>
            <w:noWrap w:val="0"/>
            <w:vAlign w:val="center"/>
          </w:tcPr>
          <w:p w14:paraId="54F74B41">
            <w:pPr>
              <w:jc w:val="center"/>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p>
        </w:tc>
        <w:tc>
          <w:tcPr>
            <w:tcW w:w="1232" w:type="pct"/>
            <w:noWrap w:val="0"/>
            <w:vAlign w:val="center"/>
          </w:tcPr>
          <w:p w14:paraId="7F2D7B1F">
            <w:pPr>
              <w:widowControl/>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耐药结核分枝杆菌全自动分子检测系统</w:t>
            </w:r>
          </w:p>
        </w:tc>
        <w:tc>
          <w:tcPr>
            <w:tcW w:w="2524" w:type="pct"/>
            <w:noWrap w:val="0"/>
            <w:vAlign w:val="center"/>
          </w:tcPr>
          <w:p w14:paraId="353E10E5">
            <w:pPr>
              <w:jc w:val="left"/>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一、全自动核酸提纯及实时荧光PCR分析系统2台</w:t>
            </w:r>
          </w:p>
          <w:p w14:paraId="736CEB56">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1、基本要求</w:t>
            </w:r>
            <w:r>
              <w:rPr>
                <w:rFonts w:hint="eastAsia" w:ascii="仿宋" w:hAnsi="仿宋" w:eastAsia="仿宋" w:cs="仿宋"/>
                <w:bCs/>
                <w:color w:val="000000"/>
                <w:kern w:val="0"/>
                <w:sz w:val="24"/>
                <w:szCs w:val="24"/>
                <w:highlight w:val="none"/>
              </w:rPr>
              <w:tab/>
            </w:r>
            <w:r>
              <w:rPr>
                <w:rFonts w:hint="eastAsia" w:ascii="仿宋" w:hAnsi="仿宋" w:eastAsia="仿宋" w:cs="仿宋"/>
                <w:bCs/>
                <w:color w:val="000000"/>
                <w:kern w:val="0"/>
                <w:sz w:val="24"/>
                <w:szCs w:val="24"/>
                <w:highlight w:val="none"/>
              </w:rPr>
              <w:tab/>
            </w:r>
            <w:r>
              <w:rPr>
                <w:rFonts w:hint="eastAsia" w:ascii="仿宋" w:hAnsi="仿宋" w:eastAsia="仿宋" w:cs="仿宋"/>
                <w:bCs/>
                <w:color w:val="000000"/>
                <w:kern w:val="0"/>
                <w:sz w:val="24"/>
                <w:szCs w:val="24"/>
                <w:highlight w:val="none"/>
              </w:rPr>
              <w:tab/>
            </w:r>
            <w:r>
              <w:rPr>
                <w:rFonts w:hint="eastAsia" w:ascii="仿宋" w:hAnsi="仿宋" w:eastAsia="仿宋" w:cs="仿宋"/>
                <w:bCs/>
                <w:color w:val="000000"/>
                <w:kern w:val="0"/>
                <w:sz w:val="24"/>
                <w:szCs w:val="24"/>
                <w:highlight w:val="none"/>
              </w:rPr>
              <w:tab/>
            </w:r>
            <w:r>
              <w:rPr>
                <w:rFonts w:hint="eastAsia" w:ascii="仿宋" w:hAnsi="仿宋" w:eastAsia="仿宋" w:cs="仿宋"/>
                <w:bCs/>
                <w:color w:val="000000"/>
                <w:kern w:val="0"/>
                <w:sz w:val="24"/>
                <w:szCs w:val="24"/>
                <w:highlight w:val="none"/>
              </w:rPr>
              <w:tab/>
            </w:r>
          </w:p>
          <w:p w14:paraId="1E8655F3">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1.1 适用范围：结核分枝杆菌和利福平、异烟肼耐药突变检测。</w:t>
            </w:r>
          </w:p>
          <w:p w14:paraId="15C9F18C">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1.2 配置需求：全自动核酸提纯及实时荧光PCR分析系统 1套，需满足原始样本加样、核酸提取、扩增、荧光检测为一体；采用经典的磁珠法核酸提取和PCR扩增及荧光检测技术。</w:t>
            </w:r>
          </w:p>
          <w:p w14:paraId="2B204B2A">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●1.3 须提供仪器和适配利福平和异烟肼耐药检测试剂的医疗器械注册证。</w:t>
            </w:r>
          </w:p>
          <w:p w14:paraId="1973B265">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2、技术性能参数</w:t>
            </w:r>
          </w:p>
          <w:p w14:paraId="3EB8B100">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2.1 加样方式：全自动上样，结核样本简单预处理后可直接上样。</w:t>
            </w:r>
          </w:p>
          <w:p w14:paraId="316C1580">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2.2 加样范围：5μL~900μL。</w:t>
            </w:r>
          </w:p>
          <w:p w14:paraId="7DDC690E">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2.3 样本通量：最大样本数量≥4个/批。</w:t>
            </w:r>
          </w:p>
          <w:p w14:paraId="1EF3EC36">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2.4 提取体积：0.5ml-10ml。</w:t>
            </w:r>
          </w:p>
          <w:p w14:paraId="7A9273CD">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2.5 检测光源：高亮长寿命免维护LED光源。</w:t>
            </w:r>
          </w:p>
          <w:p w14:paraId="331AA358">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2.6 检测系统：CMOS或CCD或光电检测器。</w:t>
            </w:r>
          </w:p>
          <w:p w14:paraId="459A76E9">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2.7 适用探针：TaqMan 探针，分子信标探针，SYBR Green。</w:t>
            </w:r>
          </w:p>
          <w:p w14:paraId="4B730549">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2.8 荧光通道数≥4。</w:t>
            </w:r>
          </w:p>
          <w:p w14:paraId="1920BE0C">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2.9 适用荧光素：FAM,SYBR Green</w:t>
            </w:r>
            <w:r>
              <w:rPr>
                <w:rFonts w:hint="eastAsia" w:ascii="仿宋" w:hAnsi="仿宋" w:eastAsia="仿宋" w:cs="仿宋"/>
                <w:bCs/>
                <w:color w:val="000000"/>
                <w:kern w:val="0"/>
                <w:sz w:val="24"/>
                <w:szCs w:val="24"/>
                <w:highlight w:val="none"/>
                <w:lang w:eastAsia="zh-CN"/>
              </w:rPr>
              <w:t>，</w:t>
            </w:r>
            <w:r>
              <w:rPr>
                <w:rFonts w:hint="eastAsia" w:ascii="仿宋" w:hAnsi="仿宋" w:eastAsia="仿宋" w:cs="仿宋"/>
                <w:bCs/>
                <w:color w:val="000000"/>
                <w:kern w:val="0"/>
                <w:sz w:val="24"/>
                <w:szCs w:val="24"/>
                <w:highlight w:val="none"/>
              </w:rPr>
              <w:t>HEX,VIC，ROX，Cy5，Cy5.5等。</w:t>
            </w:r>
          </w:p>
          <w:p w14:paraId="4D598EBD">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2.10 模块数量：提取和扩增模块独立分布；可独立上样，无需等待扩增结束。</w:t>
            </w:r>
          </w:p>
          <w:p w14:paraId="6E7D65B7">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2.11提供配套金属恒温浴3台、涡旋振荡器3台以及配套</w:t>
            </w:r>
            <w:r>
              <w:rPr>
                <w:rFonts w:hint="eastAsia" w:ascii="仿宋" w:hAnsi="仿宋" w:eastAsia="仿宋" w:cs="仿宋"/>
                <w:bCs/>
                <w:color w:val="000000"/>
                <w:kern w:val="0"/>
                <w:sz w:val="24"/>
                <w:szCs w:val="24"/>
                <w:highlight w:val="none"/>
                <w:lang w:val="en-US" w:eastAsia="zh-CN"/>
              </w:rPr>
              <w:t>主机</w:t>
            </w:r>
            <w:r>
              <w:rPr>
                <w:rFonts w:hint="eastAsia" w:ascii="仿宋" w:hAnsi="仿宋" w:eastAsia="仿宋" w:cs="仿宋"/>
                <w:bCs/>
                <w:color w:val="000000"/>
                <w:kern w:val="0"/>
                <w:sz w:val="24"/>
                <w:szCs w:val="24"/>
                <w:highlight w:val="none"/>
              </w:rPr>
              <w:t>等保证检测系统正常运行必备设备和耗材。</w:t>
            </w:r>
          </w:p>
          <w:p w14:paraId="57E05927">
            <w:pPr>
              <w:jc w:val="left"/>
              <w:rPr>
                <w:rFonts w:hint="eastAsia" w:ascii="仿宋" w:hAnsi="仿宋" w:eastAsia="仿宋" w:cs="仿宋"/>
                <w:bCs/>
                <w:color w:val="000000"/>
                <w:kern w:val="0"/>
                <w:sz w:val="24"/>
                <w:szCs w:val="24"/>
                <w:highlight w:val="none"/>
              </w:rPr>
            </w:pPr>
          </w:p>
          <w:p w14:paraId="34F34961">
            <w:pPr>
              <w:jc w:val="left"/>
              <w:rPr>
                <w:rFonts w:hint="eastAsia" w:ascii="仿宋" w:hAnsi="仿宋" w:eastAsia="仿宋" w:cs="仿宋"/>
                <w:b/>
                <w:color w:val="000000"/>
                <w:sz w:val="24"/>
                <w:szCs w:val="24"/>
                <w:highlight w:val="none"/>
                <w:lang w:eastAsia="zh-CN"/>
              </w:rPr>
            </w:pPr>
            <w:r>
              <w:rPr>
                <w:rFonts w:hint="eastAsia" w:ascii="仿宋" w:hAnsi="仿宋" w:eastAsia="仿宋" w:cs="仿宋"/>
                <w:b/>
                <w:color w:val="000000"/>
                <w:kern w:val="0"/>
                <w:sz w:val="24"/>
                <w:szCs w:val="24"/>
                <w:highlight w:val="none"/>
              </w:rPr>
              <w:t>二、</w:t>
            </w:r>
            <w:r>
              <w:rPr>
                <w:rFonts w:hint="eastAsia" w:ascii="仿宋" w:hAnsi="仿宋" w:eastAsia="仿宋" w:cs="仿宋"/>
                <w:b/>
                <w:color w:val="000000"/>
                <w:sz w:val="24"/>
                <w:szCs w:val="24"/>
                <w:highlight w:val="none"/>
              </w:rPr>
              <w:t>电热恒温箱</w:t>
            </w:r>
          </w:p>
          <w:p w14:paraId="638775DE">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1、温度范围：5°C—100°C。</w:t>
            </w:r>
          </w:p>
          <w:p w14:paraId="608A912E">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2、内腔容积：≥700 L。</w:t>
            </w:r>
          </w:p>
          <w:p w14:paraId="48BAAB1E">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3、对流技术：机械对流。</w:t>
            </w:r>
          </w:p>
          <w:p w14:paraId="40090820">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4、温度偏差：±0.5°C。</w:t>
            </w:r>
          </w:p>
          <w:p w14:paraId="24032525">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5、隔板数目：≥4个。</w:t>
            </w:r>
          </w:p>
          <w:p w14:paraId="0522F592">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6、隔板最大负荷：≥30 kg。</w:t>
            </w:r>
          </w:p>
          <w:p w14:paraId="10EBACCE">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7、内部尺寸：≥1000×1200×500mm。</w:t>
            </w:r>
          </w:p>
          <w:p w14:paraId="658FD9B0">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8、外部尺寸：≤1300×1600×800mm。</w:t>
            </w:r>
          </w:p>
          <w:p w14:paraId="2A342D57">
            <w:pPr>
              <w:jc w:val="left"/>
              <w:rPr>
                <w:rFonts w:hint="eastAsia" w:ascii="仿宋" w:hAnsi="仿宋" w:eastAsia="仿宋" w:cs="仿宋"/>
                <w:bCs/>
                <w:color w:val="000000"/>
                <w:kern w:val="0"/>
                <w:sz w:val="24"/>
                <w:szCs w:val="24"/>
                <w:highlight w:val="none"/>
              </w:rPr>
            </w:pPr>
          </w:p>
          <w:p w14:paraId="21668A18">
            <w:pPr>
              <w:jc w:val="left"/>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rPr>
              <w:t>三、压力蒸汽灭菌器</w:t>
            </w:r>
          </w:p>
          <w:p w14:paraId="79E9E0A2">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1、容积：≥50L。</w:t>
            </w:r>
          </w:p>
          <w:p w14:paraId="5875CB2A">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2、设计压力：≥0.25Mpa，最高工作压力：≥0.20 Mpa。</w:t>
            </w:r>
          </w:p>
          <w:p w14:paraId="7CBF5053">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3、灭菌温度：105-140℃。</w:t>
            </w:r>
          </w:p>
          <w:p w14:paraId="502C7E2D">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4、腔体材料：316L不锈钢，抗腐蚀性强。</w:t>
            </w:r>
          </w:p>
          <w:p w14:paraId="3B9D10BA">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5、微电脑控制、双温度检测、正压动态脉冲排气、可选配打印机等。</w:t>
            </w:r>
          </w:p>
          <w:p w14:paraId="16B2A081">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6、控制方式：手动或微电脑自动控制。</w:t>
            </w:r>
          </w:p>
          <w:p w14:paraId="37D21D99">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7、适用范围：医用液体、手术器械、敷料织物等灭菌。</w:t>
            </w:r>
          </w:p>
          <w:p w14:paraId="461A5FD4">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8、温度控制精度：±0.5℃、超温报警、安全联锁装置等。</w:t>
            </w:r>
          </w:p>
          <w:p w14:paraId="2CCE4BCB">
            <w:pPr>
              <w:jc w:val="left"/>
              <w:rPr>
                <w:rFonts w:hint="eastAsia" w:ascii="仿宋" w:hAnsi="仿宋" w:eastAsia="仿宋" w:cs="仿宋"/>
                <w:color w:val="000000"/>
                <w:sz w:val="24"/>
                <w:szCs w:val="24"/>
                <w:highlight w:val="none"/>
              </w:rPr>
            </w:pPr>
          </w:p>
          <w:p w14:paraId="0CB1C637">
            <w:pPr>
              <w:jc w:val="left"/>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rPr>
              <w:t>四、生物显微镜</w:t>
            </w:r>
          </w:p>
          <w:p w14:paraId="7D83F8C0">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1、光学系统：无限远光学矫正系统，齐焦距离必须为国际标准≤45mm。</w:t>
            </w:r>
          </w:p>
          <w:p w14:paraId="08DEF45C">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2、载物台：钢丝传动式机械载物台（无外漏支架式设计，杰出的耐用性及移动平稳性，避免割伤手指），带可移动刻度片夹，尺寸≥：120 × 130mm，行程≥：75mm（X）× 30mm（Y）。</w:t>
            </w:r>
          </w:p>
          <w:p w14:paraId="08BFA5B4">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3、物镜转换器：4孔物镜转盘，内倾式，便于上样和滴加镜油。</w:t>
            </w:r>
          </w:p>
          <w:p w14:paraId="2CF6D139">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4、聚光镜：阿贝聚光镜（带孔径光阑 N.A.1.25）。</w:t>
            </w:r>
          </w:p>
          <w:p w14:paraId="4EE96A64">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5、目镜：10×（视野数≥20），屈光度可调，含测微尺、定位尺。</w:t>
            </w:r>
          </w:p>
          <w:p w14:paraId="785277C5">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6、观察镜筒：双目观察筒， 瞳距调整范围48-75mm， 倾斜角度30°，带屈光度调节，360°可旋转，铰链式，眼点高度≥430 mm，视场数≥20。</w:t>
            </w:r>
          </w:p>
          <w:p w14:paraId="4AE129D9">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★7、物镜：平场消色差物镜4只，且须符合以下参数 (提供厂家彩页资料供核对) ：</w:t>
            </w:r>
          </w:p>
          <w:p w14:paraId="5F418E8C">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4X（数值孔径 ≥0.10,工作距离≥27.0mm）；</w:t>
            </w:r>
          </w:p>
          <w:p w14:paraId="36B88E20">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10X（数值孔径≥0.25,工作距离≥8.0mm）；</w:t>
            </w:r>
          </w:p>
          <w:p w14:paraId="53A2D5F6">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40X（数值孔径≥0.65,工作距离≥0.5mm）；</w:t>
            </w:r>
          </w:p>
          <w:p w14:paraId="0A6134A1">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100X（数值孔径≥1.25,工作距离≥0.10mm）。</w:t>
            </w:r>
          </w:p>
          <w:p w14:paraId="3ED4D30A">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8、照明系统：内置LED，寿命达20000小时。</w:t>
            </w:r>
          </w:p>
          <w:p w14:paraId="4DE484CB">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9、防霉装置：在双目观察筒、目镜、物镜均做了防霉处理。</w:t>
            </w:r>
          </w:p>
          <w:p w14:paraId="0D4AD55F">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10、显微镜在设计上便于搬运和储存安放，方便实验、教学等要求。</w:t>
            </w:r>
          </w:p>
          <w:p w14:paraId="78C6993C">
            <w:pPr>
              <w:jc w:val="left"/>
              <w:rPr>
                <w:rFonts w:hint="eastAsia" w:ascii="仿宋" w:hAnsi="仿宋" w:eastAsia="仿宋" w:cs="仿宋"/>
                <w:bCs/>
                <w:color w:val="000000"/>
                <w:kern w:val="0"/>
                <w:sz w:val="24"/>
                <w:szCs w:val="24"/>
                <w:highlight w:val="none"/>
              </w:rPr>
            </w:pPr>
          </w:p>
          <w:p w14:paraId="0ECE7EA1">
            <w:pPr>
              <w:jc w:val="left"/>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rPr>
              <w:t>五、台式低速冷冻离心机2台</w:t>
            </w:r>
          </w:p>
          <w:p w14:paraId="7704ABAE">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1、最高转速≥6000r/min，最大离心力≥3700g，</w:t>
            </w:r>
          </w:p>
          <w:p w14:paraId="02C35E97">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★2、最大容量：转子数一台≥24×15ml，另外一台≥20×50ml，</w:t>
            </w:r>
          </w:p>
          <w:p w14:paraId="2F8C6468">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3、定时：0-99min59s，</w:t>
            </w:r>
          </w:p>
          <w:p w14:paraId="3B7D9C0A">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4、温控范围：0°C～40°C，</w:t>
            </w:r>
          </w:p>
          <w:p w14:paraId="2F1A324A">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5、噪  音：≤60dBA，</w:t>
            </w:r>
          </w:p>
          <w:p w14:paraId="3ED2DFF7">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6、控速精度：±10r/min</w:t>
            </w:r>
          </w:p>
          <w:p w14:paraId="6F3EA232">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7、温控精度：±1°C</w:t>
            </w:r>
          </w:p>
          <w:p w14:paraId="00B21776">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8、大力矩无碳刷变频电机，无污染，免维护，</w:t>
            </w:r>
            <w:r>
              <w:rPr>
                <w:rFonts w:hint="eastAsia" w:ascii="仿宋" w:hAnsi="仿宋" w:eastAsia="仿宋" w:cs="仿宋"/>
                <w:color w:val="000000"/>
                <w:kern w:val="0"/>
                <w:sz w:val="24"/>
                <w:szCs w:val="24"/>
                <w:highlight w:val="none"/>
                <w:lang w:val="en-US" w:eastAsia="zh-CN"/>
              </w:rPr>
              <w:t>可快速升降</w:t>
            </w:r>
            <w:r>
              <w:rPr>
                <w:rFonts w:hint="eastAsia" w:ascii="仿宋" w:hAnsi="仿宋" w:eastAsia="仿宋" w:cs="仿宋"/>
                <w:color w:val="000000"/>
                <w:kern w:val="0"/>
                <w:sz w:val="24"/>
                <w:szCs w:val="24"/>
                <w:highlight w:val="none"/>
              </w:rPr>
              <w:t>。</w:t>
            </w:r>
          </w:p>
          <w:p w14:paraId="37F6B865">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9、环保压缩机组，</w:t>
            </w:r>
            <w:r>
              <w:rPr>
                <w:rFonts w:hint="eastAsia" w:ascii="仿宋" w:hAnsi="仿宋" w:eastAsia="仿宋" w:cs="仿宋"/>
                <w:color w:val="000000"/>
                <w:kern w:val="0"/>
                <w:sz w:val="24"/>
                <w:szCs w:val="24"/>
                <w:highlight w:val="none"/>
                <w:lang w:val="en-US" w:eastAsia="zh-CN"/>
              </w:rPr>
              <w:t>可快速</w:t>
            </w:r>
            <w:r>
              <w:rPr>
                <w:rFonts w:hint="eastAsia" w:ascii="仿宋" w:hAnsi="仿宋" w:eastAsia="仿宋" w:cs="仿宋"/>
                <w:color w:val="000000"/>
                <w:kern w:val="0"/>
                <w:sz w:val="24"/>
                <w:szCs w:val="24"/>
                <w:highlight w:val="none"/>
              </w:rPr>
              <w:t>制冷，无污染。</w:t>
            </w:r>
          </w:p>
          <w:p w14:paraId="68FFF2C1">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10、微机处理器控制，液晶显示，触摸面板，运行中可设置参数</w:t>
            </w:r>
            <w:r>
              <w:rPr>
                <w:rFonts w:hint="eastAsia" w:ascii="仿宋" w:hAnsi="仿宋" w:eastAsia="仿宋" w:cs="仿宋"/>
                <w:color w:val="000000"/>
                <w:kern w:val="0"/>
                <w:sz w:val="24"/>
                <w:szCs w:val="24"/>
                <w:highlight w:val="none"/>
                <w:lang w:eastAsia="zh-CN"/>
              </w:rPr>
              <w:t>。</w:t>
            </w:r>
          </w:p>
          <w:p w14:paraId="444FAABE">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11、10种升降速率，10种程序储存供选择，并进行多级阶梯程序离心。</w:t>
            </w:r>
          </w:p>
          <w:p w14:paraId="405732D1">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12、机身优质钢材结构，不锈钢内胆，智能报警保护系统，安全可靠。</w:t>
            </w:r>
          </w:p>
          <w:p w14:paraId="78CF1B85">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13、自动关门，紧急开锁功能</w:t>
            </w:r>
          </w:p>
          <w:p w14:paraId="02DFF74D">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14、仪器可配置多种转头，并可根据试验要求设计各种适配器，一机多用。</w:t>
            </w:r>
          </w:p>
          <w:p w14:paraId="0EC0DFFB">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15、多级阻尼减震，运行平稳，无噪音。</w:t>
            </w:r>
          </w:p>
          <w:p w14:paraId="56A44990">
            <w:pPr>
              <w:jc w:val="left"/>
              <w:rPr>
                <w:rFonts w:hint="eastAsia" w:ascii="仿宋" w:hAnsi="仿宋" w:eastAsia="仿宋" w:cs="仿宋"/>
                <w:bCs/>
                <w:color w:val="000000"/>
                <w:kern w:val="0"/>
                <w:sz w:val="24"/>
                <w:szCs w:val="24"/>
                <w:highlight w:val="none"/>
              </w:rPr>
            </w:pPr>
          </w:p>
          <w:p w14:paraId="1AB59B49">
            <w:pPr>
              <w:jc w:val="left"/>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rPr>
              <w:t>六、高速冷冻离心机</w:t>
            </w:r>
          </w:p>
          <w:p w14:paraId="688D67CB">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1、最高转速≥12000r/min，最大离心力≥3700g。</w:t>
            </w:r>
          </w:p>
          <w:p w14:paraId="51978179">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★2、最大容量≥36×2ml。</w:t>
            </w:r>
          </w:p>
          <w:p w14:paraId="67C0E179">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3、定时：0-99min59s。</w:t>
            </w:r>
          </w:p>
          <w:p w14:paraId="1AC22DBF">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4、温控范围：0°C～40°C。</w:t>
            </w:r>
          </w:p>
          <w:p w14:paraId="28203248">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5、噪  音：≤60dBA。</w:t>
            </w:r>
          </w:p>
          <w:p w14:paraId="27476D44">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6、控速精度：±10r/min。</w:t>
            </w:r>
          </w:p>
          <w:p w14:paraId="6D329443">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7、温控精度：±1°C。</w:t>
            </w:r>
          </w:p>
          <w:p w14:paraId="48ED49F0">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8、大力矩无碳刷变频电机，无污染，免维护，</w:t>
            </w:r>
            <w:r>
              <w:rPr>
                <w:rFonts w:hint="eastAsia" w:ascii="仿宋" w:hAnsi="仿宋" w:eastAsia="仿宋" w:cs="仿宋"/>
                <w:color w:val="000000"/>
                <w:kern w:val="0"/>
                <w:sz w:val="24"/>
                <w:szCs w:val="24"/>
                <w:highlight w:val="none"/>
                <w:lang w:val="en-US" w:eastAsia="zh-CN"/>
              </w:rPr>
              <w:t>可快速升降</w:t>
            </w:r>
            <w:r>
              <w:rPr>
                <w:rFonts w:hint="eastAsia" w:ascii="仿宋" w:hAnsi="仿宋" w:eastAsia="仿宋" w:cs="仿宋"/>
                <w:bCs/>
                <w:color w:val="000000"/>
                <w:kern w:val="0"/>
                <w:sz w:val="24"/>
                <w:szCs w:val="24"/>
                <w:highlight w:val="none"/>
              </w:rPr>
              <w:t>。</w:t>
            </w:r>
          </w:p>
          <w:p w14:paraId="20708AC5">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9、环保压缩机组，</w:t>
            </w:r>
            <w:r>
              <w:rPr>
                <w:rFonts w:hint="eastAsia" w:ascii="仿宋" w:hAnsi="仿宋" w:eastAsia="仿宋" w:cs="仿宋"/>
                <w:color w:val="000000"/>
                <w:kern w:val="0"/>
                <w:sz w:val="24"/>
                <w:szCs w:val="24"/>
                <w:highlight w:val="none"/>
                <w:lang w:val="en-US" w:eastAsia="zh-CN"/>
              </w:rPr>
              <w:t>可快速</w:t>
            </w:r>
            <w:r>
              <w:rPr>
                <w:rFonts w:hint="eastAsia" w:ascii="仿宋" w:hAnsi="仿宋" w:eastAsia="仿宋" w:cs="仿宋"/>
                <w:bCs/>
                <w:color w:val="000000"/>
                <w:kern w:val="0"/>
                <w:sz w:val="24"/>
                <w:szCs w:val="24"/>
                <w:highlight w:val="none"/>
              </w:rPr>
              <w:t>制冷，无污染。</w:t>
            </w:r>
          </w:p>
          <w:p w14:paraId="6A840631">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10、微机处理器控制，液晶显示，触摸面板，运行中可设置参数。</w:t>
            </w:r>
          </w:p>
          <w:p w14:paraId="3BBB5A22">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11、10种升降速率，10种程序储存供选择，并进行多级阶梯程序离心。</w:t>
            </w:r>
          </w:p>
          <w:p w14:paraId="4B7DBFF7">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12、机身优质钢材结构，不锈钢内胆，智能报警保护系统，安全可靠。</w:t>
            </w:r>
          </w:p>
          <w:p w14:paraId="0AF0789E">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13、自动关门，紧急开锁功能。</w:t>
            </w:r>
          </w:p>
          <w:p w14:paraId="78286A70">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14、仪器可配置多种转头，并可根据试验要求设计各种适配器，一机多用。</w:t>
            </w:r>
          </w:p>
          <w:p w14:paraId="557B9557">
            <w:pPr>
              <w:jc w:val="left"/>
              <w:rPr>
                <w:rFonts w:hint="eastAsia" w:ascii="仿宋" w:hAnsi="仿宋" w:eastAsia="仿宋" w:cs="仿宋"/>
                <w:bCs/>
                <w:color w:val="000000"/>
                <w:kern w:val="0"/>
                <w:sz w:val="24"/>
                <w:szCs w:val="24"/>
                <w:highlight w:val="none"/>
              </w:rPr>
            </w:pPr>
            <w:r>
              <w:rPr>
                <w:rFonts w:hint="eastAsia" w:ascii="仿宋" w:hAnsi="仿宋" w:eastAsia="仿宋" w:cs="仿宋"/>
                <w:bCs/>
                <w:color w:val="000000"/>
                <w:kern w:val="0"/>
                <w:sz w:val="24"/>
                <w:szCs w:val="24"/>
                <w:highlight w:val="none"/>
              </w:rPr>
              <w:t>15、多级阻尼减震，运行平稳，无噪音。</w:t>
            </w:r>
          </w:p>
          <w:p w14:paraId="7A319D90">
            <w:pPr>
              <w:jc w:val="left"/>
              <w:rPr>
                <w:rFonts w:hint="eastAsia" w:ascii="仿宋" w:hAnsi="仿宋" w:eastAsia="仿宋" w:cs="仿宋"/>
                <w:bCs/>
                <w:color w:val="000000"/>
                <w:kern w:val="0"/>
                <w:sz w:val="24"/>
                <w:szCs w:val="24"/>
                <w:highlight w:val="none"/>
              </w:rPr>
            </w:pPr>
          </w:p>
          <w:p w14:paraId="57BE36F4">
            <w:pPr>
              <w:jc w:val="left"/>
              <w:rPr>
                <w:rFonts w:hint="eastAsia" w:ascii="仿宋" w:hAnsi="仿宋" w:eastAsia="仿宋" w:cs="仿宋"/>
                <w:b/>
                <w:bCs/>
                <w:color w:val="000000"/>
                <w:sz w:val="24"/>
                <w:szCs w:val="24"/>
                <w:highlight w:val="none"/>
                <w:lang w:eastAsia="zh-CN"/>
              </w:rPr>
            </w:pPr>
            <w:r>
              <w:rPr>
                <w:rFonts w:hint="eastAsia" w:ascii="仿宋" w:hAnsi="仿宋" w:eastAsia="仿宋" w:cs="仿宋"/>
                <w:b/>
                <w:bCs/>
                <w:color w:val="000000"/>
                <w:sz w:val="24"/>
                <w:szCs w:val="24"/>
                <w:highlight w:val="none"/>
              </w:rPr>
              <w:t>七、荧光定量PCR仪</w:t>
            </w:r>
          </w:p>
          <w:p w14:paraId="7054AFDD">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1、规格： 96孔板，96×0.2ml。</w:t>
            </w:r>
          </w:p>
          <w:p w14:paraId="068D1F16">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2、样本升降温速率：±3.0℃/秒，控温精度：±0.1℃。</w:t>
            </w:r>
          </w:p>
          <w:p w14:paraId="52E8BF97">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3、加热/制冷模块：半导体热电模块。</w:t>
            </w:r>
          </w:p>
          <w:p w14:paraId="70C966A0">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4、温度控制范围：4℃-99℃，温度均一性：±0.25℃。</w:t>
            </w:r>
          </w:p>
          <w:p w14:paraId="75FA732A">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5、激发光源：全波长免维护LED灯，激发光波长范围：470nm-690nm，激发光通道数：5（可扩展至6通道），检测组件： CCD或高灵敏度光电传感器等。</w:t>
            </w:r>
          </w:p>
          <w:p w14:paraId="111D5525">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6、控温模式：模块控温等。</w:t>
            </w:r>
          </w:p>
          <w:p w14:paraId="48C2EF6A">
            <w:pPr>
              <w:jc w:val="left"/>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7、适用染料及探针：FAM/SYBR Green I/ VIC/HEX/TET/ JOE等。</w:t>
            </w:r>
          </w:p>
          <w:p w14:paraId="41351BBC">
            <w:pPr>
              <w:jc w:val="left"/>
              <w:rPr>
                <w:rFonts w:hint="eastAsia" w:ascii="仿宋" w:hAnsi="仿宋" w:eastAsia="仿宋" w:cs="仿宋"/>
                <w:b/>
                <w:bCs/>
                <w:color w:val="000000"/>
                <w:kern w:val="0"/>
                <w:sz w:val="24"/>
                <w:szCs w:val="24"/>
                <w:highlight w:val="none"/>
              </w:rPr>
            </w:pPr>
            <w:r>
              <w:rPr>
                <w:rFonts w:hint="eastAsia" w:ascii="仿宋" w:hAnsi="仿宋" w:eastAsia="仿宋" w:cs="仿宋"/>
                <w:color w:val="000000"/>
                <w:kern w:val="0"/>
                <w:sz w:val="24"/>
                <w:szCs w:val="24"/>
                <w:highlight w:val="none"/>
              </w:rPr>
              <w:t>8、软件：应用软件（定性/绝对定量、溶解曲线分析、相对定量、等温扩增等）。自动化平台：可与自动化工作站配套使用。</w:t>
            </w:r>
          </w:p>
        </w:tc>
        <w:tc>
          <w:tcPr>
            <w:tcW w:w="784" w:type="pct"/>
            <w:noWrap w:val="0"/>
            <w:vAlign w:val="center"/>
          </w:tcPr>
          <w:p w14:paraId="2328DBA9">
            <w:pPr>
              <w:jc w:val="center"/>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1套</w:t>
            </w:r>
          </w:p>
        </w:tc>
      </w:tr>
    </w:tbl>
    <w:p w14:paraId="45C7663C">
      <w:pPr>
        <w:pStyle w:val="24"/>
        <w:widowControl/>
        <w:snapToGrid w:val="0"/>
        <w:spacing w:line="360" w:lineRule="auto"/>
        <w:outlineLvl w:val="1"/>
        <w:rPr>
          <w:rStyle w:val="106"/>
          <w:rFonts w:hint="default" w:hAnsi="宋体" w:eastAsia="仿宋"/>
          <w:color w:val="000000"/>
          <w:sz w:val="24"/>
          <w:szCs w:val="24"/>
          <w:highlight w:val="none"/>
          <w:lang w:val="en-US"/>
        </w:rPr>
      </w:pPr>
    </w:p>
    <w:p w14:paraId="24461186">
      <w:pPr>
        <w:pStyle w:val="24"/>
        <w:widowControl/>
        <w:snapToGrid w:val="0"/>
        <w:spacing w:line="360" w:lineRule="auto"/>
        <w:outlineLvl w:val="1"/>
        <w:rPr>
          <w:rStyle w:val="106"/>
          <w:rFonts w:ascii="宋体" w:hAnsi="宋体" w:eastAsia="仿宋"/>
          <w:color w:val="000000"/>
          <w:sz w:val="24"/>
          <w:szCs w:val="24"/>
          <w:highlight w:val="none"/>
        </w:rPr>
      </w:pPr>
    </w:p>
    <w:p w14:paraId="7D04D6F3">
      <w:pPr>
        <w:pStyle w:val="24"/>
        <w:widowControl/>
        <w:snapToGrid w:val="0"/>
        <w:spacing w:line="360" w:lineRule="auto"/>
        <w:outlineLvl w:val="1"/>
        <w:rPr>
          <w:rStyle w:val="106"/>
          <w:rFonts w:ascii="宋体" w:hAnsi="宋体" w:eastAsia="仿宋"/>
          <w:color w:val="000000"/>
          <w:sz w:val="24"/>
          <w:szCs w:val="24"/>
          <w:highlight w:val="none"/>
        </w:rPr>
      </w:pPr>
    </w:p>
    <w:p w14:paraId="4071DAFE">
      <w:pPr>
        <w:pStyle w:val="24"/>
        <w:widowControl/>
        <w:snapToGrid w:val="0"/>
        <w:spacing w:line="360" w:lineRule="auto"/>
        <w:outlineLvl w:val="1"/>
        <w:rPr>
          <w:rStyle w:val="106"/>
          <w:rFonts w:hint="eastAsia" w:ascii="宋体" w:hAnsi="宋体" w:eastAsia="仿宋"/>
          <w:color w:val="000000"/>
          <w:sz w:val="24"/>
          <w:szCs w:val="24"/>
          <w:highlight w:val="none"/>
        </w:rPr>
      </w:pPr>
      <w:r>
        <w:rPr>
          <w:rStyle w:val="106"/>
          <w:rFonts w:ascii="宋体" w:hAnsi="宋体" w:eastAsia="仿宋"/>
          <w:color w:val="000000"/>
          <w:sz w:val="24"/>
          <w:szCs w:val="24"/>
          <w:highlight w:val="none"/>
        </w:rPr>
        <w:t>5</w:t>
      </w:r>
      <w:r>
        <w:rPr>
          <w:rStyle w:val="106"/>
          <w:rFonts w:hint="eastAsia" w:ascii="宋体" w:hAnsi="宋体" w:eastAsia="仿宋"/>
          <w:color w:val="000000"/>
          <w:sz w:val="24"/>
          <w:szCs w:val="24"/>
          <w:highlight w:val="none"/>
        </w:rPr>
        <w:t>. 其他要求</w:t>
      </w:r>
    </w:p>
    <w:p w14:paraId="08FC0CAA">
      <w:pPr>
        <w:adjustRightInd w:val="0"/>
        <w:snapToGrid w:val="0"/>
        <w:spacing w:line="360" w:lineRule="auto"/>
        <w:ind w:firstLine="482" w:firstLineChars="200"/>
        <w:rPr>
          <w:rFonts w:ascii="仿宋" w:hAnsi="仿宋" w:eastAsia="仿宋" w:cs="宋体"/>
          <w:b/>
          <w:bCs/>
          <w:color w:val="000000"/>
          <w:sz w:val="24"/>
          <w:highlight w:val="none"/>
        </w:rPr>
      </w:pPr>
      <w:r>
        <w:rPr>
          <w:rFonts w:hint="eastAsia" w:ascii="仿宋" w:hAnsi="仿宋" w:eastAsia="仿宋" w:cs="宋体"/>
          <w:b/>
          <w:bCs/>
          <w:color w:val="000000"/>
          <w:sz w:val="24"/>
          <w:highlight w:val="none"/>
        </w:rPr>
        <w:t>5</w:t>
      </w:r>
      <w:r>
        <w:rPr>
          <w:rFonts w:ascii="仿宋" w:hAnsi="仿宋" w:eastAsia="仿宋" w:cs="宋体"/>
          <w:b/>
          <w:bCs/>
          <w:color w:val="000000"/>
          <w:sz w:val="24"/>
          <w:highlight w:val="none"/>
        </w:rPr>
        <w:t>.1</w:t>
      </w:r>
      <w:r>
        <w:rPr>
          <w:rFonts w:hint="eastAsia" w:ascii="仿宋" w:hAnsi="仿宋" w:eastAsia="仿宋" w:cs="宋体"/>
          <w:b/>
          <w:bCs/>
          <w:color w:val="000000"/>
          <w:sz w:val="24"/>
          <w:highlight w:val="none"/>
        </w:rPr>
        <w:t>备品备件及专用工具</w:t>
      </w:r>
    </w:p>
    <w:p w14:paraId="1C946FD9">
      <w:pPr>
        <w:adjustRightInd w:val="0"/>
        <w:snapToGrid w:val="0"/>
        <w:spacing w:line="360" w:lineRule="auto"/>
        <w:ind w:firstLine="480" w:firstLineChars="200"/>
        <w:rPr>
          <w:rFonts w:ascii="仿宋" w:hAnsi="仿宋" w:eastAsia="仿宋" w:cs="宋体"/>
          <w:color w:val="000000"/>
          <w:sz w:val="24"/>
          <w:highlight w:val="none"/>
        </w:rPr>
      </w:pPr>
      <w:bookmarkStart w:id="771" w:name="_Toc445554752"/>
      <w:bookmarkStart w:id="772" w:name="_Toc455587093"/>
      <w:bookmarkStart w:id="773" w:name="_Toc455587277"/>
      <w:r>
        <w:rPr>
          <w:rFonts w:ascii="仿宋" w:hAnsi="仿宋" w:eastAsia="仿宋" w:cs="宋体"/>
          <w:color w:val="000000"/>
          <w:sz w:val="24"/>
          <w:highlight w:val="none"/>
        </w:rPr>
        <w:t>5.1.1</w:t>
      </w:r>
      <w:r>
        <w:rPr>
          <w:rFonts w:hint="eastAsia" w:ascii="仿宋" w:hAnsi="仿宋" w:eastAsia="仿宋" w:cs="宋体"/>
          <w:color w:val="000000"/>
          <w:sz w:val="24"/>
          <w:highlight w:val="none"/>
        </w:rPr>
        <w:t>备品备件：中标人提供能够满足质量保证期内的设备维修要求的备品备件，备品备件应是新品。</w:t>
      </w:r>
    </w:p>
    <w:p w14:paraId="46621D1A">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5.1.2</w:t>
      </w:r>
      <w:r>
        <w:rPr>
          <w:rFonts w:hint="eastAsia" w:ascii="仿宋" w:hAnsi="仿宋" w:eastAsia="仿宋" w:cs="宋体"/>
          <w:color w:val="000000"/>
          <w:sz w:val="24"/>
          <w:highlight w:val="none"/>
        </w:rPr>
        <w:t>专用工具：中标人提供设备安装、调试、验收、维修、保养所必要的专用工具、仪器、仪表等工具。</w:t>
      </w:r>
    </w:p>
    <w:bookmarkEnd w:id="771"/>
    <w:bookmarkEnd w:id="772"/>
    <w:bookmarkEnd w:id="773"/>
    <w:p w14:paraId="1AFE5564">
      <w:pPr>
        <w:adjustRightInd w:val="0"/>
        <w:snapToGrid w:val="0"/>
        <w:spacing w:line="360" w:lineRule="auto"/>
        <w:ind w:firstLine="482" w:firstLineChars="200"/>
        <w:rPr>
          <w:rFonts w:ascii="仿宋" w:hAnsi="仿宋" w:eastAsia="仿宋" w:cs="宋体"/>
          <w:b/>
          <w:bCs/>
          <w:color w:val="000000"/>
          <w:sz w:val="24"/>
          <w:highlight w:val="none"/>
        </w:rPr>
      </w:pPr>
      <w:bookmarkStart w:id="774" w:name="_Toc532199625"/>
      <w:bookmarkStart w:id="775" w:name="_Toc445554753"/>
      <w:bookmarkStart w:id="776" w:name="_Toc455587278"/>
      <w:bookmarkStart w:id="777" w:name="_Toc455587094"/>
      <w:r>
        <w:rPr>
          <w:rFonts w:hint="eastAsia" w:ascii="仿宋" w:hAnsi="仿宋" w:eastAsia="仿宋" w:cs="宋体"/>
          <w:b/>
          <w:bCs/>
          <w:color w:val="000000"/>
          <w:sz w:val="24"/>
          <w:highlight w:val="none"/>
        </w:rPr>
        <w:t>5</w:t>
      </w:r>
      <w:r>
        <w:rPr>
          <w:rFonts w:ascii="仿宋" w:hAnsi="仿宋" w:eastAsia="仿宋" w:cs="宋体"/>
          <w:b/>
          <w:bCs/>
          <w:color w:val="000000"/>
          <w:sz w:val="24"/>
          <w:highlight w:val="none"/>
        </w:rPr>
        <w:t>.2</w:t>
      </w:r>
      <w:r>
        <w:rPr>
          <w:rFonts w:hint="eastAsia" w:ascii="仿宋" w:hAnsi="仿宋" w:eastAsia="仿宋" w:cs="宋体"/>
          <w:b/>
          <w:bCs/>
          <w:color w:val="000000"/>
          <w:sz w:val="24"/>
          <w:highlight w:val="none"/>
        </w:rPr>
        <w:t>安装调试、验收试验及质量保证</w:t>
      </w:r>
      <w:bookmarkEnd w:id="774"/>
    </w:p>
    <w:p w14:paraId="51E799EF">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5.2.1</w:t>
      </w:r>
      <w:r>
        <w:rPr>
          <w:rFonts w:hint="eastAsia" w:ascii="仿宋" w:hAnsi="仿宋" w:eastAsia="仿宋" w:cs="宋体"/>
          <w:color w:val="000000"/>
          <w:sz w:val="24"/>
          <w:highlight w:val="none"/>
        </w:rPr>
        <w:t>中标人在设备安装地点负责安装、调试。</w:t>
      </w:r>
    </w:p>
    <w:p w14:paraId="5AE311EE">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5.2.2</w:t>
      </w:r>
      <w:r>
        <w:rPr>
          <w:rFonts w:hint="eastAsia" w:ascii="仿宋" w:hAnsi="仿宋" w:eastAsia="仿宋" w:cs="宋体"/>
          <w:color w:val="000000"/>
          <w:sz w:val="24"/>
          <w:highlight w:val="none"/>
        </w:rPr>
        <w:t>具体设备验收标准和程序按采购人要求执行，下列验收程序可参照执行：</w:t>
      </w:r>
    </w:p>
    <w:p w14:paraId="6181E0C4">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5.2.2.1</w:t>
      </w:r>
      <w:r>
        <w:rPr>
          <w:rFonts w:hint="eastAsia" w:ascii="仿宋" w:hAnsi="仿宋" w:eastAsia="仿宋" w:cs="宋体"/>
          <w:color w:val="000000"/>
          <w:sz w:val="24"/>
          <w:highlight w:val="none"/>
        </w:rPr>
        <w:t xml:space="preserve"> 验收分为预验收和最终验收。</w:t>
      </w:r>
    </w:p>
    <w:p w14:paraId="23A4E067">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5.2.2.2</w:t>
      </w:r>
      <w:r>
        <w:rPr>
          <w:rFonts w:hint="eastAsia" w:ascii="仿宋" w:hAnsi="仿宋" w:eastAsia="仿宋" w:cs="宋体"/>
          <w:color w:val="000000"/>
          <w:sz w:val="24"/>
          <w:highlight w:val="none"/>
        </w:rPr>
        <w:t xml:space="preserve"> 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633E82E7">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5.2.2.3</w:t>
      </w:r>
      <w:r>
        <w:rPr>
          <w:rFonts w:hint="eastAsia" w:ascii="仿宋" w:hAnsi="仿宋" w:eastAsia="仿宋" w:cs="宋体"/>
          <w:color w:val="000000"/>
          <w:sz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4FA6381B">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5.2.2.4</w:t>
      </w:r>
      <w:r>
        <w:rPr>
          <w:rFonts w:hint="eastAsia" w:ascii="仿宋" w:hAnsi="仿宋" w:eastAsia="仿宋" w:cs="宋体"/>
          <w:color w:val="000000"/>
          <w:sz w:val="24"/>
          <w:highlight w:val="none"/>
        </w:rPr>
        <w:t>中标人应根据采购人使用单位的技术要求提供相应的产品。由中标人所提供的设备部件间的连线和插接件均应视为设备内部器件，包含在相应的设备之中。</w:t>
      </w:r>
    </w:p>
    <w:p w14:paraId="74B14566">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5.2.2.5</w:t>
      </w:r>
      <w:r>
        <w:rPr>
          <w:rFonts w:hint="eastAsia" w:ascii="仿宋" w:hAnsi="仿宋" w:eastAsia="仿宋" w:cs="宋体"/>
          <w:color w:val="000000"/>
          <w:sz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1A8F68A8">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5.2.2.6</w:t>
      </w:r>
      <w:r>
        <w:rPr>
          <w:rFonts w:hint="eastAsia" w:ascii="仿宋" w:hAnsi="仿宋" w:eastAsia="仿宋" w:cs="宋体"/>
          <w:color w:val="000000"/>
          <w:sz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w:t>
      </w:r>
    </w:p>
    <w:p w14:paraId="0EB31B2D">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5.2.3</w:t>
      </w:r>
      <w:r>
        <w:rPr>
          <w:rFonts w:hint="eastAsia" w:ascii="仿宋" w:hAnsi="仿宋" w:eastAsia="仿宋" w:cs="宋体"/>
          <w:color w:val="000000"/>
          <w:sz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bookmarkEnd w:id="775"/>
    <w:bookmarkEnd w:id="776"/>
    <w:bookmarkEnd w:id="777"/>
    <w:p w14:paraId="75F6B5A4">
      <w:pPr>
        <w:adjustRightInd w:val="0"/>
        <w:snapToGrid w:val="0"/>
        <w:spacing w:line="360" w:lineRule="auto"/>
        <w:ind w:firstLine="482" w:firstLineChars="200"/>
        <w:rPr>
          <w:rFonts w:ascii="仿宋" w:hAnsi="仿宋" w:eastAsia="仿宋" w:cs="宋体"/>
          <w:b/>
          <w:bCs/>
          <w:color w:val="000000"/>
          <w:sz w:val="24"/>
          <w:highlight w:val="none"/>
        </w:rPr>
      </w:pPr>
      <w:bookmarkStart w:id="778" w:name="_Toc532199626"/>
      <w:r>
        <w:rPr>
          <w:rFonts w:hint="eastAsia" w:ascii="仿宋" w:hAnsi="仿宋" w:eastAsia="仿宋" w:cs="宋体"/>
          <w:b/>
          <w:bCs/>
          <w:color w:val="000000"/>
          <w:sz w:val="24"/>
          <w:highlight w:val="none"/>
        </w:rPr>
        <w:t>5</w:t>
      </w:r>
      <w:r>
        <w:rPr>
          <w:rFonts w:ascii="仿宋" w:hAnsi="仿宋" w:eastAsia="仿宋" w:cs="宋体"/>
          <w:b/>
          <w:bCs/>
          <w:color w:val="000000"/>
          <w:sz w:val="24"/>
          <w:highlight w:val="none"/>
        </w:rPr>
        <w:t>.3</w:t>
      </w:r>
      <w:r>
        <w:rPr>
          <w:rFonts w:hint="eastAsia" w:ascii="仿宋" w:hAnsi="仿宋" w:eastAsia="仿宋" w:cs="宋体"/>
          <w:b/>
          <w:bCs/>
          <w:color w:val="000000"/>
          <w:sz w:val="24"/>
          <w:highlight w:val="none"/>
        </w:rPr>
        <w:t>包装运输</w:t>
      </w:r>
      <w:bookmarkEnd w:id="778"/>
    </w:p>
    <w:p w14:paraId="541A0273">
      <w:pPr>
        <w:adjustRightInd w:val="0"/>
        <w:snapToGrid w:val="0"/>
        <w:spacing w:line="360" w:lineRule="auto"/>
        <w:ind w:firstLine="480" w:firstLineChars="200"/>
        <w:rPr>
          <w:rFonts w:ascii="仿宋" w:hAnsi="仿宋" w:eastAsia="仿宋" w:cs="宋体"/>
          <w:color w:val="000000"/>
          <w:sz w:val="24"/>
          <w:highlight w:val="none"/>
        </w:rPr>
      </w:pPr>
      <w:bookmarkStart w:id="779" w:name="_Toc445554754"/>
      <w:bookmarkStart w:id="780" w:name="_Toc455587095"/>
      <w:bookmarkStart w:id="781" w:name="_Toc455587279"/>
      <w:r>
        <w:rPr>
          <w:rFonts w:ascii="仿宋" w:hAnsi="仿宋" w:eastAsia="仿宋" w:cs="宋体"/>
          <w:color w:val="000000"/>
          <w:sz w:val="24"/>
          <w:highlight w:val="none"/>
        </w:rPr>
        <w:t>5.3.1</w:t>
      </w:r>
      <w:r>
        <w:rPr>
          <w:rFonts w:hint="eastAsia" w:ascii="仿宋" w:hAnsi="仿宋" w:eastAsia="仿宋" w:cs="宋体"/>
          <w:color w:val="000000"/>
          <w:sz w:val="24"/>
          <w:highlight w:val="none"/>
        </w:rPr>
        <w:t>中标人负责设备包装、办理运输和保险，将设备安全运抵交货地点。</w:t>
      </w:r>
    </w:p>
    <w:p w14:paraId="642FD23E">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5.3.2</w:t>
      </w:r>
      <w:r>
        <w:rPr>
          <w:rFonts w:hint="eastAsia" w:ascii="仿宋" w:hAnsi="仿宋" w:eastAsia="仿宋" w:cs="宋体"/>
          <w:color w:val="000000"/>
          <w:sz w:val="24"/>
          <w:highlight w:val="none"/>
        </w:rPr>
        <w:t>设备制造完成并通过试验后应及时包装，否则应得到切实的保护，确保其不受污损。</w:t>
      </w:r>
    </w:p>
    <w:p w14:paraId="6F31367A">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5.3.3</w:t>
      </w:r>
      <w:r>
        <w:rPr>
          <w:rFonts w:hint="eastAsia" w:ascii="仿宋" w:hAnsi="仿宋" w:eastAsia="仿宋" w:cs="宋体"/>
          <w:color w:val="000000"/>
          <w:sz w:val="24"/>
          <w:highlight w:val="none"/>
        </w:rPr>
        <w:t>在包装箱外应标明采购人的订货号、发货号。</w:t>
      </w:r>
    </w:p>
    <w:p w14:paraId="22961B67">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5.3.4</w:t>
      </w:r>
      <w:r>
        <w:rPr>
          <w:rFonts w:hint="eastAsia" w:ascii="仿宋" w:hAnsi="仿宋" w:eastAsia="仿宋" w:cs="宋体"/>
          <w:color w:val="000000"/>
          <w:sz w:val="24"/>
          <w:highlight w:val="none"/>
        </w:rPr>
        <w:t>各种包装应能确保各零部件在运输过程中不致遭到损坏、丢失、变形、受潮和腐蚀。</w:t>
      </w:r>
    </w:p>
    <w:p w14:paraId="1F92FD2B">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5.3.5</w:t>
      </w:r>
      <w:r>
        <w:rPr>
          <w:rFonts w:hint="eastAsia" w:ascii="仿宋" w:hAnsi="仿宋" w:eastAsia="仿宋" w:cs="宋体"/>
          <w:color w:val="000000"/>
          <w:sz w:val="24"/>
          <w:highlight w:val="none"/>
        </w:rPr>
        <w:t>包装箱上应有明显的包装储运图示标志。</w:t>
      </w:r>
    </w:p>
    <w:p w14:paraId="2E03E3D8">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5.3.6</w:t>
      </w:r>
      <w:r>
        <w:rPr>
          <w:rFonts w:hint="eastAsia" w:ascii="仿宋" w:hAnsi="仿宋" w:eastAsia="仿宋" w:cs="宋体"/>
          <w:color w:val="000000"/>
          <w:sz w:val="24"/>
          <w:highlight w:val="none"/>
        </w:rPr>
        <w:t>整体产品或分别运输的部件都要适应运输和装载的要求。</w:t>
      </w:r>
    </w:p>
    <w:p w14:paraId="1AA8C3B5">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5.3.7</w:t>
      </w:r>
      <w:r>
        <w:rPr>
          <w:rFonts w:hint="eastAsia" w:ascii="仿宋" w:hAnsi="仿宋" w:eastAsia="仿宋" w:cs="宋体"/>
          <w:color w:val="000000"/>
          <w:sz w:val="24"/>
          <w:highlight w:val="none"/>
        </w:rPr>
        <w:t>随产品提供的技术资料应完整无缺。</w:t>
      </w:r>
    </w:p>
    <w:p w14:paraId="7C48AE4A">
      <w:pPr>
        <w:adjustRightInd w:val="0"/>
        <w:snapToGrid w:val="0"/>
        <w:spacing w:line="360" w:lineRule="auto"/>
        <w:ind w:firstLine="482" w:firstLineChars="200"/>
        <w:rPr>
          <w:rFonts w:ascii="仿宋" w:hAnsi="仿宋" w:eastAsia="仿宋" w:cs="宋体"/>
          <w:b/>
          <w:bCs/>
          <w:color w:val="000000"/>
          <w:sz w:val="24"/>
          <w:highlight w:val="none"/>
        </w:rPr>
      </w:pPr>
      <w:bookmarkStart w:id="782" w:name="_Toc532199627"/>
      <w:r>
        <w:rPr>
          <w:rFonts w:hint="eastAsia" w:ascii="仿宋" w:hAnsi="仿宋" w:eastAsia="仿宋" w:cs="宋体"/>
          <w:b/>
          <w:bCs/>
          <w:color w:val="000000"/>
          <w:sz w:val="24"/>
          <w:highlight w:val="none"/>
        </w:rPr>
        <w:t>5</w:t>
      </w:r>
      <w:r>
        <w:rPr>
          <w:rFonts w:ascii="仿宋" w:hAnsi="仿宋" w:eastAsia="仿宋" w:cs="宋体"/>
          <w:b/>
          <w:bCs/>
          <w:color w:val="000000"/>
          <w:sz w:val="24"/>
          <w:highlight w:val="none"/>
        </w:rPr>
        <w:t>.4</w:t>
      </w:r>
      <w:r>
        <w:rPr>
          <w:rFonts w:hint="eastAsia" w:ascii="仿宋" w:hAnsi="仿宋" w:eastAsia="仿宋" w:cs="宋体"/>
          <w:b/>
          <w:bCs/>
          <w:color w:val="000000"/>
          <w:sz w:val="24"/>
          <w:highlight w:val="none"/>
        </w:rPr>
        <w:t>技术培训</w:t>
      </w:r>
      <w:bookmarkEnd w:id="779"/>
      <w:bookmarkEnd w:id="780"/>
      <w:bookmarkEnd w:id="781"/>
      <w:bookmarkEnd w:id="782"/>
    </w:p>
    <w:p w14:paraId="78524DD9">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5.4.1</w:t>
      </w:r>
      <w:r>
        <w:rPr>
          <w:rFonts w:hint="eastAsia" w:ascii="仿宋" w:hAnsi="仿宋" w:eastAsia="仿宋" w:cs="宋体"/>
          <w:color w:val="000000"/>
          <w:sz w:val="24"/>
          <w:highlight w:val="none"/>
        </w:rPr>
        <w:t>为使合同设备能正常安装和运行，由中标人提供相应的技术培训，并免收采购人培训费用。培训内容应与工程进度相一致。</w:t>
      </w:r>
    </w:p>
    <w:p w14:paraId="6EBC0A2C">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5.4.2</w:t>
      </w:r>
      <w:r>
        <w:rPr>
          <w:rFonts w:hint="eastAsia" w:ascii="仿宋" w:hAnsi="仿宋" w:eastAsia="仿宋" w:cs="宋体"/>
          <w:color w:val="000000"/>
          <w:sz w:val="24"/>
          <w:highlight w:val="none"/>
        </w:rPr>
        <w:t>培训的时间、人数、地点等具体内容由买卖双方商定，内容至少包括：设备原理、使用、维护、运行操作、常见故障处理等。</w:t>
      </w:r>
    </w:p>
    <w:p w14:paraId="227204BE">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5.4.3</w:t>
      </w:r>
      <w:r>
        <w:rPr>
          <w:rFonts w:hint="eastAsia" w:ascii="仿宋" w:hAnsi="仿宋" w:eastAsia="仿宋" w:cs="宋体"/>
          <w:color w:val="000000"/>
          <w:sz w:val="24"/>
          <w:highlight w:val="none"/>
        </w:rPr>
        <w:t>采购清单里有特别规定的，以采购清单中的需求为准。</w:t>
      </w:r>
    </w:p>
    <w:p w14:paraId="740D54BE">
      <w:pPr>
        <w:adjustRightInd w:val="0"/>
        <w:snapToGrid w:val="0"/>
        <w:spacing w:line="360" w:lineRule="auto"/>
        <w:ind w:firstLine="482" w:firstLineChars="200"/>
        <w:rPr>
          <w:rFonts w:ascii="仿宋" w:hAnsi="仿宋" w:eastAsia="仿宋" w:cs="宋体"/>
          <w:b/>
          <w:bCs/>
          <w:color w:val="000000"/>
          <w:sz w:val="24"/>
          <w:highlight w:val="none"/>
        </w:rPr>
      </w:pPr>
      <w:r>
        <w:rPr>
          <w:rFonts w:hint="eastAsia" w:ascii="仿宋" w:hAnsi="仿宋" w:eastAsia="仿宋" w:cs="宋体"/>
          <w:b/>
          <w:bCs/>
          <w:color w:val="000000"/>
          <w:sz w:val="24"/>
          <w:highlight w:val="none"/>
        </w:rPr>
        <w:t>5</w:t>
      </w:r>
      <w:r>
        <w:rPr>
          <w:rFonts w:ascii="仿宋" w:hAnsi="仿宋" w:eastAsia="仿宋" w:cs="宋体"/>
          <w:b/>
          <w:bCs/>
          <w:color w:val="000000"/>
          <w:sz w:val="24"/>
          <w:highlight w:val="none"/>
        </w:rPr>
        <w:t>.5</w:t>
      </w:r>
      <w:r>
        <w:rPr>
          <w:rFonts w:hint="eastAsia" w:ascii="仿宋" w:hAnsi="仿宋" w:eastAsia="仿宋" w:cs="宋体"/>
          <w:b/>
          <w:bCs/>
          <w:color w:val="000000"/>
          <w:sz w:val="24"/>
          <w:highlight w:val="none"/>
        </w:rPr>
        <w:t>质保及售后服务</w:t>
      </w:r>
    </w:p>
    <w:p w14:paraId="79173270">
      <w:pPr>
        <w:adjustRightInd w:val="0"/>
        <w:snapToGrid w:val="0"/>
        <w:spacing w:line="360" w:lineRule="auto"/>
        <w:ind w:firstLine="480" w:firstLineChars="200"/>
        <w:rPr>
          <w:rFonts w:hint="eastAsia" w:ascii="仿宋" w:hAnsi="仿宋" w:eastAsia="仿宋" w:cs="宋体"/>
          <w:color w:val="000000"/>
          <w:sz w:val="24"/>
          <w:highlight w:val="none"/>
        </w:rPr>
      </w:pPr>
      <w:r>
        <w:rPr>
          <w:rFonts w:ascii="仿宋" w:hAnsi="仿宋" w:eastAsia="仿宋" w:cs="宋体"/>
          <w:color w:val="000000"/>
          <w:sz w:val="24"/>
          <w:highlight w:val="none"/>
        </w:rPr>
        <w:t>5.5.1</w:t>
      </w:r>
      <w:r>
        <w:rPr>
          <w:rFonts w:hint="eastAsia" w:ascii="仿宋" w:hAnsi="仿宋" w:eastAsia="仿宋" w:cs="宋体"/>
          <w:color w:val="000000"/>
          <w:sz w:val="24"/>
          <w:highlight w:val="none"/>
        </w:rPr>
        <w:t>自双方签订《验收报告》起进入免费质保期。</w:t>
      </w:r>
    </w:p>
    <w:p w14:paraId="0A828185">
      <w:pPr>
        <w:adjustRightInd w:val="0"/>
        <w:snapToGrid w:val="0"/>
        <w:spacing w:line="360" w:lineRule="auto"/>
        <w:ind w:firstLine="480" w:firstLineChars="200"/>
        <w:jc w:val="left"/>
        <w:rPr>
          <w:rFonts w:hint="eastAsia" w:ascii="仿宋" w:hAnsi="仿宋" w:eastAsia="仿宋" w:cs="宋体"/>
          <w:color w:val="000000"/>
          <w:sz w:val="24"/>
          <w:highlight w:val="none"/>
        </w:rPr>
      </w:pPr>
      <w:r>
        <w:rPr>
          <w:rFonts w:ascii="仿宋" w:hAnsi="仿宋" w:eastAsia="仿宋" w:cs="宋体"/>
          <w:color w:val="000000"/>
          <w:sz w:val="24"/>
          <w:highlight w:val="none"/>
        </w:rPr>
        <w:t>5.5.2</w:t>
      </w:r>
      <w:r>
        <w:rPr>
          <w:rFonts w:hint="eastAsia" w:ascii="仿宋" w:hAnsi="仿宋" w:eastAsia="仿宋" w:cs="宋体"/>
          <w:color w:val="000000"/>
          <w:sz w:val="24"/>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21169594">
      <w:pPr>
        <w:adjustRightInd w:val="0"/>
        <w:snapToGrid w:val="0"/>
        <w:spacing w:line="360" w:lineRule="auto"/>
        <w:ind w:firstLine="480" w:firstLineChars="200"/>
        <w:rPr>
          <w:rFonts w:ascii="仿宋" w:hAnsi="仿宋" w:eastAsia="仿宋" w:cs="宋体"/>
          <w:color w:val="000000"/>
          <w:sz w:val="24"/>
          <w:highlight w:val="none"/>
        </w:rPr>
      </w:pPr>
      <w:r>
        <w:rPr>
          <w:rFonts w:ascii="仿宋" w:hAnsi="仿宋" w:eastAsia="仿宋" w:cs="宋体"/>
          <w:color w:val="000000"/>
          <w:sz w:val="24"/>
          <w:highlight w:val="none"/>
        </w:rPr>
        <w:t>5.5.3</w:t>
      </w:r>
      <w:r>
        <w:rPr>
          <w:rFonts w:hint="eastAsia" w:ascii="仿宋" w:hAnsi="仿宋" w:eastAsia="仿宋" w:cs="宋体"/>
          <w:color w:val="000000"/>
          <w:sz w:val="24"/>
          <w:highlight w:val="none"/>
        </w:rPr>
        <w:t>投标人中标后提供原厂质量保证和售后服务。在质量保证期内</w:t>
      </w:r>
      <w:r>
        <w:rPr>
          <w:rFonts w:ascii="仿宋" w:hAnsi="仿宋" w:eastAsia="仿宋" w:cs="宋体"/>
          <w:color w:val="000000"/>
          <w:sz w:val="24"/>
          <w:highlight w:val="none"/>
        </w:rPr>
        <w:t>中标人（供应商）免费提供硬件保修服务和软件升级服务。</w:t>
      </w:r>
    </w:p>
    <w:p w14:paraId="509556D2">
      <w:pPr>
        <w:adjustRightInd w:val="0"/>
        <w:snapToGrid w:val="0"/>
        <w:spacing w:line="360" w:lineRule="auto"/>
        <w:ind w:firstLine="480" w:firstLineChars="200"/>
        <w:rPr>
          <w:rFonts w:hint="eastAsia" w:ascii="仿宋" w:hAnsi="仿宋" w:eastAsia="仿宋" w:cs="宋体"/>
          <w:color w:val="000000"/>
          <w:sz w:val="24"/>
          <w:highlight w:val="none"/>
        </w:rPr>
      </w:pPr>
      <w:r>
        <w:rPr>
          <w:rFonts w:ascii="仿宋" w:hAnsi="仿宋" w:eastAsia="仿宋" w:cs="宋体"/>
          <w:color w:val="000000"/>
          <w:sz w:val="24"/>
          <w:highlight w:val="none"/>
        </w:rPr>
        <w:t>5.5.</w:t>
      </w:r>
      <w:r>
        <w:rPr>
          <w:rFonts w:hint="eastAsia" w:ascii="仿宋" w:hAnsi="仿宋" w:eastAsia="仿宋" w:cs="宋体"/>
          <w:color w:val="000000"/>
          <w:sz w:val="24"/>
          <w:highlight w:val="none"/>
          <w:lang w:val="en-US" w:eastAsia="zh-CN"/>
        </w:rPr>
        <w:t>4</w:t>
      </w:r>
      <w:r>
        <w:rPr>
          <w:rFonts w:hint="eastAsia" w:ascii="仿宋" w:hAnsi="仿宋" w:eastAsia="仿宋" w:cs="宋体"/>
          <w:color w:val="000000"/>
          <w:sz w:val="24"/>
          <w:highlight w:val="none"/>
        </w:rPr>
        <w:t>中标人在能响应故障处理请求和电话咨询，提供工作日1小时内响应和24 小时内派人到现场维修的售后服务</w:t>
      </w:r>
      <w:r>
        <w:rPr>
          <w:rFonts w:hint="eastAsia" w:ascii="仿宋" w:hAnsi="仿宋" w:eastAsia="仿宋" w:cs="宋体"/>
          <w:color w:val="000000"/>
          <w:sz w:val="24"/>
          <w:highlight w:val="none"/>
          <w:lang w:eastAsia="zh-CN"/>
        </w:rPr>
        <w:t>，</w:t>
      </w:r>
      <w:r>
        <w:rPr>
          <w:rFonts w:hint="eastAsia" w:ascii="仿宋" w:hAnsi="仿宋" w:eastAsia="仿宋" w:cs="宋体"/>
          <w:color w:val="000000"/>
          <w:sz w:val="24"/>
          <w:highlight w:val="none"/>
        </w:rPr>
        <w:t>中标人应提供维保人员名单、联系电话等</w:t>
      </w:r>
      <w:r>
        <w:rPr>
          <w:rFonts w:hint="eastAsia" w:ascii="仿宋" w:hAnsi="仿宋" w:eastAsia="仿宋" w:cs="宋体"/>
          <w:color w:val="000000"/>
          <w:sz w:val="24"/>
          <w:highlight w:val="none"/>
          <w:lang w:eastAsia="zh-CN"/>
        </w:rPr>
        <w:t>，</w:t>
      </w:r>
      <w:r>
        <w:rPr>
          <w:rFonts w:hint="eastAsia" w:ascii="仿宋" w:hAnsi="仿宋" w:eastAsia="仿宋" w:cs="宋体"/>
          <w:color w:val="000000"/>
          <w:sz w:val="24"/>
          <w:highlight w:val="none"/>
        </w:rPr>
        <w:t>突发事件提供应急紧急上门服务。</w:t>
      </w:r>
    </w:p>
    <w:p w14:paraId="1FA37C95">
      <w:pPr>
        <w:adjustRightInd w:val="0"/>
        <w:snapToGrid w:val="0"/>
        <w:spacing w:line="360" w:lineRule="auto"/>
        <w:ind w:firstLine="482" w:firstLineChars="200"/>
        <w:rPr>
          <w:rFonts w:hint="default" w:ascii="仿宋" w:hAnsi="仿宋" w:eastAsia="仿宋" w:cs="宋体"/>
          <w:b/>
          <w:bCs/>
          <w:color w:val="000000"/>
          <w:sz w:val="24"/>
          <w:highlight w:val="none"/>
          <w:lang w:val="en-US" w:eastAsia="zh-CN"/>
        </w:rPr>
      </w:pPr>
      <w:r>
        <w:rPr>
          <w:rFonts w:hint="eastAsia" w:ascii="仿宋" w:hAnsi="仿宋" w:eastAsia="仿宋" w:cs="宋体"/>
          <w:b/>
          <w:bCs/>
          <w:color w:val="000000"/>
          <w:sz w:val="24"/>
          <w:highlight w:val="none"/>
        </w:rPr>
        <w:t>5</w:t>
      </w:r>
      <w:r>
        <w:rPr>
          <w:rFonts w:ascii="仿宋" w:hAnsi="仿宋" w:eastAsia="仿宋" w:cs="宋体"/>
          <w:b/>
          <w:bCs/>
          <w:color w:val="000000"/>
          <w:sz w:val="24"/>
          <w:highlight w:val="none"/>
        </w:rPr>
        <w:t>.</w:t>
      </w:r>
      <w:r>
        <w:rPr>
          <w:rFonts w:hint="eastAsia" w:ascii="仿宋" w:hAnsi="仿宋" w:eastAsia="仿宋" w:cs="宋体"/>
          <w:b/>
          <w:bCs/>
          <w:color w:val="000000"/>
          <w:sz w:val="24"/>
          <w:highlight w:val="none"/>
          <w:lang w:val="en-US" w:eastAsia="zh-CN"/>
        </w:rPr>
        <w:t>6 搬迁相关要求</w:t>
      </w:r>
    </w:p>
    <w:p w14:paraId="10BBB757">
      <w:pPr>
        <w:adjustRightInd w:val="0"/>
        <w:snapToGrid w:val="0"/>
        <w:spacing w:line="360" w:lineRule="auto"/>
        <w:ind w:firstLine="480" w:firstLineChars="200"/>
        <w:rPr>
          <w:rFonts w:hint="eastAsia" w:ascii="仿宋" w:hAnsi="仿宋" w:eastAsia="仿宋" w:cs="宋体"/>
          <w:color w:val="000000"/>
          <w:sz w:val="24"/>
          <w:highlight w:val="none"/>
        </w:rPr>
      </w:pPr>
      <w:r>
        <w:rPr>
          <w:rFonts w:hint="eastAsia" w:ascii="仿宋" w:hAnsi="仿宋" w:eastAsia="仿宋" w:cs="宋体"/>
          <w:color w:val="000000"/>
          <w:sz w:val="24"/>
          <w:highlight w:val="none"/>
        </w:rPr>
        <w:t>投标人须承诺中标后如我单位实验室搬迁至新址，将免费提供仪器制造商的拆机并打包仪器服务一次、运输仪器服务一次和新址实验室仪器安装调试服务一次，这一政策没有时间限制（投标文件中须提供承诺函，格式自拟）。</w:t>
      </w:r>
    </w:p>
    <w:p w14:paraId="21D380D6">
      <w:pPr>
        <w:widowControl/>
        <w:rPr>
          <w:rFonts w:hint="eastAsia" w:eastAsia="仿宋"/>
          <w:color w:val="000000"/>
          <w:highlight w:val="none"/>
        </w:rPr>
      </w:pPr>
    </w:p>
    <w:p w14:paraId="5A85B607">
      <w:pPr>
        <w:widowControl/>
        <w:rPr>
          <w:rFonts w:hint="eastAsia" w:eastAsia="仿宋"/>
          <w:color w:val="000000"/>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177C1A46">
      <w:pPr>
        <w:pStyle w:val="2"/>
        <w:widowControl/>
        <w:spacing w:before="0" w:after="0" w:line="240" w:lineRule="auto"/>
        <w:jc w:val="center"/>
        <w:rPr>
          <w:rFonts w:hint="eastAsia" w:ascii="宋体" w:hAnsi="宋体" w:eastAsia="仿宋"/>
          <w:color w:val="000000"/>
          <w:highlight w:val="none"/>
        </w:rPr>
      </w:pPr>
      <w:bookmarkStart w:id="783" w:name="_Toc9357"/>
      <w:bookmarkStart w:id="784" w:name="_Toc466024564"/>
      <w:bookmarkStart w:id="785" w:name="_Toc445554765"/>
      <w:r>
        <w:rPr>
          <w:rFonts w:hint="eastAsia" w:ascii="宋体" w:hAnsi="宋体" w:eastAsia="仿宋"/>
          <w:color w:val="000000"/>
          <w:highlight w:val="none"/>
        </w:rPr>
        <w:t>第四章  资格审查和评标办法（综合评分法）</w:t>
      </w:r>
      <w:bookmarkEnd w:id="783"/>
    </w:p>
    <w:bookmarkEnd w:id="751"/>
    <w:bookmarkEnd w:id="752"/>
    <w:bookmarkEnd w:id="753"/>
    <w:bookmarkEnd w:id="754"/>
    <w:bookmarkEnd w:id="755"/>
    <w:bookmarkEnd w:id="756"/>
    <w:bookmarkEnd w:id="757"/>
    <w:bookmarkEnd w:id="758"/>
    <w:bookmarkEnd w:id="759"/>
    <w:bookmarkEnd w:id="784"/>
    <w:bookmarkEnd w:id="785"/>
    <w:p w14:paraId="31E89FB2">
      <w:pPr>
        <w:pStyle w:val="3"/>
        <w:jc w:val="center"/>
        <w:rPr>
          <w:rFonts w:hint="eastAsia" w:eastAsia="仿宋"/>
          <w:color w:val="000000"/>
          <w:highlight w:val="none"/>
        </w:rPr>
      </w:pPr>
      <w:r>
        <w:rPr>
          <w:rFonts w:hint="eastAsia" w:eastAsia="仿宋"/>
          <w:color w:val="000000"/>
          <w:highlight w:val="none"/>
        </w:rPr>
        <w:t>第一节  资格审查</w:t>
      </w:r>
    </w:p>
    <w:p w14:paraId="3FCF1970">
      <w:pPr>
        <w:spacing w:line="360" w:lineRule="auto"/>
        <w:jc w:val="center"/>
        <w:rPr>
          <w:rFonts w:hint="eastAsia" w:eastAsia="仿宋"/>
          <w:b/>
          <w:color w:val="000000"/>
          <w:sz w:val="28"/>
          <w:szCs w:val="28"/>
          <w:highlight w:val="none"/>
        </w:rPr>
      </w:pPr>
      <w:r>
        <w:rPr>
          <w:rFonts w:hint="eastAsia" w:eastAsia="仿宋"/>
          <w:b/>
          <w:color w:val="000000"/>
          <w:sz w:val="28"/>
          <w:szCs w:val="28"/>
          <w:highlight w:val="none"/>
        </w:rPr>
        <w:t>资格审查办法前附表</w:t>
      </w:r>
    </w:p>
    <w:p w14:paraId="45A9208E">
      <w:pPr>
        <w:widowControl/>
        <w:adjustRightInd w:val="0"/>
        <w:snapToGrid w:val="0"/>
        <w:spacing w:before="240" w:beforeLines="100" w:after="120" w:afterLines="50" w:line="360" w:lineRule="auto"/>
        <w:ind w:firstLine="482" w:firstLineChars="200"/>
        <w:rPr>
          <w:rFonts w:hint="eastAsia" w:ascii="宋体" w:hAnsi="宋体" w:eastAsia="仿宋"/>
          <w:b/>
          <w:bCs/>
          <w:color w:val="000000"/>
          <w:sz w:val="24"/>
          <w:highlight w:val="none"/>
        </w:rPr>
      </w:pPr>
      <w:r>
        <w:rPr>
          <w:rFonts w:hint="eastAsia" w:ascii="宋体" w:hAnsi="宋体" w:eastAsia="仿宋"/>
          <w:b/>
          <w:bCs/>
          <w:color w:val="000000"/>
          <w:sz w:val="24"/>
          <w:highlight w:val="none"/>
        </w:rPr>
        <w:t>本《资格审查办法前附表》是对本节《资格审查》的具体补充和修改，如有不一致，以本《资格审查办法前附表》为准。</w:t>
      </w:r>
    </w:p>
    <w:tbl>
      <w:tblPr>
        <w:tblStyle w:val="47"/>
        <w:tblW w:w="50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999"/>
        <w:gridCol w:w="4799"/>
        <w:gridCol w:w="2503"/>
      </w:tblGrid>
      <w:tr w14:paraId="6545F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noWrap w:val="0"/>
            <w:vAlign w:val="center"/>
          </w:tcPr>
          <w:p w14:paraId="0E5BED9B">
            <w:pPr>
              <w:adjustRightInd w:val="0"/>
              <w:snapToGrid w:val="0"/>
              <w:ind w:right="-10"/>
              <w:jc w:val="center"/>
              <w:rPr>
                <w:rFonts w:hint="eastAsia" w:ascii="宋体" w:hAnsi="宋体"/>
                <w:color w:val="000000"/>
                <w:sz w:val="24"/>
                <w:highlight w:val="none"/>
              </w:rPr>
            </w:pPr>
            <w:r>
              <w:rPr>
                <w:rFonts w:hint="eastAsia" w:ascii="宋体" w:hAnsi="宋体"/>
                <w:b/>
                <w:color w:val="000000"/>
                <w:sz w:val="24"/>
                <w:szCs w:val="22"/>
                <w:highlight w:val="none"/>
              </w:rPr>
              <w:t>资格审查办法前附表</w:t>
            </w:r>
          </w:p>
        </w:tc>
      </w:tr>
      <w:tr w14:paraId="2E83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45C99334">
            <w:pPr>
              <w:adjustRightInd w:val="0"/>
              <w:snapToGrid w:val="0"/>
              <w:ind w:right="-10"/>
              <w:jc w:val="center"/>
              <w:rPr>
                <w:rFonts w:ascii="宋体" w:hAnsi="宋体"/>
                <w:color w:val="000000"/>
                <w:sz w:val="24"/>
                <w:highlight w:val="none"/>
              </w:rPr>
            </w:pPr>
            <w:r>
              <w:rPr>
                <w:rFonts w:hint="eastAsia" w:ascii="宋体" w:hAnsi="宋体"/>
                <w:color w:val="000000"/>
                <w:sz w:val="24"/>
                <w:highlight w:val="none"/>
              </w:rPr>
              <w:t>序号</w:t>
            </w:r>
          </w:p>
        </w:tc>
        <w:tc>
          <w:tcPr>
            <w:tcW w:w="997" w:type="pct"/>
            <w:tcBorders>
              <w:bottom w:val="single" w:color="auto" w:sz="4" w:space="0"/>
            </w:tcBorders>
            <w:noWrap w:val="0"/>
            <w:vAlign w:val="center"/>
          </w:tcPr>
          <w:p w14:paraId="4E3E5522">
            <w:pPr>
              <w:pStyle w:val="181"/>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highlight w:val="none"/>
              </w:rPr>
            </w:pPr>
            <w:r>
              <w:rPr>
                <w:rFonts w:hint="eastAsia" w:ascii="宋体" w:hAnsi="宋体"/>
                <w:color w:val="000000"/>
                <w:kern w:val="2"/>
                <w:szCs w:val="24"/>
                <w:highlight w:val="none"/>
              </w:rPr>
              <w:t>审查因素</w:t>
            </w:r>
          </w:p>
        </w:tc>
        <w:tc>
          <w:tcPr>
            <w:tcW w:w="2393" w:type="pct"/>
            <w:tcBorders>
              <w:bottom w:val="single" w:color="auto" w:sz="4" w:space="0"/>
            </w:tcBorders>
            <w:noWrap w:val="0"/>
            <w:vAlign w:val="center"/>
          </w:tcPr>
          <w:p w14:paraId="3FD5F1AE">
            <w:pPr>
              <w:adjustRightInd w:val="0"/>
              <w:snapToGrid w:val="0"/>
              <w:ind w:right="-10"/>
              <w:jc w:val="center"/>
              <w:rPr>
                <w:rFonts w:ascii="宋体" w:hAnsi="宋体"/>
                <w:color w:val="000000"/>
                <w:sz w:val="24"/>
                <w:highlight w:val="none"/>
              </w:rPr>
            </w:pPr>
            <w:r>
              <w:rPr>
                <w:rFonts w:hint="eastAsia" w:ascii="宋体" w:hAnsi="宋体"/>
                <w:color w:val="000000"/>
                <w:sz w:val="24"/>
                <w:highlight w:val="none"/>
              </w:rPr>
              <w:t>审查标准</w:t>
            </w:r>
          </w:p>
        </w:tc>
        <w:tc>
          <w:tcPr>
            <w:tcW w:w="1246" w:type="pct"/>
            <w:tcBorders>
              <w:bottom w:val="single" w:color="auto" w:sz="4" w:space="0"/>
            </w:tcBorders>
            <w:noWrap w:val="0"/>
            <w:vAlign w:val="center"/>
          </w:tcPr>
          <w:p w14:paraId="16F244A1">
            <w:pPr>
              <w:adjustRightInd w:val="0"/>
              <w:snapToGrid w:val="0"/>
              <w:ind w:right="-10"/>
              <w:jc w:val="center"/>
              <w:rPr>
                <w:rFonts w:ascii="宋体" w:hAnsi="宋体"/>
                <w:color w:val="000000"/>
                <w:sz w:val="24"/>
                <w:highlight w:val="none"/>
              </w:rPr>
            </w:pPr>
            <w:r>
              <w:rPr>
                <w:rFonts w:hint="eastAsia" w:ascii="宋体" w:hAnsi="宋体"/>
                <w:color w:val="000000"/>
                <w:sz w:val="24"/>
                <w:highlight w:val="none"/>
              </w:rPr>
              <w:t>格式及材料要求</w:t>
            </w:r>
          </w:p>
        </w:tc>
      </w:tr>
      <w:tr w14:paraId="7088A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362" w:type="pct"/>
            <w:tcBorders>
              <w:bottom w:val="single" w:color="auto" w:sz="4" w:space="0"/>
            </w:tcBorders>
            <w:noWrap w:val="0"/>
            <w:vAlign w:val="center"/>
          </w:tcPr>
          <w:p w14:paraId="397B2491">
            <w:pPr>
              <w:adjustRightInd w:val="0"/>
              <w:snapToGrid w:val="0"/>
              <w:ind w:right="-10"/>
              <w:jc w:val="center"/>
              <w:rPr>
                <w:rFonts w:ascii="宋体" w:hAnsi="宋体"/>
                <w:color w:val="000000"/>
                <w:sz w:val="24"/>
                <w:highlight w:val="none"/>
              </w:rPr>
            </w:pPr>
            <w:r>
              <w:rPr>
                <w:rFonts w:hint="eastAsia" w:ascii="宋体" w:hAnsi="宋体"/>
                <w:color w:val="000000"/>
                <w:sz w:val="24"/>
                <w:highlight w:val="none"/>
              </w:rPr>
              <w:t>1</w:t>
            </w:r>
          </w:p>
        </w:tc>
        <w:tc>
          <w:tcPr>
            <w:tcW w:w="997" w:type="pct"/>
            <w:tcBorders>
              <w:bottom w:val="single" w:color="auto" w:sz="4" w:space="0"/>
            </w:tcBorders>
            <w:noWrap w:val="0"/>
            <w:vAlign w:val="center"/>
          </w:tcPr>
          <w:p w14:paraId="03ABDD3E">
            <w:pPr>
              <w:spacing w:after="50"/>
              <w:ind w:right="-10"/>
              <w:jc w:val="center"/>
              <w:rPr>
                <w:rFonts w:hint="eastAsia" w:ascii="宋体" w:hAnsi="宋体" w:eastAsia="仿宋"/>
                <w:color w:val="000000"/>
                <w:sz w:val="24"/>
                <w:highlight w:val="none"/>
              </w:rPr>
            </w:pPr>
            <w:r>
              <w:rPr>
                <w:rFonts w:hint="eastAsia" w:ascii="宋体" w:hAnsi="宋体" w:eastAsia="仿宋"/>
                <w:color w:val="000000"/>
                <w:sz w:val="24"/>
                <w:highlight w:val="none"/>
              </w:rPr>
              <w:t>营业执照等证明材料</w:t>
            </w:r>
          </w:p>
        </w:tc>
        <w:tc>
          <w:tcPr>
            <w:tcW w:w="2393" w:type="pct"/>
            <w:tcBorders>
              <w:bottom w:val="single" w:color="auto" w:sz="4" w:space="0"/>
            </w:tcBorders>
            <w:noWrap w:val="0"/>
            <w:vAlign w:val="center"/>
          </w:tcPr>
          <w:p w14:paraId="26E784B2">
            <w:pPr>
              <w:spacing w:after="50"/>
              <w:ind w:right="-10"/>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投标人为企业（包括公司、合伙企业、个人独资企业）的，提供有效的营业执照；</w:t>
            </w:r>
          </w:p>
          <w:p w14:paraId="3CA23B7B">
            <w:pPr>
              <w:spacing w:after="50"/>
              <w:ind w:right="-10"/>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投标人为事业单位的，提供有效的事业单位法人证书；</w:t>
            </w:r>
          </w:p>
          <w:p w14:paraId="162507F4">
            <w:pPr>
              <w:spacing w:after="50"/>
              <w:ind w:right="-10"/>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投标人为社会团体的，提供有效的社会团体法人登记证书；</w:t>
            </w:r>
          </w:p>
          <w:p w14:paraId="4AEE65CE">
            <w:pPr>
              <w:spacing w:after="50"/>
              <w:ind w:right="-10"/>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投标人为个体工商户的，提供有效的营业执照；</w:t>
            </w:r>
          </w:p>
          <w:p w14:paraId="4D52FD9D">
            <w:pPr>
              <w:spacing w:after="50"/>
              <w:ind w:right="-10"/>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投标人为不具法人资格的专业服务机构的，提供有效的执业许可证等证明材料；</w:t>
            </w:r>
          </w:p>
          <w:p w14:paraId="0D213B86">
            <w:pPr>
              <w:spacing w:after="50"/>
              <w:ind w:right="-10"/>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投标人为自然人的，提供有效的自然人身份证明；</w:t>
            </w:r>
          </w:p>
          <w:p w14:paraId="7B865F57">
            <w:pPr>
              <w:spacing w:after="50"/>
              <w:ind w:right="-10"/>
              <w:jc w:val="left"/>
              <w:rPr>
                <w:rFonts w:hint="eastAsia" w:ascii="仿宋" w:hAnsi="仿宋" w:eastAsia="仿宋" w:cs="仿宋"/>
                <w:color w:val="000000"/>
                <w:sz w:val="24"/>
                <w:szCs w:val="28"/>
                <w:highlight w:val="none"/>
              </w:rPr>
            </w:pPr>
            <w:r>
              <w:rPr>
                <w:rFonts w:hint="eastAsia" w:ascii="仿宋" w:hAnsi="仿宋" w:eastAsia="仿宋" w:cs="仿宋"/>
                <w:color w:val="000000"/>
                <w:sz w:val="24"/>
                <w:szCs w:val="28"/>
                <w:highlight w:val="none"/>
              </w:rPr>
              <w:t>其他投标人应按照有关法律、法规和规章规定，提供有效的相应证明材料。</w:t>
            </w:r>
          </w:p>
          <w:p w14:paraId="152AD199">
            <w:pPr>
              <w:pStyle w:val="4"/>
              <w:spacing w:line="240" w:lineRule="auto"/>
              <w:outlineLvl w:val="2"/>
              <w:rPr>
                <w:color w:val="000000"/>
                <w:highlight w:val="none"/>
                <w:lang w:val="en-US" w:eastAsia="zh-CN"/>
              </w:rPr>
            </w:pPr>
            <w:r>
              <w:rPr>
                <w:rFonts w:hint="eastAsia" w:ascii="仿宋" w:hAnsi="仿宋" w:eastAsia="仿宋" w:cs="仿宋"/>
                <w:b w:val="0"/>
                <w:bCs w:val="0"/>
                <w:color w:val="000000"/>
                <w:kern w:val="2"/>
                <w:sz w:val="24"/>
                <w:szCs w:val="28"/>
                <w:highlight w:val="none"/>
                <w:lang w:val="en-US" w:eastAsia="zh-CN" w:bidi="ar-SA"/>
              </w:rPr>
              <w:t>分支机构还应提供授权书或证明授权其独立开展业务的证明材料。</w:t>
            </w:r>
          </w:p>
        </w:tc>
        <w:tc>
          <w:tcPr>
            <w:tcW w:w="1246" w:type="pct"/>
            <w:noWrap w:val="0"/>
            <w:vAlign w:val="center"/>
          </w:tcPr>
          <w:p w14:paraId="520A24C5">
            <w:pPr>
              <w:spacing w:after="50"/>
              <w:ind w:right="-10"/>
              <w:jc w:val="left"/>
              <w:rPr>
                <w:rFonts w:hint="eastAsia" w:ascii="宋体" w:hAnsi="宋体" w:eastAsia="仿宋"/>
                <w:color w:val="000000"/>
                <w:sz w:val="24"/>
                <w:highlight w:val="none"/>
              </w:rPr>
            </w:pPr>
            <w:r>
              <w:rPr>
                <w:rFonts w:hint="eastAsia" w:ascii="仿宋" w:hAnsi="仿宋" w:eastAsia="仿宋" w:cs="仿宋"/>
                <w:color w:val="000000"/>
                <w:sz w:val="24"/>
                <w:highlight w:val="none"/>
              </w:rPr>
              <w:t>提供扫描件或电子证照，</w:t>
            </w:r>
            <w:r>
              <w:rPr>
                <w:rFonts w:hint="eastAsia" w:ascii="宋体" w:hAnsi="宋体" w:eastAsia="仿宋"/>
                <w:color w:val="000000"/>
                <w:sz w:val="24"/>
                <w:highlight w:val="none"/>
              </w:rPr>
              <w:t>详见第六章投标文件格式九（一）</w:t>
            </w:r>
          </w:p>
        </w:tc>
      </w:tr>
      <w:tr w14:paraId="097E0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150F8F11">
            <w:pPr>
              <w:adjustRightInd w:val="0"/>
              <w:snapToGrid w:val="0"/>
              <w:ind w:right="-10"/>
              <w:jc w:val="center"/>
              <w:rPr>
                <w:rFonts w:hint="eastAsia" w:ascii="宋体" w:hAnsi="宋体"/>
                <w:color w:val="000000"/>
                <w:sz w:val="24"/>
                <w:highlight w:val="none"/>
              </w:rPr>
            </w:pPr>
            <w:r>
              <w:rPr>
                <w:rFonts w:hint="eastAsia" w:ascii="宋体" w:hAnsi="宋体"/>
                <w:color w:val="000000"/>
                <w:sz w:val="24"/>
                <w:highlight w:val="none"/>
              </w:rPr>
              <w:t>2</w:t>
            </w:r>
          </w:p>
        </w:tc>
        <w:tc>
          <w:tcPr>
            <w:tcW w:w="997" w:type="pct"/>
            <w:tcBorders>
              <w:bottom w:val="single" w:color="auto" w:sz="4" w:space="0"/>
            </w:tcBorders>
            <w:noWrap w:val="0"/>
            <w:vAlign w:val="center"/>
          </w:tcPr>
          <w:p w14:paraId="19412422">
            <w:pPr>
              <w:spacing w:after="50"/>
              <w:ind w:right="-10"/>
              <w:jc w:val="center"/>
              <w:rPr>
                <w:rFonts w:ascii="宋体" w:hAnsi="宋体"/>
                <w:color w:val="000000"/>
                <w:sz w:val="24"/>
                <w:szCs w:val="28"/>
                <w:highlight w:val="none"/>
              </w:rPr>
            </w:pPr>
            <w:r>
              <w:rPr>
                <w:rFonts w:hint="eastAsia" w:ascii="宋体" w:hAnsi="宋体" w:eastAsia="仿宋"/>
                <w:color w:val="000000"/>
                <w:sz w:val="24"/>
                <w:highlight w:val="none"/>
              </w:rPr>
              <w:t>信用状况</w:t>
            </w:r>
          </w:p>
        </w:tc>
        <w:tc>
          <w:tcPr>
            <w:tcW w:w="2393" w:type="pct"/>
            <w:tcBorders>
              <w:bottom w:val="single" w:color="auto" w:sz="4" w:space="0"/>
            </w:tcBorders>
            <w:noWrap w:val="0"/>
            <w:vAlign w:val="center"/>
          </w:tcPr>
          <w:p w14:paraId="32163086">
            <w:pPr>
              <w:spacing w:after="50"/>
              <w:ind w:right="-10"/>
              <w:jc w:val="left"/>
              <w:rPr>
                <w:rFonts w:hint="eastAsia" w:ascii="宋体" w:hAnsi="宋体" w:eastAsia="仿宋"/>
                <w:color w:val="000000"/>
                <w:sz w:val="24"/>
                <w:highlight w:val="none"/>
              </w:rPr>
            </w:pPr>
            <w:r>
              <w:rPr>
                <w:rFonts w:hint="eastAsia" w:ascii="宋体" w:hAnsi="宋体" w:eastAsia="仿宋"/>
                <w:color w:val="000000"/>
                <w:kern w:val="0"/>
                <w:sz w:val="24"/>
                <w:highlight w:val="none"/>
              </w:rPr>
              <w:t>符合第二章“投标人须知”正文第1.3.3项要求，</w:t>
            </w:r>
            <w:r>
              <w:rPr>
                <w:rFonts w:hint="eastAsia" w:ascii="宋体" w:hAnsi="宋体" w:eastAsia="仿宋"/>
                <w:color w:val="000000"/>
                <w:sz w:val="24"/>
                <w:highlight w:val="none"/>
              </w:rPr>
              <w:t>信用状况只依据下述查询平台（网址）发布的信息：</w:t>
            </w:r>
          </w:p>
          <w:p w14:paraId="4CEF6E70">
            <w:pPr>
              <w:pStyle w:val="155"/>
              <w:overflowPunct w:val="0"/>
              <w:autoSpaceDE w:val="0"/>
              <w:autoSpaceDN w:val="0"/>
              <w:adjustRightInd w:val="0"/>
              <w:rPr>
                <w:rFonts w:eastAsia="仿宋"/>
                <w:color w:val="000000"/>
                <w:sz w:val="24"/>
                <w:szCs w:val="24"/>
                <w:highlight w:val="none"/>
              </w:rPr>
            </w:pPr>
            <w:r>
              <w:rPr>
                <w:rFonts w:hint="eastAsia" w:ascii="宋体" w:hAnsi="宋体" w:eastAsia="仿宋"/>
                <w:color w:val="000000"/>
                <w:sz w:val="24"/>
                <w:szCs w:val="24"/>
                <w:highlight w:val="none"/>
              </w:rPr>
              <w:t>（</w:t>
            </w:r>
            <w:r>
              <w:rPr>
                <w:rFonts w:eastAsia="仿宋"/>
                <w:color w:val="000000"/>
                <w:sz w:val="24"/>
                <w:szCs w:val="24"/>
                <w:highlight w:val="none"/>
              </w:rPr>
              <w:t>1</w:t>
            </w:r>
            <w:r>
              <w:rPr>
                <w:rFonts w:hint="eastAsia" w:ascii="宋体" w:hAnsi="宋体" w:eastAsia="仿宋"/>
                <w:color w:val="000000"/>
                <w:sz w:val="24"/>
                <w:szCs w:val="24"/>
                <w:highlight w:val="none"/>
              </w:rPr>
              <w:t>）信用中国</w:t>
            </w:r>
            <w:r>
              <w:rPr>
                <w:rFonts w:eastAsia="仿宋"/>
                <w:color w:val="000000"/>
                <w:sz w:val="24"/>
                <w:szCs w:val="24"/>
                <w:highlight w:val="none"/>
              </w:rPr>
              <w:t>网站</w:t>
            </w:r>
          </w:p>
          <w:p w14:paraId="74F040BA">
            <w:pPr>
              <w:pStyle w:val="155"/>
              <w:overflowPunct w:val="0"/>
              <w:autoSpaceDE w:val="0"/>
              <w:autoSpaceDN w:val="0"/>
              <w:adjustRightInd w:val="0"/>
              <w:rPr>
                <w:rFonts w:eastAsia="仿宋"/>
                <w:color w:val="000000"/>
                <w:sz w:val="24"/>
                <w:szCs w:val="24"/>
                <w:highlight w:val="none"/>
              </w:rPr>
            </w:pPr>
            <w:r>
              <w:rPr>
                <w:rFonts w:eastAsia="仿宋"/>
                <w:color w:val="000000"/>
                <w:sz w:val="24"/>
                <w:szCs w:val="24"/>
                <w:highlight w:val="none"/>
              </w:rPr>
              <w:t>（www.creditchina.gov.cn）；</w:t>
            </w:r>
          </w:p>
          <w:p w14:paraId="509B2124">
            <w:pPr>
              <w:pStyle w:val="155"/>
              <w:overflowPunct w:val="0"/>
              <w:autoSpaceDE w:val="0"/>
              <w:autoSpaceDN w:val="0"/>
              <w:adjustRightInd w:val="0"/>
              <w:rPr>
                <w:rFonts w:eastAsia="仿宋"/>
                <w:color w:val="000000"/>
                <w:sz w:val="24"/>
                <w:szCs w:val="24"/>
                <w:highlight w:val="none"/>
              </w:rPr>
            </w:pPr>
            <w:r>
              <w:rPr>
                <w:rFonts w:eastAsia="仿宋"/>
                <w:color w:val="000000"/>
                <w:sz w:val="24"/>
                <w:szCs w:val="24"/>
                <w:highlight w:val="none"/>
              </w:rPr>
              <w:t>（2）中国执行信息公开网</w:t>
            </w:r>
          </w:p>
          <w:p w14:paraId="758AEB8D">
            <w:pPr>
              <w:pStyle w:val="155"/>
              <w:overflowPunct w:val="0"/>
              <w:autoSpaceDE w:val="0"/>
              <w:autoSpaceDN w:val="0"/>
              <w:adjustRightInd w:val="0"/>
              <w:rPr>
                <w:rFonts w:eastAsia="仿宋"/>
                <w:color w:val="000000"/>
                <w:sz w:val="24"/>
                <w:szCs w:val="24"/>
                <w:highlight w:val="none"/>
              </w:rPr>
            </w:pPr>
            <w:r>
              <w:rPr>
                <w:rFonts w:eastAsia="仿宋"/>
                <w:color w:val="000000"/>
                <w:sz w:val="24"/>
                <w:szCs w:val="24"/>
                <w:highlight w:val="none"/>
              </w:rPr>
              <w:t>（http://zxgk.court.gov.cn/）</w:t>
            </w:r>
            <w:r>
              <w:rPr>
                <w:rFonts w:hint="eastAsia" w:eastAsia="仿宋"/>
                <w:color w:val="000000"/>
                <w:sz w:val="24"/>
                <w:szCs w:val="24"/>
                <w:highlight w:val="none"/>
              </w:rPr>
              <w:t>；</w:t>
            </w:r>
          </w:p>
          <w:p w14:paraId="63D6914A">
            <w:pPr>
              <w:pStyle w:val="155"/>
              <w:overflowPunct w:val="0"/>
              <w:autoSpaceDE w:val="0"/>
              <w:autoSpaceDN w:val="0"/>
              <w:adjustRightInd w:val="0"/>
              <w:rPr>
                <w:rFonts w:eastAsia="仿宋"/>
                <w:color w:val="000000"/>
                <w:sz w:val="24"/>
                <w:szCs w:val="24"/>
                <w:highlight w:val="none"/>
              </w:rPr>
            </w:pPr>
            <w:r>
              <w:rPr>
                <w:rFonts w:hint="eastAsia" w:eastAsia="仿宋"/>
                <w:color w:val="000000"/>
                <w:sz w:val="24"/>
                <w:szCs w:val="24"/>
                <w:highlight w:val="none"/>
              </w:rPr>
              <w:t>（3）</w:t>
            </w:r>
            <w:r>
              <w:rPr>
                <w:rFonts w:eastAsia="仿宋"/>
                <w:color w:val="000000"/>
                <w:sz w:val="24"/>
                <w:szCs w:val="24"/>
                <w:highlight w:val="none"/>
              </w:rPr>
              <w:t>中国政府采购网</w:t>
            </w:r>
          </w:p>
          <w:p w14:paraId="60F180FE">
            <w:pPr>
              <w:pStyle w:val="155"/>
              <w:overflowPunct w:val="0"/>
              <w:autoSpaceDE w:val="0"/>
              <w:autoSpaceDN w:val="0"/>
              <w:adjustRightInd w:val="0"/>
              <w:rPr>
                <w:rFonts w:eastAsia="仿宋"/>
                <w:color w:val="000000"/>
                <w:sz w:val="24"/>
                <w:szCs w:val="24"/>
                <w:highlight w:val="none"/>
              </w:rPr>
            </w:pPr>
            <w:r>
              <w:rPr>
                <w:rFonts w:eastAsia="仿宋"/>
                <w:color w:val="000000"/>
                <w:sz w:val="24"/>
                <w:szCs w:val="24"/>
                <w:highlight w:val="none"/>
              </w:rPr>
              <w:t>（http://www.ccgp.gov.cn/）</w:t>
            </w:r>
            <w:r>
              <w:rPr>
                <w:rFonts w:hint="eastAsia" w:eastAsia="仿宋"/>
                <w:color w:val="000000"/>
                <w:sz w:val="24"/>
                <w:szCs w:val="24"/>
                <w:highlight w:val="none"/>
              </w:rPr>
              <w:t>；</w:t>
            </w:r>
          </w:p>
          <w:p w14:paraId="3E91C113">
            <w:pPr>
              <w:pStyle w:val="155"/>
              <w:overflowPunct w:val="0"/>
              <w:autoSpaceDE w:val="0"/>
              <w:autoSpaceDN w:val="0"/>
              <w:adjustRightInd w:val="0"/>
              <w:rPr>
                <w:rFonts w:eastAsia="仿宋"/>
                <w:color w:val="000000"/>
                <w:sz w:val="24"/>
                <w:szCs w:val="24"/>
                <w:highlight w:val="none"/>
              </w:rPr>
            </w:pPr>
            <w:r>
              <w:rPr>
                <w:rFonts w:eastAsia="仿宋"/>
                <w:color w:val="000000"/>
                <w:sz w:val="24"/>
                <w:szCs w:val="24"/>
                <w:highlight w:val="none"/>
              </w:rPr>
              <w:t>（4）国家企业信用信息公示系统</w:t>
            </w:r>
          </w:p>
          <w:p w14:paraId="3A5C7744">
            <w:pPr>
              <w:pStyle w:val="4"/>
              <w:spacing w:line="240" w:lineRule="auto"/>
              <w:outlineLvl w:val="2"/>
              <w:rPr>
                <w:color w:val="000000"/>
                <w:highlight w:val="none"/>
                <w:lang w:val="en-US"/>
              </w:rPr>
            </w:pPr>
            <w:r>
              <w:rPr>
                <w:rFonts w:ascii="Times New Roman" w:hAnsi="Times New Roman" w:eastAsia="仿宋"/>
                <w:b w:val="0"/>
                <w:bCs w:val="0"/>
                <w:color w:val="000000"/>
                <w:sz w:val="24"/>
                <w:highlight w:val="none"/>
                <w:lang w:val="en-US" w:eastAsia="zh-CN" w:bidi="ar-SA"/>
              </w:rPr>
              <w:t>（http://www.gsxt.gov.cn/）</w:t>
            </w:r>
            <w:r>
              <w:rPr>
                <w:rFonts w:hint="eastAsia" w:ascii="Times New Roman" w:hAnsi="Times New Roman" w:eastAsia="仿宋"/>
                <w:b w:val="0"/>
                <w:bCs w:val="0"/>
                <w:color w:val="000000"/>
                <w:sz w:val="24"/>
                <w:highlight w:val="none"/>
                <w:lang w:val="en-US" w:eastAsia="zh-CN" w:bidi="ar-SA"/>
              </w:rPr>
              <w:t>。</w:t>
            </w:r>
          </w:p>
        </w:tc>
        <w:tc>
          <w:tcPr>
            <w:tcW w:w="1246" w:type="pct"/>
            <w:tcBorders>
              <w:bottom w:val="single" w:color="auto" w:sz="4" w:space="0"/>
            </w:tcBorders>
            <w:noWrap w:val="0"/>
            <w:vAlign w:val="center"/>
          </w:tcPr>
          <w:p w14:paraId="5D01E39D">
            <w:pPr>
              <w:widowControl/>
              <w:adjustRightInd w:val="0"/>
              <w:snapToGrid w:val="0"/>
              <w:rPr>
                <w:rFonts w:hint="eastAsia" w:ascii="宋体" w:hAnsi="宋体"/>
                <w:color w:val="000000"/>
                <w:sz w:val="24"/>
                <w:highlight w:val="none"/>
              </w:rPr>
            </w:pPr>
            <w:r>
              <w:rPr>
                <w:rFonts w:hint="eastAsia" w:ascii="宋体" w:hAnsi="宋体" w:eastAsia="仿宋" w:cs="宋体"/>
                <w:color w:val="000000"/>
                <w:sz w:val="24"/>
                <w:highlight w:val="none"/>
              </w:rPr>
              <w:t>采购人或采购代理机构查询，并留存查询记录</w:t>
            </w:r>
          </w:p>
        </w:tc>
      </w:tr>
      <w:tr w14:paraId="5F510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2B138FF1">
            <w:pPr>
              <w:adjustRightInd w:val="0"/>
              <w:snapToGrid w:val="0"/>
              <w:ind w:right="-10"/>
              <w:jc w:val="center"/>
              <w:rPr>
                <w:rFonts w:hint="eastAsia" w:ascii="宋体" w:hAnsi="宋体"/>
                <w:color w:val="000000"/>
                <w:sz w:val="24"/>
                <w:highlight w:val="none"/>
              </w:rPr>
            </w:pPr>
            <w:r>
              <w:rPr>
                <w:rFonts w:hint="eastAsia" w:ascii="宋体" w:hAnsi="宋体"/>
                <w:color w:val="000000"/>
                <w:sz w:val="24"/>
                <w:highlight w:val="none"/>
              </w:rPr>
              <w:t>3</w:t>
            </w:r>
          </w:p>
        </w:tc>
        <w:tc>
          <w:tcPr>
            <w:tcW w:w="997" w:type="pct"/>
            <w:tcBorders>
              <w:bottom w:val="single" w:color="auto" w:sz="4" w:space="0"/>
            </w:tcBorders>
            <w:noWrap w:val="0"/>
            <w:vAlign w:val="center"/>
          </w:tcPr>
          <w:p w14:paraId="7C3D3207">
            <w:pPr>
              <w:spacing w:after="50"/>
              <w:ind w:right="-10"/>
              <w:jc w:val="center"/>
              <w:rPr>
                <w:rFonts w:ascii="宋体" w:hAnsi="宋体"/>
                <w:color w:val="000000"/>
                <w:sz w:val="24"/>
                <w:szCs w:val="18"/>
                <w:highlight w:val="none"/>
              </w:rPr>
            </w:pPr>
            <w:r>
              <w:rPr>
                <w:rFonts w:hint="eastAsia" w:ascii="宋体" w:hAnsi="宋体" w:eastAsia="仿宋"/>
                <w:color w:val="000000"/>
                <w:sz w:val="24"/>
                <w:highlight w:val="none"/>
              </w:rPr>
              <w:t>政府采购供应商资格承诺函</w:t>
            </w:r>
          </w:p>
        </w:tc>
        <w:tc>
          <w:tcPr>
            <w:tcW w:w="2393" w:type="pct"/>
            <w:tcBorders>
              <w:bottom w:val="single" w:color="auto" w:sz="4" w:space="0"/>
            </w:tcBorders>
            <w:noWrap w:val="0"/>
            <w:vAlign w:val="center"/>
          </w:tcPr>
          <w:p w14:paraId="4608E0F9">
            <w:pPr>
              <w:spacing w:after="50"/>
              <w:ind w:right="-10"/>
              <w:jc w:val="center"/>
              <w:rPr>
                <w:rFonts w:hint="eastAsia" w:ascii="宋体" w:hAnsi="宋体" w:eastAsia="仿宋"/>
                <w:color w:val="000000"/>
                <w:sz w:val="24"/>
                <w:szCs w:val="28"/>
                <w:highlight w:val="none"/>
              </w:rPr>
            </w:pPr>
            <w:r>
              <w:rPr>
                <w:rFonts w:hint="eastAsia" w:ascii="宋体" w:hAnsi="宋体" w:eastAsia="仿宋"/>
                <w:color w:val="000000"/>
                <w:sz w:val="24"/>
                <w:highlight w:val="none"/>
              </w:rPr>
              <w:t>格式、填写要求符合招标文件规定并加盖投标人电子签章。</w:t>
            </w:r>
          </w:p>
        </w:tc>
        <w:tc>
          <w:tcPr>
            <w:tcW w:w="1246" w:type="pct"/>
            <w:tcBorders>
              <w:bottom w:val="single" w:color="auto" w:sz="4" w:space="0"/>
            </w:tcBorders>
            <w:noWrap w:val="0"/>
            <w:vAlign w:val="center"/>
          </w:tcPr>
          <w:p w14:paraId="20B12E29">
            <w:pPr>
              <w:adjustRightInd w:val="0"/>
              <w:snapToGrid w:val="0"/>
              <w:ind w:right="-10"/>
              <w:jc w:val="left"/>
              <w:rPr>
                <w:rFonts w:hint="eastAsia" w:ascii="宋体" w:hAnsi="宋体"/>
                <w:color w:val="000000"/>
                <w:sz w:val="24"/>
                <w:highlight w:val="none"/>
              </w:rPr>
            </w:pPr>
            <w:r>
              <w:rPr>
                <w:rFonts w:hint="eastAsia" w:ascii="宋体" w:hAnsi="宋体" w:eastAsia="仿宋"/>
                <w:color w:val="000000"/>
                <w:sz w:val="24"/>
                <w:highlight w:val="none"/>
              </w:rPr>
              <w:t>详见第六章投标文件格式九（二）</w:t>
            </w:r>
          </w:p>
        </w:tc>
      </w:tr>
      <w:tr w14:paraId="6568D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tcBorders>
              <w:bottom w:val="single" w:color="auto" w:sz="4" w:space="0"/>
            </w:tcBorders>
            <w:noWrap w:val="0"/>
            <w:vAlign w:val="center"/>
          </w:tcPr>
          <w:p w14:paraId="06BC3E91">
            <w:pPr>
              <w:adjustRightInd w:val="0"/>
              <w:snapToGrid w:val="0"/>
              <w:ind w:right="-10"/>
              <w:jc w:val="center"/>
              <w:rPr>
                <w:rFonts w:hint="eastAsia" w:ascii="宋体" w:hAnsi="宋体"/>
                <w:color w:val="000000"/>
                <w:sz w:val="24"/>
                <w:highlight w:val="none"/>
              </w:rPr>
            </w:pPr>
            <w:r>
              <w:rPr>
                <w:rFonts w:hint="eastAsia" w:ascii="宋体" w:hAnsi="宋体"/>
                <w:color w:val="000000"/>
                <w:sz w:val="24"/>
                <w:highlight w:val="none"/>
              </w:rPr>
              <w:t>4</w:t>
            </w:r>
          </w:p>
        </w:tc>
        <w:tc>
          <w:tcPr>
            <w:tcW w:w="997" w:type="pct"/>
            <w:tcBorders>
              <w:bottom w:val="single" w:color="auto" w:sz="4" w:space="0"/>
            </w:tcBorders>
            <w:noWrap w:val="0"/>
            <w:vAlign w:val="center"/>
          </w:tcPr>
          <w:p w14:paraId="118844A9">
            <w:pPr>
              <w:spacing w:after="50"/>
              <w:ind w:right="-10"/>
              <w:jc w:val="center"/>
              <w:rPr>
                <w:rFonts w:hint="eastAsia" w:ascii="宋体" w:hAnsi="宋体" w:eastAsia="仿宋"/>
                <w:color w:val="000000"/>
                <w:sz w:val="24"/>
                <w:highlight w:val="none"/>
              </w:rPr>
            </w:pPr>
            <w:r>
              <w:rPr>
                <w:rFonts w:hint="eastAsia" w:ascii="宋体" w:hAnsi="宋体" w:eastAsia="仿宋"/>
                <w:color w:val="000000"/>
                <w:sz w:val="24"/>
                <w:highlight w:val="none"/>
              </w:rPr>
              <w:t>中小企业声明函</w:t>
            </w:r>
          </w:p>
          <w:p w14:paraId="07972D06">
            <w:pPr>
              <w:spacing w:after="50"/>
              <w:ind w:right="-10"/>
              <w:jc w:val="center"/>
              <w:rPr>
                <w:rFonts w:hint="eastAsia" w:ascii="宋体" w:hAnsi="宋体" w:eastAsia="仿宋"/>
                <w:color w:val="000000"/>
                <w:sz w:val="24"/>
                <w:highlight w:val="none"/>
              </w:rPr>
            </w:pPr>
            <w:r>
              <w:rPr>
                <w:rFonts w:hint="eastAsia" w:ascii="宋体" w:hAnsi="宋体" w:eastAsia="仿宋"/>
                <w:color w:val="000000"/>
                <w:sz w:val="24"/>
                <w:highlight w:val="none"/>
              </w:rPr>
              <w:t>（专门面向中小企业采购项目/采购包适用）</w:t>
            </w:r>
          </w:p>
        </w:tc>
        <w:tc>
          <w:tcPr>
            <w:tcW w:w="2393" w:type="pct"/>
            <w:tcBorders>
              <w:bottom w:val="single" w:color="auto" w:sz="4" w:space="0"/>
            </w:tcBorders>
            <w:noWrap w:val="0"/>
            <w:vAlign w:val="center"/>
          </w:tcPr>
          <w:p w14:paraId="7C7DBD37">
            <w:pPr>
              <w:spacing w:after="50"/>
              <w:ind w:right="-10"/>
              <w:jc w:val="center"/>
              <w:rPr>
                <w:rFonts w:hint="eastAsia" w:ascii="宋体" w:hAnsi="宋体" w:eastAsia="仿宋"/>
                <w:color w:val="000000"/>
                <w:sz w:val="24"/>
                <w:highlight w:val="none"/>
              </w:rPr>
            </w:pPr>
            <w:r>
              <w:rPr>
                <w:rFonts w:hint="eastAsia" w:ascii="宋体" w:hAnsi="宋体" w:eastAsia="仿宋"/>
                <w:color w:val="000000"/>
                <w:sz w:val="24"/>
                <w:highlight w:val="none"/>
              </w:rPr>
              <w:t>符合招标公告中落实政府采购政策需满足的资格要求。</w:t>
            </w:r>
          </w:p>
        </w:tc>
        <w:tc>
          <w:tcPr>
            <w:tcW w:w="1246" w:type="pct"/>
            <w:tcBorders>
              <w:bottom w:val="single" w:color="auto" w:sz="4" w:space="0"/>
            </w:tcBorders>
            <w:noWrap w:val="0"/>
            <w:vAlign w:val="center"/>
          </w:tcPr>
          <w:p w14:paraId="664A10E1">
            <w:pPr>
              <w:spacing w:after="50"/>
              <w:ind w:right="-10"/>
              <w:jc w:val="left"/>
              <w:rPr>
                <w:rFonts w:hint="eastAsia" w:ascii="宋体" w:hAnsi="宋体" w:eastAsia="仿宋"/>
                <w:color w:val="000000"/>
                <w:sz w:val="24"/>
                <w:highlight w:val="none"/>
              </w:rPr>
            </w:pPr>
            <w:r>
              <w:rPr>
                <w:rFonts w:hint="eastAsia" w:ascii="宋体" w:hAnsi="宋体" w:eastAsia="仿宋"/>
                <w:color w:val="000000"/>
                <w:sz w:val="24"/>
                <w:highlight w:val="none"/>
              </w:rPr>
              <w:t>详见第六章投标文件格式五</w:t>
            </w:r>
          </w:p>
        </w:tc>
      </w:tr>
      <w:tr w14:paraId="39B8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362" w:type="pct"/>
            <w:vMerge w:val="restart"/>
            <w:noWrap w:val="0"/>
            <w:vAlign w:val="center"/>
          </w:tcPr>
          <w:p w14:paraId="367CC731">
            <w:pPr>
              <w:adjustRightInd w:val="0"/>
              <w:snapToGrid w:val="0"/>
              <w:ind w:right="-10"/>
              <w:jc w:val="center"/>
              <w:rPr>
                <w:rFonts w:hint="eastAsia" w:ascii="宋体" w:hAnsi="宋体"/>
                <w:color w:val="000000"/>
                <w:sz w:val="24"/>
                <w:highlight w:val="none"/>
              </w:rPr>
            </w:pPr>
            <w:r>
              <w:rPr>
                <w:rFonts w:hint="eastAsia" w:ascii="宋体" w:hAnsi="宋体"/>
                <w:color w:val="000000"/>
                <w:sz w:val="24"/>
                <w:highlight w:val="none"/>
              </w:rPr>
              <w:t>5</w:t>
            </w:r>
          </w:p>
        </w:tc>
        <w:tc>
          <w:tcPr>
            <w:tcW w:w="997" w:type="pct"/>
            <w:vMerge w:val="restart"/>
            <w:noWrap w:val="0"/>
            <w:vAlign w:val="center"/>
          </w:tcPr>
          <w:p w14:paraId="4C8855BA">
            <w:pPr>
              <w:spacing w:after="50"/>
              <w:ind w:right="-10"/>
              <w:jc w:val="center"/>
              <w:rPr>
                <w:rFonts w:hint="eastAsia" w:ascii="宋体" w:hAnsi="宋体" w:eastAsia="仿宋"/>
                <w:color w:val="000000"/>
                <w:sz w:val="24"/>
                <w:highlight w:val="none"/>
              </w:rPr>
            </w:pPr>
            <w:r>
              <w:rPr>
                <w:rFonts w:hint="eastAsia" w:ascii="宋体" w:hAnsi="宋体" w:eastAsia="仿宋"/>
                <w:color w:val="000000"/>
                <w:sz w:val="24"/>
                <w:highlight w:val="none"/>
              </w:rPr>
              <w:t>中小企业承揽份额（如有）</w:t>
            </w:r>
          </w:p>
        </w:tc>
        <w:tc>
          <w:tcPr>
            <w:tcW w:w="2393" w:type="pct"/>
            <w:tcBorders>
              <w:bottom w:val="single" w:color="auto" w:sz="4" w:space="0"/>
            </w:tcBorders>
            <w:noWrap w:val="0"/>
            <w:vAlign w:val="center"/>
          </w:tcPr>
          <w:p w14:paraId="0BCA719F">
            <w:pPr>
              <w:jc w:val="left"/>
              <w:rPr>
                <w:rFonts w:hint="eastAsia" w:ascii="宋体" w:hAnsi="宋体" w:eastAsia="仿宋"/>
                <w:color w:val="000000"/>
                <w:sz w:val="24"/>
                <w:highlight w:val="none"/>
              </w:rPr>
            </w:pPr>
            <w:r>
              <w:rPr>
                <w:rFonts w:hint="eastAsia" w:ascii="宋体" w:hAnsi="宋体" w:eastAsia="仿宋"/>
                <w:color w:val="000000"/>
                <w:sz w:val="24"/>
                <w:highlight w:val="none"/>
              </w:rPr>
              <w:t>如本项目（包）允许通过组成联合体预留部分采购份额面向中小企业采购、且投标人因落实政府采购政策拟组成联合体的，必须提供。</w:t>
            </w:r>
          </w:p>
          <w:p w14:paraId="3A54FD9D">
            <w:pPr>
              <w:jc w:val="left"/>
              <w:rPr>
                <w:rFonts w:ascii="宋体" w:hAnsi="宋体" w:eastAsia="仿宋"/>
                <w:color w:val="000000"/>
                <w:sz w:val="24"/>
                <w:highlight w:val="none"/>
              </w:rPr>
            </w:pPr>
            <w:r>
              <w:rPr>
                <w:rFonts w:hint="eastAsia" w:ascii="宋体" w:hAnsi="宋体" w:eastAsia="仿宋"/>
                <w:color w:val="000000"/>
                <w:sz w:val="24"/>
                <w:highlight w:val="none"/>
              </w:rPr>
              <w:t>中小企业承揽份额须满足招标文件要求。</w:t>
            </w:r>
          </w:p>
        </w:tc>
        <w:tc>
          <w:tcPr>
            <w:tcW w:w="1246" w:type="pct"/>
            <w:tcBorders>
              <w:bottom w:val="single" w:color="auto" w:sz="4" w:space="0"/>
            </w:tcBorders>
            <w:noWrap w:val="0"/>
            <w:vAlign w:val="center"/>
          </w:tcPr>
          <w:p w14:paraId="01B471BF">
            <w:pPr>
              <w:spacing w:after="50"/>
              <w:ind w:right="-10"/>
              <w:jc w:val="left"/>
              <w:rPr>
                <w:rFonts w:hint="eastAsia" w:ascii="宋体" w:hAnsi="宋体" w:eastAsia="仿宋"/>
                <w:color w:val="000000"/>
                <w:sz w:val="24"/>
                <w:highlight w:val="none"/>
              </w:rPr>
            </w:pPr>
            <w:r>
              <w:rPr>
                <w:rFonts w:hint="eastAsia" w:ascii="宋体" w:hAnsi="宋体" w:eastAsia="仿宋"/>
                <w:color w:val="000000"/>
                <w:sz w:val="24"/>
                <w:highlight w:val="none"/>
              </w:rPr>
              <w:t>详见第六章投标文件格式七</w:t>
            </w:r>
          </w:p>
        </w:tc>
      </w:tr>
      <w:tr w14:paraId="1AFA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jc w:val="center"/>
        </w:trPr>
        <w:tc>
          <w:tcPr>
            <w:tcW w:w="362" w:type="pct"/>
            <w:vMerge w:val="continue"/>
            <w:noWrap w:val="0"/>
            <w:vAlign w:val="center"/>
          </w:tcPr>
          <w:p w14:paraId="0CF70436">
            <w:pPr>
              <w:adjustRightInd w:val="0"/>
              <w:snapToGrid w:val="0"/>
              <w:ind w:right="-10"/>
              <w:jc w:val="center"/>
              <w:rPr>
                <w:rFonts w:ascii="宋体" w:hAnsi="宋体"/>
                <w:color w:val="000000"/>
                <w:sz w:val="24"/>
                <w:highlight w:val="none"/>
              </w:rPr>
            </w:pPr>
          </w:p>
        </w:tc>
        <w:tc>
          <w:tcPr>
            <w:tcW w:w="997" w:type="pct"/>
            <w:vMerge w:val="continue"/>
            <w:noWrap w:val="0"/>
            <w:vAlign w:val="center"/>
          </w:tcPr>
          <w:p w14:paraId="1B416A20">
            <w:pPr>
              <w:spacing w:after="50"/>
              <w:ind w:right="-10"/>
              <w:jc w:val="center"/>
              <w:rPr>
                <w:rFonts w:hint="eastAsia" w:ascii="宋体" w:hAnsi="宋体" w:eastAsia="仿宋"/>
                <w:color w:val="000000"/>
                <w:sz w:val="24"/>
                <w:highlight w:val="none"/>
              </w:rPr>
            </w:pPr>
          </w:p>
        </w:tc>
        <w:tc>
          <w:tcPr>
            <w:tcW w:w="2393" w:type="pct"/>
            <w:noWrap w:val="0"/>
            <w:vAlign w:val="center"/>
          </w:tcPr>
          <w:p w14:paraId="0034F6EC">
            <w:pPr>
              <w:jc w:val="center"/>
              <w:rPr>
                <w:rFonts w:hint="eastAsia" w:ascii="宋体" w:hAnsi="宋体" w:eastAsia="仿宋"/>
                <w:color w:val="000000"/>
                <w:sz w:val="24"/>
                <w:highlight w:val="none"/>
              </w:rPr>
            </w:pPr>
            <w:r>
              <w:rPr>
                <w:rFonts w:hint="eastAsia" w:ascii="宋体" w:hAnsi="宋体" w:eastAsia="仿宋"/>
                <w:color w:val="000000"/>
                <w:sz w:val="24"/>
                <w:highlight w:val="none"/>
              </w:rPr>
              <w:t>如本项目（包）允许通过分包措施预留部分采购份额面向中小企业采购、且投标人因落实政府采购政策拟进行分包的，必须提供。</w:t>
            </w:r>
          </w:p>
          <w:p w14:paraId="2BFCDF30">
            <w:pPr>
              <w:jc w:val="left"/>
              <w:rPr>
                <w:rFonts w:hint="eastAsia" w:ascii="宋体" w:hAnsi="宋体" w:eastAsia="仿宋"/>
                <w:color w:val="000000"/>
                <w:sz w:val="24"/>
                <w:highlight w:val="none"/>
              </w:rPr>
            </w:pPr>
            <w:r>
              <w:rPr>
                <w:rFonts w:hint="eastAsia" w:ascii="宋体" w:hAnsi="宋体" w:eastAsia="仿宋"/>
                <w:color w:val="000000"/>
                <w:sz w:val="24"/>
                <w:highlight w:val="none"/>
              </w:rPr>
              <w:t>中小企业承揽份额须满足招标文件要求。</w:t>
            </w:r>
          </w:p>
        </w:tc>
        <w:tc>
          <w:tcPr>
            <w:tcW w:w="1246" w:type="pct"/>
            <w:noWrap w:val="0"/>
            <w:vAlign w:val="center"/>
          </w:tcPr>
          <w:p w14:paraId="60920F0A">
            <w:pPr>
              <w:spacing w:after="50"/>
              <w:ind w:right="-10"/>
              <w:jc w:val="left"/>
              <w:rPr>
                <w:rFonts w:hint="eastAsia" w:ascii="宋体" w:hAnsi="宋体" w:eastAsia="仿宋"/>
                <w:color w:val="000000"/>
                <w:sz w:val="24"/>
                <w:highlight w:val="none"/>
              </w:rPr>
            </w:pPr>
            <w:r>
              <w:rPr>
                <w:rFonts w:hint="eastAsia" w:ascii="宋体" w:hAnsi="宋体" w:eastAsia="仿宋"/>
                <w:color w:val="000000"/>
                <w:sz w:val="24"/>
                <w:highlight w:val="none"/>
              </w:rPr>
              <w:t>详见第六章投标文件格式八</w:t>
            </w:r>
          </w:p>
        </w:tc>
      </w:tr>
      <w:tr w14:paraId="38FA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1869A2CA">
            <w:pPr>
              <w:adjustRightInd w:val="0"/>
              <w:snapToGrid w:val="0"/>
              <w:ind w:right="-10"/>
              <w:jc w:val="center"/>
              <w:rPr>
                <w:rFonts w:ascii="宋体" w:hAnsi="宋体"/>
                <w:color w:val="000000"/>
                <w:sz w:val="24"/>
                <w:highlight w:val="none"/>
              </w:rPr>
            </w:pPr>
            <w:r>
              <w:rPr>
                <w:rFonts w:ascii="宋体" w:hAnsi="宋体"/>
                <w:color w:val="000000"/>
                <w:sz w:val="24"/>
                <w:highlight w:val="none"/>
              </w:rPr>
              <w:t>6</w:t>
            </w:r>
          </w:p>
        </w:tc>
        <w:tc>
          <w:tcPr>
            <w:tcW w:w="997" w:type="pct"/>
            <w:noWrap w:val="0"/>
            <w:vAlign w:val="center"/>
          </w:tcPr>
          <w:p w14:paraId="15794F10">
            <w:pPr>
              <w:spacing w:after="50"/>
              <w:ind w:right="-10"/>
              <w:jc w:val="center"/>
              <w:rPr>
                <w:rFonts w:hint="eastAsia" w:ascii="宋体" w:hAnsi="宋体" w:eastAsia="仿宋"/>
                <w:color w:val="000000"/>
                <w:sz w:val="24"/>
                <w:highlight w:val="none"/>
              </w:rPr>
            </w:pPr>
            <w:r>
              <w:rPr>
                <w:rFonts w:hint="eastAsia" w:ascii="宋体" w:hAnsi="宋体" w:eastAsia="仿宋"/>
                <w:color w:val="000000"/>
                <w:sz w:val="24"/>
                <w:highlight w:val="none"/>
              </w:rPr>
              <w:t>资质要求</w:t>
            </w:r>
          </w:p>
          <w:p w14:paraId="6512FFF2">
            <w:pPr>
              <w:spacing w:after="50"/>
              <w:ind w:right="-10"/>
              <w:jc w:val="center"/>
              <w:rPr>
                <w:rFonts w:hint="eastAsia" w:ascii="宋体" w:hAnsi="宋体" w:eastAsia="仿宋"/>
                <w:color w:val="000000"/>
                <w:sz w:val="24"/>
                <w:highlight w:val="none"/>
              </w:rPr>
            </w:pPr>
            <w:r>
              <w:rPr>
                <w:rFonts w:hint="eastAsia" w:ascii="宋体" w:hAnsi="宋体" w:eastAsia="仿宋"/>
                <w:color w:val="000000"/>
                <w:sz w:val="24"/>
                <w:highlight w:val="none"/>
              </w:rPr>
              <w:t>（如有）</w:t>
            </w:r>
          </w:p>
        </w:tc>
        <w:tc>
          <w:tcPr>
            <w:tcW w:w="2393" w:type="pct"/>
            <w:noWrap w:val="0"/>
            <w:vAlign w:val="center"/>
          </w:tcPr>
          <w:p w14:paraId="4E7081FA">
            <w:pPr>
              <w:spacing w:after="50"/>
              <w:ind w:right="-10"/>
              <w:jc w:val="center"/>
              <w:rPr>
                <w:rFonts w:hint="eastAsia" w:ascii="宋体" w:hAnsi="宋体" w:eastAsia="仿宋"/>
                <w:color w:val="000000"/>
                <w:sz w:val="24"/>
                <w:highlight w:val="none"/>
              </w:rPr>
            </w:pPr>
            <w:r>
              <w:rPr>
                <w:rFonts w:hint="eastAsia" w:ascii="宋体" w:hAnsi="宋体" w:eastAsia="仿宋"/>
                <w:color w:val="000000"/>
                <w:sz w:val="24"/>
                <w:highlight w:val="none"/>
              </w:rPr>
              <w:t>符合招标公告中资格要求。</w:t>
            </w:r>
          </w:p>
        </w:tc>
        <w:tc>
          <w:tcPr>
            <w:tcW w:w="1246" w:type="pct"/>
            <w:noWrap w:val="0"/>
            <w:vAlign w:val="center"/>
          </w:tcPr>
          <w:p w14:paraId="5FFC60CD">
            <w:pPr>
              <w:spacing w:after="50"/>
              <w:ind w:right="-10"/>
              <w:jc w:val="left"/>
              <w:rPr>
                <w:rFonts w:hint="eastAsia" w:ascii="宋体" w:hAnsi="宋体" w:eastAsia="仿宋"/>
                <w:color w:val="000000"/>
                <w:sz w:val="24"/>
                <w:highlight w:val="none"/>
              </w:rPr>
            </w:pPr>
            <w:r>
              <w:rPr>
                <w:rFonts w:hint="eastAsia" w:ascii="宋体" w:hAnsi="宋体" w:eastAsia="仿宋"/>
                <w:color w:val="000000"/>
                <w:sz w:val="24"/>
                <w:highlight w:val="none"/>
              </w:rPr>
              <w:t>提供符合投标人资格中要求的资质证书扫描件或电子证照</w:t>
            </w:r>
          </w:p>
        </w:tc>
      </w:tr>
      <w:tr w14:paraId="50F7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2" w:type="pct"/>
            <w:noWrap w:val="0"/>
            <w:vAlign w:val="center"/>
          </w:tcPr>
          <w:p w14:paraId="202996F3">
            <w:pPr>
              <w:adjustRightInd w:val="0"/>
              <w:snapToGrid w:val="0"/>
              <w:ind w:right="-10"/>
              <w:jc w:val="center"/>
              <w:rPr>
                <w:rFonts w:hint="eastAsia" w:ascii="宋体" w:hAnsi="宋体"/>
                <w:color w:val="000000"/>
                <w:sz w:val="24"/>
                <w:highlight w:val="none"/>
              </w:rPr>
            </w:pPr>
            <w:r>
              <w:rPr>
                <w:rFonts w:hint="eastAsia" w:ascii="宋体" w:hAnsi="宋体"/>
                <w:color w:val="000000"/>
                <w:sz w:val="24"/>
                <w:highlight w:val="none"/>
              </w:rPr>
              <w:t>7</w:t>
            </w:r>
          </w:p>
        </w:tc>
        <w:tc>
          <w:tcPr>
            <w:tcW w:w="997" w:type="pct"/>
            <w:noWrap w:val="0"/>
            <w:vAlign w:val="center"/>
          </w:tcPr>
          <w:p w14:paraId="1BFE6F7A">
            <w:pPr>
              <w:pStyle w:val="155"/>
              <w:adjustRightInd w:val="0"/>
              <w:jc w:val="center"/>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业绩要求</w:t>
            </w:r>
          </w:p>
          <w:p w14:paraId="149D792F">
            <w:pPr>
              <w:pStyle w:val="155"/>
              <w:adjustRightInd w:val="0"/>
              <w:jc w:val="center"/>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（如有）</w:t>
            </w:r>
          </w:p>
        </w:tc>
        <w:tc>
          <w:tcPr>
            <w:tcW w:w="2393" w:type="pct"/>
            <w:noWrap w:val="0"/>
            <w:vAlign w:val="center"/>
          </w:tcPr>
          <w:p w14:paraId="0606FD4D">
            <w:pPr>
              <w:pStyle w:val="155"/>
              <w:adjustRightInd w:val="0"/>
              <w:jc w:val="center"/>
              <w:rPr>
                <w:rFonts w:hint="eastAsia" w:ascii="宋体" w:hAnsi="宋体" w:eastAsia="仿宋"/>
                <w:color w:val="000000"/>
                <w:sz w:val="24"/>
                <w:szCs w:val="28"/>
                <w:highlight w:val="none"/>
              </w:rPr>
            </w:pPr>
            <w:r>
              <w:rPr>
                <w:rFonts w:hint="eastAsia" w:ascii="宋体" w:hAnsi="宋体" w:eastAsia="仿宋"/>
                <w:color w:val="000000"/>
                <w:sz w:val="24"/>
                <w:szCs w:val="24"/>
                <w:highlight w:val="none"/>
              </w:rPr>
              <w:t>符合招标公告中资格要求。</w:t>
            </w:r>
          </w:p>
        </w:tc>
        <w:tc>
          <w:tcPr>
            <w:tcW w:w="1246" w:type="pct"/>
            <w:noWrap w:val="0"/>
            <w:vAlign w:val="center"/>
          </w:tcPr>
          <w:p w14:paraId="385084F2">
            <w:pPr>
              <w:widowControl/>
              <w:adjustRightInd w:val="0"/>
              <w:jc w:val="left"/>
              <w:rPr>
                <w:rFonts w:hint="eastAsia" w:ascii="宋体" w:hAnsi="宋体" w:eastAsia="仿宋"/>
                <w:color w:val="000000"/>
                <w:kern w:val="0"/>
                <w:sz w:val="24"/>
                <w:highlight w:val="none"/>
              </w:rPr>
            </w:pPr>
            <w:r>
              <w:rPr>
                <w:rFonts w:hint="eastAsia" w:ascii="宋体" w:hAnsi="宋体" w:eastAsia="仿宋"/>
                <w:color w:val="000000"/>
                <w:kern w:val="0"/>
                <w:sz w:val="24"/>
                <w:highlight w:val="none"/>
              </w:rPr>
              <w:t>提供合同扫描件</w:t>
            </w:r>
          </w:p>
          <w:p w14:paraId="245B52F0">
            <w:pPr>
              <w:pStyle w:val="4"/>
              <w:spacing w:line="240" w:lineRule="auto"/>
              <w:outlineLvl w:val="2"/>
              <w:rPr>
                <w:rFonts w:hint="eastAsia"/>
                <w:color w:val="000000"/>
                <w:highlight w:val="none"/>
                <w:lang w:val="en-US" w:eastAsia="zh-CN"/>
              </w:rPr>
            </w:pPr>
            <w:r>
              <w:rPr>
                <w:rFonts w:hint="eastAsia" w:eastAsia="仿宋"/>
                <w:b w:val="0"/>
                <w:bCs w:val="0"/>
                <w:color w:val="000000"/>
                <w:kern w:val="2"/>
                <w:sz w:val="24"/>
                <w:highlight w:val="none"/>
                <w:lang w:val="en-US" w:eastAsia="zh-CN" w:bidi="ar-SA"/>
              </w:rPr>
              <w:t>详见第六章投标文件格式九（三）</w:t>
            </w:r>
          </w:p>
        </w:tc>
      </w:tr>
    </w:tbl>
    <w:p w14:paraId="46BCE5BE">
      <w:pPr>
        <w:pStyle w:val="156"/>
        <w:adjustRightInd w:val="0"/>
        <w:snapToGrid w:val="0"/>
        <w:spacing w:before="0" w:line="360" w:lineRule="auto"/>
        <w:ind w:firstLine="482" w:firstLineChars="200"/>
        <w:rPr>
          <w:rFonts w:hint="eastAsia" w:ascii="宋体" w:hAnsi="宋体" w:eastAsia="仿宋"/>
          <w:b/>
          <w:color w:val="000000"/>
          <w:sz w:val="24"/>
          <w:szCs w:val="24"/>
          <w:highlight w:val="none"/>
        </w:rPr>
      </w:pPr>
    </w:p>
    <w:p w14:paraId="2CC320D6">
      <w:pPr>
        <w:pStyle w:val="156"/>
        <w:adjustRightInd w:val="0"/>
        <w:snapToGrid w:val="0"/>
        <w:spacing w:before="0" w:line="360" w:lineRule="auto"/>
        <w:ind w:firstLine="482" w:firstLineChars="200"/>
        <w:jc w:val="center"/>
        <w:rPr>
          <w:rFonts w:ascii="宋体" w:hAnsi="宋体" w:eastAsia="仿宋"/>
          <w:b/>
          <w:color w:val="000000"/>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C5D2E39">
      <w:pPr>
        <w:pStyle w:val="3"/>
        <w:rPr>
          <w:rStyle w:val="106"/>
          <w:rFonts w:hint="eastAsia" w:ascii="宋体" w:hAnsi="宋体" w:eastAsia="仿宋"/>
          <w:b/>
          <w:bCs/>
          <w:color w:val="000000"/>
          <w:sz w:val="24"/>
          <w:szCs w:val="24"/>
          <w:highlight w:val="none"/>
        </w:rPr>
      </w:pPr>
      <w:bookmarkStart w:id="786" w:name="_Toc324404867"/>
      <w:bookmarkStart w:id="787" w:name="_Toc417623587"/>
      <w:r>
        <w:rPr>
          <w:rStyle w:val="106"/>
          <w:rFonts w:hint="eastAsia" w:ascii="宋体" w:hAnsi="宋体" w:eastAsia="仿宋"/>
          <w:b/>
          <w:bCs/>
          <w:color w:val="000000"/>
          <w:sz w:val="24"/>
          <w:szCs w:val="24"/>
          <w:highlight w:val="none"/>
        </w:rPr>
        <w:t>1. 资格审查办法</w:t>
      </w:r>
      <w:bookmarkEnd w:id="786"/>
      <w:bookmarkEnd w:id="787"/>
    </w:p>
    <w:p w14:paraId="70747CD4">
      <w:pPr>
        <w:snapToGrid w:val="0"/>
        <w:spacing w:line="360" w:lineRule="auto"/>
        <w:ind w:firstLine="480" w:firstLineChars="200"/>
        <w:rPr>
          <w:rFonts w:hint="eastAsia" w:ascii="宋体" w:hAnsi="宋体" w:eastAsia="仿宋"/>
          <w:color w:val="000000"/>
          <w:sz w:val="24"/>
          <w:highlight w:val="none"/>
        </w:rPr>
      </w:pPr>
      <w:bookmarkStart w:id="788" w:name="_Hlk44246459"/>
      <w:r>
        <w:rPr>
          <w:rFonts w:hint="eastAsia" w:ascii="宋体" w:hAnsi="宋体" w:eastAsia="仿宋"/>
          <w:color w:val="000000"/>
          <w:sz w:val="24"/>
          <w:highlight w:val="none"/>
        </w:rPr>
        <w:t>公开招标采购项目开标结束后，采购人或者采购代理机构应当依法组建资格审查小组，按资格审查办法前附表中的审查标准对投标人的资格进行审查。符合本章第一节第2条规定审查标准的申请人均通过资格审查。</w:t>
      </w:r>
    </w:p>
    <w:bookmarkEnd w:id="788"/>
    <w:p w14:paraId="4C633CC7">
      <w:pPr>
        <w:pStyle w:val="3"/>
        <w:rPr>
          <w:rStyle w:val="106"/>
          <w:rFonts w:hint="eastAsia" w:ascii="宋体" w:hAnsi="宋体" w:eastAsia="仿宋"/>
          <w:b/>
          <w:bCs/>
          <w:color w:val="000000"/>
          <w:sz w:val="24"/>
          <w:szCs w:val="24"/>
          <w:highlight w:val="none"/>
        </w:rPr>
      </w:pPr>
      <w:r>
        <w:rPr>
          <w:rStyle w:val="106"/>
          <w:rFonts w:hint="eastAsia" w:ascii="宋体" w:hAnsi="宋体" w:eastAsia="仿宋"/>
          <w:b/>
          <w:bCs/>
          <w:color w:val="000000"/>
          <w:sz w:val="24"/>
          <w:szCs w:val="24"/>
          <w:highlight w:val="none"/>
        </w:rPr>
        <w:t>2. 资格审查标准</w:t>
      </w:r>
    </w:p>
    <w:p w14:paraId="6C284163">
      <w:pPr>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审查标准：见资格审查办法前附表。</w:t>
      </w:r>
    </w:p>
    <w:p w14:paraId="767A0966">
      <w:pPr>
        <w:pStyle w:val="3"/>
        <w:rPr>
          <w:rStyle w:val="106"/>
          <w:rFonts w:hint="eastAsia" w:ascii="宋体" w:hAnsi="宋体" w:eastAsia="仿宋"/>
          <w:b/>
          <w:bCs/>
          <w:color w:val="000000"/>
          <w:sz w:val="24"/>
          <w:szCs w:val="24"/>
          <w:highlight w:val="none"/>
        </w:rPr>
      </w:pPr>
      <w:r>
        <w:rPr>
          <w:rStyle w:val="106"/>
          <w:rFonts w:hint="eastAsia" w:ascii="宋体" w:hAnsi="宋体" w:eastAsia="仿宋"/>
          <w:b/>
          <w:bCs/>
          <w:color w:val="000000"/>
          <w:sz w:val="24"/>
          <w:szCs w:val="24"/>
          <w:highlight w:val="none"/>
        </w:rPr>
        <w:t>3. 资格审查程序</w:t>
      </w:r>
    </w:p>
    <w:p w14:paraId="511CD977">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3.1 资格审查</w:t>
      </w:r>
    </w:p>
    <w:p w14:paraId="58F2B570">
      <w:pPr>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3.1.1 资格审查小组按照规定的资格审查标准，对各投标人依次进行审查。有一项不符合审查标准的，资格审查不合格，其投标无效。</w:t>
      </w:r>
    </w:p>
    <w:p w14:paraId="3AC3BC9B">
      <w:pPr>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1.</w:t>
      </w:r>
      <w:r>
        <w:rPr>
          <w:rFonts w:ascii="宋体" w:hAnsi="宋体" w:eastAsia="仿宋"/>
          <w:color w:val="000000"/>
          <w:sz w:val="24"/>
          <w:highlight w:val="none"/>
        </w:rPr>
        <w:t>2</w:t>
      </w:r>
      <w:r>
        <w:rPr>
          <w:rFonts w:hint="eastAsia" w:ascii="宋体" w:hAnsi="宋体" w:eastAsia="仿宋"/>
          <w:color w:val="000000"/>
          <w:sz w:val="24"/>
          <w:highlight w:val="none"/>
        </w:rPr>
        <w:t xml:space="preserve"> </w:t>
      </w:r>
      <w:r>
        <w:rPr>
          <w:rFonts w:ascii="宋体" w:hAnsi="宋体" w:eastAsia="仿宋"/>
          <w:color w:val="000000"/>
          <w:sz w:val="24"/>
          <w:highlight w:val="none"/>
        </w:rPr>
        <w:t>投标人有以下情形之一的，</w:t>
      </w:r>
      <w:r>
        <w:rPr>
          <w:rFonts w:hint="eastAsia" w:ascii="宋体" w:hAnsi="宋体" w:eastAsia="仿宋"/>
          <w:color w:val="000000"/>
          <w:sz w:val="24"/>
          <w:highlight w:val="none"/>
        </w:rPr>
        <w:t>资格审查不合格，其投标无效</w:t>
      </w:r>
      <w:r>
        <w:rPr>
          <w:rFonts w:ascii="宋体" w:hAnsi="宋体" w:eastAsia="仿宋"/>
          <w:color w:val="000000"/>
          <w:sz w:val="24"/>
          <w:highlight w:val="none"/>
        </w:rPr>
        <w:t>：</w:t>
      </w:r>
    </w:p>
    <w:p w14:paraId="32C18907">
      <w:pPr>
        <w:snapToGrid w:val="0"/>
        <w:spacing w:line="360" w:lineRule="auto"/>
        <w:ind w:firstLine="480" w:firstLineChars="200"/>
        <w:rPr>
          <w:rFonts w:hint="eastAsia" w:ascii="宋体" w:hAnsi="宋体" w:eastAsia="仿宋"/>
          <w:color w:val="000000"/>
          <w:sz w:val="24"/>
          <w:highlight w:val="none"/>
        </w:rPr>
      </w:pPr>
      <w:r>
        <w:rPr>
          <w:rFonts w:ascii="宋体" w:hAnsi="宋体" w:eastAsia="仿宋"/>
          <w:color w:val="000000"/>
          <w:sz w:val="24"/>
          <w:highlight w:val="none"/>
        </w:rPr>
        <w:t>（</w:t>
      </w:r>
      <w:r>
        <w:rPr>
          <w:rFonts w:hint="eastAsia" w:ascii="宋体" w:hAnsi="宋体" w:eastAsia="仿宋"/>
          <w:color w:val="000000"/>
          <w:sz w:val="24"/>
          <w:highlight w:val="none"/>
        </w:rPr>
        <w:t>1</w:t>
      </w:r>
      <w:r>
        <w:rPr>
          <w:rFonts w:ascii="宋体" w:hAnsi="宋体" w:eastAsia="仿宋"/>
          <w:color w:val="000000"/>
          <w:sz w:val="24"/>
          <w:highlight w:val="none"/>
        </w:rPr>
        <w:t>）有弄虚作假、</w:t>
      </w:r>
      <w:r>
        <w:rPr>
          <w:rFonts w:hint="eastAsia" w:ascii="宋体" w:hAnsi="宋体" w:eastAsia="仿宋"/>
          <w:color w:val="000000"/>
          <w:sz w:val="24"/>
          <w:highlight w:val="none"/>
        </w:rPr>
        <w:t>向资格审查小组</w:t>
      </w:r>
      <w:r>
        <w:rPr>
          <w:rFonts w:ascii="宋体" w:hAnsi="宋体" w:eastAsia="仿宋"/>
          <w:color w:val="000000"/>
          <w:sz w:val="24"/>
          <w:highlight w:val="none"/>
        </w:rPr>
        <w:t>行贿等违法行为</w:t>
      </w:r>
      <w:r>
        <w:rPr>
          <w:rFonts w:hint="eastAsia" w:ascii="宋体" w:hAnsi="宋体" w:eastAsia="仿宋"/>
          <w:color w:val="000000"/>
          <w:sz w:val="24"/>
          <w:highlight w:val="none"/>
        </w:rPr>
        <w:t>；</w:t>
      </w:r>
    </w:p>
    <w:p w14:paraId="15FC149A">
      <w:pPr>
        <w:snapToGrid w:val="0"/>
        <w:spacing w:line="360" w:lineRule="auto"/>
        <w:ind w:firstLine="480" w:firstLineChars="200"/>
        <w:rPr>
          <w:rFonts w:ascii="宋体" w:hAnsi="宋体" w:eastAsia="仿宋"/>
          <w:color w:val="000000"/>
          <w:sz w:val="24"/>
          <w:highlight w:val="none"/>
        </w:rPr>
      </w:pPr>
      <w:r>
        <w:rPr>
          <w:rFonts w:hint="eastAsia" w:ascii="宋体" w:hAnsi="宋体" w:eastAsia="仿宋"/>
          <w:color w:val="000000"/>
          <w:sz w:val="24"/>
          <w:highlight w:val="none"/>
        </w:rPr>
        <w:t>（2）不按照资格审查小组要求澄清、补正的</w:t>
      </w:r>
      <w:r>
        <w:rPr>
          <w:rFonts w:ascii="宋体" w:hAnsi="宋体" w:eastAsia="仿宋"/>
          <w:color w:val="000000"/>
          <w:sz w:val="24"/>
          <w:highlight w:val="none"/>
        </w:rPr>
        <w:t>。</w:t>
      </w:r>
    </w:p>
    <w:p w14:paraId="15A11E2B">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3.2 投标文件澄清</w:t>
      </w:r>
    </w:p>
    <w:p w14:paraId="3E851F68">
      <w:pPr>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2</w:t>
      </w:r>
      <w:r>
        <w:rPr>
          <w:rFonts w:ascii="宋体" w:hAnsi="宋体" w:eastAsia="仿宋"/>
          <w:color w:val="000000"/>
          <w:sz w:val="24"/>
          <w:highlight w:val="none"/>
        </w:rPr>
        <w:t>.1</w:t>
      </w:r>
      <w:r>
        <w:rPr>
          <w:rFonts w:hint="eastAsia" w:ascii="宋体" w:hAnsi="宋体" w:eastAsia="仿宋"/>
          <w:color w:val="000000"/>
          <w:sz w:val="24"/>
          <w:highlight w:val="none"/>
        </w:rPr>
        <w:t xml:space="preserve"> </w:t>
      </w:r>
      <w:r>
        <w:rPr>
          <w:rFonts w:ascii="宋体" w:hAnsi="宋体" w:eastAsia="仿宋"/>
          <w:color w:val="000000"/>
          <w:sz w:val="24"/>
          <w:highlight w:val="none"/>
        </w:rPr>
        <w:t>在</w:t>
      </w:r>
      <w:r>
        <w:rPr>
          <w:rFonts w:hint="eastAsia" w:ascii="宋体" w:hAnsi="宋体" w:eastAsia="仿宋"/>
          <w:color w:val="000000"/>
          <w:sz w:val="24"/>
          <w:highlight w:val="none"/>
        </w:rPr>
        <w:t>资格审查</w:t>
      </w:r>
      <w:r>
        <w:rPr>
          <w:rFonts w:ascii="宋体" w:hAnsi="宋体" w:eastAsia="仿宋"/>
          <w:color w:val="000000"/>
          <w:sz w:val="24"/>
          <w:highlight w:val="none"/>
        </w:rPr>
        <w:t>过程中，</w:t>
      </w:r>
      <w:r>
        <w:rPr>
          <w:rFonts w:hint="eastAsia" w:ascii="宋体" w:hAnsi="宋体" w:eastAsia="仿宋"/>
          <w:color w:val="000000"/>
          <w:sz w:val="24"/>
          <w:highlight w:val="none"/>
        </w:rPr>
        <w:t>资格审查小组</w:t>
      </w:r>
      <w:r>
        <w:rPr>
          <w:rFonts w:ascii="宋体" w:hAnsi="宋体" w:eastAsia="仿宋"/>
          <w:color w:val="000000"/>
          <w:sz w:val="24"/>
          <w:highlight w:val="none"/>
        </w:rPr>
        <w:t>可以书面形式要求投标人对投标文件中含义不明确、对同类问题表述不一致或者有明显文字错误的内容作必要的澄清、说明或补正。澄清、说明或补正应以书面方式进行。</w:t>
      </w:r>
      <w:r>
        <w:rPr>
          <w:rFonts w:hint="eastAsia" w:ascii="宋体" w:hAnsi="宋体" w:eastAsia="仿宋"/>
          <w:color w:val="000000"/>
          <w:sz w:val="24"/>
          <w:highlight w:val="none"/>
        </w:rPr>
        <w:t>资格审查小组</w:t>
      </w:r>
      <w:r>
        <w:rPr>
          <w:rFonts w:ascii="宋体" w:hAnsi="宋体" w:eastAsia="仿宋"/>
          <w:color w:val="000000"/>
          <w:sz w:val="24"/>
          <w:highlight w:val="none"/>
        </w:rPr>
        <w:t>不接受投标人主动提出的澄清、说明或补正。</w:t>
      </w:r>
    </w:p>
    <w:p w14:paraId="626597E7">
      <w:pPr>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2</w:t>
      </w:r>
      <w:r>
        <w:rPr>
          <w:rFonts w:ascii="宋体" w:hAnsi="宋体" w:eastAsia="仿宋"/>
          <w:color w:val="000000"/>
          <w:sz w:val="24"/>
          <w:highlight w:val="none"/>
        </w:rPr>
        <w:t>.2</w:t>
      </w:r>
      <w:r>
        <w:rPr>
          <w:rFonts w:hint="eastAsia" w:ascii="宋体" w:hAnsi="宋体" w:eastAsia="仿宋"/>
          <w:color w:val="000000"/>
          <w:sz w:val="24"/>
          <w:highlight w:val="none"/>
        </w:rPr>
        <w:t xml:space="preserve"> </w:t>
      </w:r>
      <w:r>
        <w:rPr>
          <w:rFonts w:ascii="宋体" w:hAnsi="宋体" w:eastAsia="仿宋"/>
          <w:color w:val="000000"/>
          <w:sz w:val="24"/>
          <w:highlight w:val="none"/>
        </w:rPr>
        <w:t>澄清、说明或补正不得超出投标文件的范围且不得改变投标文件的实质性内容，并构成投标文件的组成部分。</w:t>
      </w:r>
    </w:p>
    <w:p w14:paraId="5880A896">
      <w:pPr>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2</w:t>
      </w:r>
      <w:r>
        <w:rPr>
          <w:rFonts w:ascii="宋体" w:hAnsi="宋体" w:eastAsia="仿宋"/>
          <w:color w:val="000000"/>
          <w:sz w:val="24"/>
          <w:highlight w:val="none"/>
        </w:rPr>
        <w:t>.3</w:t>
      </w:r>
      <w:r>
        <w:rPr>
          <w:rFonts w:hint="eastAsia" w:ascii="宋体" w:hAnsi="宋体" w:eastAsia="仿宋"/>
          <w:color w:val="000000"/>
          <w:sz w:val="24"/>
          <w:highlight w:val="none"/>
        </w:rPr>
        <w:t xml:space="preserve"> 资格审查小组</w:t>
      </w:r>
      <w:r>
        <w:rPr>
          <w:rFonts w:ascii="宋体" w:hAnsi="宋体" w:eastAsia="仿宋"/>
          <w:color w:val="000000"/>
          <w:sz w:val="24"/>
          <w:highlight w:val="none"/>
        </w:rPr>
        <w:t>对投标人提交的澄清、说明或补正有疑问的，可以要求投标人进一步澄清、说明或补正，直至满足</w:t>
      </w:r>
      <w:r>
        <w:rPr>
          <w:rFonts w:hint="eastAsia" w:ascii="宋体" w:hAnsi="宋体" w:eastAsia="仿宋"/>
          <w:color w:val="000000"/>
          <w:sz w:val="24"/>
          <w:highlight w:val="none"/>
        </w:rPr>
        <w:t>资格审查小组</w:t>
      </w:r>
      <w:r>
        <w:rPr>
          <w:rFonts w:ascii="宋体" w:hAnsi="宋体" w:eastAsia="仿宋"/>
          <w:color w:val="000000"/>
          <w:sz w:val="24"/>
          <w:highlight w:val="none"/>
        </w:rPr>
        <w:t>的要求。</w:t>
      </w:r>
    </w:p>
    <w:p w14:paraId="2C55AD0C">
      <w:pPr>
        <w:pStyle w:val="4"/>
        <w:adjustRightInd w:val="0"/>
        <w:ind w:firstLine="482" w:firstLineChars="200"/>
        <w:rPr>
          <w:rFonts w:hint="eastAsia" w:eastAsia="仿宋"/>
          <w:color w:val="000000"/>
          <w:sz w:val="24"/>
          <w:highlight w:val="none"/>
          <w:lang w:eastAsia="zh-CN"/>
        </w:rPr>
      </w:pPr>
      <w:r>
        <w:rPr>
          <w:rFonts w:hint="eastAsia" w:eastAsia="仿宋"/>
          <w:color w:val="000000"/>
          <w:sz w:val="24"/>
          <w:highlight w:val="none"/>
          <w:lang w:eastAsia="zh-CN"/>
        </w:rPr>
        <w:t>3.3 资格审查结果</w:t>
      </w:r>
    </w:p>
    <w:p w14:paraId="55DEADB9">
      <w:pPr>
        <w:snapToGrid w:val="0"/>
        <w:spacing w:line="360" w:lineRule="auto"/>
        <w:ind w:firstLine="480" w:firstLineChars="200"/>
        <w:rPr>
          <w:rFonts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3</w:t>
      </w:r>
      <w:r>
        <w:rPr>
          <w:rFonts w:ascii="宋体" w:hAnsi="宋体" w:eastAsia="仿宋"/>
          <w:color w:val="000000"/>
          <w:sz w:val="24"/>
          <w:highlight w:val="none"/>
        </w:rPr>
        <w:t>.1</w:t>
      </w:r>
      <w:r>
        <w:rPr>
          <w:rFonts w:hint="eastAsia" w:ascii="宋体" w:hAnsi="宋体" w:eastAsia="仿宋"/>
          <w:color w:val="000000"/>
          <w:sz w:val="24"/>
          <w:highlight w:val="none"/>
        </w:rPr>
        <w:t xml:space="preserve"> 资格审查完成后，资格审查小组应当出具各投标人资格审查结果的书面意见</w:t>
      </w:r>
      <w:r>
        <w:rPr>
          <w:rFonts w:ascii="宋体" w:hAnsi="宋体" w:eastAsia="仿宋"/>
          <w:color w:val="000000"/>
          <w:sz w:val="24"/>
          <w:highlight w:val="none"/>
        </w:rPr>
        <w:t>。</w:t>
      </w:r>
    </w:p>
    <w:p w14:paraId="450A90AD">
      <w:pPr>
        <w:snapToGrid w:val="0"/>
        <w:spacing w:line="360" w:lineRule="auto"/>
        <w:ind w:firstLine="480" w:firstLineChars="200"/>
        <w:rPr>
          <w:rFonts w:hint="eastAsia" w:ascii="宋体" w:hAnsi="宋体" w:eastAsia="仿宋"/>
          <w:color w:val="000000"/>
          <w:sz w:val="24"/>
          <w:highlight w:val="none"/>
        </w:rPr>
      </w:pPr>
      <w:r>
        <w:rPr>
          <w:rFonts w:ascii="宋体" w:hAnsi="宋体" w:eastAsia="仿宋"/>
          <w:color w:val="000000"/>
          <w:sz w:val="24"/>
          <w:highlight w:val="none"/>
        </w:rPr>
        <w:t>3.</w:t>
      </w:r>
      <w:r>
        <w:rPr>
          <w:rFonts w:hint="eastAsia" w:ascii="宋体" w:hAnsi="宋体" w:eastAsia="仿宋"/>
          <w:color w:val="000000"/>
          <w:sz w:val="24"/>
          <w:highlight w:val="none"/>
        </w:rPr>
        <w:t>3</w:t>
      </w:r>
      <w:r>
        <w:rPr>
          <w:rFonts w:ascii="宋体" w:hAnsi="宋体" w:eastAsia="仿宋"/>
          <w:color w:val="000000"/>
          <w:sz w:val="24"/>
          <w:highlight w:val="none"/>
        </w:rPr>
        <w:t>.2</w:t>
      </w:r>
      <w:r>
        <w:rPr>
          <w:rFonts w:hint="eastAsia" w:ascii="宋体" w:hAnsi="宋体" w:eastAsia="仿宋"/>
          <w:color w:val="000000"/>
          <w:sz w:val="24"/>
          <w:highlight w:val="none"/>
        </w:rPr>
        <w:t xml:space="preserve"> 只有通过资格审查的投标人才能进入下一步的评标程序</w:t>
      </w:r>
      <w:r>
        <w:rPr>
          <w:rFonts w:ascii="宋体" w:hAnsi="宋体" w:eastAsia="仿宋"/>
          <w:color w:val="000000"/>
          <w:sz w:val="24"/>
          <w:highlight w:val="none"/>
        </w:rPr>
        <w:t>。</w:t>
      </w:r>
    </w:p>
    <w:p w14:paraId="44C88A72">
      <w:pPr>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3.3.3 合格投标人不足3家的，按废标处理。</w:t>
      </w:r>
    </w:p>
    <w:p w14:paraId="3008DF3E">
      <w:pPr>
        <w:pStyle w:val="156"/>
        <w:adjustRightInd w:val="0"/>
        <w:snapToGrid w:val="0"/>
        <w:spacing w:before="0" w:line="360" w:lineRule="auto"/>
        <w:ind w:firstLine="482" w:firstLineChars="200"/>
        <w:jc w:val="center"/>
        <w:rPr>
          <w:rFonts w:hint="eastAsia" w:ascii="宋体" w:hAnsi="宋体" w:eastAsia="仿宋"/>
          <w:b/>
          <w:color w:val="000000"/>
          <w:sz w:val="24"/>
          <w:szCs w:val="24"/>
          <w:highlight w:val="none"/>
        </w:rPr>
      </w:pPr>
    </w:p>
    <w:p w14:paraId="5D713862">
      <w:pPr>
        <w:pStyle w:val="156"/>
        <w:adjustRightInd w:val="0"/>
        <w:snapToGrid w:val="0"/>
        <w:spacing w:before="0" w:line="360" w:lineRule="auto"/>
        <w:ind w:firstLine="482" w:firstLineChars="200"/>
        <w:jc w:val="center"/>
        <w:rPr>
          <w:rFonts w:ascii="宋体" w:hAnsi="宋体" w:eastAsia="仿宋"/>
          <w:b/>
          <w:color w:val="000000"/>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C78BD51">
      <w:pPr>
        <w:pStyle w:val="3"/>
        <w:jc w:val="center"/>
        <w:rPr>
          <w:rFonts w:hint="eastAsia" w:eastAsia="仿宋"/>
          <w:color w:val="000000"/>
          <w:highlight w:val="none"/>
        </w:rPr>
      </w:pPr>
      <w:r>
        <w:rPr>
          <w:rFonts w:hint="eastAsia" w:eastAsia="仿宋"/>
          <w:color w:val="000000"/>
          <w:highlight w:val="none"/>
        </w:rPr>
        <w:t>第二节  评标办法</w:t>
      </w:r>
    </w:p>
    <w:p w14:paraId="3EC8D33A">
      <w:pPr>
        <w:pStyle w:val="156"/>
        <w:adjustRightInd w:val="0"/>
        <w:snapToGrid w:val="0"/>
        <w:spacing w:before="0" w:line="360" w:lineRule="auto"/>
        <w:ind w:firstLine="562" w:firstLineChars="200"/>
        <w:jc w:val="center"/>
        <w:rPr>
          <w:rFonts w:hint="eastAsia" w:ascii="宋体" w:hAnsi="宋体" w:eastAsia="仿宋"/>
          <w:b/>
          <w:color w:val="000000"/>
          <w:highlight w:val="none"/>
        </w:rPr>
      </w:pPr>
      <w:r>
        <w:rPr>
          <w:rFonts w:hint="eastAsia" w:ascii="宋体" w:hAnsi="宋体" w:eastAsia="仿宋"/>
          <w:b/>
          <w:color w:val="000000"/>
          <w:highlight w:val="none"/>
        </w:rPr>
        <w:t>评标办法前附表</w:t>
      </w:r>
    </w:p>
    <w:p w14:paraId="3970D907">
      <w:pPr>
        <w:widowControl/>
        <w:adjustRightInd w:val="0"/>
        <w:snapToGrid w:val="0"/>
        <w:spacing w:before="240" w:beforeLines="100" w:after="120" w:afterLines="50" w:line="360" w:lineRule="auto"/>
        <w:ind w:firstLine="482" w:firstLineChars="200"/>
        <w:rPr>
          <w:rFonts w:hint="eastAsia" w:ascii="宋体" w:hAnsi="宋体" w:eastAsia="仿宋"/>
          <w:b/>
          <w:color w:val="000000"/>
          <w:sz w:val="28"/>
          <w:szCs w:val="28"/>
          <w:highlight w:val="none"/>
        </w:rPr>
      </w:pPr>
      <w:r>
        <w:rPr>
          <w:rFonts w:hint="eastAsia" w:ascii="宋体" w:hAnsi="宋体" w:eastAsia="仿宋"/>
          <w:b/>
          <w:bCs/>
          <w:color w:val="000000"/>
          <w:sz w:val="24"/>
          <w:highlight w:val="none"/>
        </w:rPr>
        <w:t>本《评标办法前附表》是对本节《评标办法》的具体补充和修改，如有不一致，以本《评标办法前附表》为准。</w:t>
      </w:r>
    </w:p>
    <w:p w14:paraId="0825AA8B">
      <w:pPr>
        <w:pStyle w:val="156"/>
        <w:adjustRightInd w:val="0"/>
        <w:snapToGrid w:val="0"/>
        <w:spacing w:before="0" w:line="360" w:lineRule="auto"/>
        <w:ind w:firstLine="482" w:firstLineChars="200"/>
        <w:rPr>
          <w:rFonts w:hint="eastAsia" w:ascii="楷体_GB2312" w:hAnsi="宋体" w:eastAsia="楷体_GB2312"/>
          <w:b/>
          <w:i/>
          <w:color w:val="000000"/>
          <w:sz w:val="24"/>
          <w:szCs w:val="24"/>
          <w:highlight w:val="none"/>
        </w:rPr>
      </w:pPr>
      <w:r>
        <w:rPr>
          <w:rFonts w:hint="eastAsia" w:ascii="宋体" w:hAnsi="宋体" w:eastAsia="仿宋"/>
          <w:b/>
          <w:color w:val="000000"/>
          <w:sz w:val="24"/>
          <w:szCs w:val="24"/>
          <w:highlight w:val="none"/>
        </w:rPr>
        <w:t>1. 符合性审查表</w:t>
      </w:r>
    </w:p>
    <w:tbl>
      <w:tblPr>
        <w:tblStyle w:val="47"/>
        <w:tblW w:w="925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1843"/>
        <w:gridCol w:w="6533"/>
      </w:tblGrid>
      <w:tr w14:paraId="270C8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noWrap w:val="0"/>
            <w:vAlign w:val="center"/>
          </w:tcPr>
          <w:p w14:paraId="0C001107">
            <w:pPr>
              <w:widowControl/>
              <w:jc w:val="center"/>
              <w:rPr>
                <w:rFonts w:hint="eastAsia" w:ascii="宋体" w:hAnsi="宋体"/>
                <w:b/>
                <w:color w:val="000000"/>
                <w:kern w:val="0"/>
                <w:sz w:val="24"/>
                <w:highlight w:val="none"/>
              </w:rPr>
            </w:pPr>
            <w:r>
              <w:rPr>
                <w:rFonts w:hint="eastAsia" w:ascii="宋体" w:hAnsi="宋体" w:eastAsia="仿宋"/>
                <w:b/>
                <w:color w:val="000000"/>
                <w:kern w:val="0"/>
                <w:sz w:val="24"/>
                <w:highlight w:val="none"/>
              </w:rPr>
              <w:t>条款号</w:t>
            </w:r>
          </w:p>
        </w:tc>
        <w:tc>
          <w:tcPr>
            <w:tcW w:w="1843" w:type="dxa"/>
            <w:noWrap w:val="0"/>
            <w:vAlign w:val="center"/>
          </w:tcPr>
          <w:p w14:paraId="068611DF">
            <w:pPr>
              <w:widowControl/>
              <w:jc w:val="center"/>
              <w:rPr>
                <w:rFonts w:ascii="宋体" w:hAnsi="宋体"/>
                <w:b/>
                <w:color w:val="000000"/>
                <w:kern w:val="0"/>
                <w:sz w:val="24"/>
                <w:highlight w:val="none"/>
              </w:rPr>
            </w:pPr>
            <w:r>
              <w:rPr>
                <w:rFonts w:hint="eastAsia" w:ascii="宋体" w:hAnsi="宋体" w:eastAsia="仿宋"/>
                <w:b/>
                <w:color w:val="000000"/>
                <w:kern w:val="0"/>
                <w:sz w:val="24"/>
                <w:highlight w:val="none"/>
              </w:rPr>
              <w:t>审查因素</w:t>
            </w:r>
          </w:p>
        </w:tc>
        <w:tc>
          <w:tcPr>
            <w:tcW w:w="6533" w:type="dxa"/>
            <w:noWrap w:val="0"/>
            <w:vAlign w:val="center"/>
          </w:tcPr>
          <w:p w14:paraId="3D9B9AE9">
            <w:pPr>
              <w:widowControl/>
              <w:jc w:val="center"/>
              <w:rPr>
                <w:rFonts w:ascii="宋体" w:hAnsi="宋体"/>
                <w:b/>
                <w:color w:val="000000"/>
                <w:kern w:val="0"/>
                <w:sz w:val="24"/>
                <w:highlight w:val="none"/>
              </w:rPr>
            </w:pPr>
            <w:r>
              <w:rPr>
                <w:rFonts w:hint="eastAsia" w:ascii="宋体" w:hAnsi="宋体" w:eastAsia="仿宋"/>
                <w:b/>
                <w:color w:val="000000"/>
                <w:kern w:val="0"/>
                <w:sz w:val="24"/>
                <w:highlight w:val="none"/>
              </w:rPr>
              <w:t>审查标准</w:t>
            </w:r>
          </w:p>
        </w:tc>
      </w:tr>
      <w:tr w14:paraId="1A5C6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restart"/>
            <w:noWrap w:val="0"/>
            <w:vAlign w:val="center"/>
          </w:tcPr>
          <w:p w14:paraId="69C892BF">
            <w:pPr>
              <w:widowControl/>
              <w:jc w:val="center"/>
              <w:rPr>
                <w:rFonts w:ascii="宋体" w:hAnsi="宋体" w:eastAsia="仿宋"/>
                <w:color w:val="000000"/>
                <w:kern w:val="0"/>
                <w:sz w:val="24"/>
                <w:highlight w:val="none"/>
              </w:rPr>
            </w:pPr>
            <w:r>
              <w:rPr>
                <w:rFonts w:hint="eastAsia" w:ascii="宋体" w:hAnsi="宋体" w:eastAsia="仿宋"/>
                <w:color w:val="000000"/>
                <w:kern w:val="0"/>
                <w:sz w:val="24"/>
                <w:highlight w:val="none"/>
              </w:rPr>
              <w:t>3.1.2</w:t>
            </w:r>
          </w:p>
        </w:tc>
        <w:tc>
          <w:tcPr>
            <w:tcW w:w="1843" w:type="dxa"/>
            <w:noWrap w:val="0"/>
            <w:vAlign w:val="center"/>
          </w:tcPr>
          <w:p w14:paraId="5AF66ADF">
            <w:pPr>
              <w:widowControl/>
              <w:jc w:val="left"/>
              <w:rPr>
                <w:rFonts w:ascii="宋体" w:hAnsi="宋体"/>
                <w:color w:val="000000"/>
                <w:kern w:val="0"/>
                <w:sz w:val="24"/>
                <w:highlight w:val="none"/>
              </w:rPr>
            </w:pPr>
            <w:r>
              <w:rPr>
                <w:rFonts w:hint="eastAsia" w:ascii="宋体" w:hAnsi="宋体" w:eastAsia="仿宋"/>
                <w:color w:val="000000"/>
                <w:kern w:val="0"/>
                <w:sz w:val="24"/>
                <w:highlight w:val="none"/>
              </w:rPr>
              <w:t>投标人名称</w:t>
            </w:r>
          </w:p>
        </w:tc>
        <w:tc>
          <w:tcPr>
            <w:tcW w:w="6533" w:type="dxa"/>
            <w:noWrap w:val="0"/>
            <w:vAlign w:val="center"/>
          </w:tcPr>
          <w:p w14:paraId="6C6BB03D">
            <w:pPr>
              <w:widowControl/>
              <w:jc w:val="left"/>
              <w:rPr>
                <w:rFonts w:ascii="宋体" w:hAnsi="宋体"/>
                <w:color w:val="000000"/>
                <w:kern w:val="0"/>
                <w:sz w:val="24"/>
                <w:highlight w:val="none"/>
              </w:rPr>
            </w:pPr>
            <w:r>
              <w:rPr>
                <w:rFonts w:hint="eastAsia" w:ascii="宋体" w:hAnsi="宋体" w:eastAsia="仿宋"/>
                <w:color w:val="000000"/>
                <w:kern w:val="0"/>
                <w:sz w:val="24"/>
                <w:highlight w:val="none"/>
              </w:rPr>
              <w:t>与营业执照（或事业单位法人证书等证明材料）一致</w:t>
            </w:r>
          </w:p>
        </w:tc>
      </w:tr>
      <w:tr w14:paraId="6F381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center"/>
          </w:tcPr>
          <w:p w14:paraId="28728948">
            <w:pPr>
              <w:widowControl/>
              <w:jc w:val="center"/>
              <w:rPr>
                <w:rFonts w:hint="eastAsia" w:ascii="宋体" w:hAnsi="宋体"/>
                <w:color w:val="000000"/>
                <w:kern w:val="0"/>
                <w:sz w:val="24"/>
                <w:highlight w:val="none"/>
              </w:rPr>
            </w:pPr>
          </w:p>
        </w:tc>
        <w:tc>
          <w:tcPr>
            <w:tcW w:w="1843" w:type="dxa"/>
            <w:noWrap w:val="0"/>
            <w:vAlign w:val="center"/>
          </w:tcPr>
          <w:p w14:paraId="1979BF55">
            <w:pPr>
              <w:widowControl/>
              <w:jc w:val="left"/>
              <w:rPr>
                <w:rFonts w:ascii="宋体" w:hAnsi="宋体"/>
                <w:color w:val="000000"/>
                <w:kern w:val="0"/>
                <w:sz w:val="24"/>
                <w:highlight w:val="none"/>
              </w:rPr>
            </w:pPr>
            <w:r>
              <w:rPr>
                <w:rFonts w:hint="eastAsia" w:ascii="宋体" w:hAnsi="宋体" w:eastAsia="仿宋"/>
                <w:color w:val="000000"/>
                <w:kern w:val="0"/>
                <w:sz w:val="24"/>
                <w:highlight w:val="none"/>
              </w:rPr>
              <w:t>投标文件签署</w:t>
            </w:r>
          </w:p>
        </w:tc>
        <w:tc>
          <w:tcPr>
            <w:tcW w:w="6533" w:type="dxa"/>
            <w:noWrap w:val="0"/>
            <w:vAlign w:val="center"/>
          </w:tcPr>
          <w:p w14:paraId="43A93A3E">
            <w:pPr>
              <w:widowControl/>
              <w:jc w:val="left"/>
              <w:rPr>
                <w:rFonts w:ascii="宋体" w:hAnsi="宋体"/>
                <w:color w:val="000000"/>
                <w:kern w:val="0"/>
                <w:sz w:val="24"/>
                <w:highlight w:val="none"/>
              </w:rPr>
            </w:pPr>
            <w:r>
              <w:rPr>
                <w:rFonts w:hint="eastAsia" w:ascii="宋体" w:hAnsi="宋体" w:eastAsia="仿宋"/>
                <w:color w:val="000000"/>
                <w:kern w:val="0"/>
                <w:sz w:val="24"/>
                <w:highlight w:val="none"/>
              </w:rPr>
              <w:t>投标文件签字盖章符合招标文件规定</w:t>
            </w:r>
          </w:p>
        </w:tc>
      </w:tr>
      <w:tr w14:paraId="7D8B8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center"/>
          </w:tcPr>
          <w:p w14:paraId="743CB4CA">
            <w:pPr>
              <w:widowControl/>
              <w:jc w:val="center"/>
              <w:rPr>
                <w:rFonts w:hint="eastAsia" w:ascii="宋体" w:hAnsi="宋体"/>
                <w:color w:val="000000"/>
                <w:kern w:val="0"/>
                <w:sz w:val="24"/>
                <w:highlight w:val="none"/>
              </w:rPr>
            </w:pPr>
          </w:p>
        </w:tc>
        <w:tc>
          <w:tcPr>
            <w:tcW w:w="1843" w:type="dxa"/>
            <w:noWrap w:val="0"/>
            <w:vAlign w:val="center"/>
          </w:tcPr>
          <w:p w14:paraId="1A9ABCE3">
            <w:pPr>
              <w:spacing w:line="240" w:lineRule="exact"/>
              <w:rPr>
                <w:rFonts w:hint="eastAsia" w:ascii="宋体" w:hAnsi="宋体"/>
                <w:color w:val="000000"/>
                <w:sz w:val="24"/>
                <w:highlight w:val="none"/>
              </w:rPr>
            </w:pPr>
            <w:r>
              <w:rPr>
                <w:rFonts w:hint="eastAsia" w:ascii="宋体" w:hAnsi="宋体" w:eastAsia="仿宋"/>
                <w:color w:val="000000"/>
                <w:sz w:val="24"/>
                <w:highlight w:val="none"/>
              </w:rPr>
              <w:t>法定代表人（单位负责人）身份证明及授权委托书</w:t>
            </w:r>
          </w:p>
        </w:tc>
        <w:tc>
          <w:tcPr>
            <w:tcW w:w="6533" w:type="dxa"/>
            <w:noWrap w:val="0"/>
            <w:vAlign w:val="center"/>
          </w:tcPr>
          <w:p w14:paraId="7D745488">
            <w:pPr>
              <w:spacing w:line="240" w:lineRule="exact"/>
              <w:rPr>
                <w:rFonts w:hint="eastAsia" w:ascii="宋体" w:hAnsi="宋体"/>
                <w:color w:val="000000"/>
                <w:sz w:val="24"/>
                <w:highlight w:val="none"/>
              </w:rPr>
            </w:pPr>
            <w:r>
              <w:rPr>
                <w:rFonts w:hint="eastAsia" w:ascii="宋体" w:hAnsi="宋体" w:eastAsia="仿宋"/>
                <w:color w:val="000000"/>
                <w:sz w:val="24"/>
                <w:highlight w:val="none"/>
              </w:rPr>
              <w:t>法定代表人（单位负责人）身份证明及授权委托书符合招标文件规定的格式，按规定格式签字盖章</w:t>
            </w:r>
          </w:p>
        </w:tc>
      </w:tr>
      <w:tr w14:paraId="36B1E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center"/>
          </w:tcPr>
          <w:p w14:paraId="38854223">
            <w:pPr>
              <w:widowControl/>
              <w:jc w:val="center"/>
              <w:rPr>
                <w:rFonts w:hint="eastAsia" w:ascii="宋体" w:hAnsi="宋体"/>
                <w:color w:val="000000"/>
                <w:kern w:val="0"/>
                <w:sz w:val="24"/>
                <w:highlight w:val="none"/>
              </w:rPr>
            </w:pPr>
          </w:p>
        </w:tc>
        <w:tc>
          <w:tcPr>
            <w:tcW w:w="1843" w:type="dxa"/>
            <w:noWrap w:val="0"/>
            <w:vAlign w:val="center"/>
          </w:tcPr>
          <w:p w14:paraId="24583E8D">
            <w:pPr>
              <w:widowControl/>
              <w:jc w:val="left"/>
              <w:rPr>
                <w:rFonts w:ascii="宋体" w:hAnsi="宋体"/>
                <w:color w:val="000000"/>
                <w:kern w:val="0"/>
                <w:sz w:val="24"/>
                <w:highlight w:val="none"/>
              </w:rPr>
            </w:pPr>
            <w:r>
              <w:rPr>
                <w:rFonts w:hint="eastAsia" w:ascii="宋体" w:hAnsi="宋体" w:eastAsia="仿宋"/>
                <w:color w:val="000000"/>
                <w:kern w:val="0"/>
                <w:sz w:val="24"/>
                <w:highlight w:val="none"/>
              </w:rPr>
              <w:t>投标文件格式</w:t>
            </w:r>
          </w:p>
        </w:tc>
        <w:tc>
          <w:tcPr>
            <w:tcW w:w="6533" w:type="dxa"/>
            <w:noWrap w:val="0"/>
            <w:vAlign w:val="center"/>
          </w:tcPr>
          <w:p w14:paraId="6594297F">
            <w:pPr>
              <w:widowControl/>
              <w:jc w:val="left"/>
              <w:rPr>
                <w:rFonts w:ascii="宋体" w:hAnsi="宋体"/>
                <w:color w:val="000000"/>
                <w:kern w:val="0"/>
                <w:sz w:val="24"/>
                <w:highlight w:val="none"/>
              </w:rPr>
            </w:pPr>
            <w:r>
              <w:rPr>
                <w:rFonts w:hint="eastAsia" w:ascii="宋体" w:hAnsi="宋体" w:eastAsia="仿宋"/>
                <w:color w:val="000000"/>
                <w:kern w:val="0"/>
                <w:sz w:val="24"/>
                <w:highlight w:val="none"/>
              </w:rPr>
              <w:t>符合招标文件给定格式要求，实质性内容齐全，关键内容、字迹清晰可辨</w:t>
            </w:r>
          </w:p>
        </w:tc>
      </w:tr>
      <w:tr w14:paraId="13E75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center"/>
          </w:tcPr>
          <w:p w14:paraId="76F6C1A3">
            <w:pPr>
              <w:widowControl/>
              <w:jc w:val="center"/>
              <w:rPr>
                <w:rFonts w:hint="eastAsia" w:ascii="宋体" w:hAnsi="宋体"/>
                <w:color w:val="000000"/>
                <w:kern w:val="0"/>
                <w:sz w:val="24"/>
                <w:highlight w:val="none"/>
              </w:rPr>
            </w:pPr>
          </w:p>
        </w:tc>
        <w:tc>
          <w:tcPr>
            <w:tcW w:w="1843" w:type="dxa"/>
            <w:noWrap w:val="0"/>
            <w:vAlign w:val="center"/>
          </w:tcPr>
          <w:p w14:paraId="6924A772">
            <w:pPr>
              <w:widowControl/>
              <w:jc w:val="left"/>
              <w:rPr>
                <w:rFonts w:hint="eastAsia" w:ascii="宋体" w:hAnsi="宋体" w:eastAsia="仿宋"/>
                <w:color w:val="000000"/>
                <w:kern w:val="0"/>
                <w:sz w:val="24"/>
                <w:highlight w:val="none"/>
              </w:rPr>
            </w:pPr>
            <w:r>
              <w:rPr>
                <w:rFonts w:hint="eastAsia" w:ascii="宋体" w:hAnsi="宋体" w:eastAsia="仿宋"/>
                <w:color w:val="000000"/>
                <w:kern w:val="0"/>
                <w:sz w:val="24"/>
                <w:highlight w:val="none"/>
              </w:rPr>
              <w:t>联合体投标</w:t>
            </w:r>
          </w:p>
          <w:p w14:paraId="3DC10C98">
            <w:pPr>
              <w:widowControl/>
              <w:jc w:val="left"/>
              <w:rPr>
                <w:rFonts w:ascii="宋体" w:hAnsi="宋体"/>
                <w:color w:val="000000"/>
                <w:kern w:val="0"/>
                <w:sz w:val="24"/>
                <w:highlight w:val="none"/>
              </w:rPr>
            </w:pPr>
            <w:r>
              <w:rPr>
                <w:rFonts w:hint="eastAsia" w:ascii="宋体" w:hAnsi="宋体" w:eastAsia="仿宋"/>
                <w:color w:val="000000"/>
                <w:kern w:val="0"/>
                <w:sz w:val="24"/>
                <w:highlight w:val="none"/>
              </w:rPr>
              <w:t>（如适用）</w:t>
            </w:r>
          </w:p>
        </w:tc>
        <w:tc>
          <w:tcPr>
            <w:tcW w:w="6533" w:type="dxa"/>
            <w:noWrap w:val="0"/>
            <w:vAlign w:val="center"/>
          </w:tcPr>
          <w:p w14:paraId="07F8B34C">
            <w:pPr>
              <w:widowControl/>
              <w:jc w:val="left"/>
              <w:rPr>
                <w:rFonts w:ascii="宋体" w:hAnsi="宋体"/>
                <w:color w:val="000000"/>
                <w:kern w:val="0"/>
                <w:sz w:val="24"/>
                <w:highlight w:val="none"/>
              </w:rPr>
            </w:pPr>
            <w:r>
              <w:rPr>
                <w:rFonts w:hint="eastAsia" w:ascii="宋体" w:hAnsi="宋体" w:eastAsia="仿宋"/>
                <w:color w:val="000000"/>
                <w:kern w:val="0"/>
                <w:sz w:val="24"/>
                <w:highlight w:val="none"/>
              </w:rPr>
              <w:t>提供联合体协议书，并明确联合体牵头人</w:t>
            </w:r>
          </w:p>
        </w:tc>
      </w:tr>
      <w:tr w14:paraId="227EB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center"/>
          </w:tcPr>
          <w:p w14:paraId="007F6E7B">
            <w:pPr>
              <w:widowControl/>
              <w:jc w:val="center"/>
              <w:rPr>
                <w:rFonts w:hint="eastAsia" w:ascii="宋体" w:hAnsi="宋体"/>
                <w:color w:val="000000"/>
                <w:kern w:val="0"/>
                <w:sz w:val="24"/>
                <w:highlight w:val="none"/>
              </w:rPr>
            </w:pPr>
          </w:p>
        </w:tc>
        <w:tc>
          <w:tcPr>
            <w:tcW w:w="1843" w:type="dxa"/>
            <w:noWrap w:val="0"/>
            <w:vAlign w:val="center"/>
          </w:tcPr>
          <w:p w14:paraId="37A440D5">
            <w:pPr>
              <w:widowControl/>
              <w:rPr>
                <w:rFonts w:hint="eastAsia" w:ascii="宋体" w:hAnsi="宋体" w:eastAsia="仿宋"/>
                <w:color w:val="000000"/>
                <w:kern w:val="0"/>
                <w:sz w:val="24"/>
                <w:highlight w:val="none"/>
              </w:rPr>
            </w:pPr>
            <w:r>
              <w:rPr>
                <w:rFonts w:hint="eastAsia" w:ascii="宋体" w:hAnsi="宋体" w:eastAsia="仿宋"/>
                <w:color w:val="000000"/>
                <w:kern w:val="0"/>
                <w:sz w:val="24"/>
                <w:highlight w:val="none"/>
              </w:rPr>
              <w:t>投标范围</w:t>
            </w:r>
          </w:p>
        </w:tc>
        <w:tc>
          <w:tcPr>
            <w:tcW w:w="6533" w:type="dxa"/>
            <w:noWrap w:val="0"/>
            <w:vAlign w:val="center"/>
          </w:tcPr>
          <w:p w14:paraId="2481FD45">
            <w:pPr>
              <w:widowControl/>
              <w:jc w:val="left"/>
              <w:rPr>
                <w:rFonts w:hint="eastAsia" w:ascii="宋体" w:hAnsi="宋体"/>
                <w:color w:val="000000"/>
                <w:kern w:val="0"/>
                <w:sz w:val="24"/>
                <w:highlight w:val="none"/>
              </w:rPr>
            </w:pPr>
            <w:r>
              <w:rPr>
                <w:rFonts w:hint="eastAsia" w:ascii="宋体" w:hAnsi="宋体" w:eastAsia="仿宋"/>
                <w:color w:val="000000"/>
                <w:kern w:val="0"/>
                <w:sz w:val="24"/>
                <w:highlight w:val="none"/>
              </w:rPr>
              <w:t>符合招标文件要求</w:t>
            </w:r>
          </w:p>
        </w:tc>
      </w:tr>
      <w:tr w14:paraId="1A7B9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center"/>
          </w:tcPr>
          <w:p w14:paraId="7A6D3ABB">
            <w:pPr>
              <w:widowControl/>
              <w:jc w:val="center"/>
              <w:rPr>
                <w:rFonts w:hint="eastAsia" w:ascii="宋体" w:hAnsi="宋体"/>
                <w:color w:val="000000"/>
                <w:kern w:val="0"/>
                <w:sz w:val="24"/>
                <w:highlight w:val="none"/>
              </w:rPr>
            </w:pPr>
          </w:p>
        </w:tc>
        <w:tc>
          <w:tcPr>
            <w:tcW w:w="1843" w:type="dxa"/>
            <w:noWrap w:val="0"/>
            <w:vAlign w:val="center"/>
          </w:tcPr>
          <w:p w14:paraId="287B761C">
            <w:pPr>
              <w:widowControl/>
              <w:rPr>
                <w:rFonts w:ascii="宋体" w:hAnsi="宋体"/>
                <w:color w:val="000000"/>
                <w:kern w:val="0"/>
                <w:sz w:val="24"/>
                <w:highlight w:val="none"/>
              </w:rPr>
            </w:pPr>
            <w:r>
              <w:rPr>
                <w:rFonts w:hint="eastAsia" w:ascii="宋体" w:hAnsi="宋体" w:eastAsia="仿宋"/>
                <w:color w:val="000000"/>
                <w:kern w:val="0"/>
                <w:sz w:val="24"/>
                <w:highlight w:val="none"/>
              </w:rPr>
              <w:t>投标报价</w:t>
            </w:r>
          </w:p>
        </w:tc>
        <w:tc>
          <w:tcPr>
            <w:tcW w:w="6533" w:type="dxa"/>
            <w:noWrap w:val="0"/>
            <w:vAlign w:val="top"/>
          </w:tcPr>
          <w:p w14:paraId="6951A577">
            <w:pPr>
              <w:widowControl/>
              <w:jc w:val="left"/>
              <w:rPr>
                <w:rFonts w:hint="eastAsia" w:ascii="宋体" w:hAnsi="宋体" w:eastAsia="仿宋"/>
                <w:color w:val="000000"/>
                <w:kern w:val="0"/>
                <w:sz w:val="24"/>
                <w:highlight w:val="none"/>
              </w:rPr>
            </w:pPr>
            <w:r>
              <w:rPr>
                <w:rFonts w:hint="eastAsia" w:ascii="宋体" w:hAnsi="宋体" w:eastAsia="仿宋" w:cs="仿宋_GB2312"/>
                <w:color w:val="000000"/>
                <w:sz w:val="24"/>
                <w:highlight w:val="none"/>
                <w:lang w:val="zh-CN"/>
              </w:rPr>
              <w:t>投标报价不得超过</w:t>
            </w:r>
            <w:r>
              <w:rPr>
                <w:rFonts w:hint="eastAsia" w:ascii="宋体" w:hAnsi="宋体" w:eastAsia="仿宋" w:cs="仿宋_GB2312"/>
                <w:color w:val="000000"/>
                <w:sz w:val="24"/>
                <w:highlight w:val="none"/>
              </w:rPr>
              <w:t>预算金额或</w:t>
            </w:r>
            <w:r>
              <w:rPr>
                <w:rFonts w:hint="eastAsia" w:ascii="宋体" w:hAnsi="宋体" w:eastAsia="仿宋" w:cs="仿宋_GB2312"/>
                <w:color w:val="000000"/>
                <w:sz w:val="24"/>
                <w:highlight w:val="none"/>
                <w:lang w:val="zh-CN"/>
              </w:rPr>
              <w:t>最高限价，</w:t>
            </w:r>
            <w:r>
              <w:rPr>
                <w:rFonts w:hint="eastAsia" w:ascii="宋体" w:hAnsi="宋体" w:eastAsia="仿宋"/>
                <w:color w:val="000000"/>
                <w:sz w:val="24"/>
                <w:highlight w:val="none"/>
              </w:rPr>
              <w:t>只能有一个有效报价，不得提交选择性报价（按招标文件规定提交备选投标方案的除外），</w:t>
            </w:r>
            <w:r>
              <w:rPr>
                <w:rFonts w:hint="eastAsia" w:ascii="宋体" w:hAnsi="宋体" w:eastAsia="仿宋"/>
                <w:color w:val="000000"/>
                <w:sz w:val="24"/>
                <w:highlight w:val="none"/>
                <w:lang w:bidi="ar"/>
              </w:rPr>
              <w:t>符合第二章投标人须知第3.2款要求</w:t>
            </w:r>
          </w:p>
        </w:tc>
      </w:tr>
      <w:tr w14:paraId="1CDFD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center"/>
          </w:tcPr>
          <w:p w14:paraId="296E5287">
            <w:pPr>
              <w:widowControl/>
              <w:jc w:val="center"/>
              <w:rPr>
                <w:rFonts w:hint="eastAsia" w:ascii="宋体" w:hAnsi="宋体"/>
                <w:color w:val="000000"/>
                <w:kern w:val="0"/>
                <w:sz w:val="24"/>
                <w:highlight w:val="none"/>
              </w:rPr>
            </w:pPr>
          </w:p>
        </w:tc>
        <w:tc>
          <w:tcPr>
            <w:tcW w:w="1843" w:type="dxa"/>
            <w:noWrap w:val="0"/>
            <w:vAlign w:val="center"/>
          </w:tcPr>
          <w:p w14:paraId="68615C15">
            <w:pPr>
              <w:pStyle w:val="155"/>
              <w:rPr>
                <w:rFonts w:ascii="宋体" w:hAnsi="宋体" w:eastAsia="仿宋"/>
                <w:color w:val="000000"/>
                <w:sz w:val="24"/>
                <w:szCs w:val="24"/>
                <w:highlight w:val="none"/>
              </w:rPr>
            </w:pPr>
            <w:r>
              <w:rPr>
                <w:rFonts w:hint="eastAsia" w:ascii="宋体" w:hAnsi="宋体" w:eastAsia="仿宋"/>
                <w:color w:val="000000"/>
                <w:sz w:val="24"/>
                <w:szCs w:val="24"/>
                <w:highlight w:val="none"/>
              </w:rPr>
              <w:t>商务要求</w:t>
            </w:r>
          </w:p>
        </w:tc>
        <w:tc>
          <w:tcPr>
            <w:tcW w:w="6533" w:type="dxa"/>
            <w:noWrap w:val="0"/>
            <w:vAlign w:val="center"/>
          </w:tcPr>
          <w:p w14:paraId="58B2E22C">
            <w:pPr>
              <w:pStyle w:val="155"/>
              <w:rPr>
                <w:rFonts w:ascii="宋体" w:hAnsi="宋体" w:eastAsia="仿宋"/>
                <w:color w:val="000000"/>
                <w:sz w:val="24"/>
                <w:szCs w:val="24"/>
                <w:highlight w:val="none"/>
              </w:rPr>
            </w:pPr>
            <w:r>
              <w:rPr>
                <w:rFonts w:hint="eastAsia" w:ascii="宋体" w:hAnsi="宋体" w:eastAsia="仿宋"/>
                <w:color w:val="000000"/>
                <w:sz w:val="24"/>
                <w:highlight w:val="none"/>
              </w:rPr>
              <w:t>符合实质性要求，偏离范围和项数符合招标文件规定</w:t>
            </w:r>
          </w:p>
        </w:tc>
      </w:tr>
      <w:tr w14:paraId="2937C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center"/>
          </w:tcPr>
          <w:p w14:paraId="0B202162">
            <w:pPr>
              <w:widowControl/>
              <w:jc w:val="center"/>
              <w:rPr>
                <w:rFonts w:hint="eastAsia" w:ascii="宋体" w:hAnsi="宋体"/>
                <w:color w:val="000000"/>
                <w:kern w:val="0"/>
                <w:sz w:val="24"/>
                <w:highlight w:val="none"/>
              </w:rPr>
            </w:pPr>
          </w:p>
        </w:tc>
        <w:tc>
          <w:tcPr>
            <w:tcW w:w="1843" w:type="dxa"/>
            <w:noWrap w:val="0"/>
            <w:vAlign w:val="center"/>
          </w:tcPr>
          <w:p w14:paraId="1B1F4183">
            <w:pPr>
              <w:widowControl/>
              <w:rPr>
                <w:rFonts w:hint="eastAsia" w:ascii="宋体" w:hAnsi="宋体" w:eastAsia="仿宋"/>
                <w:color w:val="000000"/>
                <w:kern w:val="0"/>
                <w:sz w:val="24"/>
                <w:highlight w:val="none"/>
              </w:rPr>
            </w:pPr>
            <w:r>
              <w:rPr>
                <w:rFonts w:hint="eastAsia" w:ascii="宋体" w:hAnsi="宋体" w:eastAsia="仿宋"/>
                <w:color w:val="000000"/>
                <w:kern w:val="0"/>
                <w:sz w:val="24"/>
                <w:highlight w:val="none"/>
              </w:rPr>
              <w:t>技术要求</w:t>
            </w:r>
          </w:p>
        </w:tc>
        <w:tc>
          <w:tcPr>
            <w:tcW w:w="6533" w:type="dxa"/>
            <w:noWrap w:val="0"/>
            <w:vAlign w:val="center"/>
          </w:tcPr>
          <w:p w14:paraId="48670FEA">
            <w:pPr>
              <w:widowControl/>
              <w:jc w:val="left"/>
              <w:rPr>
                <w:rFonts w:ascii="宋体" w:hAnsi="宋体"/>
                <w:color w:val="000000"/>
                <w:kern w:val="0"/>
                <w:sz w:val="24"/>
                <w:highlight w:val="none"/>
              </w:rPr>
            </w:pPr>
            <w:r>
              <w:rPr>
                <w:rFonts w:hint="eastAsia" w:ascii="宋体" w:hAnsi="宋体" w:eastAsia="仿宋"/>
                <w:color w:val="000000"/>
                <w:kern w:val="0"/>
                <w:sz w:val="24"/>
                <w:highlight w:val="none"/>
              </w:rPr>
              <w:t>符合实质性要求，偏离范围和项数符合招标文件规定</w:t>
            </w:r>
          </w:p>
        </w:tc>
      </w:tr>
      <w:tr w14:paraId="12912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center"/>
          </w:tcPr>
          <w:p w14:paraId="29AFD7FB">
            <w:pPr>
              <w:widowControl/>
              <w:jc w:val="center"/>
              <w:rPr>
                <w:rFonts w:hint="eastAsia" w:ascii="宋体" w:hAnsi="宋体"/>
                <w:color w:val="000000"/>
                <w:kern w:val="0"/>
                <w:sz w:val="24"/>
                <w:highlight w:val="none"/>
              </w:rPr>
            </w:pPr>
          </w:p>
        </w:tc>
        <w:tc>
          <w:tcPr>
            <w:tcW w:w="1843" w:type="dxa"/>
            <w:noWrap w:val="0"/>
            <w:vAlign w:val="center"/>
          </w:tcPr>
          <w:p w14:paraId="6F75723E">
            <w:pPr>
              <w:widowControl/>
              <w:rPr>
                <w:rFonts w:ascii="宋体" w:hAnsi="宋体"/>
                <w:color w:val="000000"/>
                <w:kern w:val="0"/>
                <w:sz w:val="24"/>
                <w:highlight w:val="none"/>
              </w:rPr>
            </w:pPr>
            <w:r>
              <w:rPr>
                <w:rFonts w:hint="eastAsia" w:ascii="宋体" w:hAnsi="宋体" w:eastAsia="仿宋"/>
                <w:color w:val="000000"/>
                <w:kern w:val="0"/>
                <w:sz w:val="24"/>
                <w:highlight w:val="none"/>
              </w:rPr>
              <w:t>投标有效期</w:t>
            </w:r>
          </w:p>
        </w:tc>
        <w:tc>
          <w:tcPr>
            <w:tcW w:w="6533" w:type="dxa"/>
            <w:noWrap w:val="0"/>
            <w:vAlign w:val="center"/>
          </w:tcPr>
          <w:p w14:paraId="233E7C14">
            <w:pPr>
              <w:widowControl/>
              <w:jc w:val="left"/>
              <w:rPr>
                <w:rFonts w:hint="eastAsia" w:ascii="宋体" w:hAnsi="宋体"/>
                <w:color w:val="000000"/>
                <w:kern w:val="0"/>
                <w:sz w:val="24"/>
                <w:highlight w:val="none"/>
              </w:rPr>
            </w:pPr>
            <w:r>
              <w:rPr>
                <w:rFonts w:hint="eastAsia" w:ascii="宋体" w:hAnsi="宋体" w:eastAsia="仿宋"/>
                <w:color w:val="000000"/>
                <w:kern w:val="0"/>
                <w:sz w:val="24"/>
                <w:highlight w:val="none"/>
              </w:rPr>
              <w:t>符合招标文件要求</w:t>
            </w:r>
          </w:p>
        </w:tc>
      </w:tr>
      <w:tr w14:paraId="6E9AD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top"/>
          </w:tcPr>
          <w:p w14:paraId="27108367">
            <w:pPr>
              <w:widowControl/>
              <w:jc w:val="center"/>
              <w:rPr>
                <w:rFonts w:hint="eastAsia" w:ascii="宋体" w:hAnsi="宋体"/>
                <w:color w:val="000000"/>
                <w:kern w:val="0"/>
                <w:sz w:val="24"/>
                <w:highlight w:val="none"/>
              </w:rPr>
            </w:pPr>
          </w:p>
        </w:tc>
        <w:tc>
          <w:tcPr>
            <w:tcW w:w="1843" w:type="dxa"/>
            <w:noWrap w:val="0"/>
            <w:vAlign w:val="center"/>
          </w:tcPr>
          <w:p w14:paraId="73DD5DA7">
            <w:pPr>
              <w:pStyle w:val="155"/>
              <w:adjustRightInd w:val="0"/>
              <w:rPr>
                <w:rFonts w:hint="eastAsia" w:ascii="宋体" w:hAnsi="宋体"/>
                <w:color w:val="000000"/>
                <w:sz w:val="24"/>
                <w:szCs w:val="24"/>
                <w:highlight w:val="none"/>
              </w:rPr>
            </w:pPr>
            <w:r>
              <w:rPr>
                <w:rFonts w:hint="eastAsia" w:ascii="宋体" w:hAnsi="宋体" w:eastAsia="仿宋"/>
                <w:color w:val="000000"/>
                <w:sz w:val="24"/>
                <w:szCs w:val="24"/>
                <w:highlight w:val="none"/>
              </w:rPr>
              <w:t>进口产品</w:t>
            </w:r>
          </w:p>
        </w:tc>
        <w:tc>
          <w:tcPr>
            <w:tcW w:w="6533" w:type="dxa"/>
            <w:noWrap w:val="0"/>
            <w:vAlign w:val="center"/>
          </w:tcPr>
          <w:p w14:paraId="66064971">
            <w:pPr>
              <w:pStyle w:val="155"/>
              <w:adjustRightInd w:val="0"/>
              <w:rPr>
                <w:rFonts w:hint="eastAsia" w:ascii="宋体" w:hAnsi="宋体"/>
                <w:color w:val="000000"/>
                <w:sz w:val="24"/>
                <w:szCs w:val="24"/>
                <w:highlight w:val="none"/>
              </w:rPr>
            </w:pPr>
            <w:r>
              <w:rPr>
                <w:rFonts w:hint="eastAsia" w:ascii="宋体" w:hAnsi="宋体" w:eastAsia="仿宋"/>
                <w:color w:val="000000"/>
                <w:sz w:val="24"/>
                <w:szCs w:val="24"/>
                <w:highlight w:val="none"/>
              </w:rPr>
              <w:t>不接受进口产品投标的，投标产品不得为进口产品（执行</w:t>
            </w:r>
            <w:r>
              <w:rPr>
                <w:rFonts w:ascii="宋体" w:hAnsi="宋体" w:eastAsia="仿宋"/>
                <w:color w:val="000000"/>
                <w:sz w:val="24"/>
                <w:szCs w:val="24"/>
                <w:highlight w:val="none"/>
              </w:rPr>
              <w:t>财办库</w:t>
            </w:r>
            <w:r>
              <w:rPr>
                <w:rFonts w:hint="eastAsia" w:ascii="宋体" w:hAnsi="宋体" w:eastAsia="仿宋"/>
                <w:color w:val="000000"/>
                <w:sz w:val="24"/>
                <w:szCs w:val="24"/>
                <w:highlight w:val="none"/>
              </w:rPr>
              <w:t>〔2008〕</w:t>
            </w:r>
            <w:r>
              <w:rPr>
                <w:rFonts w:ascii="宋体" w:hAnsi="宋体" w:eastAsia="仿宋"/>
                <w:color w:val="000000"/>
                <w:sz w:val="24"/>
                <w:szCs w:val="24"/>
                <w:highlight w:val="none"/>
              </w:rPr>
              <w:t>248号</w:t>
            </w:r>
            <w:r>
              <w:rPr>
                <w:rFonts w:hint="eastAsia" w:ascii="宋体" w:hAnsi="宋体" w:eastAsia="仿宋"/>
                <w:color w:val="000000"/>
                <w:sz w:val="24"/>
                <w:szCs w:val="24"/>
                <w:highlight w:val="none"/>
              </w:rPr>
              <w:t>文件规定）</w:t>
            </w:r>
          </w:p>
        </w:tc>
      </w:tr>
      <w:tr w14:paraId="51678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top"/>
          </w:tcPr>
          <w:p w14:paraId="5A133BD8">
            <w:pPr>
              <w:widowControl/>
              <w:jc w:val="center"/>
              <w:rPr>
                <w:rFonts w:hint="eastAsia" w:ascii="宋体" w:hAnsi="宋体"/>
                <w:color w:val="000000"/>
                <w:kern w:val="0"/>
                <w:sz w:val="24"/>
                <w:highlight w:val="none"/>
              </w:rPr>
            </w:pPr>
          </w:p>
        </w:tc>
        <w:tc>
          <w:tcPr>
            <w:tcW w:w="1843" w:type="dxa"/>
            <w:noWrap w:val="0"/>
            <w:vAlign w:val="center"/>
          </w:tcPr>
          <w:p w14:paraId="1BA3F208">
            <w:pPr>
              <w:pStyle w:val="155"/>
              <w:adjustRightInd w:val="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强制采购节能产品</w:t>
            </w:r>
          </w:p>
        </w:tc>
        <w:tc>
          <w:tcPr>
            <w:tcW w:w="6533" w:type="dxa"/>
            <w:noWrap w:val="0"/>
            <w:vAlign w:val="center"/>
          </w:tcPr>
          <w:p w14:paraId="4006029C">
            <w:pPr>
              <w:pStyle w:val="155"/>
              <w:adjustRightInd w:val="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采购标的若属于《节能产品政府采购品目清单》范围中政府强制采购产品，则投标人提供产品须获得国家确定的认证机构出具的、处于有效期之内的节能（水）产品认证证书</w:t>
            </w:r>
          </w:p>
        </w:tc>
      </w:tr>
      <w:tr w14:paraId="1EE73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top"/>
          </w:tcPr>
          <w:p w14:paraId="318D6B28">
            <w:pPr>
              <w:widowControl/>
              <w:jc w:val="center"/>
              <w:rPr>
                <w:rFonts w:hint="eastAsia" w:ascii="宋体" w:hAnsi="宋体"/>
                <w:color w:val="000000"/>
                <w:kern w:val="0"/>
                <w:sz w:val="24"/>
                <w:highlight w:val="none"/>
              </w:rPr>
            </w:pPr>
          </w:p>
        </w:tc>
        <w:tc>
          <w:tcPr>
            <w:tcW w:w="1843" w:type="dxa"/>
            <w:noWrap w:val="0"/>
            <w:vAlign w:val="center"/>
          </w:tcPr>
          <w:p w14:paraId="190D32D9">
            <w:pPr>
              <w:pStyle w:val="155"/>
              <w:adjustRightInd w:val="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投标文件制作机器识别码</w:t>
            </w:r>
          </w:p>
        </w:tc>
        <w:tc>
          <w:tcPr>
            <w:tcW w:w="6533" w:type="dxa"/>
            <w:noWrap w:val="0"/>
            <w:vAlign w:val="center"/>
          </w:tcPr>
          <w:p w14:paraId="7A25CE8A">
            <w:pPr>
              <w:pStyle w:val="155"/>
              <w:adjustRightInd w:val="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不同投标人未出现使用相同的投标文件制作机器识别码进行投标的情形</w:t>
            </w:r>
          </w:p>
        </w:tc>
      </w:tr>
      <w:tr w14:paraId="6AD78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top"/>
          </w:tcPr>
          <w:p w14:paraId="3D339B96">
            <w:pPr>
              <w:widowControl/>
              <w:jc w:val="center"/>
              <w:rPr>
                <w:rFonts w:hint="eastAsia" w:ascii="宋体" w:hAnsi="宋体"/>
                <w:color w:val="000000"/>
                <w:kern w:val="0"/>
                <w:sz w:val="24"/>
                <w:highlight w:val="none"/>
              </w:rPr>
            </w:pPr>
          </w:p>
        </w:tc>
        <w:tc>
          <w:tcPr>
            <w:tcW w:w="1843" w:type="dxa"/>
            <w:noWrap w:val="0"/>
            <w:vAlign w:val="center"/>
          </w:tcPr>
          <w:p w14:paraId="489057A8">
            <w:pPr>
              <w:widowControl/>
              <w:rPr>
                <w:rFonts w:ascii="宋体" w:hAnsi="宋体"/>
                <w:color w:val="000000"/>
                <w:kern w:val="0"/>
                <w:sz w:val="24"/>
                <w:highlight w:val="none"/>
              </w:rPr>
            </w:pPr>
            <w:r>
              <w:rPr>
                <w:rFonts w:hint="eastAsia" w:ascii="宋体" w:hAnsi="宋体" w:eastAsia="仿宋"/>
                <w:color w:val="000000"/>
                <w:kern w:val="0"/>
                <w:sz w:val="24"/>
                <w:highlight w:val="none"/>
              </w:rPr>
              <w:t>权利义务</w:t>
            </w:r>
          </w:p>
        </w:tc>
        <w:tc>
          <w:tcPr>
            <w:tcW w:w="6533" w:type="dxa"/>
            <w:noWrap w:val="0"/>
            <w:vAlign w:val="center"/>
          </w:tcPr>
          <w:p w14:paraId="12796356">
            <w:pPr>
              <w:widowControl/>
              <w:jc w:val="left"/>
              <w:rPr>
                <w:rFonts w:ascii="宋体" w:hAnsi="宋体"/>
                <w:color w:val="000000"/>
                <w:kern w:val="0"/>
                <w:sz w:val="24"/>
                <w:highlight w:val="none"/>
              </w:rPr>
            </w:pPr>
            <w:r>
              <w:rPr>
                <w:rFonts w:hint="eastAsia" w:ascii="宋体" w:hAnsi="宋体" w:eastAsia="仿宋"/>
                <w:color w:val="000000"/>
                <w:kern w:val="0"/>
                <w:sz w:val="24"/>
                <w:highlight w:val="none"/>
              </w:rPr>
              <w:t>符合招标文件合同条款要求，未另行设定采购人不能接受的采购人应承担的义务，未对投标人的义务予以削弱</w:t>
            </w:r>
          </w:p>
        </w:tc>
      </w:tr>
      <w:tr w14:paraId="0CC91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top"/>
          </w:tcPr>
          <w:p w14:paraId="14883F8B">
            <w:pPr>
              <w:widowControl/>
              <w:jc w:val="center"/>
              <w:rPr>
                <w:rFonts w:hint="eastAsia" w:ascii="宋体" w:hAnsi="宋体"/>
                <w:color w:val="000000"/>
                <w:kern w:val="0"/>
                <w:sz w:val="24"/>
                <w:highlight w:val="none"/>
              </w:rPr>
            </w:pPr>
          </w:p>
        </w:tc>
        <w:tc>
          <w:tcPr>
            <w:tcW w:w="1843" w:type="dxa"/>
            <w:noWrap w:val="0"/>
            <w:vAlign w:val="center"/>
          </w:tcPr>
          <w:p w14:paraId="19B2C856">
            <w:pPr>
              <w:pStyle w:val="155"/>
              <w:rPr>
                <w:rFonts w:hint="eastAsia" w:ascii="宋体" w:hAnsi="宋体" w:eastAsia="仿宋"/>
                <w:color w:val="000000"/>
                <w:sz w:val="24"/>
                <w:szCs w:val="24"/>
                <w:highlight w:val="none"/>
              </w:rPr>
            </w:pPr>
            <w:r>
              <w:rPr>
                <w:rFonts w:hint="eastAsia" w:ascii="宋体" w:hAnsi="宋体" w:eastAsia="仿宋"/>
                <w:bCs/>
                <w:color w:val="000000"/>
                <w:sz w:val="24"/>
                <w:szCs w:val="24"/>
                <w:highlight w:val="none"/>
              </w:rPr>
              <w:t>提供同一品牌产品</w:t>
            </w:r>
          </w:p>
        </w:tc>
        <w:tc>
          <w:tcPr>
            <w:tcW w:w="6533" w:type="dxa"/>
            <w:noWrap w:val="0"/>
            <w:vAlign w:val="center"/>
          </w:tcPr>
          <w:p w14:paraId="4B58BF7A">
            <w:pPr>
              <w:pStyle w:val="155"/>
              <w:rPr>
                <w:rFonts w:hint="eastAsia" w:ascii="宋体" w:hAnsi="宋体" w:eastAsia="仿宋"/>
                <w:color w:val="000000"/>
                <w:sz w:val="24"/>
                <w:szCs w:val="24"/>
                <w:highlight w:val="none"/>
              </w:rPr>
            </w:pPr>
            <w:r>
              <w:rPr>
                <w:rFonts w:hint="eastAsia" w:ascii="宋体" w:hAnsi="宋体" w:eastAsia="仿宋"/>
                <w:bCs/>
                <w:color w:val="000000"/>
                <w:sz w:val="24"/>
                <w:szCs w:val="24"/>
                <w:highlight w:val="none"/>
              </w:rPr>
              <w:t>单一产品采购项目中，提供同一品牌产品的不同投标人参加同一包项下投标的，以一家投标人计算有效投标人数量。</w:t>
            </w:r>
            <w:r>
              <w:rPr>
                <w:rFonts w:hint="eastAsia" w:ascii="宋体" w:hAnsi="宋体" w:eastAsia="仿宋"/>
                <w:b/>
                <w:bCs w:val="0"/>
                <w:color w:val="000000"/>
                <w:sz w:val="24"/>
                <w:szCs w:val="24"/>
                <w:highlight w:val="none"/>
              </w:rPr>
              <w:t>非单一产品采购项目中，提供任意核心产品为同一品牌且通过资格审查、符合性审查的不同投标人参加同一包项下投标的，以一家投标人计算有效投标人数量。若有效投标人不足三家，本项目废标</w:t>
            </w:r>
          </w:p>
        </w:tc>
      </w:tr>
      <w:tr w14:paraId="5F97C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top"/>
          </w:tcPr>
          <w:p w14:paraId="0E5186AF">
            <w:pPr>
              <w:widowControl/>
              <w:jc w:val="center"/>
              <w:rPr>
                <w:rFonts w:hint="eastAsia" w:ascii="宋体" w:hAnsi="宋体"/>
                <w:color w:val="000000"/>
                <w:kern w:val="0"/>
                <w:sz w:val="24"/>
                <w:highlight w:val="none"/>
              </w:rPr>
            </w:pPr>
          </w:p>
        </w:tc>
        <w:tc>
          <w:tcPr>
            <w:tcW w:w="1843" w:type="dxa"/>
            <w:noWrap w:val="0"/>
            <w:vAlign w:val="center"/>
          </w:tcPr>
          <w:p w14:paraId="30EFA902">
            <w:pPr>
              <w:pStyle w:val="155"/>
              <w:rPr>
                <w:rFonts w:ascii="宋体" w:hAnsi="宋体" w:eastAsia="仿宋"/>
                <w:color w:val="000000"/>
                <w:sz w:val="24"/>
                <w:szCs w:val="24"/>
                <w:highlight w:val="none"/>
              </w:rPr>
            </w:pPr>
            <w:r>
              <w:rPr>
                <w:rFonts w:hint="eastAsia" w:ascii="宋体" w:hAnsi="宋体" w:eastAsia="仿宋"/>
                <w:color w:val="000000"/>
                <w:sz w:val="24"/>
                <w:szCs w:val="24"/>
                <w:highlight w:val="none"/>
              </w:rPr>
              <w:t>低价说明</w:t>
            </w:r>
          </w:p>
        </w:tc>
        <w:tc>
          <w:tcPr>
            <w:tcW w:w="6533" w:type="dxa"/>
            <w:noWrap w:val="0"/>
            <w:vAlign w:val="center"/>
          </w:tcPr>
          <w:p w14:paraId="3C3A3D21">
            <w:pPr>
              <w:pStyle w:val="155"/>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投标人的报价明显低于其他通过符合性审查投标人的报价，评标委员会要求其提供书面说明时，投标人不能证明其报价合理性的，投标无效</w:t>
            </w:r>
          </w:p>
        </w:tc>
      </w:tr>
      <w:tr w14:paraId="173B8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top"/>
          </w:tcPr>
          <w:p w14:paraId="45CE49E6">
            <w:pPr>
              <w:widowControl/>
              <w:jc w:val="center"/>
              <w:rPr>
                <w:rFonts w:hint="eastAsia" w:ascii="宋体" w:hAnsi="宋体"/>
                <w:color w:val="000000"/>
                <w:kern w:val="0"/>
                <w:sz w:val="24"/>
                <w:highlight w:val="none"/>
              </w:rPr>
            </w:pPr>
          </w:p>
        </w:tc>
        <w:tc>
          <w:tcPr>
            <w:tcW w:w="1843" w:type="dxa"/>
            <w:noWrap w:val="0"/>
            <w:vAlign w:val="center"/>
          </w:tcPr>
          <w:p w14:paraId="7E811355">
            <w:pPr>
              <w:pStyle w:val="155"/>
              <w:rPr>
                <w:rFonts w:ascii="宋体" w:hAnsi="宋体"/>
                <w:color w:val="000000"/>
                <w:sz w:val="24"/>
                <w:szCs w:val="24"/>
                <w:highlight w:val="none"/>
              </w:rPr>
            </w:pPr>
            <w:r>
              <w:rPr>
                <w:rFonts w:hint="eastAsia" w:ascii="宋体" w:hAnsi="宋体" w:eastAsia="仿宋"/>
                <w:color w:val="000000"/>
                <w:sz w:val="24"/>
                <w:szCs w:val="24"/>
                <w:highlight w:val="none"/>
              </w:rPr>
              <w:t>其他</w:t>
            </w:r>
          </w:p>
        </w:tc>
        <w:tc>
          <w:tcPr>
            <w:tcW w:w="6533" w:type="dxa"/>
            <w:noWrap w:val="0"/>
            <w:vAlign w:val="center"/>
          </w:tcPr>
          <w:p w14:paraId="6DDA5058">
            <w:pPr>
              <w:pStyle w:val="155"/>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符合法律、行政法规规定的其他条件</w:t>
            </w:r>
          </w:p>
          <w:p w14:paraId="61921D7E">
            <w:pPr>
              <w:pStyle w:val="155"/>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不符合招标文件列明的其他投标无效的情形</w:t>
            </w:r>
          </w:p>
        </w:tc>
      </w:tr>
    </w:tbl>
    <w:p w14:paraId="57A737EA">
      <w:pPr>
        <w:pStyle w:val="156"/>
        <w:adjustRightInd w:val="0"/>
        <w:snapToGrid w:val="0"/>
        <w:spacing w:before="0" w:line="360" w:lineRule="auto"/>
        <w:ind w:firstLine="482" w:firstLineChars="200"/>
        <w:rPr>
          <w:rFonts w:hint="eastAsia" w:ascii="宋体" w:hAnsi="宋体" w:eastAsia="仿宋"/>
          <w:b/>
          <w:color w:val="000000"/>
          <w:sz w:val="24"/>
          <w:szCs w:val="24"/>
          <w:highlight w:val="none"/>
        </w:rPr>
      </w:pPr>
      <w:r>
        <w:rPr>
          <w:rFonts w:ascii="宋体" w:hAnsi="宋体" w:eastAsia="仿宋"/>
          <w:b/>
          <w:color w:val="000000"/>
          <w:sz w:val="24"/>
          <w:szCs w:val="24"/>
          <w:highlight w:val="none"/>
        </w:rPr>
        <w:br w:type="page"/>
      </w:r>
      <w:r>
        <w:rPr>
          <w:rFonts w:hint="eastAsia" w:ascii="宋体" w:hAnsi="宋体" w:eastAsia="仿宋"/>
          <w:b/>
          <w:color w:val="000000"/>
          <w:sz w:val="24"/>
          <w:szCs w:val="24"/>
          <w:highlight w:val="none"/>
        </w:rPr>
        <w:t>2、详细评审表</w:t>
      </w:r>
    </w:p>
    <w:tbl>
      <w:tblPr>
        <w:tblStyle w:val="47"/>
        <w:tblW w:w="9523" w:type="dxa"/>
        <w:tblInd w:w="2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7"/>
        <w:gridCol w:w="708"/>
        <w:gridCol w:w="1701"/>
        <w:gridCol w:w="4225"/>
        <w:gridCol w:w="2012"/>
      </w:tblGrid>
      <w:tr w14:paraId="001E5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1585" w:type="dxa"/>
            <w:gridSpan w:val="2"/>
            <w:noWrap w:val="0"/>
            <w:vAlign w:val="center"/>
          </w:tcPr>
          <w:p w14:paraId="3BAE3DEB">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条款号</w:t>
            </w:r>
          </w:p>
        </w:tc>
        <w:tc>
          <w:tcPr>
            <w:tcW w:w="1701" w:type="dxa"/>
            <w:noWrap w:val="0"/>
            <w:vAlign w:val="center"/>
          </w:tcPr>
          <w:p w14:paraId="7A1C480B">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条款内容</w:t>
            </w:r>
          </w:p>
        </w:tc>
        <w:tc>
          <w:tcPr>
            <w:tcW w:w="4225" w:type="dxa"/>
            <w:noWrap w:val="0"/>
            <w:vAlign w:val="center"/>
          </w:tcPr>
          <w:p w14:paraId="563DE94D">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编列内容</w:t>
            </w:r>
          </w:p>
        </w:tc>
        <w:tc>
          <w:tcPr>
            <w:tcW w:w="2012" w:type="dxa"/>
            <w:noWrap w:val="0"/>
            <w:vAlign w:val="center"/>
          </w:tcPr>
          <w:p w14:paraId="441EEF0F">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备注</w:t>
            </w:r>
          </w:p>
        </w:tc>
      </w:tr>
      <w:tr w14:paraId="1D728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1585" w:type="dxa"/>
            <w:gridSpan w:val="2"/>
            <w:noWrap w:val="0"/>
            <w:vAlign w:val="center"/>
          </w:tcPr>
          <w:p w14:paraId="0C713F41">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3.2.1</w:t>
            </w:r>
          </w:p>
        </w:tc>
        <w:tc>
          <w:tcPr>
            <w:tcW w:w="1701" w:type="dxa"/>
            <w:noWrap w:val="0"/>
            <w:vAlign w:val="center"/>
          </w:tcPr>
          <w:p w14:paraId="44018251">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分值构成</w:t>
            </w:r>
          </w:p>
          <w:p w14:paraId="731F403E">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（总分100分）</w:t>
            </w:r>
          </w:p>
        </w:tc>
        <w:tc>
          <w:tcPr>
            <w:tcW w:w="4225" w:type="dxa"/>
            <w:noWrap w:val="0"/>
            <w:vAlign w:val="center"/>
          </w:tcPr>
          <w:p w14:paraId="7CCE4B7B">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商务部分：6分</w:t>
            </w:r>
          </w:p>
          <w:p w14:paraId="62497043">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技术部分：64分</w:t>
            </w:r>
          </w:p>
          <w:p w14:paraId="6322DF92">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投标报价：30分</w:t>
            </w:r>
          </w:p>
          <w:p w14:paraId="721A3B4E">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其他评分因素（如有）：/</w:t>
            </w:r>
          </w:p>
        </w:tc>
        <w:tc>
          <w:tcPr>
            <w:tcW w:w="2012" w:type="dxa"/>
            <w:noWrap w:val="0"/>
            <w:vAlign w:val="top"/>
          </w:tcPr>
          <w:p w14:paraId="6716B0C0">
            <w:pPr>
              <w:keepNext w:val="0"/>
              <w:keepLines w:val="0"/>
              <w:pageBreakBefore w:val="0"/>
              <w:widowControl/>
              <w:kinsoku/>
              <w:wordWrap/>
              <w:overflowPunct/>
              <w:topLinePunct w:val="0"/>
              <w:autoSpaceDE/>
              <w:autoSpaceDN/>
              <w:bidi w:val="0"/>
              <w:snapToGrid w:val="0"/>
              <w:spacing w:line="360" w:lineRule="auto"/>
              <w:jc w:val="left"/>
              <w:textAlignment w:val="auto"/>
              <w:rPr>
                <w:rFonts w:hint="eastAsia" w:ascii="仿宋" w:hAnsi="仿宋" w:eastAsia="仿宋" w:cs="仿宋"/>
                <w:color w:val="000000"/>
                <w:kern w:val="0"/>
                <w:sz w:val="24"/>
                <w:highlight w:val="none"/>
              </w:rPr>
            </w:pPr>
          </w:p>
        </w:tc>
      </w:tr>
      <w:tr w14:paraId="2FA87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1585" w:type="dxa"/>
            <w:gridSpan w:val="2"/>
            <w:noWrap w:val="0"/>
            <w:vAlign w:val="center"/>
          </w:tcPr>
          <w:p w14:paraId="48268646">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3.2.2</w:t>
            </w:r>
          </w:p>
        </w:tc>
        <w:tc>
          <w:tcPr>
            <w:tcW w:w="1701" w:type="dxa"/>
            <w:noWrap w:val="0"/>
            <w:vAlign w:val="center"/>
          </w:tcPr>
          <w:p w14:paraId="4A6AC2A1">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评标基准价计算方法</w:t>
            </w:r>
          </w:p>
        </w:tc>
        <w:tc>
          <w:tcPr>
            <w:tcW w:w="4225" w:type="dxa"/>
            <w:noWrap w:val="0"/>
            <w:vAlign w:val="center"/>
          </w:tcPr>
          <w:p w14:paraId="3E4186E8">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有效的投标报价中的最低价作为评标基准价</w:t>
            </w:r>
          </w:p>
        </w:tc>
        <w:tc>
          <w:tcPr>
            <w:tcW w:w="2012" w:type="dxa"/>
            <w:noWrap w:val="0"/>
            <w:vAlign w:val="center"/>
          </w:tcPr>
          <w:p w14:paraId="66DFB054">
            <w:pPr>
              <w:keepNext w:val="0"/>
              <w:keepLines w:val="0"/>
              <w:pageBreakBefore w:val="0"/>
              <w:kinsoku/>
              <w:wordWrap/>
              <w:overflowPunct/>
              <w:topLinePunct w:val="0"/>
              <w:autoSpaceDE/>
              <w:autoSpaceDN/>
              <w:bidi w:val="0"/>
              <w:snapToGrid w:val="0"/>
              <w:spacing w:line="360" w:lineRule="auto"/>
              <w:ind w:left="-38"/>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符合价格扣除政策的，用扣除后的价格参与计算、评分</w:t>
            </w:r>
          </w:p>
        </w:tc>
      </w:tr>
      <w:tr w14:paraId="6ABCA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1585" w:type="dxa"/>
            <w:gridSpan w:val="2"/>
            <w:noWrap w:val="0"/>
            <w:vAlign w:val="center"/>
          </w:tcPr>
          <w:p w14:paraId="0781B731">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条款号</w:t>
            </w:r>
          </w:p>
        </w:tc>
        <w:tc>
          <w:tcPr>
            <w:tcW w:w="1701" w:type="dxa"/>
            <w:noWrap w:val="0"/>
            <w:vAlign w:val="center"/>
          </w:tcPr>
          <w:p w14:paraId="2193C331">
            <w:pPr>
              <w:keepNext w:val="0"/>
              <w:keepLines w:val="0"/>
              <w:pageBreakBefore w:val="0"/>
              <w:kinsoku/>
              <w:wordWrap/>
              <w:overflowPunct/>
              <w:topLinePunct w:val="0"/>
              <w:autoSpaceDE/>
              <w:autoSpaceDN/>
              <w:bidi w:val="0"/>
              <w:snapToGrid w:val="0"/>
              <w:spacing w:line="360" w:lineRule="auto"/>
              <w:jc w:val="center"/>
              <w:textAlignment w:val="auto"/>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评分因素</w:t>
            </w:r>
          </w:p>
        </w:tc>
        <w:tc>
          <w:tcPr>
            <w:tcW w:w="6237" w:type="dxa"/>
            <w:gridSpan w:val="2"/>
            <w:noWrap w:val="0"/>
            <w:vAlign w:val="center"/>
          </w:tcPr>
          <w:p w14:paraId="260966C9">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b/>
                <w:color w:val="000000"/>
                <w:kern w:val="0"/>
                <w:sz w:val="24"/>
                <w:highlight w:val="none"/>
              </w:rPr>
            </w:pPr>
            <w:r>
              <w:rPr>
                <w:rFonts w:hint="eastAsia" w:ascii="仿宋" w:hAnsi="仿宋" w:eastAsia="仿宋" w:cs="仿宋"/>
                <w:b/>
                <w:color w:val="000000"/>
                <w:sz w:val="24"/>
                <w:highlight w:val="none"/>
              </w:rPr>
              <w:t>评分标准</w:t>
            </w:r>
          </w:p>
        </w:tc>
      </w:tr>
      <w:tr w14:paraId="7F438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noWrap w:val="0"/>
            <w:vAlign w:val="center"/>
          </w:tcPr>
          <w:p w14:paraId="4E4178E7">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3.2.3（1）</w:t>
            </w:r>
          </w:p>
          <w:p w14:paraId="74CF08EB">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商务</w:t>
            </w:r>
          </w:p>
          <w:p w14:paraId="2C933371">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部分</w:t>
            </w:r>
          </w:p>
        </w:tc>
        <w:tc>
          <w:tcPr>
            <w:tcW w:w="708" w:type="dxa"/>
            <w:noWrap w:val="0"/>
            <w:vAlign w:val="center"/>
          </w:tcPr>
          <w:p w14:paraId="3F053A2C">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1701" w:type="dxa"/>
            <w:noWrap w:val="0"/>
            <w:vAlign w:val="center"/>
          </w:tcPr>
          <w:p w14:paraId="1125CD21">
            <w:pPr>
              <w:keepNext w:val="0"/>
              <w:keepLines w:val="0"/>
              <w:pageBreakBefore w:val="0"/>
              <w:widowControl/>
              <w:kinsoku/>
              <w:wordWrap/>
              <w:overflowPunct/>
              <w:topLinePunct w:val="0"/>
              <w:autoSpaceDE/>
              <w:autoSpaceDN/>
              <w:bidi w:val="0"/>
              <w:snapToGrid w:val="0"/>
              <w:spacing w:line="360" w:lineRule="auto"/>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业绩（</w:t>
            </w:r>
            <w:r>
              <w:rPr>
                <w:rFonts w:hint="eastAsia" w:ascii="仿宋" w:hAnsi="仿宋" w:eastAsia="仿宋" w:cs="仿宋"/>
                <w:color w:val="000000"/>
                <w:kern w:val="0"/>
                <w:sz w:val="24"/>
                <w:highlight w:val="none"/>
              </w:rPr>
              <w:t>6分）</w:t>
            </w:r>
          </w:p>
        </w:tc>
        <w:tc>
          <w:tcPr>
            <w:tcW w:w="6237" w:type="dxa"/>
            <w:gridSpan w:val="2"/>
            <w:noWrap w:val="0"/>
            <w:vAlign w:val="center"/>
          </w:tcPr>
          <w:p w14:paraId="1A99433A">
            <w:pPr>
              <w:keepNext w:val="0"/>
              <w:keepLines w:val="0"/>
              <w:pageBreakBefore w:val="0"/>
              <w:widowControl/>
              <w:kinsoku/>
              <w:wordWrap/>
              <w:overflowPunct/>
              <w:topLinePunct w:val="0"/>
              <w:autoSpaceDE/>
              <w:autoSpaceDN/>
              <w:bidi w:val="0"/>
              <w:snapToGrid w:val="0"/>
              <w:spacing w:line="360" w:lineRule="auto"/>
              <w:textAlignment w:val="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2022年1月1日以来（以合同签订时间为准），具有所投包别标注▲产品（须与所投▲产品同品牌同型号）的供货业绩的，每提供1个业绩得2分，满分6分。</w:t>
            </w:r>
          </w:p>
          <w:p w14:paraId="000D0464">
            <w:pPr>
              <w:keepNext w:val="0"/>
              <w:keepLines w:val="0"/>
              <w:pageBreakBefore w:val="0"/>
              <w:widowControl/>
              <w:kinsoku/>
              <w:wordWrap/>
              <w:overflowPunct/>
              <w:topLinePunct w:val="0"/>
              <w:autoSpaceDE/>
              <w:autoSpaceDN/>
              <w:bidi w:val="0"/>
              <w:snapToGrid w:val="0"/>
              <w:spacing w:line="360" w:lineRule="auto"/>
              <w:textAlignment w:val="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注：（1）投标文件中须同时提供业绩合同及验收报告的扫描件，如合同中无法体现签订时间、项目内容的，须另附业主（合同甲方）证明材料扫描件；</w:t>
            </w:r>
          </w:p>
          <w:p w14:paraId="62029BBF">
            <w:pPr>
              <w:keepNext w:val="0"/>
              <w:keepLines w:val="0"/>
              <w:pageBreakBefore w:val="0"/>
              <w:widowControl/>
              <w:kinsoku/>
              <w:wordWrap/>
              <w:overflowPunct/>
              <w:topLinePunct w:val="0"/>
              <w:autoSpaceDE/>
              <w:autoSpaceDN/>
              <w:bidi w:val="0"/>
              <w:snapToGrid w:val="0"/>
              <w:spacing w:line="360" w:lineRule="auto"/>
              <w:textAlignment w:val="auto"/>
              <w:rPr>
                <w:rFonts w:hint="eastAsia" w:ascii="仿宋" w:hAnsi="仿宋" w:eastAsia="仿宋" w:cs="仿宋"/>
                <w:i/>
                <w:iCs/>
                <w:color w:val="000000"/>
                <w:kern w:val="0"/>
                <w:sz w:val="24"/>
                <w:highlight w:val="none"/>
              </w:rPr>
            </w:pPr>
            <w:r>
              <w:rPr>
                <w:rFonts w:hint="eastAsia" w:ascii="仿宋" w:hAnsi="仿宋" w:eastAsia="仿宋" w:cs="仿宋"/>
                <w:iCs/>
                <w:color w:val="000000"/>
                <w:sz w:val="24"/>
                <w:highlight w:val="none"/>
              </w:rPr>
              <w:t>（2）</w:t>
            </w:r>
            <w:r>
              <w:rPr>
                <w:rFonts w:hint="eastAsia" w:ascii="仿宋" w:hAnsi="仿宋" w:eastAsia="仿宋" w:cs="仿宋"/>
                <w:b/>
                <w:bCs/>
                <w:iCs/>
                <w:color w:val="000000"/>
                <w:sz w:val="24"/>
                <w:highlight w:val="none"/>
              </w:rPr>
              <w:t>此处业绩系指产品业绩，不限合同签订主体，但合同甲方须为最终用户。</w:t>
            </w:r>
          </w:p>
        </w:tc>
      </w:tr>
      <w:tr w14:paraId="68EE0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restart"/>
            <w:noWrap w:val="0"/>
            <w:vAlign w:val="center"/>
          </w:tcPr>
          <w:p w14:paraId="35DEEDFC">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3.2.3（2）</w:t>
            </w:r>
          </w:p>
          <w:p w14:paraId="1149E477">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技术</w:t>
            </w:r>
          </w:p>
          <w:p w14:paraId="3A6B7DA2">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部分</w:t>
            </w:r>
          </w:p>
        </w:tc>
        <w:tc>
          <w:tcPr>
            <w:tcW w:w="708" w:type="dxa"/>
            <w:noWrap w:val="0"/>
            <w:vAlign w:val="center"/>
          </w:tcPr>
          <w:p w14:paraId="196C367A">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1701" w:type="dxa"/>
            <w:noWrap w:val="0"/>
            <w:vAlign w:val="center"/>
          </w:tcPr>
          <w:p w14:paraId="5F85F747">
            <w:pPr>
              <w:keepNext w:val="0"/>
              <w:keepLines w:val="0"/>
              <w:pageBreakBefore w:val="0"/>
              <w:kinsoku/>
              <w:wordWrap/>
              <w:overflowPunct/>
              <w:topLinePunct w:val="0"/>
              <w:autoSpaceDE/>
              <w:autoSpaceDN/>
              <w:bidi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技术参数及要求（52分）</w:t>
            </w:r>
          </w:p>
        </w:tc>
        <w:tc>
          <w:tcPr>
            <w:tcW w:w="6237" w:type="dxa"/>
            <w:gridSpan w:val="2"/>
            <w:noWrap w:val="0"/>
            <w:vAlign w:val="center"/>
          </w:tcPr>
          <w:p w14:paraId="253DCF75">
            <w:pPr>
              <w:keepNext w:val="0"/>
              <w:keepLines w:val="0"/>
              <w:pageBreakBefore w:val="0"/>
              <w:widowControl/>
              <w:kinsoku/>
              <w:wordWrap/>
              <w:overflowPunct/>
              <w:topLinePunct w:val="0"/>
              <w:autoSpaceDE/>
              <w:autoSpaceDN/>
              <w:bidi w:val="0"/>
              <w:snapToGrid w:val="0"/>
              <w:spacing w:line="360" w:lineRule="auto"/>
              <w:textAlignment w:val="auto"/>
              <w:rPr>
                <w:rFonts w:hint="eastAsia" w:ascii="仿宋" w:hAnsi="仿宋" w:eastAsia="仿宋" w:cs="仿宋"/>
                <w:b/>
                <w:bCs/>
                <w:iCs/>
                <w:color w:val="000000"/>
                <w:sz w:val="24"/>
                <w:highlight w:val="none"/>
                <w:lang w:val="en-US" w:eastAsia="zh-CN"/>
              </w:rPr>
            </w:pPr>
            <w:r>
              <w:rPr>
                <w:rFonts w:hint="eastAsia" w:ascii="仿宋" w:hAnsi="仿宋" w:eastAsia="仿宋" w:cs="仿宋"/>
                <w:b/>
                <w:bCs/>
                <w:iCs/>
                <w:color w:val="000000"/>
                <w:sz w:val="24"/>
                <w:highlight w:val="none"/>
                <w:lang w:val="en-US" w:eastAsia="zh-CN"/>
              </w:rPr>
              <w:t>第1包：</w:t>
            </w:r>
          </w:p>
          <w:p w14:paraId="51BC7445">
            <w:pPr>
              <w:keepNext w:val="0"/>
              <w:keepLines w:val="0"/>
              <w:pageBreakBefore w:val="0"/>
              <w:widowControl/>
              <w:kinsoku/>
              <w:wordWrap/>
              <w:overflowPunct/>
              <w:topLinePunct w:val="0"/>
              <w:autoSpaceDE/>
              <w:autoSpaceDN/>
              <w:bidi w:val="0"/>
              <w:snapToGrid w:val="0"/>
              <w:spacing w:line="360" w:lineRule="auto"/>
              <w:textAlignment w:val="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1、</w:t>
            </w:r>
            <w:bookmarkStart w:id="789" w:name="OLE_LINK23"/>
            <w:bookmarkStart w:id="790" w:name="OLE_LINK22"/>
            <w:r>
              <w:rPr>
                <w:rFonts w:hint="eastAsia" w:ascii="仿宋" w:hAnsi="仿宋" w:eastAsia="仿宋" w:cs="仿宋"/>
                <w:color w:val="000000"/>
                <w:kern w:val="0"/>
                <w:sz w:val="24"/>
                <w:highlight w:val="none"/>
                <w:lang w:val="zh-CN" w:bidi="zh-CN"/>
              </w:rPr>
              <w:t>★</w:t>
            </w:r>
            <w:bookmarkEnd w:id="789"/>
            <w:bookmarkEnd w:id="790"/>
            <w:r>
              <w:rPr>
                <w:rFonts w:hint="eastAsia" w:ascii="仿宋" w:hAnsi="仿宋" w:eastAsia="仿宋" w:cs="仿宋"/>
                <w:iCs/>
                <w:color w:val="000000"/>
                <w:sz w:val="24"/>
                <w:highlight w:val="none"/>
              </w:rPr>
              <w:t>代表重要指标，每满足一项得</w:t>
            </w:r>
            <w:r>
              <w:rPr>
                <w:rFonts w:hint="eastAsia" w:ascii="仿宋" w:hAnsi="仿宋" w:eastAsia="仿宋" w:cs="仿宋"/>
                <w:iCs/>
                <w:color w:val="000000"/>
                <w:sz w:val="24"/>
                <w:highlight w:val="none"/>
                <w:lang w:val="en-US" w:eastAsia="zh-CN"/>
              </w:rPr>
              <w:t>4</w:t>
            </w:r>
            <w:r>
              <w:rPr>
                <w:rFonts w:hint="eastAsia" w:ascii="仿宋" w:hAnsi="仿宋" w:eastAsia="仿宋" w:cs="仿宋"/>
                <w:iCs/>
                <w:color w:val="000000"/>
                <w:sz w:val="24"/>
                <w:highlight w:val="none"/>
              </w:rPr>
              <w:t>分，共</w:t>
            </w:r>
            <w:r>
              <w:rPr>
                <w:rFonts w:hint="eastAsia" w:ascii="仿宋" w:hAnsi="仿宋" w:eastAsia="仿宋" w:cs="仿宋"/>
                <w:iCs/>
                <w:color w:val="000000"/>
                <w:sz w:val="24"/>
                <w:highlight w:val="none"/>
                <w:lang w:val="en-US" w:eastAsia="zh-CN"/>
              </w:rPr>
              <w:t>3</w:t>
            </w:r>
            <w:r>
              <w:rPr>
                <w:rFonts w:hint="eastAsia" w:ascii="仿宋" w:hAnsi="仿宋" w:eastAsia="仿宋" w:cs="仿宋"/>
                <w:iCs/>
                <w:color w:val="000000"/>
                <w:sz w:val="24"/>
                <w:highlight w:val="none"/>
              </w:rPr>
              <w:t>项，</w:t>
            </w:r>
            <w:r>
              <w:rPr>
                <w:rFonts w:hint="eastAsia" w:ascii="仿宋" w:hAnsi="仿宋" w:eastAsia="仿宋" w:cs="仿宋"/>
                <w:iCs/>
                <w:color w:val="000000"/>
                <w:sz w:val="24"/>
                <w:highlight w:val="none"/>
                <w:lang w:val="en-US" w:eastAsia="zh-CN"/>
              </w:rPr>
              <w:t>该小项</w:t>
            </w:r>
            <w:r>
              <w:rPr>
                <w:rFonts w:hint="eastAsia" w:ascii="仿宋" w:hAnsi="仿宋" w:eastAsia="仿宋" w:cs="仿宋"/>
                <w:iCs/>
                <w:color w:val="000000"/>
                <w:sz w:val="24"/>
                <w:highlight w:val="none"/>
              </w:rPr>
              <w:t>共计</w:t>
            </w:r>
            <w:r>
              <w:rPr>
                <w:rFonts w:hint="eastAsia" w:ascii="仿宋" w:hAnsi="仿宋" w:eastAsia="仿宋" w:cs="仿宋"/>
                <w:iCs/>
                <w:color w:val="000000"/>
                <w:sz w:val="24"/>
                <w:highlight w:val="none"/>
                <w:lang w:val="en-US" w:eastAsia="zh-CN"/>
              </w:rPr>
              <w:t>1</w:t>
            </w:r>
            <w:r>
              <w:rPr>
                <w:rFonts w:hint="eastAsia" w:ascii="仿宋" w:hAnsi="仿宋" w:eastAsia="仿宋" w:cs="仿宋"/>
                <w:iCs/>
                <w:color w:val="000000"/>
                <w:sz w:val="24"/>
                <w:highlight w:val="none"/>
                <w:lang w:val="en-US" w:eastAsia="zh-CN"/>
              </w:rPr>
              <w:t>2</w:t>
            </w:r>
            <w:r>
              <w:rPr>
                <w:rFonts w:hint="eastAsia" w:ascii="仿宋" w:hAnsi="仿宋" w:eastAsia="仿宋" w:cs="仿宋"/>
                <w:iCs/>
                <w:color w:val="000000"/>
                <w:sz w:val="24"/>
                <w:highlight w:val="none"/>
              </w:rPr>
              <w:t>分；</w:t>
            </w:r>
            <w:r>
              <w:rPr>
                <w:rFonts w:hint="eastAsia" w:ascii="仿宋" w:hAnsi="仿宋" w:eastAsia="仿宋" w:cs="仿宋"/>
                <w:b/>
                <w:iCs/>
                <w:color w:val="000000"/>
                <w:sz w:val="24"/>
                <w:highlight w:val="none"/>
              </w:rPr>
              <w:t>投标文件中所有★参数</w:t>
            </w:r>
            <w:r>
              <w:rPr>
                <w:rFonts w:hint="eastAsia" w:hAnsi="宋体" w:eastAsia="仿宋"/>
                <w:b/>
                <w:iCs/>
                <w:color w:val="000000"/>
                <w:sz w:val="24"/>
                <w:szCs w:val="24"/>
                <w:highlight w:val="none"/>
              </w:rPr>
              <w:t>须提供技术彩页或产品技术说明</w:t>
            </w:r>
            <w:r>
              <w:rPr>
                <w:rFonts w:hint="eastAsia" w:ascii="仿宋" w:hAnsi="仿宋" w:eastAsia="仿宋" w:cs="仿宋"/>
                <w:b/>
                <w:iCs/>
                <w:color w:val="000000"/>
                <w:sz w:val="24"/>
                <w:highlight w:val="none"/>
              </w:rPr>
              <w:t>；</w:t>
            </w:r>
          </w:p>
          <w:p w14:paraId="62A47065">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2、无标识项为基础指标项,</w:t>
            </w:r>
            <w:r>
              <w:rPr>
                <w:rFonts w:hint="eastAsia" w:ascii="仿宋" w:hAnsi="仿宋" w:eastAsia="仿宋" w:cs="仿宋"/>
                <w:iCs/>
                <w:color w:val="000000"/>
                <w:sz w:val="24"/>
                <w:highlight w:val="none"/>
              </w:rPr>
              <w:t>每满足一项得</w:t>
            </w:r>
            <w:r>
              <w:rPr>
                <w:rFonts w:hint="eastAsia" w:ascii="仿宋" w:hAnsi="仿宋" w:eastAsia="仿宋" w:cs="仿宋"/>
                <w:iCs/>
                <w:color w:val="000000"/>
                <w:sz w:val="24"/>
                <w:highlight w:val="none"/>
                <w:lang w:val="en-US" w:eastAsia="zh-CN"/>
              </w:rPr>
              <w:t>2</w:t>
            </w:r>
            <w:r>
              <w:rPr>
                <w:rFonts w:hint="eastAsia" w:ascii="仿宋" w:hAnsi="仿宋" w:eastAsia="仿宋" w:cs="仿宋"/>
                <w:iCs/>
                <w:color w:val="000000"/>
                <w:sz w:val="24"/>
                <w:highlight w:val="none"/>
              </w:rPr>
              <w:t>分，共</w:t>
            </w:r>
            <w:r>
              <w:rPr>
                <w:rFonts w:hint="eastAsia" w:ascii="仿宋" w:hAnsi="仿宋" w:eastAsia="仿宋" w:cs="仿宋"/>
                <w:iCs/>
                <w:color w:val="000000"/>
                <w:sz w:val="24"/>
                <w:highlight w:val="none"/>
                <w:lang w:val="en-US" w:eastAsia="zh-CN"/>
              </w:rPr>
              <w:t>20</w:t>
            </w:r>
            <w:r>
              <w:rPr>
                <w:rFonts w:hint="eastAsia" w:ascii="仿宋" w:hAnsi="仿宋" w:eastAsia="仿宋" w:cs="仿宋"/>
                <w:iCs/>
                <w:color w:val="000000"/>
                <w:sz w:val="24"/>
                <w:highlight w:val="none"/>
              </w:rPr>
              <w:t>项，</w:t>
            </w:r>
            <w:r>
              <w:rPr>
                <w:rFonts w:hint="eastAsia" w:ascii="仿宋" w:hAnsi="仿宋" w:eastAsia="仿宋" w:cs="仿宋"/>
                <w:iCs/>
                <w:color w:val="000000"/>
                <w:sz w:val="24"/>
                <w:highlight w:val="none"/>
                <w:lang w:val="en-US" w:eastAsia="zh-CN"/>
              </w:rPr>
              <w:t>该小项</w:t>
            </w:r>
            <w:r>
              <w:rPr>
                <w:rFonts w:hint="eastAsia" w:ascii="仿宋" w:hAnsi="仿宋" w:eastAsia="仿宋" w:cs="仿宋"/>
                <w:iCs/>
                <w:color w:val="000000"/>
                <w:sz w:val="24"/>
                <w:highlight w:val="none"/>
              </w:rPr>
              <w:t>共计</w:t>
            </w:r>
            <w:r>
              <w:rPr>
                <w:rFonts w:hint="eastAsia" w:ascii="仿宋" w:hAnsi="仿宋" w:eastAsia="仿宋" w:cs="仿宋"/>
                <w:iCs/>
                <w:color w:val="000000"/>
                <w:sz w:val="24"/>
                <w:highlight w:val="none"/>
                <w:lang w:val="en-US" w:eastAsia="zh-CN"/>
              </w:rPr>
              <w:t>40</w:t>
            </w:r>
            <w:r>
              <w:rPr>
                <w:rFonts w:hint="eastAsia" w:ascii="仿宋" w:hAnsi="仿宋" w:eastAsia="仿宋" w:cs="仿宋"/>
                <w:iCs/>
                <w:color w:val="000000"/>
                <w:sz w:val="24"/>
                <w:highlight w:val="none"/>
              </w:rPr>
              <w:t>分</w:t>
            </w:r>
            <w:r>
              <w:rPr>
                <w:rFonts w:hint="eastAsia" w:ascii="仿宋" w:hAnsi="仿宋" w:eastAsia="仿宋" w:cs="仿宋"/>
                <w:iCs/>
                <w:color w:val="000000"/>
                <w:sz w:val="24"/>
                <w:highlight w:val="none"/>
              </w:rPr>
              <w:t>。</w:t>
            </w:r>
          </w:p>
          <w:p w14:paraId="20AAEFB6">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注：本项满分</w:t>
            </w:r>
            <w:r>
              <w:rPr>
                <w:rFonts w:hint="eastAsia" w:ascii="仿宋" w:hAnsi="仿宋" w:eastAsia="仿宋" w:cs="仿宋"/>
                <w:iCs/>
                <w:color w:val="000000"/>
                <w:sz w:val="24"/>
                <w:highlight w:val="none"/>
                <w:lang w:val="en-US" w:eastAsia="zh-CN"/>
              </w:rPr>
              <w:t>共</w:t>
            </w:r>
            <w:r>
              <w:rPr>
                <w:rFonts w:hint="eastAsia" w:ascii="仿宋" w:hAnsi="仿宋" w:eastAsia="仿宋" w:cs="仿宋"/>
                <w:iCs/>
                <w:color w:val="000000"/>
                <w:sz w:val="24"/>
                <w:highlight w:val="none"/>
              </w:rPr>
              <w:t>52分，以投标响应表及货物指标要求中要求提供的材料作为评审依据。</w:t>
            </w:r>
          </w:p>
          <w:p w14:paraId="6984100A">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
                <w:bCs/>
                <w:iCs/>
                <w:color w:val="000000"/>
                <w:sz w:val="24"/>
                <w:highlight w:val="none"/>
                <w:lang w:val="en-US" w:eastAsia="zh-CN"/>
              </w:rPr>
            </w:pPr>
            <w:r>
              <w:rPr>
                <w:rFonts w:hint="eastAsia" w:ascii="仿宋" w:hAnsi="仿宋" w:eastAsia="仿宋" w:cs="仿宋"/>
                <w:b/>
                <w:bCs/>
                <w:iCs/>
                <w:color w:val="000000"/>
                <w:sz w:val="24"/>
                <w:highlight w:val="none"/>
                <w:lang w:val="en-US" w:eastAsia="zh-CN"/>
              </w:rPr>
              <w:t>第</w:t>
            </w:r>
            <w:r>
              <w:rPr>
                <w:rFonts w:hint="eastAsia" w:ascii="仿宋" w:hAnsi="仿宋" w:eastAsia="仿宋" w:cs="仿宋"/>
                <w:b/>
                <w:bCs/>
                <w:iCs/>
                <w:color w:val="000000"/>
                <w:sz w:val="24"/>
                <w:highlight w:val="none"/>
                <w:lang w:val="en-US" w:eastAsia="zh-CN"/>
              </w:rPr>
              <w:t>2包：</w:t>
            </w:r>
          </w:p>
          <w:p w14:paraId="68D3189D">
            <w:pPr>
              <w:keepNext w:val="0"/>
              <w:keepLines w:val="0"/>
              <w:pageBreakBefore w:val="0"/>
              <w:widowControl/>
              <w:kinsoku/>
              <w:wordWrap/>
              <w:overflowPunct/>
              <w:topLinePunct w:val="0"/>
              <w:autoSpaceDE/>
              <w:autoSpaceDN/>
              <w:bidi w:val="0"/>
              <w:snapToGrid w:val="0"/>
              <w:spacing w:line="360" w:lineRule="auto"/>
              <w:textAlignment w:val="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1、</w:t>
            </w:r>
            <w:r>
              <w:rPr>
                <w:rFonts w:hint="eastAsia" w:ascii="仿宋" w:hAnsi="仿宋" w:eastAsia="仿宋" w:cs="仿宋"/>
                <w:color w:val="000000"/>
                <w:kern w:val="0"/>
                <w:sz w:val="24"/>
                <w:highlight w:val="none"/>
                <w:lang w:val="zh-CN" w:bidi="zh-CN"/>
              </w:rPr>
              <w:t>★</w:t>
            </w:r>
            <w:r>
              <w:rPr>
                <w:rFonts w:hint="eastAsia" w:ascii="仿宋" w:hAnsi="仿宋" w:eastAsia="仿宋" w:cs="仿宋"/>
                <w:iCs/>
                <w:color w:val="000000"/>
                <w:sz w:val="24"/>
                <w:highlight w:val="none"/>
              </w:rPr>
              <w:t>代表重要指标，每满足一项得</w:t>
            </w:r>
            <w:r>
              <w:rPr>
                <w:rFonts w:hint="eastAsia" w:ascii="仿宋" w:hAnsi="仿宋" w:eastAsia="仿宋" w:cs="仿宋"/>
                <w:iCs/>
                <w:color w:val="000000"/>
                <w:sz w:val="24"/>
                <w:highlight w:val="none"/>
                <w:lang w:val="en-US" w:eastAsia="zh-CN"/>
              </w:rPr>
              <w:t>4</w:t>
            </w:r>
            <w:r>
              <w:rPr>
                <w:rFonts w:hint="eastAsia" w:ascii="仿宋" w:hAnsi="仿宋" w:eastAsia="仿宋" w:cs="仿宋"/>
                <w:iCs/>
                <w:color w:val="000000"/>
                <w:sz w:val="24"/>
                <w:highlight w:val="none"/>
              </w:rPr>
              <w:t>分，共</w:t>
            </w:r>
            <w:r>
              <w:rPr>
                <w:rFonts w:hint="eastAsia" w:ascii="仿宋" w:hAnsi="仿宋" w:eastAsia="仿宋" w:cs="仿宋"/>
                <w:iCs/>
                <w:color w:val="000000"/>
                <w:sz w:val="24"/>
                <w:highlight w:val="none"/>
                <w:lang w:val="en-US" w:eastAsia="zh-CN"/>
              </w:rPr>
              <w:t>7</w:t>
            </w:r>
            <w:r>
              <w:rPr>
                <w:rFonts w:hint="eastAsia" w:ascii="仿宋" w:hAnsi="仿宋" w:eastAsia="仿宋" w:cs="仿宋"/>
                <w:iCs/>
                <w:color w:val="000000"/>
                <w:sz w:val="24"/>
                <w:highlight w:val="none"/>
              </w:rPr>
              <w:t>项，</w:t>
            </w:r>
            <w:r>
              <w:rPr>
                <w:rFonts w:hint="eastAsia" w:ascii="仿宋" w:hAnsi="仿宋" w:eastAsia="仿宋" w:cs="仿宋"/>
                <w:iCs/>
                <w:color w:val="000000"/>
                <w:sz w:val="24"/>
                <w:highlight w:val="none"/>
                <w:lang w:val="en-US" w:eastAsia="zh-CN"/>
              </w:rPr>
              <w:t>该小项</w:t>
            </w:r>
            <w:r>
              <w:rPr>
                <w:rFonts w:hint="eastAsia" w:ascii="仿宋" w:hAnsi="仿宋" w:eastAsia="仿宋" w:cs="仿宋"/>
                <w:iCs/>
                <w:color w:val="000000"/>
                <w:sz w:val="24"/>
                <w:highlight w:val="none"/>
              </w:rPr>
              <w:t>共计</w:t>
            </w:r>
            <w:r>
              <w:rPr>
                <w:rFonts w:hint="eastAsia" w:ascii="仿宋" w:hAnsi="仿宋" w:eastAsia="仿宋" w:cs="仿宋"/>
                <w:iCs/>
                <w:color w:val="000000"/>
                <w:sz w:val="24"/>
                <w:highlight w:val="none"/>
                <w:lang w:val="en-US" w:eastAsia="zh-CN"/>
              </w:rPr>
              <w:t>28</w:t>
            </w:r>
            <w:r>
              <w:rPr>
                <w:rFonts w:hint="eastAsia" w:ascii="仿宋" w:hAnsi="仿宋" w:eastAsia="仿宋" w:cs="仿宋"/>
                <w:iCs/>
                <w:color w:val="000000"/>
                <w:sz w:val="24"/>
                <w:highlight w:val="none"/>
              </w:rPr>
              <w:t>分；</w:t>
            </w:r>
            <w:r>
              <w:rPr>
                <w:rFonts w:hint="eastAsia" w:ascii="仿宋" w:hAnsi="仿宋" w:eastAsia="仿宋" w:cs="仿宋"/>
                <w:b/>
                <w:iCs/>
                <w:color w:val="000000"/>
                <w:sz w:val="24"/>
                <w:highlight w:val="none"/>
              </w:rPr>
              <w:t>投标文件中所有★参数</w:t>
            </w:r>
            <w:r>
              <w:rPr>
                <w:rFonts w:hint="eastAsia" w:hAnsi="宋体" w:eastAsia="仿宋"/>
                <w:b/>
                <w:iCs/>
                <w:color w:val="000000"/>
                <w:sz w:val="24"/>
                <w:szCs w:val="24"/>
                <w:highlight w:val="none"/>
              </w:rPr>
              <w:t>须提供技术彩页或产品技术说明</w:t>
            </w:r>
            <w:r>
              <w:rPr>
                <w:rFonts w:hint="eastAsia" w:ascii="仿宋" w:hAnsi="仿宋" w:eastAsia="仿宋" w:cs="仿宋"/>
                <w:b/>
                <w:iCs/>
                <w:color w:val="000000"/>
                <w:sz w:val="24"/>
                <w:highlight w:val="none"/>
              </w:rPr>
              <w:t>；</w:t>
            </w:r>
          </w:p>
          <w:p w14:paraId="64A3AFF0">
            <w:pPr>
              <w:keepNext w:val="0"/>
              <w:keepLines w:val="0"/>
              <w:pageBreakBefore w:val="0"/>
              <w:kinsoku/>
              <w:wordWrap/>
              <w:overflowPunct/>
              <w:topLinePunct w:val="0"/>
              <w:autoSpaceDE/>
              <w:autoSpaceDN/>
              <w:bidi w:val="0"/>
              <w:snapToGrid w:val="0"/>
              <w:spacing w:line="360" w:lineRule="auto"/>
              <w:textAlignment w:val="auto"/>
              <w:rPr>
                <w:rFonts w:hint="default" w:ascii="仿宋" w:hAnsi="仿宋" w:eastAsia="仿宋" w:cs="仿宋"/>
                <w:iCs/>
                <w:color w:val="000000"/>
                <w:sz w:val="24"/>
                <w:highlight w:val="none"/>
                <w:lang w:val="en-US" w:eastAsia="zh-CN"/>
              </w:rPr>
            </w:pPr>
            <w:r>
              <w:rPr>
                <w:rFonts w:hint="eastAsia" w:ascii="仿宋" w:hAnsi="仿宋" w:eastAsia="仿宋" w:cs="仿宋"/>
                <w:iCs/>
                <w:color w:val="000000"/>
                <w:sz w:val="24"/>
                <w:highlight w:val="none"/>
              </w:rPr>
              <w:t>2、无标识项为基础指标项,每满足一项得</w:t>
            </w:r>
            <w:r>
              <w:rPr>
                <w:rFonts w:hint="eastAsia" w:ascii="仿宋" w:hAnsi="仿宋" w:eastAsia="仿宋" w:cs="仿宋"/>
                <w:iCs/>
                <w:color w:val="000000"/>
                <w:sz w:val="24"/>
                <w:highlight w:val="none"/>
                <w:lang w:val="en-US" w:eastAsia="zh-CN"/>
              </w:rPr>
              <w:t>0.2</w:t>
            </w:r>
            <w:r>
              <w:rPr>
                <w:rFonts w:hint="eastAsia" w:ascii="仿宋" w:hAnsi="仿宋" w:eastAsia="仿宋" w:cs="仿宋"/>
                <w:iCs/>
                <w:color w:val="000000"/>
                <w:sz w:val="24"/>
                <w:highlight w:val="none"/>
              </w:rPr>
              <w:t>分，共</w:t>
            </w:r>
            <w:r>
              <w:rPr>
                <w:rFonts w:hint="eastAsia" w:ascii="仿宋" w:hAnsi="仿宋" w:eastAsia="仿宋" w:cs="仿宋"/>
                <w:iCs/>
                <w:color w:val="000000"/>
                <w:sz w:val="24"/>
                <w:highlight w:val="none"/>
                <w:lang w:val="en-US" w:eastAsia="zh-CN"/>
              </w:rPr>
              <w:t>120</w:t>
            </w:r>
            <w:r>
              <w:rPr>
                <w:rFonts w:hint="eastAsia" w:ascii="仿宋" w:hAnsi="仿宋" w:eastAsia="仿宋" w:cs="仿宋"/>
                <w:iCs/>
                <w:color w:val="000000"/>
                <w:sz w:val="24"/>
                <w:highlight w:val="none"/>
              </w:rPr>
              <w:t>项，</w:t>
            </w:r>
            <w:r>
              <w:rPr>
                <w:rFonts w:hint="eastAsia" w:ascii="仿宋" w:hAnsi="仿宋" w:eastAsia="仿宋" w:cs="仿宋"/>
                <w:iCs/>
                <w:color w:val="000000"/>
                <w:sz w:val="24"/>
                <w:highlight w:val="none"/>
                <w:lang w:val="en-US" w:eastAsia="zh-CN"/>
              </w:rPr>
              <w:t>该小项</w:t>
            </w:r>
            <w:r>
              <w:rPr>
                <w:rFonts w:hint="eastAsia" w:ascii="仿宋" w:hAnsi="仿宋" w:eastAsia="仿宋" w:cs="仿宋"/>
                <w:iCs/>
                <w:color w:val="000000"/>
                <w:sz w:val="24"/>
                <w:highlight w:val="none"/>
              </w:rPr>
              <w:t>共计</w:t>
            </w:r>
            <w:r>
              <w:rPr>
                <w:rFonts w:hint="eastAsia" w:ascii="仿宋" w:hAnsi="仿宋" w:eastAsia="仿宋" w:cs="仿宋"/>
                <w:iCs/>
                <w:color w:val="000000"/>
                <w:sz w:val="24"/>
                <w:highlight w:val="none"/>
                <w:lang w:val="en-US" w:eastAsia="zh-CN"/>
              </w:rPr>
              <w:t>24</w:t>
            </w:r>
            <w:r>
              <w:rPr>
                <w:rFonts w:hint="eastAsia" w:ascii="仿宋" w:hAnsi="仿宋" w:eastAsia="仿宋" w:cs="仿宋"/>
                <w:iCs/>
                <w:color w:val="000000"/>
                <w:sz w:val="24"/>
                <w:highlight w:val="none"/>
              </w:rPr>
              <w:t>分。</w:t>
            </w:r>
          </w:p>
          <w:p w14:paraId="3C8838E1">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iCs/>
                <w:color w:val="000000"/>
                <w:sz w:val="24"/>
                <w:highlight w:val="none"/>
              </w:rPr>
            </w:pPr>
            <w:r>
              <w:rPr>
                <w:rFonts w:hint="eastAsia" w:ascii="仿宋" w:hAnsi="仿宋" w:eastAsia="仿宋" w:cs="仿宋"/>
                <w:iCs/>
                <w:color w:val="000000"/>
                <w:sz w:val="24"/>
                <w:highlight w:val="none"/>
              </w:rPr>
              <w:t>注：本项满分52分，以投标响应表及货物指标要求中要求提供的材料作为评审依据。</w:t>
            </w:r>
          </w:p>
        </w:tc>
      </w:tr>
      <w:tr w14:paraId="6D637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top"/>
          </w:tcPr>
          <w:p w14:paraId="7A849328">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p>
        </w:tc>
        <w:tc>
          <w:tcPr>
            <w:tcW w:w="708" w:type="dxa"/>
            <w:noWrap w:val="0"/>
            <w:vAlign w:val="center"/>
          </w:tcPr>
          <w:p w14:paraId="58C9D10F">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2</w:t>
            </w:r>
          </w:p>
        </w:tc>
        <w:tc>
          <w:tcPr>
            <w:tcW w:w="1701" w:type="dxa"/>
            <w:noWrap w:val="0"/>
            <w:vAlign w:val="center"/>
          </w:tcPr>
          <w:p w14:paraId="67EDCF49">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售后服务</w:t>
            </w:r>
          </w:p>
          <w:p w14:paraId="01239C3A">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（0-4分）</w:t>
            </w:r>
          </w:p>
        </w:tc>
        <w:tc>
          <w:tcPr>
            <w:tcW w:w="6237" w:type="dxa"/>
            <w:gridSpan w:val="2"/>
            <w:noWrap w:val="0"/>
            <w:vAlign w:val="center"/>
          </w:tcPr>
          <w:p w14:paraId="53F155A3">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Cs/>
                <w:color w:val="000000"/>
                <w:sz w:val="24"/>
                <w:szCs w:val="20"/>
                <w:highlight w:val="none"/>
              </w:rPr>
            </w:pPr>
            <w:r>
              <w:rPr>
                <w:rFonts w:hint="eastAsia" w:ascii="仿宋" w:hAnsi="仿宋" w:eastAsia="仿宋" w:cs="仿宋"/>
                <w:bCs/>
                <w:color w:val="000000"/>
                <w:sz w:val="24"/>
                <w:szCs w:val="20"/>
                <w:highlight w:val="none"/>
              </w:rPr>
              <w:t>根据投标人提供的售后服务方案（包括售后响应时间、保障措施、售后人员故障响应时间等）进行评分：</w:t>
            </w:r>
          </w:p>
          <w:p w14:paraId="545E4A58">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Cs/>
                <w:color w:val="000000"/>
                <w:sz w:val="24"/>
                <w:szCs w:val="20"/>
                <w:highlight w:val="none"/>
              </w:rPr>
            </w:pPr>
            <w:r>
              <w:rPr>
                <w:rFonts w:hint="eastAsia" w:ascii="仿宋" w:hAnsi="仿宋" w:eastAsia="仿宋" w:cs="仿宋"/>
                <w:bCs/>
                <w:color w:val="000000"/>
                <w:sz w:val="24"/>
                <w:szCs w:val="20"/>
                <w:highlight w:val="none"/>
              </w:rPr>
              <w:t>1、售后服务方案（包括售后响应时间、保障措施、售后人员故障响应时间等）完整详细，可行性、实用性、针对性强，得4分；</w:t>
            </w:r>
          </w:p>
          <w:p w14:paraId="099D3F85">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Cs/>
                <w:color w:val="000000"/>
                <w:sz w:val="24"/>
                <w:szCs w:val="20"/>
                <w:highlight w:val="none"/>
              </w:rPr>
            </w:pPr>
            <w:r>
              <w:rPr>
                <w:rFonts w:hint="eastAsia" w:ascii="仿宋" w:hAnsi="仿宋" w:eastAsia="仿宋" w:cs="仿宋"/>
                <w:bCs/>
                <w:color w:val="000000"/>
                <w:sz w:val="24"/>
                <w:szCs w:val="20"/>
                <w:highlight w:val="none"/>
              </w:rPr>
              <w:t>2、售后服务方案（包括售后响应时间、保障措施、售后人员故障响应时间等）完整，具有可行性实用性和针对性，得2分；</w:t>
            </w:r>
          </w:p>
          <w:p w14:paraId="246D36CD">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Cs/>
                <w:color w:val="000000"/>
                <w:sz w:val="24"/>
                <w:szCs w:val="20"/>
                <w:highlight w:val="none"/>
              </w:rPr>
            </w:pPr>
            <w:r>
              <w:rPr>
                <w:rFonts w:hint="eastAsia" w:ascii="仿宋" w:hAnsi="仿宋" w:eastAsia="仿宋" w:cs="仿宋"/>
                <w:bCs/>
                <w:color w:val="000000"/>
                <w:sz w:val="24"/>
                <w:szCs w:val="20"/>
                <w:highlight w:val="none"/>
              </w:rPr>
              <w:t>3、售后服务方案（包括售后响应时间、保障措施、售后人员故障响应时间等）基本符合要求，可行性、实用性针对性有待改善，得1分；</w:t>
            </w:r>
          </w:p>
          <w:p w14:paraId="7F8A93E2">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color w:val="000000"/>
                <w:kern w:val="0"/>
                <w:sz w:val="24"/>
                <w:highlight w:val="none"/>
              </w:rPr>
            </w:pPr>
            <w:r>
              <w:rPr>
                <w:rFonts w:hint="eastAsia" w:ascii="仿宋" w:hAnsi="仿宋" w:eastAsia="仿宋" w:cs="仿宋"/>
                <w:bCs/>
                <w:color w:val="000000"/>
                <w:sz w:val="24"/>
                <w:szCs w:val="20"/>
                <w:highlight w:val="none"/>
              </w:rPr>
              <w:t>4、未提供不得分。</w:t>
            </w:r>
          </w:p>
        </w:tc>
      </w:tr>
      <w:tr w14:paraId="450E9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top"/>
          </w:tcPr>
          <w:p w14:paraId="56675890">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p>
        </w:tc>
        <w:tc>
          <w:tcPr>
            <w:tcW w:w="708" w:type="dxa"/>
            <w:noWrap w:val="0"/>
            <w:vAlign w:val="center"/>
          </w:tcPr>
          <w:p w14:paraId="1A97E886">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w:t>
            </w:r>
          </w:p>
        </w:tc>
        <w:tc>
          <w:tcPr>
            <w:tcW w:w="1701" w:type="dxa"/>
            <w:noWrap w:val="0"/>
            <w:vAlign w:val="center"/>
          </w:tcPr>
          <w:p w14:paraId="3B47344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人员及培训方案（0-4分）</w:t>
            </w:r>
          </w:p>
        </w:tc>
        <w:tc>
          <w:tcPr>
            <w:tcW w:w="6237" w:type="dxa"/>
            <w:gridSpan w:val="2"/>
            <w:noWrap w:val="0"/>
            <w:vAlign w:val="center"/>
          </w:tcPr>
          <w:p w14:paraId="76CD2F09">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Cs/>
                <w:color w:val="000000"/>
                <w:sz w:val="24"/>
                <w:szCs w:val="20"/>
                <w:highlight w:val="none"/>
              </w:rPr>
            </w:pPr>
            <w:r>
              <w:rPr>
                <w:rFonts w:hint="eastAsia" w:ascii="仿宋" w:hAnsi="仿宋" w:eastAsia="仿宋" w:cs="仿宋"/>
                <w:bCs/>
                <w:color w:val="000000"/>
                <w:sz w:val="24"/>
                <w:szCs w:val="20"/>
                <w:highlight w:val="none"/>
              </w:rPr>
              <w:t>根据投标人提供的专业技术人员及培训方案内容的详实程度、可实施性等进行评分：</w:t>
            </w:r>
          </w:p>
          <w:p w14:paraId="4B85EEE6">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Cs/>
                <w:color w:val="000000"/>
                <w:sz w:val="24"/>
                <w:szCs w:val="20"/>
                <w:highlight w:val="none"/>
              </w:rPr>
            </w:pPr>
            <w:r>
              <w:rPr>
                <w:rFonts w:hint="eastAsia" w:ascii="仿宋" w:hAnsi="仿宋" w:eastAsia="仿宋" w:cs="仿宋"/>
                <w:bCs/>
                <w:color w:val="000000"/>
                <w:sz w:val="24"/>
                <w:szCs w:val="20"/>
                <w:highlight w:val="none"/>
              </w:rPr>
              <w:t>1、人员专业、技术培训方案内容详实、实施性强得4分；</w:t>
            </w:r>
          </w:p>
          <w:p w14:paraId="39B0F76F">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Cs/>
                <w:color w:val="000000"/>
                <w:sz w:val="24"/>
                <w:szCs w:val="20"/>
                <w:highlight w:val="none"/>
              </w:rPr>
            </w:pPr>
            <w:r>
              <w:rPr>
                <w:rFonts w:hint="eastAsia" w:ascii="仿宋" w:hAnsi="仿宋" w:eastAsia="仿宋" w:cs="仿宋"/>
                <w:bCs/>
                <w:color w:val="000000"/>
                <w:sz w:val="24"/>
                <w:szCs w:val="20"/>
                <w:highlight w:val="none"/>
              </w:rPr>
              <w:t>2、人员较专业、技术培训方案完整、实施性较强得2分；</w:t>
            </w:r>
          </w:p>
          <w:p w14:paraId="6AF341C4">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Cs/>
                <w:color w:val="000000"/>
                <w:sz w:val="24"/>
                <w:szCs w:val="20"/>
                <w:highlight w:val="none"/>
              </w:rPr>
            </w:pPr>
            <w:r>
              <w:rPr>
                <w:rFonts w:hint="eastAsia" w:ascii="仿宋" w:hAnsi="仿宋" w:eastAsia="仿宋" w:cs="仿宋"/>
                <w:bCs/>
                <w:color w:val="000000"/>
                <w:sz w:val="24"/>
                <w:szCs w:val="20"/>
                <w:highlight w:val="none"/>
              </w:rPr>
              <w:t>3、技术培训方案内容完整性及实施性有待提高得1分；</w:t>
            </w:r>
          </w:p>
          <w:p w14:paraId="5F4770D5">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color w:val="000000"/>
                <w:kern w:val="0"/>
                <w:sz w:val="24"/>
                <w:highlight w:val="none"/>
              </w:rPr>
            </w:pPr>
            <w:r>
              <w:rPr>
                <w:rFonts w:hint="eastAsia" w:ascii="仿宋" w:hAnsi="仿宋" w:eastAsia="仿宋" w:cs="仿宋"/>
                <w:bCs/>
                <w:color w:val="000000"/>
                <w:sz w:val="24"/>
                <w:szCs w:val="20"/>
                <w:highlight w:val="none"/>
              </w:rPr>
              <w:t>4、未提供不得分。</w:t>
            </w:r>
          </w:p>
        </w:tc>
      </w:tr>
      <w:tr w14:paraId="124BE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vMerge w:val="continue"/>
            <w:noWrap w:val="0"/>
            <w:vAlign w:val="top"/>
          </w:tcPr>
          <w:p w14:paraId="28ECC484">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p>
        </w:tc>
        <w:tc>
          <w:tcPr>
            <w:tcW w:w="708" w:type="dxa"/>
            <w:noWrap w:val="0"/>
            <w:vAlign w:val="center"/>
          </w:tcPr>
          <w:p w14:paraId="736D5DF8">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w:t>
            </w:r>
          </w:p>
        </w:tc>
        <w:tc>
          <w:tcPr>
            <w:tcW w:w="1701" w:type="dxa"/>
            <w:noWrap w:val="0"/>
            <w:vAlign w:val="center"/>
          </w:tcPr>
          <w:p w14:paraId="730CC3FB">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维保方案（0-4分）</w:t>
            </w:r>
          </w:p>
        </w:tc>
        <w:tc>
          <w:tcPr>
            <w:tcW w:w="6237" w:type="dxa"/>
            <w:gridSpan w:val="2"/>
            <w:noWrap w:val="0"/>
            <w:vAlign w:val="center"/>
          </w:tcPr>
          <w:p w14:paraId="6C2A4D9C">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Cs/>
                <w:color w:val="000000"/>
                <w:sz w:val="24"/>
                <w:szCs w:val="20"/>
                <w:highlight w:val="none"/>
              </w:rPr>
            </w:pPr>
            <w:r>
              <w:rPr>
                <w:rFonts w:hint="eastAsia" w:ascii="仿宋" w:hAnsi="仿宋" w:eastAsia="仿宋" w:cs="仿宋"/>
                <w:bCs/>
                <w:color w:val="000000"/>
                <w:sz w:val="24"/>
                <w:szCs w:val="20"/>
                <w:highlight w:val="none"/>
              </w:rPr>
              <w:t>根据投标人的维保方案（含质保期外的备品备件、易损件报价情况）及进行综合评分。</w:t>
            </w:r>
          </w:p>
          <w:p w14:paraId="1731A513">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Cs/>
                <w:color w:val="000000"/>
                <w:sz w:val="24"/>
                <w:szCs w:val="20"/>
                <w:highlight w:val="none"/>
              </w:rPr>
            </w:pPr>
            <w:r>
              <w:rPr>
                <w:rFonts w:hint="eastAsia" w:ascii="仿宋" w:hAnsi="仿宋" w:eastAsia="仿宋" w:cs="仿宋"/>
                <w:bCs/>
                <w:color w:val="000000"/>
                <w:sz w:val="24"/>
                <w:szCs w:val="20"/>
                <w:highlight w:val="none"/>
              </w:rPr>
              <w:t>（1）与本项目的具体特点和实际需要适应度高，利于项目实施，有针对性，得4分；</w:t>
            </w:r>
          </w:p>
          <w:p w14:paraId="2AF4C75B">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Cs/>
                <w:color w:val="000000"/>
                <w:sz w:val="24"/>
                <w:szCs w:val="20"/>
                <w:highlight w:val="none"/>
              </w:rPr>
            </w:pPr>
            <w:r>
              <w:rPr>
                <w:rFonts w:hint="eastAsia" w:ascii="仿宋" w:hAnsi="仿宋" w:eastAsia="仿宋" w:cs="仿宋"/>
                <w:bCs/>
                <w:color w:val="000000"/>
                <w:sz w:val="24"/>
                <w:szCs w:val="20"/>
                <w:highlight w:val="none"/>
              </w:rPr>
              <w:t>（2）与本项目的具体特点和实际需要适应度较高，较利于项目实施，有一定针对性，得2分；</w:t>
            </w:r>
          </w:p>
          <w:p w14:paraId="4B33D213">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bCs/>
                <w:color w:val="000000"/>
                <w:sz w:val="24"/>
                <w:szCs w:val="20"/>
                <w:highlight w:val="none"/>
              </w:rPr>
            </w:pPr>
            <w:r>
              <w:rPr>
                <w:rFonts w:hint="eastAsia" w:ascii="仿宋" w:hAnsi="仿宋" w:eastAsia="仿宋" w:cs="仿宋"/>
                <w:bCs/>
                <w:color w:val="000000"/>
                <w:sz w:val="24"/>
                <w:szCs w:val="20"/>
                <w:highlight w:val="none"/>
              </w:rPr>
              <w:t>（3）与本项目的具体特点以及项目实际需要适应程度不够，有待完善，得1分；</w:t>
            </w:r>
          </w:p>
          <w:p w14:paraId="502A21BB">
            <w:pPr>
              <w:keepNext w:val="0"/>
              <w:keepLines w:val="0"/>
              <w:pageBreakBefore w:val="0"/>
              <w:kinsoku/>
              <w:wordWrap/>
              <w:overflowPunct/>
              <w:topLinePunct w:val="0"/>
              <w:autoSpaceDE/>
              <w:autoSpaceDN/>
              <w:bidi w:val="0"/>
              <w:snapToGrid w:val="0"/>
              <w:spacing w:line="360" w:lineRule="auto"/>
              <w:textAlignment w:val="auto"/>
              <w:rPr>
                <w:rFonts w:hint="eastAsia" w:ascii="仿宋" w:hAnsi="仿宋" w:eastAsia="仿宋" w:cs="仿宋"/>
                <w:color w:val="000000"/>
                <w:kern w:val="0"/>
                <w:sz w:val="24"/>
                <w:highlight w:val="none"/>
              </w:rPr>
            </w:pPr>
            <w:r>
              <w:rPr>
                <w:rFonts w:hint="eastAsia" w:ascii="仿宋" w:hAnsi="仿宋" w:eastAsia="仿宋" w:cs="仿宋"/>
                <w:bCs/>
                <w:color w:val="000000"/>
                <w:sz w:val="24"/>
                <w:szCs w:val="20"/>
                <w:highlight w:val="none"/>
              </w:rPr>
              <w:t>（4）未提供相关内容的不得分。</w:t>
            </w:r>
          </w:p>
        </w:tc>
      </w:tr>
      <w:tr w14:paraId="2850F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noWrap w:val="0"/>
            <w:vAlign w:val="center"/>
          </w:tcPr>
          <w:p w14:paraId="26D0D55C">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3.2.3（3）</w:t>
            </w:r>
          </w:p>
          <w:p w14:paraId="12426CCD">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投标</w:t>
            </w:r>
          </w:p>
          <w:p w14:paraId="23FF1BF2">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报价</w:t>
            </w:r>
          </w:p>
        </w:tc>
        <w:tc>
          <w:tcPr>
            <w:tcW w:w="708" w:type="dxa"/>
            <w:noWrap w:val="0"/>
            <w:vAlign w:val="center"/>
          </w:tcPr>
          <w:p w14:paraId="1E9C8602">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1701" w:type="dxa"/>
            <w:noWrap w:val="0"/>
            <w:vAlign w:val="center"/>
          </w:tcPr>
          <w:p w14:paraId="50CA5669">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投标报价得分计算</w:t>
            </w:r>
          </w:p>
        </w:tc>
        <w:tc>
          <w:tcPr>
            <w:tcW w:w="4225" w:type="dxa"/>
            <w:noWrap w:val="0"/>
            <w:vAlign w:val="center"/>
          </w:tcPr>
          <w:p w14:paraId="3DEF0932">
            <w:pPr>
              <w:keepNext w:val="0"/>
              <w:keepLines w:val="0"/>
              <w:pageBreakBefore w:val="0"/>
              <w:widowControl/>
              <w:kinsoku/>
              <w:wordWrap/>
              <w:overflowPunct/>
              <w:topLinePunct w:val="0"/>
              <w:autoSpaceDE/>
              <w:autoSpaceDN/>
              <w:bidi w:val="0"/>
              <w:snapToGrid w:val="0"/>
              <w:spacing w:line="360" w:lineRule="auto"/>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满足招标文件要求且投标价格最低的投标报价的价格分为满分，其他投标人的价格分统一按照下列公式计算：</w:t>
            </w:r>
          </w:p>
          <w:p w14:paraId="25718255">
            <w:pPr>
              <w:keepNext w:val="0"/>
              <w:keepLines w:val="0"/>
              <w:pageBreakBefore w:val="0"/>
              <w:widowControl/>
              <w:kinsoku/>
              <w:wordWrap/>
              <w:overflowPunct/>
              <w:topLinePunct w:val="0"/>
              <w:autoSpaceDE/>
              <w:autoSpaceDN/>
              <w:bidi w:val="0"/>
              <w:snapToGrid w:val="0"/>
              <w:spacing w:line="360" w:lineRule="auto"/>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投标报价得分＝（评标基准价/投标报价）×30。</w:t>
            </w:r>
          </w:p>
        </w:tc>
        <w:tc>
          <w:tcPr>
            <w:tcW w:w="2012" w:type="dxa"/>
            <w:noWrap w:val="0"/>
            <w:vAlign w:val="center"/>
          </w:tcPr>
          <w:p w14:paraId="3F3961B0">
            <w:pPr>
              <w:keepNext w:val="0"/>
              <w:keepLines w:val="0"/>
              <w:pageBreakBefore w:val="0"/>
              <w:kinsoku/>
              <w:wordWrap/>
              <w:overflowPunct/>
              <w:topLinePunct w:val="0"/>
              <w:autoSpaceDE/>
              <w:autoSpaceDN/>
              <w:bidi w:val="0"/>
              <w:snapToGrid w:val="0"/>
              <w:spacing w:line="360" w:lineRule="auto"/>
              <w:ind w:left="-38"/>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符合价格扣除政策的，用扣除后的价格参与计算、评分</w:t>
            </w:r>
          </w:p>
        </w:tc>
      </w:tr>
      <w:tr w14:paraId="342F2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trPr>
        <w:tc>
          <w:tcPr>
            <w:tcW w:w="877" w:type="dxa"/>
            <w:noWrap w:val="0"/>
            <w:vAlign w:val="center"/>
          </w:tcPr>
          <w:p w14:paraId="203198E5">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3.2.3（4）</w:t>
            </w:r>
          </w:p>
          <w:p w14:paraId="70AAE510">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sz w:val="24"/>
                <w:highlight w:val="none"/>
              </w:rPr>
              <w:t>其他评分因素</w:t>
            </w:r>
          </w:p>
        </w:tc>
        <w:tc>
          <w:tcPr>
            <w:tcW w:w="708" w:type="dxa"/>
            <w:noWrap w:val="0"/>
            <w:vAlign w:val="center"/>
          </w:tcPr>
          <w:p w14:paraId="4EB9B45D">
            <w:pPr>
              <w:keepNext w:val="0"/>
              <w:keepLines w:val="0"/>
              <w:pageBreakBefore w:val="0"/>
              <w:widowControl/>
              <w:kinsoku/>
              <w:wordWrap/>
              <w:overflowPunct/>
              <w:topLinePunct w:val="0"/>
              <w:autoSpaceDE/>
              <w:autoSpaceDN/>
              <w:bidi w:val="0"/>
              <w:snapToGrid w:val="0"/>
              <w:spacing w:line="360" w:lineRule="auto"/>
              <w:jc w:val="center"/>
              <w:textAlignment w:val="auto"/>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w:t>
            </w:r>
          </w:p>
        </w:tc>
        <w:tc>
          <w:tcPr>
            <w:tcW w:w="1701" w:type="dxa"/>
            <w:noWrap w:val="0"/>
            <w:vAlign w:val="center"/>
          </w:tcPr>
          <w:p w14:paraId="3310441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其他评分因素（如有）</w:t>
            </w:r>
          </w:p>
        </w:tc>
        <w:tc>
          <w:tcPr>
            <w:tcW w:w="4225" w:type="dxa"/>
            <w:noWrap w:val="0"/>
            <w:vAlign w:val="center"/>
          </w:tcPr>
          <w:p w14:paraId="037ACF9C">
            <w:pPr>
              <w:keepNext w:val="0"/>
              <w:keepLines w:val="0"/>
              <w:pageBreakBefore w:val="0"/>
              <w:widowControl/>
              <w:kinsoku/>
              <w:wordWrap/>
              <w:overflowPunct/>
              <w:topLinePunct w:val="0"/>
              <w:autoSpaceDE/>
              <w:autoSpaceDN/>
              <w:bidi w:val="0"/>
              <w:snapToGrid w:val="0"/>
              <w:spacing w:line="360" w:lineRule="auto"/>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c>
          <w:tcPr>
            <w:tcW w:w="2012" w:type="dxa"/>
            <w:noWrap w:val="0"/>
            <w:vAlign w:val="center"/>
          </w:tcPr>
          <w:p w14:paraId="6CF4377E">
            <w:pPr>
              <w:keepNext w:val="0"/>
              <w:keepLines w:val="0"/>
              <w:pageBreakBefore w:val="0"/>
              <w:kinsoku/>
              <w:wordWrap/>
              <w:overflowPunct/>
              <w:topLinePunct w:val="0"/>
              <w:autoSpaceDE/>
              <w:autoSpaceDN/>
              <w:bidi w:val="0"/>
              <w:snapToGrid w:val="0"/>
              <w:spacing w:line="360" w:lineRule="auto"/>
              <w:ind w:left="-38"/>
              <w:textAlignment w:val="auto"/>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p>
        </w:tc>
      </w:tr>
    </w:tbl>
    <w:p w14:paraId="1C2A62C0">
      <w:pPr>
        <w:pStyle w:val="156"/>
        <w:adjustRightInd w:val="0"/>
        <w:snapToGrid w:val="0"/>
        <w:spacing w:before="0" w:line="240" w:lineRule="auto"/>
        <w:rPr>
          <w:rFonts w:hint="eastAsia" w:ascii="宋体" w:hAnsi="宋体" w:eastAsia="仿宋"/>
          <w:bCs/>
          <w:color w:val="000000"/>
          <w:sz w:val="24"/>
          <w:szCs w:val="24"/>
          <w:highlight w:val="none"/>
        </w:rPr>
      </w:pPr>
    </w:p>
    <w:p w14:paraId="053F3111">
      <w:pPr>
        <w:pStyle w:val="3"/>
        <w:widowControl/>
        <w:adjustRightInd w:val="0"/>
        <w:spacing w:before="0" w:after="0" w:line="360" w:lineRule="auto"/>
        <w:ind w:firstLine="482" w:firstLineChars="200"/>
        <w:rPr>
          <w:rFonts w:ascii="宋体" w:hAnsi="宋体" w:eastAsia="仿宋"/>
          <w:bCs w:val="0"/>
          <w:color w:val="000000"/>
          <w:sz w:val="24"/>
          <w:szCs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bookmarkStart w:id="791" w:name="_Toc445554766"/>
    </w:p>
    <w:p w14:paraId="473DCCD3">
      <w:pPr>
        <w:pStyle w:val="3"/>
        <w:widowControl/>
        <w:adjustRightInd w:val="0"/>
        <w:spacing w:before="0" w:after="0" w:line="360" w:lineRule="auto"/>
        <w:ind w:firstLine="482" w:firstLineChars="200"/>
        <w:rPr>
          <w:rFonts w:ascii="宋体" w:hAnsi="宋体" w:eastAsia="仿宋"/>
          <w:bCs w:val="0"/>
          <w:color w:val="000000"/>
          <w:sz w:val="24"/>
          <w:szCs w:val="24"/>
          <w:highlight w:val="none"/>
        </w:rPr>
      </w:pPr>
      <w:bookmarkStart w:id="792" w:name="_Toc455587098"/>
      <w:bookmarkStart w:id="793" w:name="_Toc466024565"/>
      <w:bookmarkStart w:id="794" w:name="_Toc455587282"/>
      <w:r>
        <w:rPr>
          <w:rFonts w:hint="eastAsia" w:ascii="宋体" w:hAnsi="宋体" w:eastAsia="仿宋"/>
          <w:bCs w:val="0"/>
          <w:color w:val="000000"/>
          <w:sz w:val="24"/>
          <w:szCs w:val="24"/>
          <w:highlight w:val="none"/>
        </w:rPr>
        <w:t>1. 评标方法</w:t>
      </w:r>
      <w:bookmarkEnd w:id="791"/>
      <w:bookmarkEnd w:id="792"/>
      <w:bookmarkEnd w:id="793"/>
      <w:bookmarkEnd w:id="794"/>
    </w:p>
    <w:p w14:paraId="7F0D0BF9">
      <w:pPr>
        <w:pStyle w:val="155"/>
        <w:adjustRightInd w:val="0"/>
        <w:snapToGrid w:val="0"/>
        <w:spacing w:line="360" w:lineRule="auto"/>
        <w:ind w:firstLine="480" w:firstLineChars="200"/>
        <w:rPr>
          <w:rFonts w:hint="eastAsia" w:ascii="ˎ̥" w:hAnsi="ˎ̥" w:eastAsia="仿宋" w:cs="宋体"/>
          <w:color w:val="000000"/>
          <w:sz w:val="24"/>
          <w:szCs w:val="24"/>
          <w:highlight w:val="none"/>
        </w:rPr>
      </w:pPr>
      <w:r>
        <w:rPr>
          <w:rFonts w:hint="eastAsia" w:ascii="ˎ̥" w:hAnsi="ˎ̥" w:eastAsia="仿宋" w:cs="宋体"/>
          <w:color w:val="000000"/>
          <w:sz w:val="24"/>
          <w:szCs w:val="24"/>
          <w:highlight w:val="none"/>
        </w:rPr>
        <w:t>本次评标采用综合评分法。评标委员会</w:t>
      </w:r>
      <w:r>
        <w:rPr>
          <w:rFonts w:ascii="ˎ̥" w:hAnsi="ˎ̥" w:eastAsia="仿宋" w:cs="宋体"/>
          <w:color w:val="000000"/>
          <w:sz w:val="24"/>
          <w:szCs w:val="24"/>
          <w:highlight w:val="none"/>
        </w:rPr>
        <w:t>按照</w:t>
      </w:r>
      <w:r>
        <w:rPr>
          <w:rFonts w:hint="eastAsia" w:ascii="Cambria Math" w:hAnsi="Cambria Math" w:eastAsia="仿宋" w:cs="Calibri"/>
          <w:color w:val="000000"/>
          <w:sz w:val="24"/>
          <w:szCs w:val="24"/>
          <w:highlight w:val="none"/>
        </w:rPr>
        <w:t>本章</w:t>
      </w:r>
      <w:r>
        <w:rPr>
          <w:rFonts w:hint="eastAsia" w:ascii="ˎ̥" w:hAnsi="ˎ̥" w:eastAsia="仿宋" w:cs="宋体"/>
          <w:color w:val="000000"/>
          <w:sz w:val="24"/>
          <w:szCs w:val="24"/>
          <w:highlight w:val="none"/>
        </w:rPr>
        <w:t>第二节</w:t>
      </w:r>
      <w:r>
        <w:rPr>
          <w:rFonts w:hint="eastAsia" w:ascii="Cambria Math" w:hAnsi="Cambria Math" w:eastAsia="仿宋" w:cs="Calibri"/>
          <w:color w:val="000000"/>
          <w:sz w:val="24"/>
          <w:szCs w:val="24"/>
          <w:highlight w:val="none"/>
        </w:rPr>
        <w:t>第</w:t>
      </w:r>
      <w:r>
        <w:rPr>
          <w:rFonts w:hint="eastAsia" w:ascii="仿宋" w:hAnsi="仿宋" w:eastAsia="仿宋" w:cs="仿宋"/>
          <w:color w:val="000000"/>
          <w:sz w:val="24"/>
          <w:szCs w:val="24"/>
          <w:highlight w:val="none"/>
        </w:rPr>
        <w:t>3</w:t>
      </w:r>
      <w:r>
        <w:rPr>
          <w:rFonts w:hint="eastAsia" w:ascii="Cambria Math" w:hAnsi="Cambria Math" w:eastAsia="仿宋" w:cs="Calibri"/>
          <w:color w:val="000000"/>
          <w:sz w:val="24"/>
          <w:szCs w:val="24"/>
          <w:highlight w:val="none"/>
        </w:rPr>
        <w:t>条规定的评审标准</w:t>
      </w:r>
      <w:r>
        <w:rPr>
          <w:rFonts w:hint="eastAsia" w:ascii="ˎ̥" w:hAnsi="ˎ̥" w:eastAsia="仿宋" w:cs="宋体"/>
          <w:color w:val="000000"/>
          <w:sz w:val="24"/>
          <w:szCs w:val="24"/>
          <w:highlight w:val="none"/>
        </w:rPr>
        <w:t>对通过资格审查的</w:t>
      </w:r>
      <w:r>
        <w:rPr>
          <w:rFonts w:ascii="ˎ̥" w:hAnsi="ˎ̥" w:eastAsia="仿宋" w:cs="宋体"/>
          <w:color w:val="000000"/>
          <w:sz w:val="24"/>
          <w:szCs w:val="24"/>
          <w:highlight w:val="none"/>
        </w:rPr>
        <w:t>投标文件</w:t>
      </w:r>
      <w:r>
        <w:rPr>
          <w:rFonts w:hint="eastAsia" w:ascii="ˎ̥" w:hAnsi="ˎ̥" w:eastAsia="仿宋" w:cs="宋体"/>
          <w:color w:val="000000"/>
          <w:sz w:val="24"/>
          <w:szCs w:val="24"/>
          <w:highlight w:val="none"/>
        </w:rPr>
        <w:t>进行评审，在投标文件满足招标文件全部实质性要求的投标人中，按总</w:t>
      </w:r>
      <w:r>
        <w:rPr>
          <w:rFonts w:ascii="ˎ̥" w:hAnsi="ˎ̥" w:eastAsia="仿宋" w:cs="宋体"/>
          <w:color w:val="000000"/>
          <w:sz w:val="24"/>
          <w:szCs w:val="24"/>
          <w:highlight w:val="none"/>
        </w:rPr>
        <w:t>得分</w:t>
      </w:r>
      <w:r>
        <w:rPr>
          <w:rFonts w:hint="eastAsia" w:ascii="ˎ̥" w:hAnsi="ˎ̥" w:eastAsia="仿宋" w:cs="宋体"/>
          <w:color w:val="000000"/>
          <w:sz w:val="24"/>
          <w:szCs w:val="24"/>
          <w:highlight w:val="none"/>
        </w:rPr>
        <w:t>由高到低的顺序推荐中标候选人。如果总得分出现相同的情况，总得分相同的中标候选人按因落实政府采购政策进行价格调整后的投标报价由低到高排序；总得分与进行政策性价格调整的投标报价均相同的，则所投产品为节能或环境标志产品者优先（同时列入节能产品政府采购品目清单和环境标志产品政府采购品目清单的产品，优先于只列入其中一个清单的产品）；若前述均相同且所投产品同为节能/环境标志产品或均无节能/环境标志产品，则采取评标委员会随机抽签方式确定中标候选人排序。</w:t>
      </w:r>
    </w:p>
    <w:p w14:paraId="6AD426A9">
      <w:pPr>
        <w:pStyle w:val="3"/>
        <w:widowControl/>
        <w:adjustRightInd w:val="0"/>
        <w:spacing w:before="0" w:after="0" w:line="360" w:lineRule="auto"/>
        <w:ind w:firstLine="482" w:firstLineChars="200"/>
        <w:rPr>
          <w:rFonts w:hint="eastAsia" w:ascii="宋体" w:hAnsi="宋体" w:eastAsia="仿宋"/>
          <w:bCs w:val="0"/>
          <w:color w:val="000000"/>
          <w:sz w:val="24"/>
          <w:szCs w:val="24"/>
          <w:highlight w:val="none"/>
        </w:rPr>
      </w:pPr>
      <w:bookmarkStart w:id="795" w:name="_Toc445554768"/>
      <w:bookmarkStart w:id="796" w:name="_Toc455587100"/>
      <w:bookmarkStart w:id="797" w:name="_Toc466024567"/>
      <w:bookmarkStart w:id="798" w:name="_Toc455587284"/>
      <w:r>
        <w:rPr>
          <w:rFonts w:hint="eastAsia" w:ascii="宋体" w:hAnsi="宋体" w:eastAsia="仿宋"/>
          <w:bCs w:val="0"/>
          <w:color w:val="000000"/>
          <w:sz w:val="24"/>
          <w:szCs w:val="24"/>
          <w:highlight w:val="none"/>
        </w:rPr>
        <w:t>2. 评标委员会的组成和职责</w:t>
      </w:r>
      <w:bookmarkEnd w:id="795"/>
      <w:bookmarkEnd w:id="796"/>
      <w:bookmarkEnd w:id="797"/>
      <w:bookmarkEnd w:id="798"/>
    </w:p>
    <w:p w14:paraId="1CD9896D">
      <w:pPr>
        <w:pStyle w:val="156"/>
        <w:adjustRightInd w:val="0"/>
        <w:snapToGrid w:val="0"/>
        <w:spacing w:before="0" w:line="360" w:lineRule="auto"/>
        <w:ind w:firstLine="482" w:firstLineChars="200"/>
        <w:rPr>
          <w:rFonts w:hint="eastAsia" w:ascii="宋体" w:hAnsi="宋体" w:eastAsia="仿宋"/>
          <w:b/>
          <w:color w:val="000000"/>
          <w:sz w:val="24"/>
          <w:szCs w:val="24"/>
          <w:highlight w:val="none"/>
        </w:rPr>
      </w:pPr>
      <w:r>
        <w:rPr>
          <w:rFonts w:hint="eastAsia" w:ascii="宋体" w:hAnsi="宋体" w:eastAsia="仿宋"/>
          <w:b/>
          <w:color w:val="000000"/>
          <w:sz w:val="24"/>
          <w:szCs w:val="24"/>
          <w:highlight w:val="none"/>
        </w:rPr>
        <w:t>2.1 评标委员会的组成</w:t>
      </w:r>
    </w:p>
    <w:p w14:paraId="40948C28">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评标委员会由采购人依法组建。</w:t>
      </w:r>
      <w:r>
        <w:rPr>
          <w:rFonts w:hint="eastAsia" w:ascii="宋体" w:hAnsi="宋体" w:eastAsia="仿宋" w:cs="宋体"/>
          <w:color w:val="000000"/>
          <w:sz w:val="24"/>
          <w:szCs w:val="24"/>
          <w:highlight w:val="none"/>
        </w:rPr>
        <w:t>评标委员会应当推选组长，但采购人代表不得担任组长。</w:t>
      </w:r>
    </w:p>
    <w:p w14:paraId="10108249">
      <w:pPr>
        <w:pStyle w:val="156"/>
        <w:adjustRightInd w:val="0"/>
        <w:snapToGrid w:val="0"/>
        <w:spacing w:before="0" w:line="360" w:lineRule="auto"/>
        <w:ind w:firstLine="482" w:firstLineChars="200"/>
        <w:rPr>
          <w:rFonts w:hint="eastAsia" w:ascii="宋体" w:hAnsi="宋体" w:eastAsia="仿宋"/>
          <w:b/>
          <w:color w:val="000000"/>
          <w:sz w:val="24"/>
          <w:szCs w:val="24"/>
          <w:highlight w:val="none"/>
        </w:rPr>
      </w:pPr>
      <w:r>
        <w:rPr>
          <w:rFonts w:hint="eastAsia" w:ascii="宋体" w:hAnsi="宋体" w:eastAsia="仿宋"/>
          <w:b/>
          <w:color w:val="000000"/>
          <w:sz w:val="24"/>
          <w:szCs w:val="24"/>
          <w:highlight w:val="none"/>
        </w:rPr>
        <w:t>2.2 评标委员会的职责</w:t>
      </w:r>
    </w:p>
    <w:p w14:paraId="097E31AB">
      <w:pPr>
        <w:spacing w:line="360" w:lineRule="auto"/>
        <w:ind w:firstLine="480" w:firstLineChars="200"/>
        <w:rPr>
          <w:rFonts w:ascii="Arial" w:hAnsi="Arial" w:eastAsia="仿宋" w:cs="Arial"/>
          <w:color w:val="000000"/>
          <w:kern w:val="0"/>
          <w:sz w:val="24"/>
          <w:highlight w:val="none"/>
        </w:rPr>
      </w:pPr>
      <w:r>
        <w:rPr>
          <w:rFonts w:ascii="Arial" w:hAnsi="Arial" w:eastAsia="仿宋" w:cs="Arial"/>
          <w:color w:val="000000"/>
          <w:kern w:val="0"/>
          <w:sz w:val="24"/>
          <w:highlight w:val="none"/>
        </w:rPr>
        <w:t>根据</w:t>
      </w:r>
      <w:r>
        <w:rPr>
          <w:rFonts w:hint="eastAsia" w:ascii="Arial" w:hAnsi="Arial" w:eastAsia="仿宋" w:cs="Arial"/>
          <w:color w:val="000000"/>
          <w:kern w:val="0"/>
          <w:sz w:val="24"/>
          <w:highlight w:val="none"/>
        </w:rPr>
        <w:t>招标</w:t>
      </w:r>
      <w:r>
        <w:rPr>
          <w:rFonts w:ascii="Arial" w:hAnsi="Arial" w:eastAsia="仿宋" w:cs="Arial"/>
          <w:color w:val="000000"/>
          <w:kern w:val="0"/>
          <w:sz w:val="24"/>
          <w:highlight w:val="none"/>
        </w:rPr>
        <w:t>文件规定的评</w:t>
      </w:r>
      <w:r>
        <w:rPr>
          <w:rFonts w:hint="eastAsia" w:ascii="Arial" w:hAnsi="Arial" w:eastAsia="仿宋" w:cs="Arial"/>
          <w:color w:val="000000"/>
          <w:kern w:val="0"/>
          <w:sz w:val="24"/>
          <w:highlight w:val="none"/>
        </w:rPr>
        <w:t>标</w:t>
      </w:r>
      <w:r>
        <w:rPr>
          <w:rFonts w:ascii="Arial" w:hAnsi="Arial" w:eastAsia="仿宋" w:cs="Arial"/>
          <w:color w:val="000000"/>
          <w:kern w:val="0"/>
          <w:sz w:val="24"/>
          <w:highlight w:val="none"/>
        </w:rPr>
        <w:t>程序、评</w:t>
      </w:r>
      <w:r>
        <w:rPr>
          <w:rFonts w:hint="eastAsia" w:ascii="Arial" w:hAnsi="Arial" w:eastAsia="仿宋" w:cs="Arial"/>
          <w:color w:val="000000"/>
          <w:kern w:val="0"/>
          <w:sz w:val="24"/>
          <w:highlight w:val="none"/>
        </w:rPr>
        <w:t>标</w:t>
      </w:r>
      <w:r>
        <w:rPr>
          <w:rFonts w:ascii="Arial" w:hAnsi="Arial" w:eastAsia="仿宋" w:cs="Arial"/>
          <w:color w:val="000000"/>
          <w:kern w:val="0"/>
          <w:sz w:val="24"/>
          <w:highlight w:val="none"/>
        </w:rPr>
        <w:t>方法和评</w:t>
      </w:r>
      <w:r>
        <w:rPr>
          <w:rFonts w:hint="eastAsia" w:ascii="Arial" w:hAnsi="Arial" w:eastAsia="仿宋" w:cs="Arial"/>
          <w:color w:val="000000"/>
          <w:kern w:val="0"/>
          <w:sz w:val="24"/>
          <w:highlight w:val="none"/>
        </w:rPr>
        <w:t>标</w:t>
      </w:r>
      <w:r>
        <w:rPr>
          <w:rFonts w:ascii="Arial" w:hAnsi="Arial" w:eastAsia="仿宋" w:cs="Arial"/>
          <w:color w:val="000000"/>
          <w:kern w:val="0"/>
          <w:sz w:val="24"/>
          <w:highlight w:val="none"/>
        </w:rPr>
        <w:t>标准进行独立评审。</w:t>
      </w:r>
      <w:r>
        <w:rPr>
          <w:rFonts w:hint="eastAsia" w:ascii="宋体" w:hAnsi="宋体" w:eastAsia="仿宋"/>
          <w:color w:val="000000"/>
          <w:sz w:val="24"/>
          <w:highlight w:val="none"/>
        </w:rPr>
        <w:t>评标委员会成员</w:t>
      </w:r>
      <w:r>
        <w:rPr>
          <w:rFonts w:ascii="Arial" w:hAnsi="Arial" w:eastAsia="仿宋" w:cs="Arial"/>
          <w:color w:val="000000"/>
          <w:kern w:val="0"/>
          <w:sz w:val="24"/>
          <w:highlight w:val="none"/>
        </w:rPr>
        <w:t>应当在评</w:t>
      </w:r>
      <w:r>
        <w:rPr>
          <w:rFonts w:hint="eastAsia" w:ascii="Arial" w:hAnsi="Arial" w:eastAsia="仿宋" w:cs="Arial"/>
          <w:color w:val="000000"/>
          <w:kern w:val="0"/>
          <w:sz w:val="24"/>
          <w:highlight w:val="none"/>
        </w:rPr>
        <w:t>标</w:t>
      </w:r>
      <w:r>
        <w:rPr>
          <w:rFonts w:ascii="Arial" w:hAnsi="Arial" w:eastAsia="仿宋" w:cs="Arial"/>
          <w:color w:val="000000"/>
          <w:kern w:val="0"/>
          <w:sz w:val="24"/>
          <w:highlight w:val="none"/>
        </w:rPr>
        <w:t>报告上签字，对自己的评</w:t>
      </w:r>
      <w:r>
        <w:rPr>
          <w:rFonts w:hint="eastAsia" w:ascii="Arial" w:hAnsi="Arial" w:eastAsia="仿宋" w:cs="Arial"/>
          <w:color w:val="000000"/>
          <w:kern w:val="0"/>
          <w:sz w:val="24"/>
          <w:highlight w:val="none"/>
        </w:rPr>
        <w:t>标</w:t>
      </w:r>
      <w:r>
        <w:rPr>
          <w:rFonts w:ascii="Arial" w:hAnsi="Arial" w:eastAsia="仿宋" w:cs="Arial"/>
          <w:color w:val="000000"/>
          <w:kern w:val="0"/>
          <w:sz w:val="24"/>
          <w:highlight w:val="none"/>
        </w:rPr>
        <w:t>意见承担法律责任。对需要共同认定的事项存在争议的，按照少数服从多数的原则做出结论。对评</w:t>
      </w:r>
      <w:r>
        <w:rPr>
          <w:rFonts w:hint="eastAsia" w:ascii="Arial" w:hAnsi="Arial" w:eastAsia="仿宋" w:cs="Arial"/>
          <w:color w:val="000000"/>
          <w:kern w:val="0"/>
          <w:sz w:val="24"/>
          <w:highlight w:val="none"/>
        </w:rPr>
        <w:t>标</w:t>
      </w:r>
      <w:r>
        <w:rPr>
          <w:rFonts w:ascii="Arial" w:hAnsi="Arial" w:eastAsia="仿宋" w:cs="Arial"/>
          <w:color w:val="000000"/>
          <w:kern w:val="0"/>
          <w:sz w:val="24"/>
          <w:highlight w:val="none"/>
        </w:rPr>
        <w:t>报告有异议的，应当在评</w:t>
      </w:r>
      <w:r>
        <w:rPr>
          <w:rFonts w:hint="eastAsia" w:ascii="Arial" w:hAnsi="Arial" w:eastAsia="仿宋" w:cs="Arial"/>
          <w:color w:val="000000"/>
          <w:kern w:val="0"/>
          <w:sz w:val="24"/>
          <w:highlight w:val="none"/>
        </w:rPr>
        <w:t>标</w:t>
      </w:r>
      <w:r>
        <w:rPr>
          <w:rFonts w:ascii="Arial" w:hAnsi="Arial" w:eastAsia="仿宋" w:cs="Arial"/>
          <w:color w:val="000000"/>
          <w:kern w:val="0"/>
          <w:sz w:val="24"/>
          <w:highlight w:val="none"/>
        </w:rPr>
        <w:t>报告上签署不同意见并说明理由，否则视为同意评</w:t>
      </w:r>
      <w:r>
        <w:rPr>
          <w:rFonts w:hint="eastAsia" w:ascii="Arial" w:hAnsi="Arial" w:eastAsia="仿宋" w:cs="Arial"/>
          <w:color w:val="000000"/>
          <w:kern w:val="0"/>
          <w:sz w:val="24"/>
          <w:highlight w:val="none"/>
        </w:rPr>
        <w:t>标</w:t>
      </w:r>
      <w:r>
        <w:rPr>
          <w:rFonts w:ascii="Arial" w:hAnsi="Arial" w:eastAsia="仿宋" w:cs="Arial"/>
          <w:color w:val="000000"/>
          <w:kern w:val="0"/>
          <w:sz w:val="24"/>
          <w:highlight w:val="none"/>
        </w:rPr>
        <w:t>报告。</w:t>
      </w:r>
    </w:p>
    <w:p w14:paraId="7FBF6891">
      <w:pPr>
        <w:pStyle w:val="156"/>
        <w:snapToGrid w:val="0"/>
        <w:spacing w:line="360" w:lineRule="auto"/>
        <w:ind w:firstLine="482"/>
        <w:rPr>
          <w:rFonts w:hint="eastAsia" w:ascii="宋体" w:hAnsi="宋体" w:eastAsia="仿宋"/>
          <w:b/>
          <w:color w:val="000000"/>
          <w:sz w:val="24"/>
          <w:szCs w:val="24"/>
          <w:highlight w:val="none"/>
        </w:rPr>
      </w:pPr>
      <w:r>
        <w:rPr>
          <w:rFonts w:hint="eastAsia" w:ascii="宋体" w:hAnsi="宋体" w:eastAsia="仿宋"/>
          <w:b/>
          <w:color w:val="000000"/>
          <w:sz w:val="24"/>
          <w:szCs w:val="24"/>
          <w:highlight w:val="none"/>
        </w:rPr>
        <w:t>2</w:t>
      </w:r>
      <w:r>
        <w:rPr>
          <w:rFonts w:ascii="宋体" w:hAnsi="宋体" w:eastAsia="仿宋"/>
          <w:b/>
          <w:color w:val="000000"/>
          <w:sz w:val="24"/>
          <w:szCs w:val="24"/>
          <w:highlight w:val="none"/>
        </w:rPr>
        <w:t>.3 对评标委员会成员的纪律要求</w:t>
      </w:r>
    </w:p>
    <w:p w14:paraId="51077BA8">
      <w:pPr>
        <w:widowControl/>
        <w:spacing w:line="360" w:lineRule="auto"/>
        <w:ind w:firstLine="480" w:firstLineChars="200"/>
        <w:rPr>
          <w:rFonts w:ascii="Arial" w:hAnsi="Arial" w:eastAsia="仿宋" w:cs="Arial"/>
          <w:color w:val="000000"/>
          <w:kern w:val="0"/>
          <w:sz w:val="24"/>
          <w:highlight w:val="none"/>
        </w:rPr>
      </w:pPr>
      <w:r>
        <w:rPr>
          <w:rFonts w:ascii="Arial" w:hAnsi="Arial" w:eastAsia="仿宋" w:cs="Arial"/>
          <w:color w:val="000000"/>
          <w:kern w:val="0"/>
          <w:sz w:val="24"/>
          <w:highlight w:val="none"/>
        </w:rPr>
        <w:t>评标委员会成员不得收受他人的财物或者其他好处，不得向他人</w:t>
      </w:r>
      <w:r>
        <w:rPr>
          <w:rFonts w:hint="eastAsia" w:ascii="Arial" w:hAnsi="Arial" w:eastAsia="仿宋" w:cs="Arial"/>
          <w:color w:val="000000"/>
          <w:kern w:val="0"/>
          <w:sz w:val="24"/>
          <w:highlight w:val="none"/>
        </w:rPr>
        <w:t>透露</w:t>
      </w:r>
      <w:r>
        <w:rPr>
          <w:rFonts w:ascii="Arial" w:hAnsi="Arial" w:eastAsia="仿宋" w:cs="Arial"/>
          <w:color w:val="000000"/>
          <w:kern w:val="0"/>
          <w:sz w:val="24"/>
          <w:highlight w:val="none"/>
        </w:rPr>
        <w:t>对投标文件的评审和比较、中标候选人的推荐情况以及评标有关的其他情况。在评标活动中，评标委员会成员不得擅离职守，影响评标程序正常进行，不得使用“评标办法”没有规定的评审因素和标准进行评标。</w:t>
      </w:r>
    </w:p>
    <w:p w14:paraId="272750FE">
      <w:pPr>
        <w:pStyle w:val="3"/>
        <w:widowControl/>
        <w:adjustRightInd w:val="0"/>
        <w:spacing w:before="0" w:after="0" w:line="360" w:lineRule="auto"/>
        <w:ind w:firstLine="482" w:firstLineChars="200"/>
        <w:rPr>
          <w:rFonts w:hint="eastAsia" w:ascii="宋体" w:hAnsi="宋体" w:eastAsia="仿宋"/>
          <w:bCs w:val="0"/>
          <w:color w:val="000000"/>
          <w:sz w:val="24"/>
          <w:szCs w:val="24"/>
          <w:highlight w:val="none"/>
        </w:rPr>
      </w:pPr>
      <w:bookmarkStart w:id="799" w:name="_Toc466024569"/>
      <w:bookmarkStart w:id="800" w:name="_Toc445554770"/>
      <w:bookmarkStart w:id="801" w:name="_Toc455587102"/>
      <w:bookmarkStart w:id="802" w:name="_Toc455587286"/>
      <w:bookmarkStart w:id="803" w:name="_Toc455587285"/>
      <w:bookmarkStart w:id="804" w:name="_Toc445554769"/>
      <w:bookmarkStart w:id="805" w:name="_Toc455587101"/>
      <w:bookmarkStart w:id="806" w:name="_Toc466024568"/>
      <w:r>
        <w:rPr>
          <w:rFonts w:hint="eastAsia" w:ascii="宋体" w:hAnsi="宋体" w:eastAsia="仿宋"/>
          <w:bCs w:val="0"/>
          <w:color w:val="000000"/>
          <w:sz w:val="24"/>
          <w:szCs w:val="24"/>
          <w:highlight w:val="none"/>
        </w:rPr>
        <w:t>3. 评审标准</w:t>
      </w:r>
      <w:bookmarkEnd w:id="799"/>
      <w:bookmarkEnd w:id="800"/>
      <w:bookmarkEnd w:id="801"/>
      <w:bookmarkEnd w:id="802"/>
    </w:p>
    <w:p w14:paraId="305AB523">
      <w:pPr>
        <w:pStyle w:val="155"/>
        <w:adjustRightInd w:val="0"/>
        <w:snapToGrid w:val="0"/>
        <w:spacing w:line="360" w:lineRule="auto"/>
        <w:ind w:firstLine="482" w:firstLineChars="200"/>
        <w:rPr>
          <w:rFonts w:hint="eastAsia" w:ascii="宋体" w:hAnsi="宋体" w:eastAsia="仿宋"/>
          <w:b/>
          <w:color w:val="000000"/>
          <w:sz w:val="24"/>
          <w:szCs w:val="24"/>
          <w:highlight w:val="none"/>
        </w:rPr>
      </w:pPr>
      <w:r>
        <w:rPr>
          <w:rFonts w:hint="eastAsia" w:ascii="宋体" w:hAnsi="宋体" w:eastAsia="仿宋"/>
          <w:b/>
          <w:color w:val="000000"/>
          <w:sz w:val="24"/>
          <w:szCs w:val="24"/>
          <w:highlight w:val="none"/>
        </w:rPr>
        <w:t>3.1 符合性审查标准</w:t>
      </w:r>
    </w:p>
    <w:p w14:paraId="4DA821ED">
      <w:pPr>
        <w:pStyle w:val="155"/>
        <w:adjustRightInd w:val="0"/>
        <w:snapToGrid w:val="0"/>
        <w:spacing w:line="360" w:lineRule="auto"/>
        <w:ind w:firstLine="482" w:firstLineChars="200"/>
        <w:rPr>
          <w:rFonts w:hint="eastAsia" w:ascii="宋体" w:hAnsi="宋体" w:eastAsia="仿宋"/>
          <w:b/>
          <w:color w:val="000000"/>
          <w:sz w:val="24"/>
          <w:szCs w:val="24"/>
          <w:highlight w:val="none"/>
        </w:rPr>
      </w:pPr>
      <w:r>
        <w:rPr>
          <w:rFonts w:hint="eastAsia" w:ascii="宋体" w:hAnsi="宋体" w:eastAsia="仿宋"/>
          <w:b/>
          <w:color w:val="000000"/>
          <w:sz w:val="24"/>
          <w:szCs w:val="24"/>
          <w:highlight w:val="none"/>
        </w:rPr>
        <w:t>3.1.1 评标委员会对资格审查合格的投标人的投标文件进行符合性审查，以确定其是否满足招标文件的实质性要求。</w:t>
      </w:r>
    </w:p>
    <w:p w14:paraId="31835A77">
      <w:pPr>
        <w:pStyle w:val="155"/>
        <w:adjustRightInd w:val="0"/>
        <w:snapToGrid w:val="0"/>
        <w:spacing w:line="360" w:lineRule="auto"/>
        <w:ind w:firstLine="482" w:firstLineChars="200"/>
        <w:rPr>
          <w:rFonts w:hint="eastAsia" w:ascii="宋体" w:hAnsi="宋体" w:eastAsia="仿宋"/>
          <w:b/>
          <w:color w:val="000000"/>
          <w:sz w:val="24"/>
          <w:szCs w:val="24"/>
          <w:highlight w:val="none"/>
        </w:rPr>
      </w:pPr>
      <w:r>
        <w:rPr>
          <w:rFonts w:hint="eastAsia" w:ascii="宋体" w:hAnsi="宋体" w:eastAsia="仿宋"/>
          <w:b/>
          <w:color w:val="000000"/>
          <w:sz w:val="24"/>
          <w:szCs w:val="24"/>
          <w:highlight w:val="none"/>
        </w:rPr>
        <w:t>3.1.2 评标委员会根据《符合性审查表》中规定的审查因素和审查标准，对投标人的投标文件是否实质上响应招标文件进行符合性审查，并形成符合性审查评审结果。投标人有任何一项不符合要求的，投标无效。</w:t>
      </w:r>
    </w:p>
    <w:p w14:paraId="2443F8A6">
      <w:pPr>
        <w:pStyle w:val="155"/>
        <w:adjustRightInd w:val="0"/>
        <w:snapToGrid w:val="0"/>
        <w:spacing w:line="360" w:lineRule="auto"/>
        <w:ind w:firstLine="482" w:firstLineChars="200"/>
        <w:rPr>
          <w:rFonts w:hint="eastAsia" w:ascii="宋体" w:hAnsi="宋体" w:eastAsia="仿宋"/>
          <w:b/>
          <w:color w:val="000000"/>
          <w:sz w:val="24"/>
          <w:szCs w:val="24"/>
          <w:highlight w:val="none"/>
        </w:rPr>
      </w:pPr>
      <w:r>
        <w:rPr>
          <w:rFonts w:hint="eastAsia" w:ascii="宋体" w:hAnsi="宋体" w:eastAsia="仿宋"/>
          <w:b/>
          <w:color w:val="000000"/>
          <w:sz w:val="24"/>
          <w:szCs w:val="24"/>
          <w:highlight w:val="none"/>
        </w:rPr>
        <w:t>3.2 分值构成与详细评审标准</w:t>
      </w:r>
    </w:p>
    <w:p w14:paraId="6863769A">
      <w:pPr>
        <w:pStyle w:val="155"/>
        <w:adjustRightIn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3.2.1 分值构成：见评标办法前附表。</w:t>
      </w:r>
    </w:p>
    <w:p w14:paraId="1D61FB72">
      <w:pPr>
        <w:pStyle w:val="155"/>
        <w:adjustRightIn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3.2.2 评标基准价计算：见评标办法前附表。</w:t>
      </w:r>
    </w:p>
    <w:p w14:paraId="3CDF6947">
      <w:pPr>
        <w:pStyle w:val="155"/>
        <w:adjustRightIn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3.2.3 评分标准：见评标办法前附表。</w:t>
      </w:r>
    </w:p>
    <w:p w14:paraId="5E633566">
      <w:pPr>
        <w:pStyle w:val="155"/>
        <w:adjustRightIn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3.2.4 取评标委员会对各投标人评审得分的算术平均值作为投标人得分，其中投标报价得分按规定进行计算。</w:t>
      </w:r>
    </w:p>
    <w:p w14:paraId="352761AC">
      <w:pPr>
        <w:pStyle w:val="3"/>
        <w:widowControl/>
        <w:adjustRightInd w:val="0"/>
        <w:spacing w:before="0" w:after="0" w:line="360" w:lineRule="auto"/>
        <w:ind w:firstLine="482" w:firstLineChars="200"/>
        <w:rPr>
          <w:rFonts w:hint="eastAsia" w:ascii="宋体" w:hAnsi="宋体" w:eastAsia="仿宋"/>
          <w:bCs w:val="0"/>
          <w:color w:val="000000"/>
          <w:sz w:val="24"/>
          <w:szCs w:val="24"/>
          <w:highlight w:val="none"/>
        </w:rPr>
      </w:pPr>
      <w:r>
        <w:rPr>
          <w:rFonts w:hint="eastAsia" w:ascii="宋体" w:hAnsi="宋体" w:eastAsia="仿宋"/>
          <w:bCs w:val="0"/>
          <w:color w:val="000000"/>
          <w:sz w:val="24"/>
          <w:szCs w:val="24"/>
          <w:highlight w:val="none"/>
        </w:rPr>
        <w:t>4. 评标程序</w:t>
      </w:r>
      <w:bookmarkEnd w:id="803"/>
      <w:bookmarkEnd w:id="804"/>
      <w:bookmarkEnd w:id="805"/>
      <w:bookmarkEnd w:id="806"/>
    </w:p>
    <w:p w14:paraId="5D8673BE">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资格审查完成后，合格投标人不少于3家的，开始评标工作。评标先做准备工作，再进行符合性审查，然后进行详细评审。</w:t>
      </w:r>
    </w:p>
    <w:p w14:paraId="7DA812AB">
      <w:pPr>
        <w:pStyle w:val="156"/>
        <w:adjustRightInd w:val="0"/>
        <w:snapToGrid w:val="0"/>
        <w:spacing w:before="0" w:line="360" w:lineRule="auto"/>
        <w:ind w:firstLine="482" w:firstLineChars="200"/>
        <w:rPr>
          <w:rFonts w:hint="eastAsia" w:ascii="宋体" w:hAnsi="宋体" w:eastAsia="仿宋"/>
          <w:b/>
          <w:color w:val="000000"/>
          <w:sz w:val="24"/>
          <w:szCs w:val="24"/>
          <w:highlight w:val="none"/>
        </w:rPr>
      </w:pPr>
      <w:r>
        <w:rPr>
          <w:rFonts w:hint="eastAsia" w:ascii="宋体" w:hAnsi="宋体" w:eastAsia="仿宋"/>
          <w:b/>
          <w:color w:val="000000"/>
          <w:sz w:val="24"/>
          <w:szCs w:val="24"/>
          <w:highlight w:val="none"/>
        </w:rPr>
        <w:t>4.1 评标准备工作</w:t>
      </w:r>
    </w:p>
    <w:p w14:paraId="23A39D6F">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评标委员会熟悉评标</w:t>
      </w:r>
      <w:bookmarkStart w:id="807" w:name="_Hlk79160145"/>
      <w:r>
        <w:rPr>
          <w:rFonts w:hint="eastAsia" w:ascii="宋体" w:hAnsi="宋体" w:eastAsia="仿宋"/>
          <w:color w:val="000000"/>
          <w:sz w:val="24"/>
          <w:szCs w:val="24"/>
          <w:highlight w:val="none"/>
        </w:rPr>
        <w:t>工作</w:t>
      </w:r>
      <w:bookmarkEnd w:id="807"/>
      <w:r>
        <w:rPr>
          <w:rFonts w:hint="eastAsia" w:ascii="宋体" w:hAnsi="宋体" w:eastAsia="仿宋"/>
          <w:color w:val="000000"/>
          <w:sz w:val="24"/>
          <w:szCs w:val="24"/>
          <w:highlight w:val="none"/>
        </w:rPr>
        <w:t>情况：</w:t>
      </w:r>
    </w:p>
    <w:p w14:paraId="463621B8">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（1）听取采购人或者其委托的采购代理机构对招标项目情况的介绍；</w:t>
      </w:r>
    </w:p>
    <w:p w14:paraId="7F159495">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（2）阅读、研究招标文件和相关评标资料，获取评标所需要的重要信息和数据,至少应了解和熟悉以下内容：招标目的、采购范围、项目性质、招标文件规定的主要技术参数要求和主要商务条款；</w:t>
      </w:r>
    </w:p>
    <w:p w14:paraId="1E420E63">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（3）熟悉招标文件规定的评标标准和评标方法及在评标过程中需要考虑的相关因素；</w:t>
      </w:r>
    </w:p>
    <w:p w14:paraId="46F84A0D">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（4）核对评标工作资料；</w:t>
      </w:r>
    </w:p>
    <w:p w14:paraId="5AD5BDC5">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（5）使用电子评标方式的，还应当熟悉电子评标系统使用方法。</w:t>
      </w:r>
    </w:p>
    <w:p w14:paraId="6E68F018">
      <w:pPr>
        <w:pStyle w:val="156"/>
        <w:adjustRightInd w:val="0"/>
        <w:snapToGrid w:val="0"/>
        <w:spacing w:before="0" w:line="360" w:lineRule="auto"/>
        <w:ind w:firstLine="482" w:firstLineChars="200"/>
        <w:rPr>
          <w:rFonts w:hint="eastAsia" w:ascii="宋体" w:hAnsi="宋体" w:eastAsia="仿宋"/>
          <w:b/>
          <w:color w:val="000000"/>
          <w:sz w:val="24"/>
          <w:szCs w:val="24"/>
          <w:highlight w:val="none"/>
        </w:rPr>
      </w:pPr>
      <w:r>
        <w:rPr>
          <w:rFonts w:hint="eastAsia" w:ascii="宋体" w:hAnsi="宋体" w:eastAsia="仿宋"/>
          <w:b/>
          <w:color w:val="000000"/>
          <w:sz w:val="24"/>
          <w:szCs w:val="24"/>
          <w:highlight w:val="none"/>
        </w:rPr>
        <w:t>4.2 符合性审查</w:t>
      </w:r>
    </w:p>
    <w:p w14:paraId="25A14BE7">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4.2.1 评标委员会依据本章规定的标准对投标文件进行符合性审查。有一项不符合评审标准的，按无效投标处理。</w:t>
      </w:r>
    </w:p>
    <w:p w14:paraId="0939C76E">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4.2.2 投标人有以下情形之一的，按照无效投标处理：</w:t>
      </w:r>
    </w:p>
    <w:p w14:paraId="13053BA8">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（1）不按评标委员会要求澄清、说明或补正的；</w:t>
      </w:r>
    </w:p>
    <w:p w14:paraId="16FCD7BA">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（2）未实质性响应招标文件的；</w:t>
      </w:r>
    </w:p>
    <w:p w14:paraId="46BF9184">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（3）投标文件中存在采购人不能接受的其它附加实质性条件的；</w:t>
      </w:r>
    </w:p>
    <w:p w14:paraId="78F8ED17">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（4）串通投标或弄虚作假或有其他违法行为的；</w:t>
      </w:r>
    </w:p>
    <w:p w14:paraId="61BE0AA2">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（5）法律、法规和规章规定的其他情形的。</w:t>
      </w:r>
    </w:p>
    <w:p w14:paraId="4ECF6DAD">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4.2.3 投标文件报价出现前后不一致的，按照下列规定修正：</w:t>
      </w:r>
    </w:p>
    <w:p w14:paraId="69D0C570">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（1）投标文件中开标一览表（报价表）内容与投标文件中相应内容不一致的，以开标一览表（报价表）为准；</w:t>
      </w:r>
    </w:p>
    <w:p w14:paraId="6CB15658">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（2）大写金额和小写金额不一致的，以大写金额为准；</w:t>
      </w:r>
    </w:p>
    <w:p w14:paraId="09397406">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（3）单价金额小数点或者百分比有明显错位的，以开标一览表的总价为准，并修改单价；</w:t>
      </w:r>
    </w:p>
    <w:p w14:paraId="5B68D011">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（4）总价金额与按单价汇总金额不一致的，以单价金额计算结果为准。</w:t>
      </w:r>
    </w:p>
    <w:p w14:paraId="5D8538AF">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同时出现两种以上不一致的，按照前款规定的顺序修正。修正后的报价经投标人确认后产生约束力，投标人不确认的，其投标无效。</w:t>
      </w:r>
    </w:p>
    <w:p w14:paraId="46CD74DB">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中标后，按修正后的投标报价为基准，按同比例修正各单价。</w:t>
      </w:r>
    </w:p>
    <w:p w14:paraId="00CACA7E">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4.2.4 评标委员会按照规定的原则对投标报价进行校核时，发现投标报价存在多处算术错误或漏项的，使得投标报价校核无法进行的，其投标按无效处理。</w:t>
      </w:r>
    </w:p>
    <w:p w14:paraId="083DF0D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4.2.5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4D075DBD">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4.2.6 投标报价出现下列情形的，投标无效：</w:t>
      </w:r>
    </w:p>
    <w:p w14:paraId="6085DA93">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（1）投标文件提交两个及以上的投标报价、提交任何有选择性的报价或者提交有附加条件的报价的投标将按无效处理，投标人须知前附表允许递交备选方案的除外；</w:t>
      </w:r>
    </w:p>
    <w:p w14:paraId="60940F61">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（2）投标报价超过招标文件中规定的预算金额或者最高限价的；</w:t>
      </w:r>
    </w:p>
    <w:p w14:paraId="675B7A27">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（3）评标委员会认为投标人的报价明显低于其他通过符合性审查投标人的报价，有可能影响产品质量或者不能诚信履约的，投标人未能按要求提供书面说明或者提交相关证明材料证明其报价合理性的；</w:t>
      </w:r>
    </w:p>
    <w:p w14:paraId="5DB3276A">
      <w:pPr>
        <w:widowControl/>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（4）投标人对根据本章第二节4.2.3项规定修正后的报价不确认的。</w:t>
      </w:r>
    </w:p>
    <w:p w14:paraId="15EA113C">
      <w:pPr>
        <w:pStyle w:val="156"/>
        <w:adjustRightInd w:val="0"/>
        <w:snapToGrid w:val="0"/>
        <w:spacing w:before="0" w:line="360" w:lineRule="auto"/>
        <w:ind w:firstLine="482" w:firstLineChars="200"/>
        <w:rPr>
          <w:rFonts w:hint="eastAsia" w:ascii="宋体" w:hAnsi="宋体" w:eastAsia="仿宋"/>
          <w:b/>
          <w:color w:val="000000"/>
          <w:sz w:val="24"/>
          <w:szCs w:val="24"/>
          <w:highlight w:val="none"/>
        </w:rPr>
      </w:pPr>
      <w:r>
        <w:rPr>
          <w:rFonts w:hint="eastAsia" w:ascii="宋体" w:hAnsi="宋体" w:eastAsia="仿宋"/>
          <w:b/>
          <w:color w:val="000000"/>
          <w:sz w:val="24"/>
          <w:szCs w:val="24"/>
          <w:highlight w:val="none"/>
        </w:rPr>
        <w:t>4.3 详细评审</w:t>
      </w:r>
    </w:p>
    <w:p w14:paraId="07B6188A">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4.3.1 评标委员会按本章</w:t>
      </w:r>
      <w:r>
        <w:rPr>
          <w:rFonts w:hint="eastAsia" w:ascii="宋体" w:hAnsi="宋体" w:eastAsia="仿宋"/>
          <w:color w:val="000000"/>
          <w:sz w:val="24"/>
          <w:highlight w:val="none"/>
        </w:rPr>
        <w:t>第二节</w:t>
      </w:r>
      <w:r>
        <w:rPr>
          <w:rFonts w:hint="eastAsia" w:ascii="宋体" w:hAnsi="宋体" w:eastAsia="仿宋"/>
          <w:color w:val="000000"/>
          <w:sz w:val="24"/>
          <w:szCs w:val="24"/>
          <w:highlight w:val="none"/>
        </w:rPr>
        <w:t>3.2款规定的标准进行评分，并计算各投标人综合评审得分。</w:t>
      </w:r>
    </w:p>
    <w:p w14:paraId="5621DC1D">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4.3.2 评标委员会成员对投标人的价格分和客观评分项的评分应当一致。采购人、采购代理机构应当对评审数据进行校对、核对。</w:t>
      </w:r>
    </w:p>
    <w:p w14:paraId="1193A37F">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4.3.3 评分分值计算保留小数点后两位，小数点后第三位“四舍五入”。</w:t>
      </w:r>
    </w:p>
    <w:p w14:paraId="5F2BD112">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4.3.4 相同品牌产品参加投标时，按以下要求确定中标人推荐资格：</w:t>
      </w:r>
    </w:p>
    <w:p w14:paraId="140F5DDD">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采用综合评分法时：</w:t>
      </w:r>
    </w:p>
    <w:p w14:paraId="21FF2A8A">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单一产品采购项目，提供相同品牌产品且通过资格审查、符合性审查的不同投标人参加同一合同项下投标的，按一家投标人计算，评审后得分最高的同品牌投标人获得中标人推荐资格；评审得分相同的，由评标委员会随机抽签确定；其他同品牌投标人不作为中标候选人。</w:t>
      </w:r>
    </w:p>
    <w:p w14:paraId="5A7CBD8A">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非单一产品采购项目，核心产品提供相同品牌产品且通过资格审查、符合性审查的不同投标人参加同一合同项下投标的，按一家投标人计算，评审后得分最高的同品牌投标人获得中标人推荐资格；评审得分相同的，由评标委员会随机抽签确定；其他同品牌投标人不作为中标候选人。</w:t>
      </w:r>
    </w:p>
    <w:p w14:paraId="3B2193BB">
      <w:pPr>
        <w:pStyle w:val="156"/>
        <w:adjustRightInd w:val="0"/>
        <w:snapToGrid w:val="0"/>
        <w:spacing w:before="0" w:line="360" w:lineRule="auto"/>
        <w:ind w:firstLine="482" w:firstLineChars="200"/>
        <w:rPr>
          <w:rFonts w:hint="eastAsia" w:ascii="宋体" w:hAnsi="宋体" w:eastAsia="仿宋"/>
          <w:b/>
          <w:color w:val="000000"/>
          <w:sz w:val="24"/>
          <w:szCs w:val="24"/>
          <w:highlight w:val="none"/>
        </w:rPr>
      </w:pPr>
      <w:bookmarkStart w:id="808" w:name="_Toc466024570"/>
      <w:bookmarkStart w:id="809" w:name="_Toc455587103"/>
      <w:bookmarkStart w:id="810" w:name="_Toc455587287"/>
      <w:bookmarkStart w:id="811" w:name="_Toc445554771"/>
      <w:r>
        <w:rPr>
          <w:rFonts w:hint="eastAsia" w:ascii="宋体" w:hAnsi="宋体" w:eastAsia="仿宋"/>
          <w:b/>
          <w:color w:val="000000"/>
          <w:sz w:val="24"/>
          <w:szCs w:val="24"/>
          <w:highlight w:val="none"/>
        </w:rPr>
        <w:t>4.4 投标文件的澄清</w:t>
      </w:r>
      <w:bookmarkEnd w:id="808"/>
      <w:bookmarkEnd w:id="809"/>
      <w:bookmarkEnd w:id="810"/>
      <w:bookmarkEnd w:id="811"/>
    </w:p>
    <w:p w14:paraId="79BF8DF9">
      <w:pPr>
        <w:pStyle w:val="155"/>
        <w:adjustRightIn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4.4.1 评标过程中，评标委员会可以要求投标人对投标文件中含义不明确、同类问题表述不一致或者有明显文字和计算错误的内容等作出必要的澄清、说明或者补正。投标人的澄清、说明或者补正不得超出投标文件的范围或者改变投标文件的实质性内容（算术性错误修正的除外）。投标人的书面澄清、说明和补正属于投标文件的组成部分。</w:t>
      </w:r>
    </w:p>
    <w:p w14:paraId="0267DFCC">
      <w:pPr>
        <w:pStyle w:val="155"/>
        <w:adjustRightIn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4.4.2 评标委员会要求投标人澄清、说明或者更正投标文件应当以书面形式作出。投标人的澄清、说明或者更正应当由法定代表人（单位负责人）或其授权代表签字或者加盖公章。由授权代表签字的，应当附法定代表人（单位负责人）授权书。投标人为自然人的，应当由本人签字并附身份证明。</w:t>
      </w:r>
    </w:p>
    <w:p w14:paraId="3FED2D70">
      <w:pPr>
        <w:pStyle w:val="155"/>
        <w:adjustRightIn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4.4.3 评标委员会对投标人提交的澄清、说明或补正有疑问的，可以要求投标人进一步澄清、说明或补正，直至满足评标委员会的要求。</w:t>
      </w:r>
    </w:p>
    <w:p w14:paraId="1A9733B7">
      <w:pPr>
        <w:pStyle w:val="155"/>
        <w:adjustRightIn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4.4.4 实质上没有响应招标文件要求的投标将被拒绝。投标人不得通过修正或撤销不合要求的偏离或保留从而使其投标成为实质上响应的投标。评标委员会不接受投标人主动提出的澄清、说明或补正。</w:t>
      </w:r>
    </w:p>
    <w:p w14:paraId="5999E57C">
      <w:pPr>
        <w:pStyle w:val="156"/>
        <w:adjustRightInd w:val="0"/>
        <w:snapToGrid w:val="0"/>
        <w:spacing w:before="0" w:line="360" w:lineRule="auto"/>
        <w:ind w:firstLine="482" w:firstLineChars="200"/>
        <w:rPr>
          <w:rFonts w:hint="eastAsia" w:ascii="宋体" w:hAnsi="宋体" w:eastAsia="仿宋"/>
          <w:b/>
          <w:color w:val="000000"/>
          <w:sz w:val="24"/>
          <w:szCs w:val="24"/>
          <w:highlight w:val="none"/>
        </w:rPr>
      </w:pPr>
      <w:bookmarkStart w:id="812" w:name="_Toc455587104"/>
      <w:bookmarkStart w:id="813" w:name="_Toc466024571"/>
      <w:bookmarkStart w:id="814" w:name="_Toc455587288"/>
      <w:bookmarkStart w:id="815" w:name="_Toc445554772"/>
      <w:r>
        <w:rPr>
          <w:rFonts w:hint="eastAsia" w:ascii="宋体" w:hAnsi="宋体" w:eastAsia="仿宋"/>
          <w:b/>
          <w:color w:val="000000"/>
          <w:sz w:val="24"/>
          <w:szCs w:val="24"/>
          <w:highlight w:val="none"/>
        </w:rPr>
        <w:t>4.5 评标结果</w:t>
      </w:r>
      <w:bookmarkEnd w:id="812"/>
      <w:bookmarkEnd w:id="813"/>
      <w:bookmarkEnd w:id="814"/>
      <w:bookmarkEnd w:id="815"/>
    </w:p>
    <w:p w14:paraId="76F4CD61">
      <w:pPr>
        <w:pStyle w:val="155"/>
        <w:adjustRightInd w:val="0"/>
        <w:snapToGri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4.5.1 除第二章投标人须知前附表授权评标委员会直接确定中标人外，评标委员会按照得分由高到低的顺序推荐中标候选人，并标明排序。</w:t>
      </w:r>
    </w:p>
    <w:p w14:paraId="4B40C7F7">
      <w:pPr>
        <w:pStyle w:val="155"/>
        <w:adjustRightIn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4.5.2 完成评标后，</w:t>
      </w:r>
      <w:r>
        <w:rPr>
          <w:rFonts w:hint="eastAsia" w:ascii="宋体" w:hAnsi="宋体" w:eastAsia="仿宋" w:cs="宋体"/>
          <w:color w:val="000000"/>
          <w:sz w:val="24"/>
          <w:szCs w:val="24"/>
          <w:highlight w:val="none"/>
        </w:rPr>
        <w:t>评标委员会根据全体评标成员签字的原始评标记录和评标结果编写评标报告。评标报告应当包括以下内容：</w:t>
      </w:r>
    </w:p>
    <w:p w14:paraId="3591D80D">
      <w:pPr>
        <w:pStyle w:val="155"/>
        <w:adjustRightInd w:val="0"/>
        <w:spacing w:line="360" w:lineRule="auto"/>
        <w:ind w:firstLine="480" w:firstLineChars="200"/>
        <w:rPr>
          <w:rFonts w:ascii="宋体" w:hAnsi="宋体" w:eastAsia="仿宋" w:cs="宋体"/>
          <w:color w:val="000000"/>
          <w:sz w:val="24"/>
          <w:szCs w:val="24"/>
          <w:highlight w:val="none"/>
        </w:rPr>
      </w:pPr>
      <w:bookmarkStart w:id="816" w:name="_Toc455587105"/>
      <w:bookmarkStart w:id="817" w:name="_Toc455587289"/>
      <w:bookmarkStart w:id="818" w:name="_Toc445554773"/>
      <w:r>
        <w:rPr>
          <w:rFonts w:hint="eastAsia" w:ascii="宋体" w:hAnsi="宋体" w:eastAsia="仿宋" w:cs="宋体"/>
          <w:color w:val="000000"/>
          <w:sz w:val="24"/>
          <w:szCs w:val="24"/>
          <w:highlight w:val="none"/>
        </w:rPr>
        <w:t>（1）招标公告的发布媒介、开标日期和地点；</w:t>
      </w:r>
    </w:p>
    <w:p w14:paraId="3086E63E">
      <w:pPr>
        <w:pStyle w:val="155"/>
        <w:adjustRightInd w:val="0"/>
        <w:spacing w:line="360" w:lineRule="auto"/>
        <w:ind w:firstLine="480" w:firstLineChars="200"/>
        <w:rPr>
          <w:rFonts w:ascii="宋体" w:hAnsi="宋体" w:eastAsia="仿宋" w:cs="宋体"/>
          <w:color w:val="000000"/>
          <w:sz w:val="24"/>
          <w:szCs w:val="24"/>
          <w:highlight w:val="none"/>
        </w:rPr>
      </w:pPr>
      <w:r>
        <w:rPr>
          <w:rFonts w:hint="eastAsia" w:ascii="宋体" w:hAnsi="宋体" w:eastAsia="仿宋" w:cs="宋体"/>
          <w:color w:val="000000"/>
          <w:sz w:val="24"/>
          <w:szCs w:val="24"/>
          <w:highlight w:val="none"/>
        </w:rPr>
        <w:t>（2）投标人名单和评标委员会成员名单；</w:t>
      </w:r>
    </w:p>
    <w:p w14:paraId="69A163C9">
      <w:pPr>
        <w:pStyle w:val="155"/>
        <w:adjustRightInd w:val="0"/>
        <w:spacing w:line="360" w:lineRule="auto"/>
        <w:ind w:firstLine="480" w:firstLineChars="200"/>
        <w:rPr>
          <w:rFonts w:ascii="宋体" w:hAnsi="宋体" w:eastAsia="仿宋" w:cs="宋体"/>
          <w:color w:val="000000"/>
          <w:sz w:val="24"/>
          <w:szCs w:val="24"/>
          <w:highlight w:val="none"/>
        </w:rPr>
      </w:pPr>
      <w:r>
        <w:rPr>
          <w:rFonts w:hint="eastAsia" w:ascii="宋体" w:hAnsi="宋体" w:eastAsia="仿宋" w:cs="宋体"/>
          <w:color w:val="000000"/>
          <w:sz w:val="24"/>
          <w:szCs w:val="24"/>
          <w:highlight w:val="none"/>
        </w:rPr>
        <w:t>（3）评标方法和标准；</w:t>
      </w:r>
    </w:p>
    <w:p w14:paraId="4972DBE6">
      <w:pPr>
        <w:pStyle w:val="155"/>
        <w:adjustRightInd w:val="0"/>
        <w:spacing w:line="360" w:lineRule="auto"/>
        <w:ind w:firstLine="480" w:firstLineChars="200"/>
        <w:rPr>
          <w:rFonts w:ascii="宋体" w:hAnsi="宋体" w:eastAsia="仿宋" w:cs="宋体"/>
          <w:color w:val="000000"/>
          <w:sz w:val="24"/>
          <w:szCs w:val="24"/>
          <w:highlight w:val="none"/>
        </w:rPr>
      </w:pPr>
      <w:r>
        <w:rPr>
          <w:rFonts w:hint="eastAsia" w:ascii="宋体" w:hAnsi="宋体" w:eastAsia="仿宋" w:cs="宋体"/>
          <w:color w:val="000000"/>
          <w:sz w:val="24"/>
          <w:szCs w:val="24"/>
          <w:highlight w:val="none"/>
        </w:rPr>
        <w:t>（4）开标记录和评标情况及说明，包括无效投标人名单及原因；</w:t>
      </w:r>
    </w:p>
    <w:p w14:paraId="70855C41">
      <w:pPr>
        <w:pStyle w:val="155"/>
        <w:adjustRightInd w:val="0"/>
        <w:spacing w:line="360" w:lineRule="auto"/>
        <w:ind w:firstLine="480" w:firstLineChars="200"/>
        <w:rPr>
          <w:rFonts w:ascii="宋体" w:hAnsi="宋体" w:eastAsia="仿宋" w:cs="宋体"/>
          <w:color w:val="000000"/>
          <w:sz w:val="24"/>
          <w:szCs w:val="24"/>
          <w:highlight w:val="none"/>
        </w:rPr>
      </w:pPr>
      <w:r>
        <w:rPr>
          <w:rFonts w:hint="eastAsia" w:ascii="宋体" w:hAnsi="宋体" w:eastAsia="仿宋" w:cs="宋体"/>
          <w:color w:val="000000"/>
          <w:sz w:val="24"/>
          <w:szCs w:val="24"/>
          <w:highlight w:val="none"/>
        </w:rPr>
        <w:t>（5）评标结果，确定的中标候选人名单或者经采购人委托直接确定的中标人；</w:t>
      </w:r>
    </w:p>
    <w:p w14:paraId="08B1A322">
      <w:pPr>
        <w:pStyle w:val="155"/>
        <w:adjustRightInd w:val="0"/>
        <w:spacing w:line="360" w:lineRule="auto"/>
        <w:ind w:firstLine="480" w:firstLineChars="200"/>
        <w:rPr>
          <w:rFonts w:hint="eastAsia" w:ascii="宋体" w:hAnsi="宋体" w:eastAsia="仿宋" w:cs="宋体"/>
          <w:color w:val="000000"/>
          <w:sz w:val="24"/>
          <w:szCs w:val="24"/>
          <w:highlight w:val="none"/>
        </w:rPr>
      </w:pPr>
      <w:r>
        <w:rPr>
          <w:rFonts w:hint="eastAsia" w:ascii="宋体" w:hAnsi="宋体" w:eastAsia="仿宋" w:cs="宋体"/>
          <w:color w:val="000000"/>
          <w:sz w:val="24"/>
          <w:szCs w:val="24"/>
          <w:highlight w:val="none"/>
        </w:rPr>
        <w:t>（6）其他需要说明的情况，包括评标过程中投标人根据评标委员会要求进行的澄清、说明或者补正，评标委员会成员的更换等。</w:t>
      </w:r>
    </w:p>
    <w:p w14:paraId="0C5A1DE4">
      <w:pPr>
        <w:pStyle w:val="3"/>
        <w:widowControl/>
        <w:adjustRightInd w:val="0"/>
        <w:spacing w:before="0" w:after="0" w:line="360" w:lineRule="auto"/>
        <w:ind w:firstLine="482" w:firstLineChars="200"/>
        <w:rPr>
          <w:rFonts w:hint="eastAsia" w:ascii="宋体" w:hAnsi="宋体" w:eastAsia="仿宋"/>
          <w:bCs w:val="0"/>
          <w:color w:val="000000"/>
          <w:sz w:val="24"/>
          <w:szCs w:val="24"/>
          <w:highlight w:val="none"/>
        </w:rPr>
      </w:pPr>
      <w:bookmarkStart w:id="819" w:name="_Toc466024572"/>
      <w:r>
        <w:rPr>
          <w:rFonts w:hint="eastAsia" w:ascii="宋体" w:hAnsi="宋体" w:eastAsia="仿宋"/>
          <w:bCs w:val="0"/>
          <w:color w:val="000000"/>
          <w:sz w:val="24"/>
          <w:szCs w:val="24"/>
          <w:highlight w:val="none"/>
        </w:rPr>
        <w:t>5. 其他</w:t>
      </w:r>
      <w:bookmarkEnd w:id="816"/>
      <w:bookmarkEnd w:id="817"/>
      <w:bookmarkEnd w:id="818"/>
      <w:bookmarkEnd w:id="819"/>
    </w:p>
    <w:p w14:paraId="7C64E458">
      <w:pPr>
        <w:pStyle w:val="155"/>
        <w:adjustRightIn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5.1 投标人提供的与投标有关的各类证书、证明、文件、资料等的真实性、合法性由投标人负全责。评标委员会一律不负责进行核查确认。评标时评标委员会发现投标人存在弄虚作假嫌疑的，或者由其他投标人和其他利害关系人投诉举报发现投标人存在弄虚作假行为的,提请有关监督部门另行立案调查，评标工作正常进行；有关监督部门调查确认弄虚作假情况属实的，如果该投标人已被确定为中标候选人的，由采购人按照法律法规相关规定取消其中标资格，并从其他中标候选人中依照推荐次序确定中标人。</w:t>
      </w:r>
    </w:p>
    <w:p w14:paraId="28722D10">
      <w:pPr>
        <w:pStyle w:val="155"/>
        <w:adjustRightInd w:val="0"/>
        <w:spacing w:line="360" w:lineRule="auto"/>
        <w:ind w:firstLine="480" w:firstLineChars="200"/>
        <w:rPr>
          <w:rFonts w:hint="eastAsia" w:ascii="宋体" w:hAnsi="宋体" w:eastAsia="仿宋"/>
          <w:color w:val="000000"/>
          <w:sz w:val="24"/>
          <w:szCs w:val="24"/>
          <w:highlight w:val="none"/>
        </w:rPr>
      </w:pPr>
      <w:r>
        <w:rPr>
          <w:rFonts w:hint="eastAsia" w:ascii="宋体" w:hAnsi="宋体" w:eastAsia="仿宋"/>
          <w:color w:val="000000"/>
          <w:sz w:val="24"/>
          <w:szCs w:val="24"/>
          <w:highlight w:val="none"/>
        </w:rPr>
        <w:t>5.2 投标人提供业绩、荣誉证书、资质资格证书、相关证明材料等文件及资料均须在投标文件中提供，电子投标文件中提供扫描件或电子证照。如未在投标文件中提供，则资格审查、符合性审查相应项视为不通过；评分项目相应项不予计分。</w:t>
      </w:r>
    </w:p>
    <w:p w14:paraId="729DBEC0">
      <w:pPr>
        <w:widowControl/>
        <w:spacing w:line="400" w:lineRule="exact"/>
        <w:ind w:firstLine="480" w:firstLineChars="200"/>
        <w:rPr>
          <w:rFonts w:ascii="宋体" w:hAnsi="宋体" w:eastAsia="仿宋"/>
          <w:color w:val="000000"/>
          <w:sz w:val="24"/>
          <w:highlight w:val="none"/>
        </w:rPr>
      </w:pPr>
    </w:p>
    <w:p w14:paraId="4E231FC3">
      <w:pPr>
        <w:widowControl/>
        <w:spacing w:line="400" w:lineRule="exact"/>
        <w:ind w:firstLine="480" w:firstLineChars="200"/>
        <w:rPr>
          <w:rFonts w:ascii="宋体" w:hAnsi="宋体" w:eastAsia="仿宋"/>
          <w:color w:val="000000"/>
          <w:sz w:val="24"/>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50B67D9E">
      <w:pPr>
        <w:pStyle w:val="2"/>
        <w:widowControl/>
        <w:spacing w:before="0" w:after="0" w:line="240" w:lineRule="auto"/>
        <w:jc w:val="center"/>
        <w:rPr>
          <w:rFonts w:hint="eastAsia" w:ascii="宋体" w:hAnsi="宋体" w:eastAsia="仿宋"/>
          <w:color w:val="000000"/>
          <w:highlight w:val="none"/>
        </w:rPr>
      </w:pPr>
      <w:bookmarkStart w:id="820" w:name="_Toc466024582"/>
      <w:bookmarkStart w:id="821" w:name="_Toc445554783"/>
      <w:bookmarkStart w:id="822" w:name="_Toc395"/>
      <w:bookmarkStart w:id="823" w:name="_Toc152696791"/>
      <w:bookmarkStart w:id="824" w:name="_Toc176927207"/>
      <w:bookmarkStart w:id="825" w:name="_Toc255490647"/>
      <w:bookmarkStart w:id="826" w:name="_Toc138323410"/>
      <w:bookmarkStart w:id="827" w:name="_Toc153634810"/>
      <w:bookmarkStart w:id="828" w:name="_Toc153635713"/>
      <w:bookmarkStart w:id="829" w:name="_Toc256434217"/>
      <w:bookmarkStart w:id="830" w:name="_Toc177181404"/>
      <w:bookmarkStart w:id="831" w:name="_Toc153485042"/>
      <w:bookmarkStart w:id="832" w:name="_Toc165463683"/>
      <w:bookmarkStart w:id="833" w:name="_Toc162331289"/>
      <w:bookmarkStart w:id="834" w:name="_Toc138638816"/>
      <w:bookmarkStart w:id="835" w:name="_Toc256955329"/>
      <w:bookmarkStart w:id="836" w:name="_Toc162410278"/>
      <w:bookmarkStart w:id="837" w:name="_Toc153630652"/>
      <w:bookmarkStart w:id="838" w:name="_Toc199585022"/>
      <w:bookmarkStart w:id="839" w:name="_Toc201377864"/>
      <w:bookmarkStart w:id="840" w:name="_Toc256409867"/>
      <w:bookmarkStart w:id="841" w:name="_Toc162406884"/>
      <w:bookmarkStart w:id="842" w:name="_Toc176780575"/>
      <w:bookmarkStart w:id="843" w:name="_Toc192231354"/>
      <w:bookmarkStart w:id="844" w:name="_Toc153636085"/>
      <w:bookmarkStart w:id="845" w:name="_Toc139194404"/>
      <w:bookmarkStart w:id="846" w:name="_Toc221418700"/>
      <w:r>
        <w:rPr>
          <w:rFonts w:hint="eastAsia" w:ascii="宋体" w:hAnsi="宋体" w:eastAsia="仿宋"/>
          <w:color w:val="000000"/>
          <w:highlight w:val="none"/>
        </w:rPr>
        <w:t>第五章  合同条款及格式</w:t>
      </w:r>
      <w:bookmarkEnd w:id="820"/>
      <w:bookmarkEnd w:id="821"/>
      <w:bookmarkEnd w:id="822"/>
    </w:p>
    <w:p w14:paraId="6282D9D3">
      <w:pPr>
        <w:spacing w:line="360" w:lineRule="auto"/>
        <w:ind w:firstLine="560" w:firstLineChars="200"/>
        <w:jc w:val="center"/>
        <w:rPr>
          <w:rFonts w:ascii="楷体" w:hAnsi="楷体" w:eastAsia="楷体"/>
          <w:color w:val="000000"/>
          <w:sz w:val="28"/>
          <w:szCs w:val="28"/>
          <w:highlight w:val="none"/>
        </w:rPr>
      </w:pPr>
      <w:r>
        <w:rPr>
          <w:rFonts w:hint="eastAsia" w:ascii="楷体" w:hAnsi="楷体" w:eastAsia="楷体"/>
          <w:color w:val="000000"/>
          <w:sz w:val="28"/>
          <w:szCs w:val="28"/>
          <w:highlight w:val="none"/>
        </w:rPr>
        <w:t>（供参考）</w:t>
      </w:r>
    </w:p>
    <w:p w14:paraId="7D4DF5D3">
      <w:pPr>
        <w:pStyle w:val="3"/>
        <w:adjustRightInd w:val="0"/>
        <w:snapToGrid w:val="0"/>
        <w:spacing w:line="400" w:lineRule="exact"/>
        <w:jc w:val="center"/>
        <w:rPr>
          <w:rFonts w:hint="eastAsia" w:ascii="黑体" w:hAnsi="华文中宋" w:eastAsia="黑体"/>
          <w:b w:val="0"/>
          <w:bCs w:val="0"/>
          <w:color w:val="000000"/>
          <w:sz w:val="28"/>
          <w:szCs w:val="28"/>
          <w:highlight w:val="none"/>
        </w:rPr>
      </w:pPr>
      <w:r>
        <w:rPr>
          <w:rFonts w:hint="eastAsia" w:ascii="黑体" w:hAnsi="黑体" w:eastAsia="黑体"/>
          <w:b w:val="0"/>
          <w:bCs w:val="0"/>
          <w:color w:val="000000"/>
          <w:sz w:val="28"/>
          <w:szCs w:val="28"/>
          <w:highlight w:val="none"/>
        </w:rPr>
        <w:t xml:space="preserve">第一节 </w:t>
      </w:r>
      <w:r>
        <w:rPr>
          <w:rFonts w:hint="eastAsia" w:ascii="黑体" w:hAnsi="华文中宋" w:eastAsia="黑体"/>
          <w:b w:val="0"/>
          <w:bCs w:val="0"/>
          <w:color w:val="000000"/>
          <w:sz w:val="28"/>
          <w:szCs w:val="28"/>
          <w:highlight w:val="none"/>
        </w:rPr>
        <w:t>政府采购合同协议书</w:t>
      </w:r>
    </w:p>
    <w:p w14:paraId="57508ED3">
      <w:pPr>
        <w:rPr>
          <w:rFonts w:hint="eastAsia"/>
          <w:color w:val="000000"/>
          <w:highlight w:val="none"/>
        </w:rPr>
      </w:pPr>
    </w:p>
    <w:p w14:paraId="61E01040">
      <w:pPr>
        <w:adjustRightInd w:val="0"/>
        <w:snapToGrid w:val="0"/>
        <w:spacing w:line="400" w:lineRule="exact"/>
        <w:rPr>
          <w:rFonts w:ascii="宋体" w:hAnsi="宋体"/>
          <w:color w:val="000000"/>
          <w:szCs w:val="21"/>
          <w:highlight w:val="none"/>
        </w:rPr>
      </w:pPr>
      <w:r>
        <w:rPr>
          <w:rFonts w:hint="eastAsia" w:ascii="宋体" w:hAnsi="宋体"/>
          <w:color w:val="000000"/>
          <w:szCs w:val="21"/>
          <w:highlight w:val="none"/>
        </w:rPr>
        <w:t>甲方（全称）：</w:t>
      </w:r>
      <w:r>
        <w:rPr>
          <w:rFonts w:hint="eastAsia" w:ascii="宋体" w:hAnsi="宋体"/>
          <w:color w:val="000000"/>
          <w:szCs w:val="21"/>
          <w:highlight w:val="none"/>
          <w:u w:val="single"/>
        </w:rPr>
        <w:t xml:space="preserve">                        </w:t>
      </w:r>
      <w:r>
        <w:rPr>
          <w:rFonts w:hint="eastAsia" w:ascii="宋体" w:hAnsi="宋体"/>
          <w:color w:val="000000"/>
          <w:szCs w:val="21"/>
          <w:highlight w:val="none"/>
        </w:rPr>
        <w:t>（采购人、受采购人委托签订合同的单位或采购文件约定的合同甲方）</w:t>
      </w:r>
    </w:p>
    <w:p w14:paraId="2FDD3413">
      <w:pPr>
        <w:adjustRightInd w:val="0"/>
        <w:snapToGrid w:val="0"/>
        <w:spacing w:line="400" w:lineRule="exact"/>
        <w:rPr>
          <w:rFonts w:ascii="宋体" w:hAnsi="宋体"/>
          <w:color w:val="000000"/>
          <w:szCs w:val="21"/>
          <w:highlight w:val="none"/>
        </w:rPr>
      </w:pPr>
      <w:r>
        <w:rPr>
          <w:rFonts w:hint="eastAsia" w:ascii="宋体" w:hAnsi="宋体"/>
          <w:color w:val="000000"/>
          <w:szCs w:val="21"/>
          <w:highlight w:val="none"/>
        </w:rPr>
        <w:t>乙方1（全称）：</w:t>
      </w:r>
      <w:r>
        <w:rPr>
          <w:rFonts w:hint="eastAsia" w:ascii="宋体" w:hAnsi="宋体"/>
          <w:color w:val="000000"/>
          <w:szCs w:val="21"/>
          <w:highlight w:val="none"/>
          <w:u w:val="single"/>
        </w:rPr>
        <w:t xml:space="preserve">                       </w:t>
      </w:r>
      <w:r>
        <w:rPr>
          <w:rFonts w:hint="eastAsia" w:ascii="宋体" w:hAnsi="宋体"/>
          <w:color w:val="000000"/>
          <w:szCs w:val="21"/>
          <w:highlight w:val="none"/>
        </w:rPr>
        <w:t>（供应商）</w:t>
      </w:r>
    </w:p>
    <w:p w14:paraId="11D9C049">
      <w:pPr>
        <w:adjustRightInd w:val="0"/>
        <w:snapToGrid w:val="0"/>
        <w:spacing w:line="400" w:lineRule="exact"/>
        <w:rPr>
          <w:rFonts w:hint="eastAsia" w:ascii="宋体" w:hAnsi="宋体"/>
          <w:color w:val="000000"/>
          <w:szCs w:val="21"/>
          <w:highlight w:val="none"/>
        </w:rPr>
      </w:pPr>
      <w:r>
        <w:rPr>
          <w:rFonts w:hint="eastAsia" w:ascii="宋体" w:hAnsi="宋体"/>
          <w:color w:val="000000"/>
          <w:szCs w:val="21"/>
          <w:highlight w:val="none"/>
        </w:rPr>
        <w:t>乙方2（全称）：</w:t>
      </w:r>
      <w:r>
        <w:rPr>
          <w:rFonts w:hint="eastAsia" w:ascii="宋体" w:hAnsi="宋体"/>
          <w:color w:val="000000"/>
          <w:szCs w:val="21"/>
          <w:highlight w:val="none"/>
          <w:u w:val="single"/>
        </w:rPr>
        <w:t xml:space="preserve">                        </w:t>
      </w:r>
      <w:r>
        <w:rPr>
          <w:rFonts w:hint="eastAsia" w:ascii="宋体" w:hAnsi="宋体"/>
          <w:color w:val="000000"/>
          <w:szCs w:val="21"/>
          <w:highlight w:val="none"/>
        </w:rPr>
        <w:t>（联合体成员供应商或其他合同主体）（如有）</w:t>
      </w:r>
    </w:p>
    <w:p w14:paraId="6A6427DD">
      <w:pPr>
        <w:adjustRightInd w:val="0"/>
        <w:snapToGrid w:val="0"/>
        <w:spacing w:line="400" w:lineRule="exact"/>
        <w:rPr>
          <w:rFonts w:hint="eastAsia" w:ascii="宋体" w:hAnsi="宋体"/>
          <w:color w:val="000000"/>
          <w:szCs w:val="21"/>
          <w:highlight w:val="none"/>
        </w:rPr>
      </w:pPr>
      <w:r>
        <w:rPr>
          <w:rFonts w:hint="eastAsia"/>
          <w:color w:val="000000"/>
          <w:highlight w:val="none"/>
        </w:rPr>
        <w:t>乙方</w:t>
      </w:r>
      <w:r>
        <w:rPr>
          <w:rFonts w:hint="eastAsia" w:ascii="宋体" w:hAnsi="宋体"/>
          <w:color w:val="000000"/>
          <w:szCs w:val="21"/>
          <w:highlight w:val="none"/>
        </w:rPr>
        <w:t>3</w:t>
      </w:r>
      <w:r>
        <w:rPr>
          <w:rFonts w:hint="eastAsia"/>
          <w:color w:val="000000"/>
          <w:highlight w:val="none"/>
        </w:rPr>
        <w:t>（全称）</w:t>
      </w:r>
      <w:r>
        <w:rPr>
          <w:rFonts w:hint="eastAsia" w:ascii="宋体" w:hAnsi="宋体"/>
          <w:color w:val="000000"/>
          <w:szCs w:val="21"/>
          <w:highlight w:val="none"/>
          <w:u w:val="single"/>
        </w:rPr>
        <w:t xml:space="preserve">                          </w:t>
      </w:r>
      <w:r>
        <w:rPr>
          <w:rFonts w:hint="eastAsia" w:ascii="宋体" w:hAnsi="宋体"/>
          <w:color w:val="000000"/>
          <w:szCs w:val="21"/>
          <w:highlight w:val="none"/>
        </w:rPr>
        <w:t>（联合体成员供应商或其他合同主体）（如有）</w:t>
      </w:r>
    </w:p>
    <w:p w14:paraId="3D319321">
      <w:pPr>
        <w:spacing w:line="400" w:lineRule="exact"/>
        <w:rPr>
          <w:color w:val="000000"/>
          <w:highlight w:val="none"/>
        </w:rPr>
      </w:pPr>
    </w:p>
    <w:p w14:paraId="458E3423">
      <w:pPr>
        <w:pStyle w:val="19"/>
        <w:adjustRightInd w:val="0"/>
        <w:snapToGrid w:val="0"/>
        <w:spacing w:after="0" w:line="400" w:lineRule="exact"/>
        <w:ind w:left="0" w:leftChars="0" w:firstLine="420" w:firstLineChars="200"/>
        <w:rPr>
          <w:rFonts w:ascii="宋体" w:hAnsi="宋体"/>
          <w:color w:val="000000"/>
          <w:szCs w:val="21"/>
          <w:highlight w:val="none"/>
        </w:rPr>
      </w:pPr>
      <w:r>
        <w:rPr>
          <w:rFonts w:hint="eastAsia" w:ascii="宋体" w:hAnsi="宋体"/>
          <w:color w:val="000000"/>
          <w:szCs w:val="21"/>
          <w:highlight w:val="none"/>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1BA539A">
      <w:pPr>
        <w:numPr>
          <w:ilvl w:val="0"/>
          <w:numId w:val="2"/>
        </w:numPr>
        <w:adjustRightInd w:val="0"/>
        <w:snapToGrid w:val="0"/>
        <w:spacing w:line="400" w:lineRule="exact"/>
        <w:ind w:firstLine="422" w:firstLineChars="200"/>
        <w:rPr>
          <w:rFonts w:ascii="宋体" w:hAnsi="宋体"/>
          <w:b/>
          <w:color w:val="000000"/>
          <w:szCs w:val="21"/>
          <w:highlight w:val="none"/>
        </w:rPr>
      </w:pPr>
      <w:r>
        <w:rPr>
          <w:rFonts w:hint="eastAsia" w:ascii="宋体" w:hAnsi="宋体"/>
          <w:b/>
          <w:color w:val="000000"/>
          <w:szCs w:val="21"/>
          <w:highlight w:val="none"/>
        </w:rPr>
        <w:t>项目信息</w:t>
      </w:r>
    </w:p>
    <w:p w14:paraId="7B9C5FF9">
      <w:pPr>
        <w:pStyle w:val="19"/>
        <w:numPr>
          <w:ilvl w:val="0"/>
          <w:numId w:val="3"/>
        </w:numPr>
        <w:adjustRightInd w:val="0"/>
        <w:snapToGrid w:val="0"/>
        <w:spacing w:after="0" w:line="400" w:lineRule="exact"/>
        <w:ind w:left="0" w:leftChars="0" w:firstLine="420" w:firstLineChars="200"/>
        <w:rPr>
          <w:rFonts w:hint="eastAsia" w:ascii="宋体" w:hAnsi="宋体" w:eastAsia="宋体" w:cs="Times New Roman"/>
          <w:color w:val="000000"/>
          <w:szCs w:val="21"/>
          <w:highlight w:val="none"/>
        </w:rPr>
      </w:pPr>
      <w:r>
        <w:rPr>
          <w:rFonts w:hint="eastAsia" w:ascii="宋体" w:hAnsi="宋体"/>
          <w:color w:val="000000"/>
          <w:szCs w:val="21"/>
          <w:highlight w:val="none"/>
        </w:rPr>
        <w:t>采购项目名称：</w:t>
      </w:r>
      <w:r>
        <w:rPr>
          <w:rFonts w:hint="eastAsia" w:ascii="宋体" w:hAnsi="宋体" w:eastAsia="宋体" w:cs="Times New Roman"/>
          <w:color w:val="000000"/>
          <w:szCs w:val="21"/>
          <w:highlight w:val="none"/>
          <w:lang w:eastAsia="zh-CN"/>
        </w:rPr>
        <w:t>安徽省疾控中心省结核病参比实验室耐药检测能力提升</w:t>
      </w:r>
    </w:p>
    <w:p w14:paraId="2BFEF81A">
      <w:pPr>
        <w:pStyle w:val="19"/>
        <w:tabs>
          <w:tab w:val="left" w:pos="999"/>
        </w:tabs>
        <w:adjustRightInd w:val="0"/>
        <w:snapToGrid w:val="0"/>
        <w:spacing w:after="0" w:line="400" w:lineRule="exact"/>
        <w:ind w:left="0" w:leftChars="0" w:firstLine="945" w:firstLineChars="450"/>
        <w:rPr>
          <w:rFonts w:hint="eastAsia" w:ascii="宋体" w:hAnsi="宋体" w:eastAsia="宋体"/>
          <w:color w:val="000000"/>
          <w:szCs w:val="21"/>
          <w:highlight w:val="none"/>
          <w:lang w:eastAsia="zh-CN"/>
        </w:rPr>
      </w:pPr>
      <w:r>
        <w:rPr>
          <w:rFonts w:hint="eastAsia" w:ascii="宋体" w:hAnsi="宋体"/>
          <w:color w:val="000000"/>
          <w:szCs w:val="21"/>
          <w:highlight w:val="none"/>
        </w:rPr>
        <w:t>采购项目编号：</w:t>
      </w:r>
      <w:r>
        <w:rPr>
          <w:rFonts w:hint="eastAsia" w:ascii="宋体" w:hAnsi="宋体" w:eastAsia="仿宋"/>
          <w:color w:val="000000"/>
          <w:szCs w:val="21"/>
          <w:highlight w:val="none"/>
          <w:lang w:eastAsia="zh-CN"/>
        </w:rPr>
        <w:t>ZF2025-36-1936</w:t>
      </w:r>
    </w:p>
    <w:p w14:paraId="4475FDE4">
      <w:pPr>
        <w:pStyle w:val="19"/>
        <w:adjustRightInd w:val="0"/>
        <w:snapToGrid w:val="0"/>
        <w:spacing w:after="0" w:line="400" w:lineRule="exact"/>
        <w:ind w:left="0" w:leftChars="0" w:firstLine="420" w:firstLineChars="200"/>
        <w:rPr>
          <w:rFonts w:hint="eastAsia" w:ascii="宋体" w:hAnsi="宋体" w:eastAsia="宋体" w:cs="宋体"/>
          <w:color w:val="000000"/>
          <w:szCs w:val="21"/>
          <w:highlight w:val="none"/>
        </w:rPr>
      </w:pPr>
      <w:r>
        <w:rPr>
          <w:rFonts w:hint="eastAsia" w:ascii="宋体" w:hAnsi="宋体"/>
          <w:color w:val="000000"/>
          <w:szCs w:val="21"/>
          <w:highlight w:val="none"/>
        </w:rPr>
        <w:t>（2）采购计划编号：</w:t>
      </w:r>
      <w:r>
        <w:rPr>
          <w:rFonts w:hint="eastAsia" w:ascii="宋体" w:hAnsi="宋体" w:eastAsia="宋体" w:cs="宋体"/>
          <w:color w:val="000000"/>
          <w:szCs w:val="21"/>
          <w:highlight w:val="none"/>
        </w:rPr>
        <w:t>【采购计划编号】</w:t>
      </w:r>
    </w:p>
    <w:p w14:paraId="458399A1">
      <w:pPr>
        <w:adjustRightInd w:val="0"/>
        <w:snapToGrid w:val="0"/>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（3）项目内容：</w:t>
      </w:r>
    </w:p>
    <w:p w14:paraId="75AA232E">
      <w:pPr>
        <w:adjustRightInd w:val="0"/>
        <w:snapToGrid w:val="0"/>
        <w:spacing w:line="400" w:lineRule="exact"/>
        <w:ind w:firstLine="945" w:firstLineChars="450"/>
        <w:rPr>
          <w:rFonts w:hint="eastAsia" w:ascii="宋体" w:hAnsi="宋体"/>
          <w:color w:val="000000"/>
          <w:szCs w:val="21"/>
          <w:highlight w:val="none"/>
        </w:rPr>
      </w:pPr>
      <w:r>
        <w:rPr>
          <w:rFonts w:hint="eastAsia" w:ascii="宋体" w:hAnsi="宋体"/>
          <w:color w:val="000000"/>
          <w:szCs w:val="21"/>
          <w:highlight w:val="none"/>
        </w:rPr>
        <w:t>采购标的及数量（台/套</w:t>
      </w:r>
      <w:r>
        <w:rPr>
          <w:rFonts w:ascii="宋体" w:hAnsi="宋体"/>
          <w:color w:val="000000"/>
          <w:szCs w:val="21"/>
          <w:highlight w:val="none"/>
          <w:lang w:val="en"/>
        </w:rPr>
        <w:t>/</w:t>
      </w:r>
      <w:r>
        <w:rPr>
          <w:rFonts w:hint="eastAsia" w:ascii="宋体" w:hAnsi="宋体"/>
          <w:color w:val="000000"/>
          <w:szCs w:val="21"/>
          <w:highlight w:val="none"/>
          <w:lang w:val="en"/>
        </w:rPr>
        <w:t>个</w:t>
      </w:r>
      <w:r>
        <w:rPr>
          <w:rFonts w:ascii="宋体" w:hAnsi="宋体"/>
          <w:color w:val="000000"/>
          <w:szCs w:val="21"/>
          <w:highlight w:val="none"/>
          <w:lang w:val="en"/>
        </w:rPr>
        <w:t>/</w:t>
      </w:r>
      <w:r>
        <w:rPr>
          <w:rFonts w:hint="eastAsia" w:ascii="宋体" w:hAnsi="宋体"/>
          <w:color w:val="000000"/>
          <w:szCs w:val="21"/>
          <w:highlight w:val="none"/>
          <w:lang w:val="en"/>
        </w:rPr>
        <w:t>架</w:t>
      </w:r>
      <w:r>
        <w:rPr>
          <w:rFonts w:ascii="宋体" w:hAnsi="宋体"/>
          <w:color w:val="000000"/>
          <w:szCs w:val="21"/>
          <w:highlight w:val="none"/>
          <w:lang w:val="en"/>
        </w:rPr>
        <w:t>/</w:t>
      </w:r>
      <w:r>
        <w:rPr>
          <w:rFonts w:hint="eastAsia" w:ascii="宋体" w:hAnsi="宋体"/>
          <w:color w:val="000000"/>
          <w:szCs w:val="21"/>
          <w:highlight w:val="none"/>
          <w:lang w:val="en"/>
        </w:rPr>
        <w:t>组等</w:t>
      </w:r>
      <w:r>
        <w:rPr>
          <w:rFonts w:hint="eastAsia" w:ascii="宋体" w:hAnsi="宋体"/>
          <w:color w:val="000000"/>
          <w:szCs w:val="21"/>
          <w:highlight w:val="none"/>
        </w:rPr>
        <w:t>）：</w:t>
      </w:r>
      <w:r>
        <w:rPr>
          <w:rFonts w:hint="eastAsia" w:ascii="宋体" w:hAnsi="宋体"/>
          <w:color w:val="000000"/>
          <w:szCs w:val="21"/>
          <w:highlight w:val="none"/>
          <w:u w:val="single"/>
        </w:rPr>
        <w:t xml:space="preserve">                       </w:t>
      </w:r>
    </w:p>
    <w:p w14:paraId="5E70B819">
      <w:pPr>
        <w:adjustRightInd w:val="0"/>
        <w:snapToGrid w:val="0"/>
        <w:spacing w:line="400" w:lineRule="exact"/>
        <w:ind w:firstLine="945" w:firstLineChars="450"/>
        <w:rPr>
          <w:rFonts w:ascii="宋体" w:hAnsi="宋体" w:cs="宋体"/>
          <w:color w:val="000000"/>
          <w:szCs w:val="21"/>
          <w:highlight w:val="none"/>
          <w:lang w:val="en"/>
        </w:rPr>
      </w:pPr>
      <w:r>
        <w:rPr>
          <w:rFonts w:hint="eastAsia" w:ascii="宋体" w:hAnsi="宋体" w:cs="宋体"/>
          <w:color w:val="000000"/>
          <w:szCs w:val="21"/>
          <w:highlight w:val="none"/>
        </w:rPr>
        <w:t>品牌：</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lang w:val="en"/>
        </w:rPr>
        <w:t xml:space="preserve">   </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lang w:val="en"/>
        </w:rPr>
        <w:t xml:space="preserve"> </w:t>
      </w:r>
      <w:r>
        <w:rPr>
          <w:rFonts w:hint="eastAsia" w:ascii="宋体" w:hAnsi="宋体" w:cs="宋体"/>
          <w:color w:val="000000"/>
          <w:szCs w:val="21"/>
          <w:highlight w:val="none"/>
          <w:u w:val="single"/>
        </w:rPr>
        <w:t xml:space="preserve"> </w:t>
      </w:r>
      <w:r>
        <w:rPr>
          <w:rFonts w:ascii="宋体" w:hAnsi="宋体" w:cs="宋体"/>
          <w:color w:val="000000"/>
          <w:szCs w:val="21"/>
          <w:highlight w:val="none"/>
          <w:lang w:val="en"/>
        </w:rPr>
        <w:t xml:space="preserve">     </w:t>
      </w:r>
      <w:r>
        <w:rPr>
          <w:rFonts w:hint="eastAsia" w:ascii="宋体" w:hAnsi="宋体" w:cs="宋体"/>
          <w:color w:val="000000"/>
          <w:szCs w:val="21"/>
          <w:highlight w:val="none"/>
        </w:rPr>
        <w:t>规格型号：</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lang w:val="en"/>
        </w:rPr>
        <w:t xml:space="preserve">  </w:t>
      </w:r>
      <w:r>
        <w:rPr>
          <w:rFonts w:hint="eastAsia" w:ascii="宋体" w:hAnsi="宋体" w:cs="宋体"/>
          <w:color w:val="000000"/>
          <w:szCs w:val="21"/>
          <w:highlight w:val="none"/>
          <w:u w:val="single"/>
        </w:rPr>
        <w:t xml:space="preserve">       </w:t>
      </w:r>
      <w:r>
        <w:rPr>
          <w:rFonts w:ascii="宋体" w:hAnsi="宋体" w:cs="宋体"/>
          <w:color w:val="000000"/>
          <w:szCs w:val="21"/>
          <w:highlight w:val="none"/>
          <w:u w:val="single"/>
          <w:lang w:val="en"/>
        </w:rPr>
        <w:t xml:space="preserve">   </w:t>
      </w:r>
    </w:p>
    <w:p w14:paraId="70CF3FBC">
      <w:pPr>
        <w:adjustRightInd w:val="0"/>
        <w:snapToGrid w:val="0"/>
        <w:spacing w:line="400" w:lineRule="exact"/>
        <w:ind w:firstLine="945" w:firstLineChars="450"/>
        <w:rPr>
          <w:rFonts w:ascii="宋体" w:hAnsi="宋体"/>
          <w:color w:val="000000"/>
          <w:szCs w:val="21"/>
          <w:highlight w:val="none"/>
          <w:u w:val="single"/>
        </w:rPr>
      </w:pPr>
      <w:r>
        <w:rPr>
          <w:rFonts w:hint="eastAsia" w:ascii="宋体" w:hAnsi="宋体"/>
          <w:color w:val="000000"/>
          <w:szCs w:val="21"/>
          <w:highlight w:val="none"/>
        </w:rPr>
        <w:t>采购标的的技术要求、商务要求具体见附件。</w:t>
      </w:r>
    </w:p>
    <w:p w14:paraId="3B99D145">
      <w:pPr>
        <w:pStyle w:val="90"/>
        <w:snapToGrid w:val="0"/>
        <w:ind w:firstLine="420"/>
        <w:rPr>
          <w:rFonts w:hint="eastAsia" w:ascii="宋体" w:hAnsi="宋体" w:eastAsia="宋体" w:cs="宋体"/>
          <w:color w:val="000000"/>
          <w:sz w:val="21"/>
          <w:highlight w:val="none"/>
        </w:rPr>
      </w:pPr>
      <w:r>
        <w:rPr>
          <w:rFonts w:hint="eastAsia" w:ascii="宋体" w:hAnsi="宋体" w:eastAsia="宋体" w:cs="宋体"/>
          <w:color w:val="000000"/>
          <w:sz w:val="21"/>
          <w:highlight w:val="none"/>
        </w:rPr>
        <w:t>（</w:t>
      </w:r>
      <w:r>
        <w:rPr>
          <w:rFonts w:ascii="宋体" w:hAnsi="宋体" w:eastAsia="宋体" w:cs="宋体"/>
          <w:color w:val="000000"/>
          <w:sz w:val="21"/>
          <w:highlight w:val="none"/>
          <w:lang w:val="en"/>
        </w:rPr>
        <w:t>4</w:t>
      </w:r>
      <w:r>
        <w:rPr>
          <w:rFonts w:hint="eastAsia" w:ascii="宋体" w:hAnsi="宋体" w:eastAsia="宋体" w:cs="宋体"/>
          <w:color w:val="000000"/>
          <w:sz w:val="21"/>
          <w:highlight w:val="none"/>
        </w:rPr>
        <w:t>）政府采购组织形式：</w:t>
      </w:r>
      <w:r>
        <w:rPr>
          <w:rFonts w:hint="eastAsia" w:ascii="宋体" w:hAnsi="宋体" w:eastAsia="宋体" w:cs="宋体"/>
          <w:color w:val="000000"/>
          <w:sz w:val="21"/>
          <w:highlight w:val="none"/>
        </w:rPr>
        <w:sym w:font="Wingdings" w:char="00A8"/>
      </w:r>
      <w:r>
        <w:rPr>
          <w:rFonts w:hint="eastAsia" w:ascii="宋体" w:hAnsi="宋体" w:eastAsia="宋体" w:cs="宋体"/>
          <w:color w:val="000000"/>
          <w:sz w:val="21"/>
          <w:highlight w:val="none"/>
        </w:rPr>
        <w:t xml:space="preserve">政府集中采购  </w:t>
      </w:r>
      <w:r>
        <w:rPr>
          <w:rFonts w:hint="eastAsia" w:ascii="宋体" w:hAnsi="宋体" w:eastAsia="宋体" w:cs="宋体"/>
          <w:color w:val="000000"/>
          <w:sz w:val="21"/>
          <w:highlight w:val="none"/>
        </w:rPr>
        <w:sym w:font="Wingdings" w:char="00A8"/>
      </w:r>
      <w:r>
        <w:rPr>
          <w:rFonts w:hint="eastAsia" w:ascii="宋体" w:hAnsi="宋体" w:eastAsia="宋体" w:cs="宋体"/>
          <w:color w:val="000000"/>
          <w:sz w:val="21"/>
          <w:highlight w:val="none"/>
        </w:rPr>
        <w:t xml:space="preserve">部门集中采购  </w:t>
      </w:r>
      <w:r>
        <w:rPr>
          <w:rFonts w:hint="eastAsia" w:ascii="宋体" w:hAnsi="宋体" w:eastAsia="宋体" w:cs="宋体"/>
          <w:color w:val="000000"/>
          <w:sz w:val="21"/>
          <w:highlight w:val="none"/>
        </w:rPr>
        <w:sym w:font="Wingdings" w:char="00FE"/>
      </w:r>
      <w:r>
        <w:rPr>
          <w:rFonts w:hint="eastAsia" w:ascii="宋体" w:hAnsi="宋体" w:eastAsia="宋体" w:cs="宋体"/>
          <w:color w:val="000000"/>
          <w:sz w:val="21"/>
          <w:highlight w:val="none"/>
        </w:rPr>
        <w:t>分散采购</w:t>
      </w:r>
    </w:p>
    <w:p w14:paraId="63ACEDD4">
      <w:pPr>
        <w:pStyle w:val="90"/>
        <w:snapToGrid w:val="0"/>
        <w:ind w:firstLine="420"/>
        <w:rPr>
          <w:rFonts w:ascii="宋体" w:hAnsi="宋体" w:eastAsia="宋体" w:cs="宋体"/>
          <w:color w:val="000000"/>
          <w:sz w:val="21"/>
          <w:highlight w:val="none"/>
        </w:rPr>
      </w:pPr>
      <w:r>
        <w:rPr>
          <w:rFonts w:hint="eastAsia" w:ascii="宋体" w:hAnsi="宋体" w:eastAsia="宋体" w:cs="宋体"/>
          <w:color w:val="000000"/>
          <w:sz w:val="21"/>
          <w:highlight w:val="none"/>
        </w:rPr>
        <w:t>（</w:t>
      </w:r>
      <w:r>
        <w:rPr>
          <w:rFonts w:ascii="宋体" w:hAnsi="宋体" w:eastAsia="宋体" w:cs="宋体"/>
          <w:color w:val="000000"/>
          <w:sz w:val="21"/>
          <w:highlight w:val="none"/>
          <w:lang w:val="en"/>
        </w:rPr>
        <w:t>5</w:t>
      </w:r>
      <w:r>
        <w:rPr>
          <w:rFonts w:hint="eastAsia" w:ascii="宋体" w:hAnsi="宋体" w:eastAsia="宋体" w:cs="宋体"/>
          <w:color w:val="000000"/>
          <w:sz w:val="21"/>
          <w:highlight w:val="none"/>
        </w:rPr>
        <w:t>）政府采购方式：</w:t>
      </w:r>
      <w:r>
        <w:rPr>
          <w:rFonts w:hint="eastAsia" w:ascii="宋体" w:hAnsi="宋体" w:eastAsia="宋体" w:cs="宋体"/>
          <w:color w:val="000000"/>
          <w:sz w:val="21"/>
          <w:highlight w:val="none"/>
        </w:rPr>
        <w:sym w:font="Wingdings" w:char="00FE"/>
      </w:r>
      <w:r>
        <w:rPr>
          <w:rFonts w:hint="eastAsia" w:ascii="宋体" w:hAnsi="宋体" w:eastAsia="宋体" w:cs="宋体"/>
          <w:color w:val="000000"/>
          <w:sz w:val="21"/>
          <w:highlight w:val="none"/>
        </w:rPr>
        <w:t xml:space="preserve">公开招标 </w:t>
      </w:r>
      <w:r>
        <w:rPr>
          <w:rFonts w:hint="eastAsia" w:ascii="宋体" w:hAnsi="宋体" w:eastAsia="宋体" w:cs="宋体"/>
          <w:color w:val="000000"/>
          <w:sz w:val="21"/>
          <w:highlight w:val="none"/>
        </w:rPr>
        <w:sym w:font="Wingdings" w:char="00A8"/>
      </w:r>
      <w:r>
        <w:rPr>
          <w:rFonts w:hint="eastAsia" w:ascii="宋体" w:hAnsi="宋体" w:eastAsia="宋体" w:cs="宋体"/>
          <w:color w:val="000000"/>
          <w:sz w:val="21"/>
          <w:highlight w:val="none"/>
        </w:rPr>
        <w:t>邀请招标</w:t>
      </w:r>
    </w:p>
    <w:p w14:paraId="673ACBF6">
      <w:pPr>
        <w:pStyle w:val="90"/>
        <w:snapToGrid w:val="0"/>
        <w:rPr>
          <w:rFonts w:hint="eastAsia" w:ascii="宋体" w:hAnsi="宋体" w:eastAsia="宋体" w:cs="Times New Roman"/>
          <w:color w:val="000000"/>
          <w:kern w:val="2"/>
          <w:sz w:val="21"/>
          <w:highlight w:val="none"/>
        </w:rPr>
      </w:pPr>
      <w:r>
        <w:rPr>
          <w:rFonts w:hint="eastAsia" w:ascii="宋体" w:hAnsi="宋体"/>
          <w:color w:val="000000"/>
          <w:highlight w:val="none"/>
        </w:rPr>
        <w:t>（</w:t>
      </w:r>
      <w:r>
        <w:rPr>
          <w:rFonts w:ascii="宋体" w:hAnsi="宋体"/>
          <w:color w:val="000000"/>
          <w:highlight w:val="none"/>
          <w:lang w:val="en"/>
        </w:rPr>
        <w:t>6</w:t>
      </w:r>
      <w:r>
        <w:rPr>
          <w:rFonts w:hint="eastAsia" w:ascii="宋体" w:hAnsi="宋体"/>
          <w:color w:val="000000"/>
          <w:highlight w:val="none"/>
        </w:rPr>
        <w:t>）</w:t>
      </w:r>
      <w:r>
        <w:rPr>
          <w:rFonts w:hint="eastAsia" w:ascii="宋体" w:hAnsi="宋体" w:eastAsia="宋体" w:cs="Times New Roman"/>
          <w:color w:val="000000"/>
          <w:kern w:val="2"/>
          <w:sz w:val="21"/>
          <w:highlight w:val="none"/>
        </w:rPr>
        <w:t>中标（成交）采购标的制造商是否为中小企业：</w:t>
      </w:r>
      <w:r>
        <w:rPr>
          <w:rFonts w:hint="eastAsia" w:ascii="宋体" w:hAnsi="宋体" w:eastAsia="宋体" w:cs="Times New Roman"/>
          <w:color w:val="000000"/>
          <w:kern w:val="2"/>
          <w:sz w:val="21"/>
          <w:highlight w:val="none"/>
        </w:rPr>
        <w:sym w:font="Wingdings" w:char="00A8"/>
      </w:r>
      <w:r>
        <w:rPr>
          <w:rFonts w:hint="eastAsia" w:ascii="宋体" w:hAnsi="宋体" w:eastAsia="宋体" w:cs="Times New Roman"/>
          <w:color w:val="000000"/>
          <w:kern w:val="2"/>
          <w:sz w:val="21"/>
          <w:highlight w:val="none"/>
        </w:rPr>
        <w:t xml:space="preserve">是      </w:t>
      </w:r>
      <w:r>
        <w:rPr>
          <w:rFonts w:hint="eastAsia" w:ascii="宋体" w:hAnsi="宋体" w:eastAsia="宋体" w:cs="Times New Roman"/>
          <w:color w:val="000000"/>
          <w:kern w:val="2"/>
          <w:sz w:val="21"/>
          <w:highlight w:val="none"/>
        </w:rPr>
        <w:sym w:font="Wingdings" w:char="00A8"/>
      </w:r>
      <w:r>
        <w:rPr>
          <w:rFonts w:hint="eastAsia" w:ascii="宋体" w:hAnsi="宋体" w:eastAsia="宋体" w:cs="Times New Roman"/>
          <w:color w:val="000000"/>
          <w:kern w:val="2"/>
          <w:sz w:val="21"/>
          <w:highlight w:val="none"/>
        </w:rPr>
        <w:t>否</w:t>
      </w:r>
    </w:p>
    <w:p w14:paraId="6C749C8F">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color w:val="000000"/>
          <w:szCs w:val="21"/>
          <w:highlight w:val="none"/>
        </w:rPr>
        <w:t>本合同是否为专门面向中小企业的采购合同（中小企业预留合同）：</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是    </w:t>
      </w:r>
      <w:r>
        <w:rPr>
          <w:rFonts w:hint="eastAsia" w:ascii="宋体" w:hAnsi="宋体"/>
          <w:iCs/>
          <w:color w:val="000000"/>
          <w:szCs w:val="21"/>
          <w:highlight w:val="none"/>
        </w:rPr>
        <w:sym w:font="Wingdings" w:char="00FE"/>
      </w:r>
      <w:r>
        <w:rPr>
          <w:rFonts w:hint="eastAsia" w:ascii="宋体" w:hAnsi="宋体"/>
          <w:iCs/>
          <w:color w:val="000000"/>
          <w:szCs w:val="21"/>
          <w:highlight w:val="none"/>
        </w:rPr>
        <w:t>否</w:t>
      </w:r>
    </w:p>
    <w:p w14:paraId="5861B420">
      <w:pPr>
        <w:adjustRightInd w:val="0"/>
        <w:snapToGrid w:val="0"/>
        <w:spacing w:line="400" w:lineRule="exact"/>
        <w:ind w:firstLine="945" w:firstLineChars="450"/>
        <w:rPr>
          <w:rFonts w:hint="eastAsia" w:ascii="宋体" w:hAnsi="宋体"/>
          <w:iCs/>
          <w:color w:val="000000"/>
          <w:szCs w:val="21"/>
          <w:highlight w:val="none"/>
        </w:rPr>
      </w:pPr>
      <w:r>
        <w:rPr>
          <w:rFonts w:hint="eastAsia"/>
          <w:color w:val="000000"/>
          <w:highlight w:val="none"/>
        </w:rPr>
        <w:t>若本项目不专门面向中小企业采购，是否给予小微企业评审优惠：</w:t>
      </w:r>
      <w:r>
        <w:rPr>
          <w:rFonts w:hint="eastAsia" w:ascii="宋体" w:hAnsi="宋体"/>
          <w:iCs/>
          <w:color w:val="000000"/>
          <w:szCs w:val="21"/>
          <w:highlight w:val="none"/>
        </w:rPr>
        <w:sym w:font="Wingdings" w:char="00FE"/>
      </w:r>
      <w:r>
        <w:rPr>
          <w:rFonts w:hint="eastAsia" w:ascii="宋体" w:hAnsi="宋体"/>
          <w:iCs/>
          <w:color w:val="000000"/>
          <w:szCs w:val="21"/>
          <w:highlight w:val="none"/>
        </w:rPr>
        <w:t xml:space="preserve">是   </w:t>
      </w:r>
      <w:r>
        <w:rPr>
          <w:rFonts w:hint="eastAsia" w:ascii="宋体" w:hAnsi="宋体"/>
          <w:iCs/>
          <w:color w:val="000000"/>
          <w:szCs w:val="21"/>
          <w:highlight w:val="none"/>
        </w:rPr>
        <w:sym w:font="Wingdings" w:char="00A8"/>
      </w:r>
      <w:r>
        <w:rPr>
          <w:rFonts w:hint="eastAsia" w:ascii="宋体" w:hAnsi="宋体"/>
          <w:iCs/>
          <w:color w:val="000000"/>
          <w:szCs w:val="21"/>
          <w:highlight w:val="none"/>
        </w:rPr>
        <w:t>否</w:t>
      </w:r>
    </w:p>
    <w:p w14:paraId="459791B3">
      <w:pPr>
        <w:adjustRightInd w:val="0"/>
        <w:snapToGrid w:val="0"/>
        <w:spacing w:line="400" w:lineRule="exact"/>
        <w:ind w:firstLine="945" w:firstLineChars="450"/>
        <w:rPr>
          <w:rFonts w:hint="eastAsia" w:ascii="宋体" w:hAnsi="宋体"/>
          <w:iCs/>
          <w:color w:val="000000"/>
          <w:szCs w:val="21"/>
          <w:highlight w:val="none"/>
        </w:rPr>
      </w:pPr>
      <w:r>
        <w:rPr>
          <w:rFonts w:hint="eastAsia"/>
          <w:color w:val="000000"/>
          <w:highlight w:val="none"/>
        </w:rPr>
        <w:t>中标（成交）采购标的制造商是否为残疾人福利性单位：</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是   </w:t>
      </w:r>
      <w:r>
        <w:rPr>
          <w:rFonts w:hint="eastAsia" w:ascii="宋体" w:hAnsi="宋体"/>
          <w:iCs/>
          <w:color w:val="000000"/>
          <w:szCs w:val="21"/>
          <w:highlight w:val="none"/>
        </w:rPr>
        <w:sym w:font="Wingdings" w:char="00A8"/>
      </w:r>
      <w:r>
        <w:rPr>
          <w:rFonts w:hint="eastAsia" w:ascii="宋体" w:hAnsi="宋体"/>
          <w:iCs/>
          <w:color w:val="000000"/>
          <w:szCs w:val="21"/>
          <w:highlight w:val="none"/>
        </w:rPr>
        <w:t>否</w:t>
      </w:r>
    </w:p>
    <w:p w14:paraId="085060DA">
      <w:pPr>
        <w:snapToGrid w:val="0"/>
        <w:spacing w:line="400" w:lineRule="exact"/>
        <w:ind w:firstLine="945" w:firstLineChars="450"/>
        <w:rPr>
          <w:color w:val="000000"/>
          <w:highlight w:val="none"/>
        </w:rPr>
      </w:pPr>
      <w:r>
        <w:rPr>
          <w:rFonts w:hint="eastAsia"/>
          <w:color w:val="000000"/>
          <w:highlight w:val="none"/>
        </w:rPr>
        <w:t>中标（成交）采购标的制造商是否为监狱企业：</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是       </w:t>
      </w:r>
      <w:r>
        <w:rPr>
          <w:rFonts w:hint="eastAsia" w:ascii="宋体" w:hAnsi="宋体"/>
          <w:iCs/>
          <w:color w:val="000000"/>
          <w:szCs w:val="21"/>
          <w:highlight w:val="none"/>
        </w:rPr>
        <w:sym w:font="Wingdings" w:char="00A8"/>
      </w:r>
      <w:r>
        <w:rPr>
          <w:rFonts w:hint="eastAsia" w:ascii="宋体" w:hAnsi="宋体"/>
          <w:iCs/>
          <w:color w:val="000000"/>
          <w:szCs w:val="21"/>
          <w:highlight w:val="none"/>
        </w:rPr>
        <w:t>否</w:t>
      </w:r>
    </w:p>
    <w:p w14:paraId="1A8C8A45">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lang w:val="en"/>
        </w:rPr>
        <w:t>7</w:t>
      </w:r>
      <w:r>
        <w:rPr>
          <w:rFonts w:hint="eastAsia" w:ascii="宋体" w:hAnsi="宋体"/>
          <w:color w:val="000000"/>
          <w:szCs w:val="21"/>
          <w:highlight w:val="none"/>
        </w:rPr>
        <w:t>）合同是否分包：</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是       </w:t>
      </w:r>
      <w:r>
        <w:rPr>
          <w:rFonts w:hint="eastAsia" w:ascii="宋体" w:hAnsi="宋体" w:cs="宋体"/>
          <w:color w:val="000000"/>
          <w:highlight w:val="none"/>
        </w:rPr>
        <w:sym w:font="Wingdings" w:char="00FE"/>
      </w:r>
      <w:r>
        <w:rPr>
          <w:rFonts w:hint="eastAsia" w:ascii="宋体" w:hAnsi="宋体"/>
          <w:iCs/>
          <w:color w:val="000000"/>
          <w:szCs w:val="21"/>
          <w:highlight w:val="none"/>
        </w:rPr>
        <w:t>否</w:t>
      </w:r>
    </w:p>
    <w:p w14:paraId="58C6C9F3">
      <w:pPr>
        <w:adjustRightInd w:val="0"/>
        <w:snapToGrid w:val="0"/>
        <w:spacing w:line="400" w:lineRule="exact"/>
        <w:ind w:firstLine="945" w:firstLineChars="450"/>
        <w:rPr>
          <w:rFonts w:hint="eastAsia" w:ascii="宋体" w:hAnsi="宋体"/>
          <w:color w:val="000000"/>
          <w:szCs w:val="21"/>
          <w:highlight w:val="none"/>
          <w:u w:val="single"/>
        </w:rPr>
      </w:pPr>
      <w:r>
        <w:rPr>
          <w:rFonts w:hint="eastAsia" w:ascii="宋体" w:hAnsi="宋体"/>
          <w:color w:val="000000"/>
          <w:szCs w:val="21"/>
          <w:highlight w:val="none"/>
        </w:rPr>
        <w:t>分包主要内容：</w:t>
      </w:r>
      <w:r>
        <w:rPr>
          <w:rFonts w:hint="eastAsia" w:ascii="宋体" w:hAnsi="宋体"/>
          <w:color w:val="000000"/>
          <w:szCs w:val="21"/>
          <w:highlight w:val="none"/>
          <w:u w:val="single"/>
        </w:rPr>
        <w:t xml:space="preserve">                                            </w:t>
      </w:r>
    </w:p>
    <w:p w14:paraId="1D80D5EA">
      <w:pPr>
        <w:adjustRightInd w:val="0"/>
        <w:snapToGrid w:val="0"/>
        <w:spacing w:line="400" w:lineRule="exact"/>
        <w:ind w:firstLine="945" w:firstLineChars="450"/>
        <w:rPr>
          <w:rFonts w:hint="eastAsia" w:ascii="宋体" w:hAnsi="宋体"/>
          <w:color w:val="000000"/>
          <w:szCs w:val="21"/>
          <w:highlight w:val="none"/>
        </w:rPr>
      </w:pPr>
      <w:r>
        <w:rPr>
          <w:rFonts w:hint="eastAsia" w:ascii="宋体" w:hAnsi="宋体"/>
          <w:color w:val="000000"/>
          <w:szCs w:val="21"/>
          <w:highlight w:val="none"/>
        </w:rPr>
        <w:t>分包供应商/制造商名称（如供应商和制造商不同，请分别填写）：</w:t>
      </w:r>
    </w:p>
    <w:p w14:paraId="627CB120">
      <w:pPr>
        <w:adjustRightInd w:val="0"/>
        <w:snapToGrid w:val="0"/>
        <w:spacing w:line="400" w:lineRule="exact"/>
        <w:ind w:firstLine="945" w:firstLineChars="450"/>
        <w:rPr>
          <w:rFonts w:ascii="宋体" w:hAnsi="宋体"/>
          <w:color w:val="000000"/>
          <w:szCs w:val="21"/>
          <w:highlight w:val="none"/>
          <w:u w:val="single"/>
        </w:rPr>
      </w:pPr>
      <w:r>
        <w:rPr>
          <w:rFonts w:hint="eastAsia" w:ascii="宋体" w:hAnsi="宋体"/>
          <w:color w:val="000000"/>
          <w:szCs w:val="21"/>
          <w:highlight w:val="none"/>
          <w:u w:val="single"/>
        </w:rPr>
        <w:t xml:space="preserve">                                                          </w:t>
      </w:r>
    </w:p>
    <w:p w14:paraId="3517A3BE">
      <w:pPr>
        <w:adjustRightInd w:val="0"/>
        <w:snapToGrid w:val="0"/>
        <w:spacing w:line="400" w:lineRule="exact"/>
        <w:ind w:firstLine="945" w:firstLineChars="450"/>
        <w:rPr>
          <w:rFonts w:hint="eastAsia" w:ascii="宋体" w:hAnsi="宋体"/>
          <w:color w:val="000000"/>
          <w:szCs w:val="21"/>
          <w:highlight w:val="none"/>
        </w:rPr>
      </w:pPr>
      <w:r>
        <w:rPr>
          <w:rFonts w:hint="eastAsia" w:ascii="宋体" w:hAnsi="宋体"/>
          <w:color w:val="000000"/>
          <w:szCs w:val="21"/>
          <w:highlight w:val="none"/>
        </w:rPr>
        <w:t>分包供应商/制造商类型（如果供应商和制造商不同，只填写制造商类型）：</w:t>
      </w:r>
    </w:p>
    <w:p w14:paraId="7E654C24">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大型企业  </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中型企业  </w:t>
      </w:r>
      <w:r>
        <w:rPr>
          <w:rFonts w:hint="eastAsia" w:ascii="宋体" w:hAnsi="宋体"/>
          <w:iCs/>
          <w:color w:val="000000"/>
          <w:szCs w:val="21"/>
          <w:highlight w:val="none"/>
        </w:rPr>
        <w:sym w:font="Wingdings" w:char="00A8"/>
      </w:r>
      <w:r>
        <w:rPr>
          <w:rFonts w:hint="eastAsia" w:ascii="宋体" w:hAnsi="宋体"/>
          <w:iCs/>
          <w:color w:val="000000"/>
          <w:szCs w:val="21"/>
          <w:highlight w:val="none"/>
        </w:rPr>
        <w:t>小微型企业</w:t>
      </w:r>
    </w:p>
    <w:p w14:paraId="43B8FFA3">
      <w:pPr>
        <w:adjustRightInd w:val="0"/>
        <w:snapToGrid w:val="0"/>
        <w:spacing w:line="400" w:lineRule="exact"/>
        <w:ind w:firstLine="945" w:firstLineChars="450"/>
        <w:rPr>
          <w:rFonts w:eastAsia="华文楷体"/>
          <w:color w:val="000000"/>
          <w:highlight w:val="none"/>
        </w:rPr>
      </w:pP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残疾人福利性单位 </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监狱企业 </w:t>
      </w:r>
      <w:r>
        <w:rPr>
          <w:rFonts w:hint="eastAsia" w:ascii="宋体" w:hAnsi="宋体"/>
          <w:iCs/>
          <w:color w:val="000000"/>
          <w:szCs w:val="21"/>
          <w:highlight w:val="none"/>
        </w:rPr>
        <w:sym w:font="Wingdings" w:char="00A8"/>
      </w:r>
      <w:r>
        <w:rPr>
          <w:rFonts w:hint="eastAsia" w:ascii="宋体" w:hAnsi="宋体"/>
          <w:iCs/>
          <w:color w:val="000000"/>
          <w:szCs w:val="21"/>
          <w:highlight w:val="none"/>
        </w:rPr>
        <w:t>其他</w:t>
      </w:r>
    </w:p>
    <w:p w14:paraId="272E1603">
      <w:pPr>
        <w:adjustRightInd w:val="0"/>
        <w:snapToGrid w:val="0"/>
        <w:spacing w:line="400" w:lineRule="exact"/>
        <w:ind w:firstLine="420" w:firstLineChars="200"/>
        <w:rPr>
          <w:rFonts w:hint="eastAsia" w:ascii="宋体" w:hAnsi="宋体" w:cs="宋体"/>
          <w:iCs/>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lang w:val="en"/>
        </w:rPr>
        <w:t>8</w:t>
      </w:r>
      <w:r>
        <w:rPr>
          <w:rFonts w:hint="eastAsia" w:ascii="宋体" w:hAnsi="宋体" w:cs="宋体"/>
          <w:color w:val="000000"/>
          <w:szCs w:val="21"/>
          <w:highlight w:val="none"/>
        </w:rPr>
        <w:t>）中标（成交）供应商是否为外商投资企业：</w:t>
      </w:r>
      <w:r>
        <w:rPr>
          <w:rFonts w:hint="eastAsia" w:ascii="宋体" w:hAnsi="宋体" w:cs="宋体"/>
          <w:iCs/>
          <w:color w:val="000000"/>
          <w:szCs w:val="21"/>
          <w:highlight w:val="none"/>
        </w:rPr>
        <w:sym w:font="Wingdings" w:char="00A8"/>
      </w:r>
      <w:r>
        <w:rPr>
          <w:rFonts w:hint="eastAsia" w:ascii="宋体" w:hAnsi="宋体" w:cs="宋体"/>
          <w:iCs/>
          <w:color w:val="000000"/>
          <w:szCs w:val="21"/>
          <w:highlight w:val="none"/>
        </w:rPr>
        <w:t xml:space="preserve">是       </w:t>
      </w:r>
      <w:r>
        <w:rPr>
          <w:rFonts w:hint="eastAsia" w:ascii="宋体" w:hAnsi="宋体" w:cs="宋体"/>
          <w:color w:val="000000"/>
          <w:highlight w:val="none"/>
        </w:rPr>
        <w:sym w:font="Wingdings" w:char="00FE"/>
      </w:r>
      <w:r>
        <w:rPr>
          <w:rFonts w:hint="eastAsia" w:ascii="宋体" w:hAnsi="宋体" w:cs="宋体"/>
          <w:iCs/>
          <w:color w:val="000000"/>
          <w:szCs w:val="21"/>
          <w:highlight w:val="none"/>
        </w:rPr>
        <w:t>否</w:t>
      </w:r>
    </w:p>
    <w:p w14:paraId="52713D68">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t>外商投资企业类型：</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全部由外国投资者投资  </w:t>
      </w:r>
      <w:r>
        <w:rPr>
          <w:rFonts w:hint="eastAsia" w:ascii="宋体" w:hAnsi="宋体"/>
          <w:iCs/>
          <w:color w:val="000000"/>
          <w:szCs w:val="21"/>
          <w:highlight w:val="none"/>
        </w:rPr>
        <w:sym w:font="Wingdings" w:char="00A8"/>
      </w:r>
      <w:r>
        <w:rPr>
          <w:rFonts w:hint="eastAsia" w:ascii="宋体" w:hAnsi="宋体"/>
          <w:iCs/>
          <w:color w:val="000000"/>
          <w:szCs w:val="21"/>
          <w:highlight w:val="none"/>
        </w:rPr>
        <w:t>部分由外国投资者投资</w:t>
      </w:r>
    </w:p>
    <w:p w14:paraId="2F0150F4">
      <w:pPr>
        <w:adjustRightInd w:val="0"/>
        <w:snapToGrid w:val="0"/>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w:t>
      </w:r>
      <w:r>
        <w:rPr>
          <w:rFonts w:ascii="宋体" w:hAnsi="宋体" w:cs="宋体"/>
          <w:color w:val="000000"/>
          <w:szCs w:val="21"/>
          <w:highlight w:val="none"/>
          <w:lang w:val="en"/>
        </w:rPr>
        <w:t>9</w:t>
      </w:r>
      <w:r>
        <w:rPr>
          <w:rFonts w:hint="eastAsia" w:ascii="宋体" w:hAnsi="宋体" w:cs="宋体"/>
          <w:color w:val="000000"/>
          <w:szCs w:val="21"/>
          <w:highlight w:val="none"/>
        </w:rPr>
        <w:t>）是否涉及进口产品：</w:t>
      </w:r>
    </w:p>
    <w:p w14:paraId="57BEB6B8">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是，《政府采购品目分类目录》底级品目名称：          金额：        </w:t>
      </w:r>
    </w:p>
    <w:p w14:paraId="7EF8A8FB">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t xml:space="preserve">       国别：         品牌：         规格型号：              </w:t>
      </w:r>
    </w:p>
    <w:p w14:paraId="04F341F3">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cs="宋体"/>
          <w:color w:val="000000"/>
          <w:highlight w:val="none"/>
        </w:rPr>
        <w:sym w:font="Wingdings" w:char="00FE"/>
      </w:r>
      <w:r>
        <w:rPr>
          <w:rFonts w:hint="eastAsia" w:ascii="宋体" w:hAnsi="宋体"/>
          <w:iCs/>
          <w:color w:val="000000"/>
          <w:szCs w:val="21"/>
          <w:highlight w:val="none"/>
        </w:rPr>
        <w:t>否</w:t>
      </w:r>
    </w:p>
    <w:p w14:paraId="4AA24CF8">
      <w:pPr>
        <w:adjustRightInd w:val="0"/>
        <w:snapToGrid w:val="0"/>
        <w:spacing w:line="400" w:lineRule="exact"/>
        <w:ind w:firstLine="420" w:firstLineChars="200"/>
        <w:rPr>
          <w:rFonts w:hint="eastAsia" w:ascii="宋体" w:hAnsi="宋体"/>
          <w:iCs/>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lang w:val="en"/>
        </w:rPr>
        <w:t>0</w:t>
      </w:r>
      <w:r>
        <w:rPr>
          <w:rFonts w:hint="eastAsia" w:ascii="宋体" w:hAnsi="宋体" w:cs="宋体"/>
          <w:color w:val="000000"/>
          <w:szCs w:val="21"/>
          <w:highlight w:val="none"/>
        </w:rPr>
        <w:t>）是否涉及节能产品：</w:t>
      </w:r>
    </w:p>
    <w:p w14:paraId="641548FD">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是，《节能产品政府采购品目清单》的底级品目名称：              </w:t>
      </w:r>
    </w:p>
    <w:p w14:paraId="61B58FFA">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t xml:space="preserve">     </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强制采购       </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优先采购    </w:t>
      </w:r>
    </w:p>
    <w:p w14:paraId="27EC20F3">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cs="宋体"/>
          <w:color w:val="000000"/>
          <w:highlight w:val="none"/>
        </w:rPr>
        <w:sym w:font="Wingdings" w:char="00FE"/>
      </w:r>
      <w:r>
        <w:rPr>
          <w:rFonts w:hint="eastAsia" w:ascii="宋体" w:hAnsi="宋体"/>
          <w:iCs/>
          <w:color w:val="000000"/>
          <w:szCs w:val="21"/>
          <w:highlight w:val="none"/>
        </w:rPr>
        <w:t>否</w:t>
      </w:r>
    </w:p>
    <w:p w14:paraId="763A0E84">
      <w:pPr>
        <w:pStyle w:val="90"/>
        <w:ind w:firstLine="420"/>
        <w:rPr>
          <w:rFonts w:hint="eastAsia" w:ascii="宋体" w:hAnsi="宋体" w:eastAsia="宋体" w:cs="Times New Roman"/>
          <w:iCs/>
          <w:color w:val="000000"/>
          <w:kern w:val="2"/>
          <w:sz w:val="21"/>
          <w:highlight w:val="none"/>
        </w:rPr>
      </w:pPr>
    </w:p>
    <w:p w14:paraId="3B7F6C35">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t>是否涉及环境标志产品：</w:t>
      </w:r>
    </w:p>
    <w:p w14:paraId="397AFAF4">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是，《环境标志产品政府采购品目清单》的底级品目名称：          </w:t>
      </w:r>
    </w:p>
    <w:p w14:paraId="52A8BDFE">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t xml:space="preserve">     </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强制采购       </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优先采购    </w:t>
      </w:r>
    </w:p>
    <w:p w14:paraId="5FA8E388">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cs="宋体"/>
          <w:color w:val="000000"/>
          <w:highlight w:val="none"/>
        </w:rPr>
        <w:sym w:font="Wingdings" w:char="00FE"/>
      </w:r>
      <w:r>
        <w:rPr>
          <w:rFonts w:hint="eastAsia" w:ascii="宋体" w:hAnsi="宋体"/>
          <w:iCs/>
          <w:color w:val="000000"/>
          <w:szCs w:val="21"/>
          <w:highlight w:val="none"/>
        </w:rPr>
        <w:t>否</w:t>
      </w:r>
    </w:p>
    <w:p w14:paraId="485A0DB5">
      <w:pPr>
        <w:pStyle w:val="90"/>
        <w:ind w:firstLine="420"/>
        <w:rPr>
          <w:rFonts w:hint="eastAsia" w:ascii="宋体" w:hAnsi="宋体" w:eastAsia="宋体" w:cs="Times New Roman"/>
          <w:iCs/>
          <w:color w:val="000000"/>
          <w:kern w:val="2"/>
          <w:sz w:val="21"/>
          <w:highlight w:val="none"/>
        </w:rPr>
      </w:pPr>
    </w:p>
    <w:p w14:paraId="73949462">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t>是否涉及绿色产品：</w:t>
      </w:r>
    </w:p>
    <w:p w14:paraId="761A7EA0">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是，绿色产品政府采购相关政策确定的底级品目名称：         </w:t>
      </w:r>
    </w:p>
    <w:p w14:paraId="3014A291">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t xml:space="preserve">     </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强制采购       </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优先采购    </w:t>
      </w:r>
    </w:p>
    <w:p w14:paraId="1E6174DD">
      <w:pPr>
        <w:adjustRightInd w:val="0"/>
        <w:snapToGrid w:val="0"/>
        <w:spacing w:line="400" w:lineRule="exact"/>
        <w:ind w:firstLine="945" w:firstLineChars="450"/>
        <w:rPr>
          <w:rFonts w:hint="eastAsia" w:ascii="宋体" w:hAnsi="宋体" w:cs="宋体"/>
          <w:color w:val="000000"/>
          <w:szCs w:val="21"/>
          <w:highlight w:val="none"/>
        </w:rPr>
      </w:pPr>
      <w:r>
        <w:rPr>
          <w:rFonts w:hint="eastAsia" w:ascii="宋体" w:hAnsi="宋体" w:cs="宋体"/>
          <w:color w:val="000000"/>
          <w:highlight w:val="none"/>
        </w:rPr>
        <w:sym w:font="Wingdings" w:char="00FE"/>
      </w:r>
      <w:r>
        <w:rPr>
          <w:rFonts w:hint="eastAsia" w:ascii="宋体" w:hAnsi="宋体"/>
          <w:iCs/>
          <w:color w:val="000000"/>
          <w:szCs w:val="21"/>
          <w:highlight w:val="none"/>
        </w:rPr>
        <w:t>否</w:t>
      </w:r>
    </w:p>
    <w:p w14:paraId="24E5D3C0">
      <w:pPr>
        <w:adjustRightInd w:val="0"/>
        <w:snapToGrid w:val="0"/>
        <w:spacing w:line="400" w:lineRule="exact"/>
        <w:ind w:firstLine="420" w:firstLineChars="200"/>
        <w:rPr>
          <w:rFonts w:hint="eastAsia" w:ascii="宋体" w:hAnsi="宋体"/>
          <w:color w:val="000000"/>
          <w:szCs w:val="21"/>
          <w:highlight w:val="none"/>
        </w:rPr>
      </w:pPr>
      <w:r>
        <w:rPr>
          <w:rFonts w:hint="eastAsia" w:ascii="宋体" w:hAnsi="宋体" w:cs="宋体"/>
          <w:color w:val="000000"/>
          <w:szCs w:val="21"/>
          <w:highlight w:val="none"/>
        </w:rPr>
        <w:t>（</w:t>
      </w:r>
      <w:r>
        <w:rPr>
          <w:rFonts w:hint="eastAsia" w:ascii="宋体" w:hAnsi="宋体"/>
          <w:color w:val="000000"/>
          <w:szCs w:val="21"/>
          <w:highlight w:val="none"/>
        </w:rPr>
        <w:t>1</w:t>
      </w:r>
      <w:r>
        <w:rPr>
          <w:rFonts w:ascii="宋体" w:hAnsi="宋体"/>
          <w:color w:val="000000"/>
          <w:szCs w:val="21"/>
          <w:highlight w:val="none"/>
          <w:lang w:val="en"/>
        </w:rPr>
        <w:t>1</w:t>
      </w:r>
      <w:r>
        <w:rPr>
          <w:rFonts w:hint="eastAsia" w:ascii="宋体" w:hAnsi="宋体"/>
          <w:color w:val="000000"/>
          <w:szCs w:val="21"/>
          <w:highlight w:val="none"/>
        </w:rPr>
        <w:t>）涉及商品包装和快递包装的，是否参考《商品包装政府采购需求标准（试行）》、《快递包装政府采购需求标准（试行）》明确产品及相关快递服务的具体包装要求：</w:t>
      </w:r>
    </w:p>
    <w:p w14:paraId="453538D2">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cs="宋体"/>
          <w:color w:val="000000"/>
          <w:highlight w:val="none"/>
        </w:rPr>
        <w:sym w:font="Wingdings" w:char="00FE"/>
      </w:r>
      <w:r>
        <w:rPr>
          <w:rFonts w:hint="eastAsia" w:ascii="宋体" w:hAnsi="宋体"/>
          <w:iCs/>
          <w:color w:val="000000"/>
          <w:szCs w:val="21"/>
          <w:highlight w:val="none"/>
        </w:rPr>
        <w:t xml:space="preserve">是       </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否      </w:t>
      </w:r>
      <w:r>
        <w:rPr>
          <w:rFonts w:hint="eastAsia" w:ascii="宋体" w:hAnsi="宋体"/>
          <w:iCs/>
          <w:color w:val="000000"/>
          <w:szCs w:val="21"/>
          <w:highlight w:val="none"/>
        </w:rPr>
        <w:sym w:font="Wingdings" w:char="00A8"/>
      </w:r>
      <w:r>
        <w:rPr>
          <w:rFonts w:hint="eastAsia" w:ascii="宋体" w:hAnsi="宋体"/>
          <w:iCs/>
          <w:color w:val="000000"/>
          <w:szCs w:val="21"/>
          <w:highlight w:val="none"/>
        </w:rPr>
        <w:t>不涉及</w:t>
      </w:r>
    </w:p>
    <w:p w14:paraId="792474B2">
      <w:pPr>
        <w:numPr>
          <w:ilvl w:val="0"/>
          <w:numId w:val="2"/>
        </w:numPr>
        <w:adjustRightInd w:val="0"/>
        <w:snapToGrid w:val="0"/>
        <w:spacing w:line="400" w:lineRule="exact"/>
        <w:ind w:firstLine="422" w:firstLineChars="200"/>
        <w:rPr>
          <w:rFonts w:ascii="宋体" w:hAnsi="宋体"/>
          <w:b/>
          <w:color w:val="000000"/>
          <w:szCs w:val="21"/>
          <w:highlight w:val="none"/>
        </w:rPr>
      </w:pPr>
      <w:r>
        <w:rPr>
          <w:rFonts w:hint="eastAsia" w:ascii="宋体" w:hAnsi="宋体"/>
          <w:b/>
          <w:color w:val="000000"/>
          <w:szCs w:val="21"/>
          <w:highlight w:val="none"/>
        </w:rPr>
        <w:t>合同金额</w:t>
      </w:r>
    </w:p>
    <w:p w14:paraId="4B738D68">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（1）合同金额小写：</w:t>
      </w:r>
      <w:r>
        <w:rPr>
          <w:rFonts w:hint="eastAsia" w:ascii="宋体" w:hAnsi="宋体"/>
          <w:color w:val="000000"/>
          <w:szCs w:val="21"/>
          <w:highlight w:val="none"/>
          <w:u w:val="single"/>
        </w:rPr>
        <w:t xml:space="preserve">                           </w:t>
      </w:r>
    </w:p>
    <w:p w14:paraId="502411F9">
      <w:pPr>
        <w:adjustRightInd w:val="0"/>
        <w:snapToGrid w:val="0"/>
        <w:spacing w:line="400" w:lineRule="exact"/>
        <w:rPr>
          <w:rFonts w:ascii="宋体" w:hAnsi="宋体"/>
          <w:color w:val="000000"/>
          <w:szCs w:val="21"/>
          <w:highlight w:val="none"/>
          <w:u w:val="single"/>
        </w:rPr>
      </w:pPr>
      <w:r>
        <w:rPr>
          <w:rFonts w:hint="eastAsia" w:ascii="宋体" w:hAnsi="宋体"/>
          <w:color w:val="000000"/>
          <w:szCs w:val="21"/>
          <w:highlight w:val="none"/>
        </w:rPr>
        <w:t xml:space="preserve">                 大写：</w:t>
      </w:r>
      <w:r>
        <w:rPr>
          <w:rFonts w:hint="eastAsia" w:ascii="宋体" w:hAnsi="宋体"/>
          <w:color w:val="000000"/>
          <w:szCs w:val="21"/>
          <w:highlight w:val="none"/>
          <w:u w:val="single"/>
        </w:rPr>
        <w:t xml:space="preserve">                           </w:t>
      </w:r>
    </w:p>
    <w:p w14:paraId="65523CA4">
      <w:pPr>
        <w:adjustRightInd w:val="0"/>
        <w:snapToGrid w:val="0"/>
        <w:spacing w:line="400" w:lineRule="exact"/>
        <w:rPr>
          <w:rFonts w:ascii="宋体" w:hAnsi="宋体"/>
          <w:color w:val="000000"/>
          <w:szCs w:val="21"/>
          <w:highlight w:val="none"/>
        </w:rPr>
      </w:pPr>
      <w:r>
        <w:rPr>
          <w:rFonts w:hint="eastAsia" w:ascii="宋体" w:hAnsi="宋体"/>
          <w:color w:val="000000"/>
          <w:szCs w:val="21"/>
          <w:highlight w:val="none"/>
        </w:rPr>
        <w:t xml:space="preserve">         分包金额（如有）小写：</w:t>
      </w:r>
      <w:r>
        <w:rPr>
          <w:rFonts w:hint="eastAsia" w:ascii="宋体" w:hAnsi="宋体"/>
          <w:color w:val="000000"/>
          <w:szCs w:val="21"/>
          <w:highlight w:val="none"/>
          <w:u w:val="single"/>
        </w:rPr>
        <w:t xml:space="preserve">                   </w:t>
      </w:r>
    </w:p>
    <w:p w14:paraId="4018116E">
      <w:pPr>
        <w:adjustRightInd w:val="0"/>
        <w:snapToGrid w:val="0"/>
        <w:spacing w:line="400" w:lineRule="exact"/>
        <w:rPr>
          <w:rFonts w:hint="eastAsia" w:ascii="宋体" w:hAnsi="宋体"/>
          <w:color w:val="000000"/>
          <w:szCs w:val="21"/>
          <w:highlight w:val="none"/>
          <w:u w:val="single"/>
        </w:rPr>
      </w:pPr>
      <w:r>
        <w:rPr>
          <w:rFonts w:hint="eastAsia" w:ascii="宋体" w:hAnsi="宋体"/>
          <w:color w:val="000000"/>
          <w:szCs w:val="21"/>
          <w:highlight w:val="none"/>
        </w:rPr>
        <w:t xml:space="preserve">                     大写：</w:t>
      </w:r>
      <w:r>
        <w:rPr>
          <w:rFonts w:hint="eastAsia" w:ascii="宋体" w:hAnsi="宋体"/>
          <w:color w:val="000000"/>
          <w:szCs w:val="21"/>
          <w:highlight w:val="none"/>
          <w:u w:val="single"/>
        </w:rPr>
        <w:t xml:space="preserve">                       </w:t>
      </w:r>
    </w:p>
    <w:p w14:paraId="446CA7D9">
      <w:pPr>
        <w:adjustRightInd w:val="0"/>
        <w:snapToGrid w:val="0"/>
        <w:spacing w:line="400" w:lineRule="exact"/>
        <w:rPr>
          <w:rFonts w:hint="eastAsia" w:ascii="宋体" w:hAnsi="宋体"/>
          <w:color w:val="000000"/>
          <w:szCs w:val="21"/>
          <w:highlight w:val="none"/>
        </w:rPr>
      </w:pPr>
      <w:r>
        <w:rPr>
          <w:rFonts w:hint="eastAsia" w:ascii="宋体" w:hAnsi="宋体"/>
          <w:color w:val="000000"/>
          <w:szCs w:val="21"/>
          <w:highlight w:val="none"/>
        </w:rPr>
        <w:t xml:space="preserve">    （注：固定单价合同应填写单价和最高限价）</w:t>
      </w:r>
    </w:p>
    <w:p w14:paraId="061961C4">
      <w:pPr>
        <w:adjustRightInd w:val="0"/>
        <w:snapToGrid w:val="0"/>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（2）</w:t>
      </w:r>
      <w:r>
        <w:rPr>
          <w:rFonts w:hint="eastAsia" w:ascii="宋体" w:hAnsi="宋体" w:cs="宋体"/>
          <w:color w:val="000000"/>
          <w:szCs w:val="21"/>
          <w:highlight w:val="none"/>
        </w:rPr>
        <w:t>合同</w:t>
      </w:r>
      <w:r>
        <w:rPr>
          <w:rFonts w:hint="eastAsia" w:ascii="宋体" w:hAnsi="宋体"/>
          <w:color w:val="000000"/>
          <w:szCs w:val="21"/>
          <w:highlight w:val="none"/>
        </w:rPr>
        <w:t>定价方式：</w:t>
      </w:r>
    </w:p>
    <w:p w14:paraId="0B7A3E3A">
      <w:pPr>
        <w:adjustRightInd w:val="0"/>
        <w:snapToGrid w:val="0"/>
        <w:spacing w:line="400" w:lineRule="exact"/>
        <w:ind w:firstLine="945" w:firstLineChars="450"/>
        <w:rPr>
          <w:rFonts w:hint="eastAsia" w:ascii="宋体" w:hAnsi="宋体"/>
          <w:color w:val="000000"/>
          <w:szCs w:val="21"/>
          <w:highlight w:val="none"/>
        </w:rPr>
      </w:pPr>
      <w:r>
        <w:rPr>
          <w:rFonts w:hint="eastAsia" w:ascii="宋体" w:hAnsi="宋体"/>
          <w:iCs/>
          <w:color w:val="000000"/>
          <w:szCs w:val="21"/>
          <w:highlight w:val="none"/>
        </w:rPr>
        <w:sym w:font="Wingdings" w:char="00FE"/>
      </w:r>
      <w:r>
        <w:rPr>
          <w:rFonts w:hint="eastAsia" w:ascii="宋体" w:hAnsi="宋体"/>
          <w:iCs/>
          <w:color w:val="000000"/>
          <w:szCs w:val="21"/>
          <w:highlight w:val="none"/>
        </w:rPr>
        <w:t xml:space="preserve">固定总价 </w:t>
      </w:r>
      <w:r>
        <w:rPr>
          <w:rFonts w:hint="eastAsia" w:ascii="宋体" w:hAnsi="宋体" w:cs="宋体"/>
          <w:color w:val="000000"/>
          <w:highlight w:val="none"/>
        </w:rPr>
        <w:sym w:font="Wingdings" w:char="00A8"/>
      </w:r>
      <w:r>
        <w:rPr>
          <w:rFonts w:hint="eastAsia" w:ascii="宋体" w:hAnsi="宋体"/>
          <w:iCs/>
          <w:color w:val="000000"/>
          <w:szCs w:val="21"/>
          <w:highlight w:val="none"/>
        </w:rPr>
        <w:t xml:space="preserve">固定单价 </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固定费率 </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成本补偿 </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绩效激励 </w:t>
      </w:r>
      <w:r>
        <w:rPr>
          <w:rFonts w:hint="eastAsia" w:ascii="宋体" w:hAnsi="宋体"/>
          <w:iCs/>
          <w:color w:val="000000"/>
          <w:szCs w:val="21"/>
          <w:highlight w:val="none"/>
        </w:rPr>
        <w:sym w:font="Wingdings" w:char="00A8"/>
      </w:r>
      <w:r>
        <w:rPr>
          <w:rFonts w:hint="eastAsia" w:ascii="宋体" w:hAnsi="宋体"/>
          <w:iCs/>
          <w:color w:val="000000"/>
          <w:szCs w:val="21"/>
          <w:highlight w:val="none"/>
        </w:rPr>
        <w:t>其他</w:t>
      </w:r>
      <w:r>
        <w:rPr>
          <w:rFonts w:hint="eastAsia" w:ascii="宋体" w:hAnsi="宋体"/>
          <w:color w:val="000000"/>
          <w:szCs w:val="21"/>
          <w:highlight w:val="none"/>
          <w:u w:val="single"/>
        </w:rPr>
        <w:t xml:space="preserve">       </w:t>
      </w:r>
    </w:p>
    <w:p w14:paraId="42268444">
      <w:pPr>
        <w:adjustRightInd w:val="0"/>
        <w:snapToGrid w:val="0"/>
        <w:spacing w:line="400" w:lineRule="exact"/>
        <w:ind w:firstLine="420" w:firstLineChars="200"/>
        <w:rPr>
          <w:color w:val="000000"/>
          <w:highlight w:val="none"/>
        </w:rPr>
      </w:pPr>
      <w:r>
        <w:rPr>
          <w:rFonts w:hint="eastAsia" w:ascii="宋体" w:hAnsi="宋体"/>
          <w:color w:val="000000"/>
          <w:highlight w:val="none"/>
        </w:rPr>
        <w:t>（3）</w:t>
      </w:r>
      <w:r>
        <w:rPr>
          <w:rFonts w:hint="eastAsia" w:ascii="宋体" w:hAnsi="宋体" w:cs="宋体"/>
          <w:color w:val="000000"/>
          <w:szCs w:val="21"/>
          <w:highlight w:val="none"/>
        </w:rPr>
        <w:t>付款</w:t>
      </w:r>
      <w:r>
        <w:rPr>
          <w:rFonts w:hint="eastAsia" w:ascii="宋体" w:hAnsi="宋体"/>
          <w:color w:val="000000"/>
          <w:highlight w:val="none"/>
        </w:rPr>
        <w:t>方式：验收合格后一次性支付合同价款。</w:t>
      </w:r>
    </w:p>
    <w:p w14:paraId="13DD1BC2">
      <w:pPr>
        <w:adjustRightInd w:val="0"/>
        <w:snapToGrid w:val="0"/>
        <w:spacing w:line="400" w:lineRule="exact"/>
        <w:ind w:left="422"/>
        <w:rPr>
          <w:rFonts w:ascii="宋体" w:hAnsi="宋体"/>
          <w:b/>
          <w:color w:val="000000"/>
          <w:szCs w:val="21"/>
          <w:highlight w:val="none"/>
          <w:u w:val="single"/>
        </w:rPr>
      </w:pPr>
    </w:p>
    <w:p w14:paraId="3F6E70E5">
      <w:pPr>
        <w:numPr>
          <w:ilvl w:val="0"/>
          <w:numId w:val="2"/>
        </w:numPr>
        <w:adjustRightInd w:val="0"/>
        <w:snapToGrid w:val="0"/>
        <w:spacing w:line="400" w:lineRule="exact"/>
        <w:ind w:firstLine="422" w:firstLineChars="200"/>
        <w:rPr>
          <w:rFonts w:ascii="宋体" w:hAnsi="宋体"/>
          <w:b/>
          <w:color w:val="000000"/>
          <w:szCs w:val="21"/>
          <w:highlight w:val="none"/>
          <w:u w:val="single"/>
        </w:rPr>
      </w:pPr>
      <w:r>
        <w:rPr>
          <w:rFonts w:hint="eastAsia" w:ascii="宋体" w:hAnsi="宋体"/>
          <w:b/>
          <w:color w:val="000000"/>
          <w:szCs w:val="21"/>
          <w:highlight w:val="none"/>
        </w:rPr>
        <w:t>合同履行</w:t>
      </w:r>
    </w:p>
    <w:p w14:paraId="0509C7B4">
      <w:pPr>
        <w:adjustRightInd w:val="0"/>
        <w:snapToGrid w:val="0"/>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（1）合同履行期限：起始日期：</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日，完成日期：</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32667242">
      <w:pPr>
        <w:adjustRightInd w:val="0"/>
        <w:snapToGrid w:val="0"/>
        <w:spacing w:line="400" w:lineRule="exact"/>
        <w:ind w:firstLine="420" w:firstLineChars="200"/>
        <w:rPr>
          <w:rFonts w:hint="eastAsia" w:ascii="宋体" w:hAnsi="宋体" w:cs="宋体"/>
          <w:color w:val="000000"/>
          <w:szCs w:val="21"/>
          <w:highlight w:val="none"/>
          <w:u w:val="single"/>
        </w:rPr>
      </w:pPr>
      <w:r>
        <w:rPr>
          <w:rFonts w:hint="eastAsia" w:ascii="宋体" w:hAnsi="宋体" w:cs="宋体"/>
          <w:color w:val="000000"/>
          <w:szCs w:val="21"/>
          <w:highlight w:val="none"/>
        </w:rPr>
        <w:t>（2）履约地点</w:t>
      </w:r>
      <w:r>
        <w:rPr>
          <w:rFonts w:hint="eastAsia" w:ascii="宋体" w:hAnsi="宋体" w:cs="宋体"/>
          <w:bCs/>
          <w:color w:val="000000"/>
          <w:szCs w:val="21"/>
          <w:highlight w:val="none"/>
        </w:rPr>
        <w:t>：</w:t>
      </w:r>
      <w:r>
        <w:rPr>
          <w:rFonts w:hint="eastAsia" w:ascii="宋体" w:hAnsi="宋体" w:cs="宋体"/>
          <w:bCs/>
          <w:color w:val="000000"/>
          <w:szCs w:val="21"/>
          <w:highlight w:val="none"/>
        </w:rPr>
        <w:t>安徽省疾病预防控制中心或采购人指定地点。</w:t>
      </w:r>
    </w:p>
    <w:p w14:paraId="18ECE11A">
      <w:pPr>
        <w:adjustRightInd w:val="0"/>
        <w:snapToGrid w:val="0"/>
        <w:spacing w:line="400" w:lineRule="exact"/>
        <w:ind w:firstLine="420" w:firstLineChars="200"/>
        <w:rPr>
          <w:rFonts w:hint="eastAsia" w:ascii="宋体" w:hAnsi="宋体" w:cs="宋体"/>
          <w:color w:val="000000"/>
          <w:szCs w:val="21"/>
          <w:highlight w:val="none"/>
        </w:rPr>
      </w:pPr>
      <w:r>
        <w:rPr>
          <w:rFonts w:hint="eastAsia" w:ascii="宋体" w:hAnsi="宋体" w:cs="宋体"/>
          <w:bCs/>
          <w:color w:val="000000"/>
          <w:szCs w:val="21"/>
          <w:highlight w:val="none"/>
        </w:rPr>
        <w:t>（3）履约担保：</w:t>
      </w:r>
      <w:r>
        <w:rPr>
          <w:rFonts w:hint="eastAsia" w:ascii="宋体" w:hAnsi="宋体" w:cs="宋体"/>
          <w:color w:val="000000"/>
          <w:highlight w:val="none"/>
        </w:rPr>
        <w:t>是否收取履约保证金：</w:t>
      </w:r>
      <w:r>
        <w:rPr>
          <w:rFonts w:hint="eastAsia" w:ascii="宋体" w:hAnsi="宋体" w:cs="宋体"/>
          <w:color w:val="000000"/>
          <w:szCs w:val="21"/>
          <w:highlight w:val="none"/>
        </w:rPr>
        <w:sym w:font="Wingdings" w:char="00FE"/>
      </w:r>
      <w:r>
        <w:rPr>
          <w:rFonts w:hint="eastAsia" w:ascii="宋体" w:hAnsi="宋体" w:cs="宋体"/>
          <w:color w:val="000000"/>
          <w:szCs w:val="21"/>
          <w:highlight w:val="none"/>
        </w:rPr>
        <w:t xml:space="preserve">是    </w:t>
      </w:r>
      <w:r>
        <w:rPr>
          <w:rFonts w:hint="eastAsia" w:ascii="宋体" w:hAnsi="宋体" w:cs="宋体"/>
          <w:color w:val="000000"/>
          <w:szCs w:val="21"/>
          <w:highlight w:val="none"/>
        </w:rPr>
        <w:sym w:font="Wingdings" w:char="00A8"/>
      </w:r>
      <w:r>
        <w:rPr>
          <w:rFonts w:hint="eastAsia" w:ascii="宋体" w:hAnsi="宋体" w:cs="宋体"/>
          <w:color w:val="000000"/>
          <w:szCs w:val="21"/>
          <w:highlight w:val="none"/>
        </w:rPr>
        <w:t>否</w:t>
      </w:r>
    </w:p>
    <w:p w14:paraId="5F475C86">
      <w:pPr>
        <w:adjustRightInd w:val="0"/>
        <w:snapToGrid w:val="0"/>
        <w:spacing w:line="400" w:lineRule="exact"/>
        <w:ind w:firstLine="945" w:firstLineChars="450"/>
        <w:rPr>
          <w:rFonts w:ascii="宋体" w:hAnsi="宋体"/>
          <w:iCs/>
          <w:color w:val="000000"/>
          <w:szCs w:val="21"/>
          <w:highlight w:val="none"/>
        </w:rPr>
      </w:pPr>
      <w:r>
        <w:rPr>
          <w:rFonts w:hint="eastAsia" w:ascii="宋体" w:hAnsi="宋体"/>
          <w:iCs/>
          <w:color w:val="000000"/>
          <w:szCs w:val="21"/>
          <w:highlight w:val="none"/>
        </w:rPr>
        <w:t>收取履约保证金形式：见采购文件第二章投标人须知7.3.1</w:t>
      </w:r>
    </w:p>
    <w:p w14:paraId="257A810E">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t xml:space="preserve">收取履约保证金金额：                            </w:t>
      </w:r>
    </w:p>
    <w:p w14:paraId="04C16C7A">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t xml:space="preserve">履约担保期限：                                  </w:t>
      </w:r>
    </w:p>
    <w:p w14:paraId="52BB8B2E">
      <w:pPr>
        <w:adjustRightInd w:val="0"/>
        <w:snapToGrid w:val="0"/>
        <w:spacing w:line="400" w:lineRule="exact"/>
        <w:ind w:firstLine="420" w:firstLineChars="200"/>
        <w:rPr>
          <w:rFonts w:hint="eastAsia" w:ascii="宋体" w:hAnsi="宋体" w:cs="宋体"/>
          <w:bCs/>
          <w:color w:val="000000"/>
          <w:szCs w:val="21"/>
          <w:highlight w:val="none"/>
        </w:rPr>
      </w:pPr>
      <w:r>
        <w:rPr>
          <w:rFonts w:hint="eastAsia" w:ascii="宋体" w:hAnsi="宋体" w:cs="宋体"/>
          <w:bCs/>
          <w:color w:val="000000"/>
          <w:szCs w:val="21"/>
          <w:highlight w:val="none"/>
        </w:rPr>
        <w:t>（4）</w:t>
      </w:r>
      <w:r>
        <w:rPr>
          <w:rFonts w:hint="eastAsia" w:ascii="宋体" w:hAnsi="宋体" w:cs="宋体"/>
          <w:color w:val="000000"/>
          <w:szCs w:val="21"/>
          <w:highlight w:val="none"/>
        </w:rPr>
        <w:t>分期</w:t>
      </w:r>
      <w:r>
        <w:rPr>
          <w:rFonts w:hint="eastAsia" w:ascii="宋体" w:hAnsi="宋体" w:cs="宋体"/>
          <w:bCs/>
          <w:color w:val="000000"/>
          <w:szCs w:val="21"/>
          <w:highlight w:val="none"/>
        </w:rPr>
        <w:t>履行要求：</w:t>
      </w:r>
      <w:r>
        <w:rPr>
          <w:rFonts w:hint="eastAsia" w:ascii="宋体" w:hAnsi="宋体" w:cs="宋体"/>
          <w:bCs/>
          <w:color w:val="000000"/>
          <w:szCs w:val="21"/>
          <w:highlight w:val="none"/>
          <w:u w:val="single"/>
        </w:rPr>
        <w:t xml:space="preserve">                                                        </w:t>
      </w:r>
    </w:p>
    <w:p w14:paraId="5A020606">
      <w:pPr>
        <w:adjustRightInd w:val="0"/>
        <w:snapToGrid w:val="0"/>
        <w:spacing w:line="400" w:lineRule="exact"/>
        <w:ind w:firstLine="420" w:firstLineChars="200"/>
        <w:rPr>
          <w:rFonts w:hint="eastAsia" w:ascii="宋体" w:hAnsi="宋体" w:cs="宋体"/>
          <w:color w:val="000000"/>
          <w:szCs w:val="21"/>
          <w:highlight w:val="none"/>
          <w:u w:val="single"/>
        </w:rPr>
      </w:pPr>
      <w:r>
        <w:rPr>
          <w:rFonts w:hint="eastAsia" w:ascii="宋体" w:hAnsi="宋体" w:cs="宋体"/>
          <w:bCs/>
          <w:color w:val="000000"/>
          <w:szCs w:val="21"/>
          <w:highlight w:val="none"/>
        </w:rPr>
        <w:t>（5）</w:t>
      </w:r>
      <w:r>
        <w:rPr>
          <w:rFonts w:hint="eastAsia" w:ascii="宋体" w:hAnsi="宋体" w:cs="宋体"/>
          <w:color w:val="000000"/>
          <w:szCs w:val="21"/>
          <w:highlight w:val="none"/>
        </w:rPr>
        <w:t>风险</w:t>
      </w:r>
      <w:r>
        <w:rPr>
          <w:rFonts w:hint="eastAsia" w:ascii="宋体" w:hAnsi="宋体" w:cs="宋体"/>
          <w:bCs/>
          <w:color w:val="000000"/>
          <w:szCs w:val="21"/>
          <w:highlight w:val="none"/>
        </w:rPr>
        <w:t>处置措施和替代方案：</w:t>
      </w:r>
      <w:r>
        <w:rPr>
          <w:rFonts w:hint="eastAsia" w:ascii="宋体" w:hAnsi="宋体" w:cs="宋体"/>
          <w:color w:val="000000"/>
          <w:szCs w:val="21"/>
          <w:highlight w:val="none"/>
          <w:u w:val="single"/>
        </w:rPr>
        <w:t xml:space="preserve">                                                               </w:t>
      </w:r>
    </w:p>
    <w:p w14:paraId="4DD7CBC4">
      <w:pPr>
        <w:numPr>
          <w:ilvl w:val="0"/>
          <w:numId w:val="2"/>
        </w:numPr>
        <w:adjustRightInd w:val="0"/>
        <w:snapToGrid w:val="0"/>
        <w:spacing w:line="400" w:lineRule="exact"/>
        <w:ind w:firstLine="422" w:firstLineChars="200"/>
        <w:rPr>
          <w:rFonts w:ascii="宋体" w:hAnsi="宋体"/>
          <w:b/>
          <w:color w:val="000000"/>
          <w:szCs w:val="21"/>
          <w:highlight w:val="none"/>
        </w:rPr>
      </w:pPr>
      <w:r>
        <w:rPr>
          <w:rFonts w:hint="eastAsia" w:ascii="宋体" w:hAnsi="宋体"/>
          <w:b/>
          <w:color w:val="000000"/>
          <w:szCs w:val="21"/>
          <w:highlight w:val="none"/>
        </w:rPr>
        <w:t>合同验收</w:t>
      </w:r>
    </w:p>
    <w:p w14:paraId="379CD924">
      <w:pPr>
        <w:numPr>
          <w:ilvl w:val="0"/>
          <w:numId w:val="4"/>
        </w:numPr>
        <w:adjustRightInd w:val="0"/>
        <w:snapToGrid w:val="0"/>
        <w:spacing w:line="400" w:lineRule="exact"/>
        <w:ind w:firstLine="420" w:firstLineChars="200"/>
        <w:rPr>
          <w:rFonts w:hint="eastAsia" w:ascii="宋体" w:hAnsi="宋体"/>
          <w:bCs/>
          <w:color w:val="000000"/>
          <w:szCs w:val="21"/>
          <w:highlight w:val="none"/>
        </w:rPr>
      </w:pPr>
      <w:r>
        <w:rPr>
          <w:rFonts w:hint="eastAsia" w:ascii="宋体" w:hAnsi="宋体"/>
          <w:bCs/>
          <w:color w:val="000000"/>
          <w:szCs w:val="21"/>
          <w:highlight w:val="none"/>
        </w:rPr>
        <w:t>验收组织方式：</w:t>
      </w:r>
      <w:r>
        <w:rPr>
          <w:rFonts w:hint="eastAsia" w:ascii="宋体" w:hAnsi="宋体" w:cs="宋体"/>
          <w:color w:val="000000"/>
          <w:szCs w:val="21"/>
          <w:highlight w:val="none"/>
        </w:rPr>
        <w:sym w:font="Wingdings" w:char="00A8"/>
      </w:r>
      <w:r>
        <w:rPr>
          <w:rFonts w:hint="eastAsia" w:ascii="宋体" w:hAnsi="宋体"/>
          <w:bCs/>
          <w:color w:val="000000"/>
          <w:szCs w:val="21"/>
          <w:highlight w:val="none"/>
        </w:rPr>
        <w:t xml:space="preserve">自行组织 </w:t>
      </w:r>
      <w:r>
        <w:rPr>
          <w:rFonts w:hint="eastAsia" w:ascii="宋体" w:hAnsi="宋体" w:cs="宋体"/>
          <w:color w:val="000000"/>
          <w:szCs w:val="21"/>
          <w:highlight w:val="none"/>
        </w:rPr>
        <w:sym w:font="Wingdings" w:char="00A8"/>
      </w:r>
      <w:r>
        <w:rPr>
          <w:rFonts w:hint="eastAsia" w:ascii="宋体" w:hAnsi="宋体"/>
          <w:bCs/>
          <w:color w:val="000000"/>
          <w:szCs w:val="21"/>
          <w:highlight w:val="none"/>
        </w:rPr>
        <w:t>委托第三方组织</w:t>
      </w:r>
    </w:p>
    <w:p w14:paraId="4C0BEE52">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t xml:space="preserve">验收主体：                  </w:t>
      </w:r>
    </w:p>
    <w:p w14:paraId="5B67A149">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t>是否邀请本项目的其他供应商参加验收：</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是  </w:t>
      </w:r>
      <w:r>
        <w:rPr>
          <w:rFonts w:hint="eastAsia" w:ascii="宋体" w:hAnsi="宋体"/>
          <w:iCs/>
          <w:color w:val="000000"/>
          <w:szCs w:val="21"/>
          <w:highlight w:val="none"/>
        </w:rPr>
        <w:sym w:font="Wingdings" w:char="00A8"/>
      </w:r>
      <w:r>
        <w:rPr>
          <w:rFonts w:hint="eastAsia" w:ascii="宋体" w:hAnsi="宋体"/>
          <w:iCs/>
          <w:color w:val="000000"/>
          <w:szCs w:val="21"/>
          <w:highlight w:val="none"/>
        </w:rPr>
        <w:t>否</w:t>
      </w:r>
    </w:p>
    <w:p w14:paraId="1DEAD99B">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t>是否邀请专家参加验收：</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是  </w:t>
      </w:r>
      <w:r>
        <w:rPr>
          <w:rFonts w:hint="eastAsia" w:ascii="宋体" w:hAnsi="宋体"/>
          <w:iCs/>
          <w:color w:val="000000"/>
          <w:szCs w:val="21"/>
          <w:highlight w:val="none"/>
        </w:rPr>
        <w:sym w:font="Wingdings" w:char="00A8"/>
      </w:r>
      <w:r>
        <w:rPr>
          <w:rFonts w:hint="eastAsia" w:ascii="宋体" w:hAnsi="宋体"/>
          <w:iCs/>
          <w:color w:val="000000"/>
          <w:szCs w:val="21"/>
          <w:highlight w:val="none"/>
        </w:rPr>
        <w:t>否</w:t>
      </w:r>
    </w:p>
    <w:p w14:paraId="3F7A403F">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t>是否邀请服务对象参加验收：</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是  </w:t>
      </w:r>
      <w:r>
        <w:rPr>
          <w:rFonts w:hint="eastAsia" w:ascii="宋体" w:hAnsi="宋体"/>
          <w:iCs/>
          <w:color w:val="000000"/>
          <w:szCs w:val="21"/>
          <w:highlight w:val="none"/>
        </w:rPr>
        <w:sym w:font="Wingdings" w:char="00A8"/>
      </w:r>
      <w:r>
        <w:rPr>
          <w:rFonts w:hint="eastAsia" w:ascii="宋体" w:hAnsi="宋体"/>
          <w:iCs/>
          <w:color w:val="000000"/>
          <w:szCs w:val="21"/>
          <w:highlight w:val="none"/>
        </w:rPr>
        <w:t>否</w:t>
      </w:r>
    </w:p>
    <w:p w14:paraId="495DE478">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t>是否邀请第三方检测机构参加验收：</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是  </w:t>
      </w:r>
      <w:r>
        <w:rPr>
          <w:rFonts w:hint="eastAsia" w:ascii="宋体" w:hAnsi="宋体"/>
          <w:iCs/>
          <w:color w:val="000000"/>
          <w:szCs w:val="21"/>
          <w:highlight w:val="none"/>
        </w:rPr>
        <w:sym w:font="Wingdings" w:char="00A8"/>
      </w:r>
      <w:r>
        <w:rPr>
          <w:rFonts w:hint="eastAsia" w:ascii="宋体" w:hAnsi="宋体"/>
          <w:iCs/>
          <w:color w:val="000000"/>
          <w:szCs w:val="21"/>
          <w:highlight w:val="none"/>
        </w:rPr>
        <w:t>否</w:t>
      </w:r>
    </w:p>
    <w:p w14:paraId="7F4C9AF3">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t>是否进行抽查检测：</w:t>
      </w:r>
      <w:r>
        <w:rPr>
          <w:rFonts w:hint="eastAsia" w:ascii="宋体" w:hAnsi="宋体"/>
          <w:iCs/>
          <w:color w:val="000000"/>
          <w:szCs w:val="21"/>
          <w:highlight w:val="none"/>
        </w:rPr>
        <w:sym w:font="Wingdings" w:char="00A8"/>
      </w:r>
      <w:r>
        <w:rPr>
          <w:rFonts w:hint="eastAsia" w:ascii="宋体" w:hAnsi="宋体"/>
          <w:iCs/>
          <w:color w:val="000000"/>
          <w:szCs w:val="21"/>
          <w:highlight w:val="none"/>
        </w:rPr>
        <w:t xml:space="preserve">是，抽查比例：         </w:t>
      </w:r>
      <w:r>
        <w:rPr>
          <w:rFonts w:hint="eastAsia" w:ascii="宋体" w:hAnsi="宋体"/>
          <w:iCs/>
          <w:color w:val="000000"/>
          <w:szCs w:val="21"/>
          <w:highlight w:val="none"/>
        </w:rPr>
        <w:sym w:font="Wingdings" w:char="00A8"/>
      </w:r>
      <w:r>
        <w:rPr>
          <w:rFonts w:hint="eastAsia" w:ascii="宋体" w:hAnsi="宋体"/>
          <w:iCs/>
          <w:color w:val="000000"/>
          <w:szCs w:val="21"/>
          <w:highlight w:val="none"/>
        </w:rPr>
        <w:t>否</w:t>
      </w:r>
    </w:p>
    <w:p w14:paraId="35B13B48">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t>是否存在破坏性检测：</w:t>
      </w:r>
      <w:r>
        <w:rPr>
          <w:rFonts w:hint="eastAsia" w:ascii="宋体" w:hAnsi="宋体"/>
          <w:iCs/>
          <w:color w:val="000000"/>
          <w:szCs w:val="21"/>
          <w:highlight w:val="none"/>
        </w:rPr>
        <w:sym w:font="Wingdings" w:char="00A8"/>
      </w:r>
      <w:r>
        <w:rPr>
          <w:rFonts w:hint="eastAsia" w:ascii="宋体" w:hAnsi="宋体"/>
          <w:iCs/>
          <w:color w:val="000000"/>
          <w:szCs w:val="21"/>
          <w:highlight w:val="none"/>
        </w:rPr>
        <w:t>是，</w:t>
      </w:r>
      <w:r>
        <w:rPr>
          <w:rFonts w:hint="eastAsia" w:ascii="宋体" w:hAnsi="宋体"/>
          <w:i/>
          <w:iCs/>
          <w:color w:val="000000"/>
          <w:szCs w:val="21"/>
          <w:highlight w:val="none"/>
        </w:rPr>
        <w:t>（应明确对被破坏的检测产品的处理方式）</w:t>
      </w:r>
    </w:p>
    <w:p w14:paraId="54C15C4F">
      <w:pPr>
        <w:adjustRightInd w:val="0"/>
        <w:snapToGrid w:val="0"/>
        <w:spacing w:line="400" w:lineRule="exact"/>
        <w:ind w:firstLine="840" w:firstLineChars="400"/>
        <w:rPr>
          <w:rFonts w:hint="eastAsia" w:ascii="宋体" w:hAnsi="宋体"/>
          <w:bCs/>
          <w:color w:val="000000"/>
          <w:szCs w:val="21"/>
          <w:highlight w:val="none"/>
        </w:rPr>
      </w:pPr>
      <w:r>
        <w:rPr>
          <w:rFonts w:hint="eastAsia" w:ascii="宋体" w:hAnsi="宋体"/>
          <w:bCs/>
          <w:color w:val="000000"/>
          <w:szCs w:val="21"/>
          <w:highlight w:val="none"/>
        </w:rPr>
        <w:t xml:space="preserve">                    </w:t>
      </w:r>
      <w:r>
        <w:rPr>
          <w:rFonts w:hint="eastAsia" w:ascii="宋体" w:hAnsi="宋体" w:cs="宋体"/>
          <w:color w:val="000000"/>
          <w:szCs w:val="21"/>
          <w:highlight w:val="none"/>
        </w:rPr>
        <w:sym w:font="Wingdings" w:char="00A8"/>
      </w:r>
      <w:r>
        <w:rPr>
          <w:rFonts w:hint="eastAsia" w:ascii="宋体" w:hAnsi="宋体"/>
          <w:bCs/>
          <w:color w:val="000000"/>
          <w:szCs w:val="21"/>
          <w:highlight w:val="none"/>
        </w:rPr>
        <w:t>否</w:t>
      </w:r>
    </w:p>
    <w:p w14:paraId="68E033D9">
      <w:pPr>
        <w:adjustRightInd w:val="0"/>
        <w:snapToGrid w:val="0"/>
        <w:spacing w:line="400" w:lineRule="exact"/>
        <w:ind w:firstLine="945" w:firstLineChars="450"/>
        <w:rPr>
          <w:rFonts w:hint="eastAsia" w:ascii="宋体" w:hAnsi="宋体"/>
          <w:iCs/>
          <w:color w:val="000000"/>
          <w:szCs w:val="21"/>
          <w:highlight w:val="none"/>
        </w:rPr>
      </w:pPr>
      <w:r>
        <w:rPr>
          <w:rFonts w:hint="eastAsia" w:ascii="宋体" w:hAnsi="宋体"/>
          <w:iCs/>
          <w:color w:val="000000"/>
          <w:szCs w:val="21"/>
          <w:highlight w:val="none"/>
        </w:rPr>
        <w:t xml:space="preserve">验收组织的其他事项：                </w:t>
      </w:r>
    </w:p>
    <w:p w14:paraId="58F07D85">
      <w:pPr>
        <w:adjustRightInd w:val="0"/>
        <w:snapToGrid w:val="0"/>
        <w:spacing w:line="400" w:lineRule="exact"/>
        <w:ind w:firstLine="420" w:firstLineChars="200"/>
        <w:rPr>
          <w:rFonts w:hint="eastAsia" w:ascii="宋体" w:hAnsi="宋体"/>
          <w:bCs/>
          <w:color w:val="000000"/>
          <w:szCs w:val="21"/>
          <w:highlight w:val="none"/>
          <w:u w:val="single"/>
        </w:rPr>
      </w:pPr>
      <w:r>
        <w:rPr>
          <w:rFonts w:hint="eastAsia" w:ascii="宋体" w:hAnsi="宋体"/>
          <w:bCs/>
          <w:color w:val="000000"/>
          <w:szCs w:val="21"/>
          <w:highlight w:val="none"/>
        </w:rPr>
        <w:t>（2）履约验收时间：</w:t>
      </w:r>
      <w:r>
        <w:rPr>
          <w:rFonts w:hint="eastAsia" w:ascii="宋体" w:hAnsi="宋体"/>
          <w:i/>
          <w:iCs/>
          <w:color w:val="000000"/>
          <w:szCs w:val="21"/>
          <w:highlight w:val="none"/>
          <w:u w:val="single"/>
        </w:rPr>
        <w:t>（计划于何时验收/供应商提出验收申请之日起   日内组织验收）</w:t>
      </w:r>
      <w:r>
        <w:rPr>
          <w:rFonts w:hint="eastAsia" w:ascii="宋体" w:hAnsi="宋体"/>
          <w:bCs/>
          <w:color w:val="000000"/>
          <w:szCs w:val="21"/>
          <w:highlight w:val="none"/>
          <w:u w:val="single"/>
        </w:rPr>
        <w:t xml:space="preserve"> </w:t>
      </w:r>
    </w:p>
    <w:p w14:paraId="5C78778C">
      <w:pPr>
        <w:adjustRightInd w:val="0"/>
        <w:snapToGrid w:val="0"/>
        <w:spacing w:line="400" w:lineRule="exact"/>
        <w:ind w:firstLine="420" w:firstLineChars="200"/>
        <w:rPr>
          <w:rFonts w:hint="eastAsia" w:ascii="宋体" w:hAnsi="宋体"/>
          <w:bCs/>
          <w:color w:val="000000"/>
          <w:szCs w:val="21"/>
          <w:highlight w:val="none"/>
        </w:rPr>
      </w:pPr>
      <w:r>
        <w:rPr>
          <w:rFonts w:hint="eastAsia" w:ascii="宋体" w:hAnsi="宋体"/>
          <w:bCs/>
          <w:color w:val="000000"/>
          <w:szCs w:val="21"/>
          <w:highlight w:val="none"/>
        </w:rPr>
        <w:t>（3）履约验收方式：</w:t>
      </w:r>
      <w:r>
        <w:rPr>
          <w:rFonts w:hint="eastAsia" w:ascii="宋体" w:hAnsi="宋体" w:cs="宋体"/>
          <w:color w:val="000000"/>
          <w:szCs w:val="21"/>
          <w:highlight w:val="none"/>
        </w:rPr>
        <w:sym w:font="Wingdings" w:char="00A8"/>
      </w:r>
      <w:r>
        <w:rPr>
          <w:rFonts w:hint="eastAsia" w:ascii="宋体" w:hAnsi="宋体"/>
          <w:bCs/>
          <w:color w:val="000000"/>
          <w:szCs w:val="21"/>
          <w:highlight w:val="none"/>
        </w:rPr>
        <w:t xml:space="preserve">一次性验收         </w:t>
      </w:r>
    </w:p>
    <w:p w14:paraId="662CFBE0">
      <w:pPr>
        <w:adjustRightInd w:val="0"/>
        <w:snapToGrid w:val="0"/>
        <w:spacing w:line="400" w:lineRule="exact"/>
        <w:rPr>
          <w:rFonts w:hint="eastAsia" w:ascii="宋体" w:hAnsi="宋体"/>
          <w:bCs/>
          <w:color w:val="000000"/>
          <w:szCs w:val="21"/>
          <w:highlight w:val="none"/>
        </w:rPr>
      </w:pPr>
      <w:r>
        <w:rPr>
          <w:rFonts w:hint="eastAsia" w:ascii="宋体" w:hAnsi="宋体"/>
          <w:bCs/>
          <w:color w:val="000000"/>
          <w:szCs w:val="21"/>
          <w:highlight w:val="none"/>
        </w:rPr>
        <w:t xml:space="preserve">                       </w:t>
      </w:r>
      <w:r>
        <w:rPr>
          <w:rFonts w:hint="eastAsia" w:ascii="宋体" w:hAnsi="宋体" w:cs="宋体"/>
          <w:color w:val="000000"/>
          <w:szCs w:val="21"/>
          <w:highlight w:val="none"/>
        </w:rPr>
        <w:sym w:font="Wingdings" w:char="00A8"/>
      </w:r>
      <w:r>
        <w:rPr>
          <w:rFonts w:hint="eastAsia" w:ascii="宋体" w:hAnsi="宋体"/>
          <w:bCs/>
          <w:color w:val="000000"/>
          <w:szCs w:val="21"/>
          <w:highlight w:val="none"/>
        </w:rPr>
        <w:t>分期/分项验收：</w:t>
      </w:r>
      <w:r>
        <w:rPr>
          <w:rFonts w:hint="eastAsia" w:ascii="宋体" w:hAnsi="宋体"/>
          <w:bCs/>
          <w:color w:val="000000"/>
          <w:szCs w:val="21"/>
          <w:highlight w:val="none"/>
          <w:u w:val="single"/>
        </w:rPr>
        <w:t xml:space="preserve"> </w:t>
      </w:r>
      <w:r>
        <w:rPr>
          <w:rFonts w:hint="eastAsia" w:ascii="宋体" w:hAnsi="宋体"/>
          <w:i/>
          <w:iCs/>
          <w:color w:val="000000"/>
          <w:szCs w:val="21"/>
          <w:highlight w:val="none"/>
          <w:u w:val="single"/>
        </w:rPr>
        <w:t>（应明确分期</w:t>
      </w:r>
      <w:r>
        <w:rPr>
          <w:rFonts w:ascii="宋体" w:hAnsi="宋体"/>
          <w:i/>
          <w:iCs/>
          <w:color w:val="000000"/>
          <w:szCs w:val="21"/>
          <w:highlight w:val="none"/>
          <w:u w:val="single"/>
          <w:lang w:val="en"/>
        </w:rPr>
        <w:t>/</w:t>
      </w:r>
      <w:r>
        <w:rPr>
          <w:rFonts w:hint="eastAsia" w:ascii="宋体" w:hAnsi="宋体"/>
          <w:i/>
          <w:iCs/>
          <w:color w:val="000000"/>
          <w:szCs w:val="21"/>
          <w:highlight w:val="none"/>
          <w:u w:val="single"/>
          <w:lang w:val="en"/>
        </w:rPr>
        <w:t>分项验收的工作安排</w:t>
      </w:r>
      <w:r>
        <w:rPr>
          <w:rFonts w:hint="eastAsia" w:ascii="宋体" w:hAnsi="宋体"/>
          <w:i/>
          <w:iCs/>
          <w:color w:val="000000"/>
          <w:szCs w:val="21"/>
          <w:highlight w:val="none"/>
          <w:u w:val="single"/>
        </w:rPr>
        <w:t>）</w:t>
      </w:r>
      <w:r>
        <w:rPr>
          <w:rFonts w:hint="eastAsia" w:ascii="宋体" w:hAnsi="宋体"/>
          <w:bCs/>
          <w:color w:val="000000"/>
          <w:szCs w:val="21"/>
          <w:highlight w:val="none"/>
          <w:u w:val="single"/>
        </w:rPr>
        <w:t xml:space="preserve">  </w:t>
      </w:r>
    </w:p>
    <w:p w14:paraId="04682569">
      <w:pPr>
        <w:adjustRightInd w:val="0"/>
        <w:snapToGrid w:val="0"/>
        <w:spacing w:line="400" w:lineRule="exact"/>
        <w:ind w:firstLine="420" w:firstLineChars="200"/>
        <w:rPr>
          <w:rFonts w:ascii="宋体" w:hAnsi="宋体"/>
          <w:bCs/>
          <w:color w:val="000000"/>
          <w:szCs w:val="21"/>
          <w:highlight w:val="none"/>
        </w:rPr>
      </w:pPr>
      <w:r>
        <w:rPr>
          <w:rFonts w:hint="eastAsia" w:ascii="宋体" w:hAnsi="宋体"/>
          <w:bCs/>
          <w:color w:val="000000"/>
          <w:szCs w:val="21"/>
          <w:highlight w:val="none"/>
        </w:rPr>
        <w:t>（4）履约验收程序：</w:t>
      </w:r>
      <w:r>
        <w:rPr>
          <w:rFonts w:hint="eastAsia" w:ascii="宋体" w:hAnsi="宋体"/>
          <w:bCs/>
          <w:color w:val="000000"/>
          <w:szCs w:val="21"/>
          <w:highlight w:val="none"/>
          <w:u w:val="single"/>
        </w:rPr>
        <w:t xml:space="preserve">                                         </w:t>
      </w:r>
    </w:p>
    <w:p w14:paraId="6B765DB5">
      <w:pPr>
        <w:adjustRightInd w:val="0"/>
        <w:snapToGrid w:val="0"/>
        <w:spacing w:line="400" w:lineRule="exact"/>
        <w:ind w:firstLine="420" w:firstLineChars="200"/>
        <w:rPr>
          <w:rFonts w:ascii="宋体" w:hAnsi="宋体"/>
          <w:bCs/>
          <w:color w:val="000000"/>
          <w:szCs w:val="21"/>
          <w:highlight w:val="none"/>
          <w:u w:val="single"/>
        </w:rPr>
      </w:pPr>
      <w:r>
        <w:rPr>
          <w:rFonts w:hint="eastAsia" w:ascii="宋体" w:hAnsi="宋体"/>
          <w:bCs/>
          <w:color w:val="000000"/>
          <w:szCs w:val="21"/>
          <w:highlight w:val="none"/>
        </w:rPr>
        <w:t>（5）履约验收的内容：</w:t>
      </w:r>
      <w:r>
        <w:rPr>
          <w:rFonts w:hint="eastAsia" w:ascii="宋体" w:hAnsi="宋体"/>
          <w:i/>
          <w:iCs/>
          <w:color w:val="000000"/>
          <w:szCs w:val="21"/>
          <w:highlight w:val="none"/>
          <w:u w:val="single"/>
        </w:rPr>
        <w:t>（应当包括每一项技术和商务要求的履约情况，特别是落实政府采购扶持中小企业，支持绿色发展和乡村振兴等政策情况）</w:t>
      </w:r>
      <w:r>
        <w:rPr>
          <w:rFonts w:hint="eastAsia" w:ascii="宋体" w:hAnsi="宋体"/>
          <w:bCs/>
          <w:color w:val="000000"/>
          <w:szCs w:val="21"/>
          <w:highlight w:val="none"/>
          <w:u w:val="single"/>
        </w:rPr>
        <w:t xml:space="preserve">                                      </w:t>
      </w:r>
    </w:p>
    <w:p w14:paraId="093063BC">
      <w:pPr>
        <w:adjustRightInd w:val="0"/>
        <w:snapToGrid w:val="0"/>
        <w:spacing w:line="400" w:lineRule="exact"/>
        <w:ind w:firstLine="420" w:firstLineChars="200"/>
        <w:rPr>
          <w:rFonts w:hint="eastAsia" w:ascii="宋体" w:hAnsi="宋体"/>
          <w:bCs/>
          <w:color w:val="000000"/>
          <w:szCs w:val="21"/>
          <w:highlight w:val="none"/>
          <w:u w:val="single"/>
        </w:rPr>
      </w:pPr>
      <w:r>
        <w:rPr>
          <w:rFonts w:hint="eastAsia" w:ascii="宋体" w:hAnsi="宋体"/>
          <w:bCs/>
          <w:color w:val="000000"/>
          <w:szCs w:val="21"/>
          <w:highlight w:val="none"/>
        </w:rPr>
        <w:t>（6）履约验收标准：</w:t>
      </w:r>
      <w:r>
        <w:rPr>
          <w:rFonts w:hint="eastAsia" w:ascii="宋体" w:hAnsi="宋体"/>
          <w:bCs/>
          <w:color w:val="000000"/>
          <w:szCs w:val="21"/>
          <w:highlight w:val="none"/>
          <w:u w:val="single"/>
        </w:rPr>
        <w:t xml:space="preserve">                                         </w:t>
      </w:r>
    </w:p>
    <w:p w14:paraId="5B3D0644">
      <w:pPr>
        <w:pStyle w:val="90"/>
        <w:ind w:firstLine="420"/>
        <w:rPr>
          <w:rFonts w:hint="eastAsia" w:ascii="宋体" w:hAnsi="宋体" w:eastAsia="宋体" w:cs="宋体"/>
          <w:color w:val="000000"/>
          <w:sz w:val="21"/>
          <w:highlight w:val="none"/>
        </w:rPr>
      </w:pPr>
      <w:r>
        <w:rPr>
          <w:rFonts w:hint="eastAsia" w:ascii="宋体" w:hAnsi="宋体" w:eastAsia="宋体" w:cs="宋体"/>
          <w:bCs/>
          <w:color w:val="000000"/>
          <w:sz w:val="21"/>
          <w:highlight w:val="none"/>
        </w:rPr>
        <w:t>（7）是否以采购活动中供应商提供的样品作为参考：</w:t>
      </w:r>
      <w:r>
        <w:rPr>
          <w:rFonts w:hint="eastAsia" w:ascii="宋体" w:hAnsi="宋体" w:eastAsia="宋体" w:cs="宋体"/>
          <w:color w:val="000000"/>
          <w:sz w:val="21"/>
          <w:highlight w:val="none"/>
        </w:rPr>
        <w:sym w:font="Wingdings" w:char="00A8"/>
      </w:r>
      <w:r>
        <w:rPr>
          <w:rFonts w:hint="eastAsia" w:ascii="宋体" w:hAnsi="宋体" w:eastAsia="宋体" w:cs="宋体"/>
          <w:bCs/>
          <w:color w:val="000000"/>
          <w:sz w:val="21"/>
          <w:highlight w:val="none"/>
        </w:rPr>
        <w:t xml:space="preserve">是  </w:t>
      </w:r>
      <w:r>
        <w:rPr>
          <w:rFonts w:hint="eastAsia" w:ascii="宋体" w:hAnsi="宋体" w:eastAsia="宋体" w:cs="宋体"/>
          <w:color w:val="000000"/>
          <w:sz w:val="21"/>
          <w:highlight w:val="none"/>
        </w:rPr>
        <w:sym w:font="Wingdings" w:char="00A8"/>
      </w:r>
      <w:r>
        <w:rPr>
          <w:rFonts w:hint="eastAsia" w:ascii="宋体" w:hAnsi="宋体" w:eastAsia="宋体" w:cs="宋体"/>
          <w:bCs/>
          <w:color w:val="000000"/>
          <w:sz w:val="21"/>
          <w:highlight w:val="none"/>
        </w:rPr>
        <w:t>否</w:t>
      </w:r>
    </w:p>
    <w:p w14:paraId="410B53E9">
      <w:pPr>
        <w:adjustRightInd w:val="0"/>
        <w:snapToGrid w:val="0"/>
        <w:spacing w:line="400" w:lineRule="exact"/>
        <w:ind w:firstLine="420" w:firstLineChars="200"/>
        <w:rPr>
          <w:rFonts w:hint="eastAsia" w:ascii="宋体" w:hAnsi="宋体" w:cs="宋体"/>
          <w:bCs/>
          <w:color w:val="000000"/>
          <w:szCs w:val="21"/>
          <w:highlight w:val="none"/>
          <w:u w:val="single"/>
        </w:rPr>
      </w:pPr>
      <w:r>
        <w:rPr>
          <w:rFonts w:hint="eastAsia" w:ascii="宋体" w:hAnsi="宋体" w:cs="宋体"/>
          <w:bCs/>
          <w:color w:val="000000"/>
          <w:szCs w:val="21"/>
          <w:highlight w:val="none"/>
        </w:rPr>
        <w:t>（8）履约验收其他事项：</w:t>
      </w:r>
      <w:r>
        <w:rPr>
          <w:rFonts w:hint="eastAsia" w:ascii="宋体" w:hAnsi="宋体" w:cs="宋体"/>
          <w:bCs/>
          <w:color w:val="000000"/>
          <w:szCs w:val="21"/>
          <w:highlight w:val="none"/>
          <w:u w:val="single"/>
        </w:rPr>
        <w:t xml:space="preserve">      </w:t>
      </w:r>
      <w:r>
        <w:rPr>
          <w:rFonts w:hint="eastAsia" w:ascii="宋体" w:hAnsi="宋体"/>
          <w:i/>
          <w:iCs/>
          <w:color w:val="000000"/>
          <w:szCs w:val="21"/>
          <w:highlight w:val="none"/>
          <w:u w:val="single"/>
        </w:rPr>
        <w:t>（产权过户登记等）</w:t>
      </w:r>
      <w:r>
        <w:rPr>
          <w:rFonts w:hint="eastAsia" w:ascii="宋体" w:hAnsi="宋体" w:cs="宋体"/>
          <w:bCs/>
          <w:color w:val="000000"/>
          <w:szCs w:val="21"/>
          <w:highlight w:val="none"/>
          <w:u w:val="single"/>
        </w:rPr>
        <w:t xml:space="preserve">          </w:t>
      </w:r>
    </w:p>
    <w:p w14:paraId="71D13100">
      <w:pPr>
        <w:numPr>
          <w:ilvl w:val="0"/>
          <w:numId w:val="2"/>
        </w:numPr>
        <w:adjustRightInd w:val="0"/>
        <w:snapToGrid w:val="0"/>
        <w:spacing w:line="40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组成合同的文件</w:t>
      </w:r>
    </w:p>
    <w:p w14:paraId="647216D4">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本协议书与下列文件一起构成合同文件，如下述文件之间有任何抵触、矛盾或歧义，应按以下顺序解释：</w:t>
      </w:r>
    </w:p>
    <w:p w14:paraId="30FD8AD8">
      <w:pPr>
        <w:adjustRightInd w:val="0"/>
        <w:snapToGrid w:val="0"/>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（1）政府采购合同协议书及其变更、补充协议</w:t>
      </w:r>
    </w:p>
    <w:p w14:paraId="40357859">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（2）政府采购合同专用条款</w:t>
      </w:r>
    </w:p>
    <w:p w14:paraId="1D4AE51D">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（3）政府采购合同通用条款</w:t>
      </w:r>
    </w:p>
    <w:p w14:paraId="2849E588">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（4）中标（成交）通知书</w:t>
      </w:r>
    </w:p>
    <w:p w14:paraId="594B1E02">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（5）投标（响应）文件</w:t>
      </w:r>
    </w:p>
    <w:p w14:paraId="41D50B8C">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（6）采购文件</w:t>
      </w:r>
    </w:p>
    <w:p w14:paraId="19BA581B">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（7）有关技术文件，图纸</w:t>
      </w:r>
    </w:p>
    <w:p w14:paraId="5C0F2BBC">
      <w:pPr>
        <w:pStyle w:val="90"/>
        <w:ind w:firstLine="420"/>
        <w:rPr>
          <w:rFonts w:hint="eastAsia" w:ascii="宋体" w:hAnsi="宋体" w:eastAsia="宋体" w:cs="宋体"/>
          <w:color w:val="000000"/>
          <w:kern w:val="2"/>
          <w:sz w:val="21"/>
          <w:highlight w:val="none"/>
        </w:rPr>
      </w:pPr>
      <w:r>
        <w:rPr>
          <w:rFonts w:hint="eastAsia" w:ascii="宋体" w:hAnsi="宋体" w:eastAsia="宋体" w:cs="宋体"/>
          <w:color w:val="000000"/>
          <w:sz w:val="21"/>
          <w:highlight w:val="none"/>
        </w:rPr>
        <w:t>（8）</w:t>
      </w:r>
      <w:r>
        <w:rPr>
          <w:rFonts w:hint="eastAsia" w:ascii="宋体" w:hAnsi="宋体" w:eastAsia="宋体" w:cs="宋体"/>
          <w:color w:val="000000"/>
          <w:kern w:val="2"/>
          <w:sz w:val="21"/>
          <w:highlight w:val="none"/>
        </w:rPr>
        <w:t>国家法律、行政法规和规章制度规定或合同约定的作为合同组成部分的其他文件</w:t>
      </w:r>
    </w:p>
    <w:p w14:paraId="5CD2476B">
      <w:pPr>
        <w:numPr>
          <w:ilvl w:val="0"/>
          <w:numId w:val="2"/>
        </w:numPr>
        <w:adjustRightInd w:val="0"/>
        <w:snapToGrid w:val="0"/>
        <w:spacing w:line="40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合同生效</w:t>
      </w:r>
    </w:p>
    <w:p w14:paraId="66273F2C">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本合同自</w:t>
      </w:r>
      <w:r>
        <w:rPr>
          <w:rFonts w:hint="eastAsia" w:ascii="宋体" w:hAnsi="宋体"/>
          <w:color w:val="000000"/>
          <w:szCs w:val="21"/>
          <w:highlight w:val="none"/>
          <w:u w:val="single"/>
        </w:rPr>
        <w:t xml:space="preserve">   双方签字盖章后        </w:t>
      </w:r>
      <w:r>
        <w:rPr>
          <w:rFonts w:hint="eastAsia" w:ascii="宋体" w:hAnsi="宋体"/>
          <w:color w:val="000000"/>
          <w:szCs w:val="21"/>
          <w:highlight w:val="none"/>
        </w:rPr>
        <w:t>生效。</w:t>
      </w:r>
    </w:p>
    <w:p w14:paraId="3B6F5B8B">
      <w:pPr>
        <w:numPr>
          <w:ilvl w:val="0"/>
          <w:numId w:val="2"/>
        </w:numPr>
        <w:adjustRightInd w:val="0"/>
        <w:snapToGrid w:val="0"/>
        <w:spacing w:line="400" w:lineRule="exact"/>
        <w:ind w:firstLine="422" w:firstLineChars="200"/>
        <w:rPr>
          <w:rFonts w:hint="eastAsia" w:ascii="宋体" w:hAnsi="宋体"/>
          <w:b/>
          <w:color w:val="000000"/>
          <w:szCs w:val="21"/>
          <w:highlight w:val="none"/>
        </w:rPr>
      </w:pPr>
      <w:r>
        <w:rPr>
          <w:rFonts w:hint="eastAsia" w:ascii="宋体" w:hAnsi="宋体"/>
          <w:b/>
          <w:color w:val="000000"/>
          <w:szCs w:val="21"/>
          <w:highlight w:val="none"/>
        </w:rPr>
        <w:t>合同份数</w:t>
      </w:r>
    </w:p>
    <w:p w14:paraId="4B10819F">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本合同一式</w:t>
      </w:r>
      <w:r>
        <w:rPr>
          <w:rFonts w:hint="eastAsia" w:ascii="宋体" w:hAnsi="宋体"/>
          <w:color w:val="000000"/>
          <w:szCs w:val="21"/>
          <w:highlight w:val="none"/>
          <w:u w:val="single"/>
        </w:rPr>
        <w:t xml:space="preserve">    </w:t>
      </w:r>
      <w:r>
        <w:rPr>
          <w:rFonts w:hint="eastAsia" w:ascii="宋体" w:hAnsi="宋体"/>
          <w:color w:val="000000"/>
          <w:szCs w:val="21"/>
          <w:highlight w:val="none"/>
        </w:rPr>
        <w:t>份，甲方执</w:t>
      </w:r>
      <w:r>
        <w:rPr>
          <w:rFonts w:hint="eastAsia" w:ascii="宋体" w:hAnsi="宋体"/>
          <w:color w:val="000000"/>
          <w:szCs w:val="21"/>
          <w:highlight w:val="none"/>
          <w:u w:val="single"/>
        </w:rPr>
        <w:t xml:space="preserve">    </w:t>
      </w:r>
      <w:r>
        <w:rPr>
          <w:rFonts w:hint="eastAsia" w:ascii="宋体" w:hAnsi="宋体"/>
          <w:color w:val="000000"/>
          <w:szCs w:val="21"/>
          <w:highlight w:val="none"/>
        </w:rPr>
        <w:t>份，乙方执</w:t>
      </w:r>
      <w:r>
        <w:rPr>
          <w:rFonts w:hint="eastAsia" w:ascii="宋体" w:hAnsi="宋体"/>
          <w:color w:val="000000"/>
          <w:szCs w:val="21"/>
          <w:highlight w:val="none"/>
          <w:u w:val="single"/>
        </w:rPr>
        <w:t xml:space="preserve">    </w:t>
      </w:r>
      <w:r>
        <w:rPr>
          <w:rFonts w:hint="eastAsia" w:ascii="宋体" w:hAnsi="宋体"/>
          <w:color w:val="000000"/>
          <w:szCs w:val="21"/>
          <w:highlight w:val="none"/>
        </w:rPr>
        <w:t>份，均具有同等法律效力。</w:t>
      </w:r>
    </w:p>
    <w:p w14:paraId="1C847B18">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合同订立时间：</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日</w:t>
      </w:r>
    </w:p>
    <w:p w14:paraId="7A66F26A">
      <w:pPr>
        <w:adjustRightInd w:val="0"/>
        <w:snapToGrid w:val="0"/>
        <w:spacing w:line="400" w:lineRule="exact"/>
        <w:ind w:firstLine="420" w:firstLineChars="200"/>
        <w:rPr>
          <w:rFonts w:ascii="宋体" w:hAnsi="宋体"/>
          <w:color w:val="000000"/>
          <w:szCs w:val="21"/>
          <w:highlight w:val="none"/>
        </w:rPr>
      </w:pPr>
      <w:r>
        <w:rPr>
          <w:rFonts w:hint="eastAsia" w:ascii="宋体" w:hAnsi="宋体"/>
          <w:color w:val="000000"/>
          <w:szCs w:val="21"/>
          <w:highlight w:val="none"/>
        </w:rPr>
        <w:t>合同订立地点：</w:t>
      </w:r>
      <w:r>
        <w:rPr>
          <w:rFonts w:hint="eastAsia" w:ascii="宋体" w:hAnsi="宋体"/>
          <w:color w:val="000000"/>
          <w:szCs w:val="21"/>
          <w:highlight w:val="none"/>
          <w:u w:val="single"/>
        </w:rPr>
        <w:t xml:space="preserve">                           </w:t>
      </w:r>
    </w:p>
    <w:p w14:paraId="3934C78D">
      <w:pPr>
        <w:adjustRightInd w:val="0"/>
        <w:snapToGrid w:val="0"/>
        <w:spacing w:line="400" w:lineRule="exact"/>
        <w:ind w:firstLine="420" w:firstLineChars="200"/>
        <w:rPr>
          <w:color w:val="000000"/>
          <w:highlight w:val="none"/>
        </w:rPr>
      </w:pPr>
      <w:r>
        <w:rPr>
          <w:rFonts w:hint="eastAsia" w:ascii="宋体" w:hAnsi="宋体"/>
          <w:color w:val="000000"/>
          <w:szCs w:val="21"/>
          <w:highlight w:val="none"/>
        </w:rPr>
        <w:t>附件：具体标的及其技术要求和商务要求、联合协议、分包意向协议等。</w:t>
      </w:r>
    </w:p>
    <w:p w14:paraId="508A8031">
      <w:pPr>
        <w:jc w:val="center"/>
        <w:rPr>
          <w:rFonts w:hint="eastAsia" w:eastAsia="仿宋"/>
          <w:color w:val="000000"/>
          <w:highlight w:val="none"/>
        </w:rPr>
      </w:pPr>
    </w:p>
    <w:p w14:paraId="2C18EE97">
      <w:pPr>
        <w:pStyle w:val="92"/>
        <w:spacing w:line="400" w:lineRule="exact"/>
        <w:ind w:firstLine="480"/>
        <w:jc w:val="center"/>
        <w:rPr>
          <w:color w:val="000000"/>
          <w:highlight w:val="none"/>
        </w:rPr>
      </w:pPr>
      <w:r>
        <w:rPr>
          <w:rFonts w:hint="eastAsia" w:eastAsia="仿宋"/>
          <w:color w:val="000000"/>
          <w:sz w:val="24"/>
          <w:highlight w:val="none"/>
          <w:u w:val="single"/>
        </w:rPr>
        <w:t>（以下无正文，为签字页）</w:t>
      </w:r>
    </w:p>
    <w:p w14:paraId="14F8BAB5">
      <w:pPr>
        <w:snapToGrid w:val="0"/>
        <w:spacing w:line="360" w:lineRule="auto"/>
        <w:ind w:firstLine="420" w:firstLineChars="200"/>
        <w:jc w:val="center"/>
        <w:rPr>
          <w:rFonts w:hint="eastAsia" w:ascii="宋体" w:hAnsi="宋体" w:eastAsia="仿宋"/>
          <w:color w:val="000000"/>
          <w:sz w:val="24"/>
          <w:highlight w:val="none"/>
        </w:rPr>
      </w:pPr>
      <w:r>
        <w:rPr>
          <w:rFonts w:hint="eastAsia"/>
          <w:color w:val="000000"/>
          <w:highlight w:val="none"/>
        </w:rPr>
        <w:br w:type="page"/>
      </w:r>
      <w:r>
        <w:rPr>
          <w:rFonts w:hint="eastAsia" w:ascii="宋体" w:hAnsi="宋体" w:eastAsia="仿宋"/>
          <w:color w:val="000000"/>
          <w:sz w:val="24"/>
          <w:highlight w:val="none"/>
        </w:rPr>
        <w:t>（本页无正文，为签字页）</w:t>
      </w:r>
    </w:p>
    <w:tbl>
      <w:tblPr>
        <w:tblStyle w:val="47"/>
        <w:tblpPr w:leftFromText="180" w:rightFromText="180" w:vertAnchor="text" w:horzAnchor="page" w:tblpXSpec="center" w:tblpY="226"/>
        <w:tblOverlap w:val="never"/>
        <w:tblW w:w="4926" w:type="pct"/>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84"/>
        <w:gridCol w:w="2788"/>
        <w:gridCol w:w="2287"/>
        <w:gridCol w:w="2449"/>
      </w:tblGrid>
      <w:tr w14:paraId="08CFD2D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2561" w:type="pct"/>
            <w:gridSpan w:val="2"/>
            <w:tcBorders>
              <w:bottom w:val="single" w:color="auto" w:sz="2" w:space="0"/>
              <w:right w:val="single" w:color="auto" w:sz="2" w:space="0"/>
            </w:tcBorders>
            <w:noWrap w:val="0"/>
            <w:vAlign w:val="center"/>
          </w:tcPr>
          <w:p w14:paraId="1C86DEE0">
            <w:pPr>
              <w:adjustRightInd w:val="0"/>
              <w:snapToGrid w:val="0"/>
              <w:spacing w:line="300" w:lineRule="exact"/>
              <w:jc w:val="center"/>
              <w:rPr>
                <w:color w:val="000000"/>
                <w:highlight w:val="none"/>
              </w:rPr>
            </w:pPr>
            <w:r>
              <w:rPr>
                <w:color w:val="000000"/>
                <w:szCs w:val="21"/>
                <w:highlight w:val="none"/>
              </w:rPr>
              <w:t>甲方</w:t>
            </w:r>
            <w:r>
              <w:rPr>
                <w:rFonts w:hint="eastAsia"/>
                <w:color w:val="000000"/>
                <w:szCs w:val="21"/>
                <w:highlight w:val="none"/>
              </w:rPr>
              <w:t>（采购人</w:t>
            </w:r>
            <w:r>
              <w:rPr>
                <w:rFonts w:hint="eastAsia" w:ascii="宋体" w:hAnsi="宋体"/>
                <w:color w:val="000000"/>
                <w:szCs w:val="21"/>
                <w:highlight w:val="none"/>
              </w:rPr>
              <w:t>、受采购人委托签订合同的单位或</w:t>
            </w:r>
            <w:r>
              <w:rPr>
                <w:rFonts w:hint="eastAsia"/>
                <w:color w:val="000000"/>
                <w:szCs w:val="21"/>
                <w:highlight w:val="none"/>
              </w:rPr>
              <w:t>采购文件约定的合同甲方）</w:t>
            </w:r>
          </w:p>
        </w:tc>
        <w:tc>
          <w:tcPr>
            <w:tcW w:w="2438" w:type="pct"/>
            <w:gridSpan w:val="2"/>
            <w:tcBorders>
              <w:left w:val="single" w:color="auto" w:sz="2" w:space="0"/>
              <w:bottom w:val="single" w:color="auto" w:sz="2" w:space="0"/>
            </w:tcBorders>
            <w:noWrap w:val="0"/>
            <w:vAlign w:val="center"/>
          </w:tcPr>
          <w:p w14:paraId="1625DC35">
            <w:pPr>
              <w:adjustRightInd w:val="0"/>
              <w:snapToGrid w:val="0"/>
              <w:spacing w:line="300" w:lineRule="exact"/>
              <w:jc w:val="center"/>
              <w:rPr>
                <w:color w:val="000000"/>
                <w:highlight w:val="none"/>
              </w:rPr>
            </w:pPr>
            <w:r>
              <w:rPr>
                <w:color w:val="000000"/>
                <w:szCs w:val="21"/>
                <w:highlight w:val="none"/>
              </w:rPr>
              <w:t>乙方</w:t>
            </w:r>
            <w:r>
              <w:rPr>
                <w:rFonts w:hint="eastAsia"/>
                <w:color w:val="000000"/>
                <w:szCs w:val="21"/>
                <w:highlight w:val="none"/>
              </w:rPr>
              <w:t>（供应商）</w:t>
            </w:r>
          </w:p>
        </w:tc>
      </w:tr>
      <w:tr w14:paraId="359FD2D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jc w:val="center"/>
        </w:trPr>
        <w:tc>
          <w:tcPr>
            <w:tcW w:w="1125" w:type="pct"/>
            <w:tcBorders>
              <w:top w:val="single" w:color="auto" w:sz="2" w:space="0"/>
              <w:bottom w:val="single" w:color="auto" w:sz="2" w:space="0"/>
              <w:right w:val="single" w:color="auto" w:sz="2" w:space="0"/>
            </w:tcBorders>
            <w:noWrap w:val="0"/>
            <w:vAlign w:val="center"/>
          </w:tcPr>
          <w:p w14:paraId="03296260">
            <w:pPr>
              <w:adjustRightInd w:val="0"/>
              <w:snapToGrid w:val="0"/>
              <w:spacing w:line="300" w:lineRule="exact"/>
              <w:jc w:val="center"/>
              <w:rPr>
                <w:color w:val="000000"/>
                <w:szCs w:val="21"/>
                <w:highlight w:val="none"/>
              </w:rPr>
            </w:pPr>
            <w:r>
              <w:rPr>
                <w:color w:val="000000"/>
                <w:szCs w:val="21"/>
                <w:highlight w:val="none"/>
              </w:rPr>
              <w:t>单位名称</w:t>
            </w:r>
            <w:r>
              <w:rPr>
                <w:rFonts w:hint="eastAsia"/>
                <w:color w:val="000000"/>
                <w:szCs w:val="21"/>
                <w:highlight w:val="none"/>
              </w:rPr>
              <w:t>（公章或合同章）</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4320F18">
            <w:pPr>
              <w:adjustRightInd w:val="0"/>
              <w:snapToGrid w:val="0"/>
              <w:spacing w:line="300" w:lineRule="exact"/>
              <w:jc w:val="center"/>
              <w:rPr>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6EC485A">
            <w:pPr>
              <w:adjustRightInd w:val="0"/>
              <w:snapToGrid w:val="0"/>
              <w:spacing w:line="300" w:lineRule="exact"/>
              <w:jc w:val="center"/>
              <w:rPr>
                <w:color w:val="000000"/>
                <w:szCs w:val="21"/>
                <w:highlight w:val="none"/>
              </w:rPr>
            </w:pPr>
            <w:r>
              <w:rPr>
                <w:color w:val="000000"/>
                <w:szCs w:val="21"/>
                <w:highlight w:val="none"/>
              </w:rPr>
              <w:t>单位名称</w:t>
            </w:r>
            <w:r>
              <w:rPr>
                <w:rFonts w:hint="eastAsia"/>
                <w:color w:val="000000"/>
                <w:szCs w:val="21"/>
                <w:highlight w:val="none"/>
              </w:rPr>
              <w:t>（公章或合同章）</w:t>
            </w:r>
          </w:p>
        </w:tc>
        <w:tc>
          <w:tcPr>
            <w:tcW w:w="1260" w:type="pct"/>
            <w:tcBorders>
              <w:top w:val="single" w:color="auto" w:sz="2" w:space="0"/>
              <w:left w:val="single" w:color="auto" w:sz="2" w:space="0"/>
              <w:bottom w:val="single" w:color="auto" w:sz="2" w:space="0"/>
            </w:tcBorders>
            <w:noWrap w:val="0"/>
            <w:vAlign w:val="center"/>
          </w:tcPr>
          <w:p w14:paraId="65E0FD1E">
            <w:pPr>
              <w:adjustRightInd w:val="0"/>
              <w:snapToGrid w:val="0"/>
              <w:spacing w:line="300" w:lineRule="exact"/>
              <w:jc w:val="center"/>
              <w:rPr>
                <w:color w:val="000000"/>
                <w:spacing w:val="20"/>
                <w:szCs w:val="21"/>
                <w:highlight w:val="none"/>
              </w:rPr>
            </w:pPr>
          </w:p>
        </w:tc>
      </w:tr>
      <w:tr w14:paraId="7305799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125" w:type="pct"/>
            <w:vMerge w:val="restart"/>
            <w:tcBorders>
              <w:top w:val="single" w:color="auto" w:sz="2" w:space="0"/>
              <w:right w:val="single" w:color="auto" w:sz="2" w:space="0"/>
            </w:tcBorders>
            <w:noWrap w:val="0"/>
            <w:vAlign w:val="center"/>
          </w:tcPr>
          <w:p w14:paraId="01E56B55">
            <w:pPr>
              <w:adjustRightInd w:val="0"/>
              <w:snapToGrid w:val="0"/>
              <w:spacing w:line="300" w:lineRule="exact"/>
              <w:jc w:val="center"/>
              <w:rPr>
                <w:color w:val="000000"/>
                <w:szCs w:val="21"/>
                <w:highlight w:val="none"/>
              </w:rPr>
            </w:pPr>
            <w:r>
              <w:rPr>
                <w:color w:val="000000"/>
                <w:szCs w:val="21"/>
                <w:highlight w:val="none"/>
              </w:rPr>
              <w:t>法定代表人</w:t>
            </w:r>
          </w:p>
          <w:p w14:paraId="3953F840">
            <w:pPr>
              <w:adjustRightInd w:val="0"/>
              <w:snapToGrid w:val="0"/>
              <w:spacing w:line="300" w:lineRule="exact"/>
              <w:ind w:firstLine="100" w:firstLineChars="48"/>
              <w:jc w:val="center"/>
              <w:rPr>
                <w:color w:val="000000"/>
                <w:szCs w:val="21"/>
                <w:highlight w:val="none"/>
              </w:rPr>
            </w:pPr>
            <w:r>
              <w:rPr>
                <w:rFonts w:hint="eastAsia"/>
                <w:color w:val="000000"/>
                <w:szCs w:val="21"/>
                <w:highlight w:val="none"/>
              </w:rPr>
              <w:t>或其</w:t>
            </w:r>
            <w:r>
              <w:rPr>
                <w:color w:val="000000"/>
                <w:szCs w:val="21"/>
                <w:highlight w:val="none"/>
              </w:rPr>
              <w:t>委托代理人</w:t>
            </w:r>
            <w:r>
              <w:rPr>
                <w:rFonts w:hint="eastAsia"/>
                <w:color w:val="000000"/>
                <w:szCs w:val="21"/>
                <w:highlight w:val="none"/>
              </w:rPr>
              <w:t>（签章）</w:t>
            </w:r>
          </w:p>
        </w:tc>
        <w:tc>
          <w:tcPr>
            <w:tcW w:w="1436" w:type="pct"/>
            <w:vMerge w:val="restart"/>
            <w:tcBorders>
              <w:top w:val="single" w:color="auto" w:sz="2" w:space="0"/>
              <w:left w:val="single" w:color="auto" w:sz="2" w:space="0"/>
              <w:right w:val="single" w:color="auto" w:sz="2" w:space="0"/>
            </w:tcBorders>
            <w:noWrap w:val="0"/>
            <w:vAlign w:val="center"/>
          </w:tcPr>
          <w:p w14:paraId="3F0C869F">
            <w:pPr>
              <w:adjustRightInd w:val="0"/>
              <w:snapToGrid w:val="0"/>
              <w:spacing w:line="300" w:lineRule="exact"/>
              <w:jc w:val="center"/>
              <w:rPr>
                <w:color w:val="000000"/>
                <w:szCs w:val="21"/>
                <w:highlight w:val="none"/>
              </w:rPr>
            </w:pPr>
          </w:p>
        </w:tc>
        <w:tc>
          <w:tcPr>
            <w:tcW w:w="1178" w:type="pct"/>
            <w:tcBorders>
              <w:top w:val="single" w:color="auto" w:sz="2" w:space="0"/>
              <w:left w:val="single" w:color="auto" w:sz="2" w:space="0"/>
              <w:right w:val="single" w:color="auto" w:sz="2" w:space="0"/>
            </w:tcBorders>
            <w:noWrap w:val="0"/>
            <w:vAlign w:val="center"/>
          </w:tcPr>
          <w:p w14:paraId="59912BF4">
            <w:pPr>
              <w:adjustRightInd w:val="0"/>
              <w:snapToGrid w:val="0"/>
              <w:spacing w:line="300" w:lineRule="exact"/>
              <w:jc w:val="center"/>
              <w:rPr>
                <w:color w:val="000000"/>
                <w:szCs w:val="21"/>
                <w:highlight w:val="none"/>
              </w:rPr>
            </w:pPr>
            <w:r>
              <w:rPr>
                <w:color w:val="000000"/>
                <w:szCs w:val="21"/>
                <w:highlight w:val="none"/>
              </w:rPr>
              <w:t>法定代表人</w:t>
            </w:r>
          </w:p>
          <w:p w14:paraId="7F10CB22">
            <w:pPr>
              <w:adjustRightInd w:val="0"/>
              <w:snapToGrid w:val="0"/>
              <w:spacing w:line="300" w:lineRule="exact"/>
              <w:jc w:val="center"/>
              <w:rPr>
                <w:color w:val="000000"/>
                <w:szCs w:val="21"/>
                <w:highlight w:val="none"/>
              </w:rPr>
            </w:pPr>
            <w:r>
              <w:rPr>
                <w:rFonts w:hint="eastAsia"/>
                <w:color w:val="000000"/>
                <w:szCs w:val="21"/>
                <w:highlight w:val="none"/>
              </w:rPr>
              <w:t>或其</w:t>
            </w:r>
            <w:r>
              <w:rPr>
                <w:color w:val="000000"/>
                <w:szCs w:val="21"/>
                <w:highlight w:val="none"/>
              </w:rPr>
              <w:t>委托代理人</w:t>
            </w:r>
            <w:r>
              <w:rPr>
                <w:rFonts w:hint="eastAsia"/>
                <w:color w:val="000000"/>
                <w:szCs w:val="21"/>
                <w:highlight w:val="none"/>
              </w:rPr>
              <w:t>（签章）</w:t>
            </w:r>
          </w:p>
        </w:tc>
        <w:tc>
          <w:tcPr>
            <w:tcW w:w="1260" w:type="pct"/>
            <w:tcBorders>
              <w:top w:val="single" w:color="auto" w:sz="2" w:space="0"/>
              <w:left w:val="single" w:color="auto" w:sz="2" w:space="0"/>
              <w:bottom w:val="single" w:color="auto" w:sz="2" w:space="0"/>
            </w:tcBorders>
            <w:noWrap w:val="0"/>
            <w:vAlign w:val="center"/>
          </w:tcPr>
          <w:p w14:paraId="565EAF81">
            <w:pPr>
              <w:adjustRightInd w:val="0"/>
              <w:snapToGrid w:val="0"/>
              <w:spacing w:line="300" w:lineRule="exact"/>
              <w:jc w:val="center"/>
              <w:rPr>
                <w:color w:val="000000"/>
                <w:szCs w:val="21"/>
                <w:highlight w:val="none"/>
              </w:rPr>
            </w:pPr>
          </w:p>
        </w:tc>
      </w:tr>
      <w:tr w14:paraId="745AC89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vMerge w:val="continue"/>
            <w:tcBorders>
              <w:bottom w:val="single" w:color="auto" w:sz="2" w:space="0"/>
              <w:right w:val="single" w:color="auto" w:sz="2" w:space="0"/>
            </w:tcBorders>
            <w:noWrap w:val="0"/>
            <w:vAlign w:val="center"/>
          </w:tcPr>
          <w:p w14:paraId="076DDB70">
            <w:pPr>
              <w:adjustRightInd w:val="0"/>
              <w:snapToGrid w:val="0"/>
              <w:spacing w:line="300" w:lineRule="exact"/>
              <w:jc w:val="center"/>
              <w:rPr>
                <w:color w:val="000000"/>
                <w:szCs w:val="21"/>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3E86E004">
            <w:pPr>
              <w:adjustRightInd w:val="0"/>
              <w:snapToGrid w:val="0"/>
              <w:spacing w:line="300" w:lineRule="exact"/>
              <w:jc w:val="center"/>
              <w:rPr>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CCE8AF">
            <w:pPr>
              <w:adjustRightInd w:val="0"/>
              <w:snapToGrid w:val="0"/>
              <w:spacing w:line="300" w:lineRule="exact"/>
              <w:jc w:val="center"/>
              <w:rPr>
                <w:rFonts w:hint="eastAsia"/>
                <w:color w:val="000000"/>
                <w:szCs w:val="21"/>
                <w:highlight w:val="none"/>
              </w:rPr>
            </w:pPr>
            <w:r>
              <w:rPr>
                <w:rFonts w:hint="eastAsia"/>
                <w:color w:val="000000"/>
                <w:szCs w:val="21"/>
                <w:highlight w:val="none"/>
              </w:rPr>
              <w:t>拥有者性别</w:t>
            </w:r>
          </w:p>
        </w:tc>
        <w:tc>
          <w:tcPr>
            <w:tcW w:w="1260" w:type="pct"/>
            <w:tcBorders>
              <w:top w:val="single" w:color="auto" w:sz="2" w:space="0"/>
              <w:left w:val="single" w:color="auto" w:sz="2" w:space="0"/>
              <w:bottom w:val="single" w:color="auto" w:sz="2" w:space="0"/>
            </w:tcBorders>
            <w:noWrap w:val="0"/>
            <w:vAlign w:val="center"/>
          </w:tcPr>
          <w:p w14:paraId="56ECBC42">
            <w:pPr>
              <w:adjustRightInd w:val="0"/>
              <w:snapToGrid w:val="0"/>
              <w:spacing w:line="300" w:lineRule="exact"/>
              <w:jc w:val="center"/>
              <w:rPr>
                <w:color w:val="000000"/>
                <w:spacing w:val="20"/>
                <w:szCs w:val="21"/>
                <w:highlight w:val="none"/>
              </w:rPr>
            </w:pPr>
          </w:p>
        </w:tc>
      </w:tr>
      <w:tr w14:paraId="6885D98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noWrap w:val="0"/>
            <w:vAlign w:val="center"/>
          </w:tcPr>
          <w:p w14:paraId="46EF15FE">
            <w:pPr>
              <w:adjustRightInd w:val="0"/>
              <w:snapToGrid w:val="0"/>
              <w:spacing w:line="300" w:lineRule="exact"/>
              <w:jc w:val="center"/>
              <w:rPr>
                <w:rFonts w:hint="eastAsia"/>
                <w:color w:val="000000"/>
                <w:szCs w:val="21"/>
                <w:highlight w:val="none"/>
              </w:rPr>
            </w:pPr>
            <w:r>
              <w:rPr>
                <w:rFonts w:hint="eastAsia"/>
                <w:color w:val="000000"/>
                <w:szCs w:val="21"/>
                <w:highlight w:val="none"/>
              </w:rPr>
              <w:t>住  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35EA1B5">
            <w:pPr>
              <w:adjustRightInd w:val="0"/>
              <w:snapToGrid w:val="0"/>
              <w:spacing w:line="300" w:lineRule="exact"/>
              <w:jc w:val="center"/>
              <w:rPr>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1CF8B67">
            <w:pPr>
              <w:adjustRightInd w:val="0"/>
              <w:snapToGrid w:val="0"/>
              <w:spacing w:line="300" w:lineRule="exact"/>
              <w:jc w:val="center"/>
              <w:rPr>
                <w:rFonts w:hint="eastAsia"/>
                <w:color w:val="000000"/>
                <w:szCs w:val="21"/>
                <w:highlight w:val="none"/>
              </w:rPr>
            </w:pPr>
            <w:r>
              <w:rPr>
                <w:rFonts w:hint="eastAsia"/>
                <w:color w:val="000000"/>
                <w:szCs w:val="21"/>
                <w:highlight w:val="none"/>
              </w:rPr>
              <w:t>住  所</w:t>
            </w:r>
          </w:p>
        </w:tc>
        <w:tc>
          <w:tcPr>
            <w:tcW w:w="1260" w:type="pct"/>
            <w:tcBorders>
              <w:top w:val="single" w:color="auto" w:sz="2" w:space="0"/>
              <w:left w:val="single" w:color="auto" w:sz="2" w:space="0"/>
              <w:bottom w:val="single" w:color="auto" w:sz="2" w:space="0"/>
            </w:tcBorders>
            <w:noWrap w:val="0"/>
            <w:vAlign w:val="center"/>
          </w:tcPr>
          <w:p w14:paraId="627C8C81">
            <w:pPr>
              <w:adjustRightInd w:val="0"/>
              <w:snapToGrid w:val="0"/>
              <w:spacing w:line="300" w:lineRule="exact"/>
              <w:jc w:val="center"/>
              <w:rPr>
                <w:color w:val="000000"/>
                <w:spacing w:val="20"/>
                <w:szCs w:val="21"/>
                <w:highlight w:val="none"/>
              </w:rPr>
            </w:pPr>
          </w:p>
        </w:tc>
      </w:tr>
      <w:tr w14:paraId="3D39EA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noWrap w:val="0"/>
            <w:vAlign w:val="center"/>
          </w:tcPr>
          <w:p w14:paraId="43F83460">
            <w:pPr>
              <w:adjustRightInd w:val="0"/>
              <w:snapToGrid w:val="0"/>
              <w:spacing w:line="300" w:lineRule="exact"/>
              <w:jc w:val="center"/>
              <w:rPr>
                <w:color w:val="000000"/>
                <w:szCs w:val="21"/>
                <w:highlight w:val="none"/>
              </w:rPr>
            </w:pPr>
            <w:r>
              <w:rPr>
                <w:color w:val="000000"/>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258AA9D">
            <w:pPr>
              <w:adjustRightInd w:val="0"/>
              <w:snapToGrid w:val="0"/>
              <w:spacing w:line="300" w:lineRule="exact"/>
              <w:jc w:val="center"/>
              <w:rPr>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34D1E51">
            <w:pPr>
              <w:adjustRightInd w:val="0"/>
              <w:snapToGrid w:val="0"/>
              <w:spacing w:line="300" w:lineRule="exact"/>
              <w:jc w:val="center"/>
              <w:rPr>
                <w:color w:val="000000"/>
                <w:szCs w:val="21"/>
                <w:highlight w:val="none"/>
              </w:rPr>
            </w:pPr>
            <w:r>
              <w:rPr>
                <w:color w:val="000000"/>
                <w:szCs w:val="21"/>
                <w:highlight w:val="none"/>
              </w:rPr>
              <w:t>联 系 人</w:t>
            </w:r>
          </w:p>
        </w:tc>
        <w:tc>
          <w:tcPr>
            <w:tcW w:w="1260" w:type="pct"/>
            <w:tcBorders>
              <w:top w:val="single" w:color="auto" w:sz="2" w:space="0"/>
              <w:left w:val="single" w:color="auto" w:sz="2" w:space="0"/>
              <w:bottom w:val="single" w:color="auto" w:sz="2" w:space="0"/>
            </w:tcBorders>
            <w:noWrap w:val="0"/>
            <w:vAlign w:val="center"/>
          </w:tcPr>
          <w:p w14:paraId="63213F8D">
            <w:pPr>
              <w:adjustRightInd w:val="0"/>
              <w:snapToGrid w:val="0"/>
              <w:spacing w:line="300" w:lineRule="exact"/>
              <w:jc w:val="center"/>
              <w:rPr>
                <w:color w:val="000000"/>
                <w:spacing w:val="20"/>
                <w:szCs w:val="21"/>
                <w:highlight w:val="none"/>
              </w:rPr>
            </w:pPr>
          </w:p>
        </w:tc>
      </w:tr>
      <w:tr w14:paraId="37CEEDC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noWrap w:val="0"/>
            <w:vAlign w:val="center"/>
          </w:tcPr>
          <w:p w14:paraId="313E160B">
            <w:pPr>
              <w:adjustRightInd w:val="0"/>
              <w:snapToGrid w:val="0"/>
              <w:spacing w:line="300" w:lineRule="exact"/>
              <w:jc w:val="center"/>
              <w:rPr>
                <w:color w:val="000000"/>
                <w:szCs w:val="21"/>
                <w:highlight w:val="none"/>
              </w:rPr>
            </w:pPr>
            <w:r>
              <w:rPr>
                <w:color w:val="000000"/>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87F8D60">
            <w:pPr>
              <w:adjustRightInd w:val="0"/>
              <w:snapToGrid w:val="0"/>
              <w:spacing w:line="300" w:lineRule="exact"/>
              <w:jc w:val="center"/>
              <w:rPr>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992B4F">
            <w:pPr>
              <w:adjustRightInd w:val="0"/>
              <w:snapToGrid w:val="0"/>
              <w:spacing w:line="300" w:lineRule="exact"/>
              <w:jc w:val="center"/>
              <w:rPr>
                <w:color w:val="000000"/>
                <w:szCs w:val="21"/>
                <w:highlight w:val="none"/>
              </w:rPr>
            </w:pPr>
            <w:r>
              <w:rPr>
                <w:color w:val="000000"/>
                <w:szCs w:val="21"/>
                <w:highlight w:val="none"/>
              </w:rPr>
              <w:t>联系电话</w:t>
            </w:r>
          </w:p>
        </w:tc>
        <w:tc>
          <w:tcPr>
            <w:tcW w:w="1260" w:type="pct"/>
            <w:tcBorders>
              <w:top w:val="single" w:color="auto" w:sz="2" w:space="0"/>
              <w:left w:val="single" w:color="auto" w:sz="2" w:space="0"/>
              <w:bottom w:val="single" w:color="auto" w:sz="2" w:space="0"/>
            </w:tcBorders>
            <w:noWrap w:val="0"/>
            <w:vAlign w:val="center"/>
          </w:tcPr>
          <w:p w14:paraId="14A8A741">
            <w:pPr>
              <w:adjustRightInd w:val="0"/>
              <w:snapToGrid w:val="0"/>
              <w:spacing w:line="300" w:lineRule="exact"/>
              <w:jc w:val="center"/>
              <w:rPr>
                <w:color w:val="000000"/>
                <w:spacing w:val="20"/>
                <w:szCs w:val="21"/>
                <w:highlight w:val="none"/>
              </w:rPr>
            </w:pPr>
          </w:p>
        </w:tc>
      </w:tr>
      <w:tr w14:paraId="0781E8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noWrap w:val="0"/>
            <w:vAlign w:val="center"/>
          </w:tcPr>
          <w:p w14:paraId="771F0F48">
            <w:pPr>
              <w:adjustRightInd w:val="0"/>
              <w:snapToGrid w:val="0"/>
              <w:spacing w:line="300" w:lineRule="exact"/>
              <w:jc w:val="center"/>
              <w:rPr>
                <w:rFonts w:hint="eastAsia"/>
                <w:color w:val="000000"/>
                <w:szCs w:val="21"/>
                <w:highlight w:val="none"/>
              </w:rPr>
            </w:pPr>
            <w:r>
              <w:rPr>
                <w:rFonts w:hint="eastAsia"/>
                <w:color w:val="000000"/>
                <w:szCs w:val="21"/>
                <w:highlight w:val="none"/>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6D0245B">
            <w:pPr>
              <w:adjustRightInd w:val="0"/>
              <w:snapToGrid w:val="0"/>
              <w:spacing w:line="300" w:lineRule="exact"/>
              <w:jc w:val="center"/>
              <w:rPr>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1232079">
            <w:pPr>
              <w:adjustRightInd w:val="0"/>
              <w:snapToGrid w:val="0"/>
              <w:spacing w:line="300" w:lineRule="exact"/>
              <w:jc w:val="center"/>
              <w:rPr>
                <w:color w:val="000000"/>
                <w:szCs w:val="21"/>
                <w:highlight w:val="none"/>
              </w:rPr>
            </w:pPr>
            <w:r>
              <w:rPr>
                <w:rFonts w:hint="eastAsia"/>
                <w:color w:val="000000"/>
                <w:szCs w:val="21"/>
                <w:highlight w:val="none"/>
              </w:rPr>
              <w:t>通信地址</w:t>
            </w:r>
          </w:p>
        </w:tc>
        <w:tc>
          <w:tcPr>
            <w:tcW w:w="1260" w:type="pct"/>
            <w:tcBorders>
              <w:top w:val="single" w:color="auto" w:sz="2" w:space="0"/>
              <w:left w:val="single" w:color="auto" w:sz="2" w:space="0"/>
              <w:bottom w:val="single" w:color="auto" w:sz="2" w:space="0"/>
            </w:tcBorders>
            <w:noWrap w:val="0"/>
            <w:vAlign w:val="center"/>
          </w:tcPr>
          <w:p w14:paraId="6037B99E">
            <w:pPr>
              <w:adjustRightInd w:val="0"/>
              <w:snapToGrid w:val="0"/>
              <w:spacing w:line="300" w:lineRule="exact"/>
              <w:jc w:val="center"/>
              <w:rPr>
                <w:color w:val="000000"/>
                <w:spacing w:val="20"/>
                <w:szCs w:val="21"/>
                <w:highlight w:val="none"/>
              </w:rPr>
            </w:pPr>
          </w:p>
        </w:tc>
      </w:tr>
      <w:tr w14:paraId="2EC130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noWrap w:val="0"/>
            <w:vAlign w:val="center"/>
          </w:tcPr>
          <w:p w14:paraId="0C6F8BC0">
            <w:pPr>
              <w:adjustRightInd w:val="0"/>
              <w:snapToGrid w:val="0"/>
              <w:spacing w:line="300" w:lineRule="exact"/>
              <w:jc w:val="center"/>
              <w:rPr>
                <w:color w:val="000000"/>
                <w:szCs w:val="21"/>
                <w:highlight w:val="none"/>
              </w:rPr>
            </w:pPr>
            <w:r>
              <w:rPr>
                <w:color w:val="000000"/>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162DF2D">
            <w:pPr>
              <w:adjustRightInd w:val="0"/>
              <w:snapToGrid w:val="0"/>
              <w:spacing w:line="300" w:lineRule="exact"/>
              <w:jc w:val="center"/>
              <w:rPr>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E95B138">
            <w:pPr>
              <w:adjustRightInd w:val="0"/>
              <w:snapToGrid w:val="0"/>
              <w:spacing w:line="300" w:lineRule="exact"/>
              <w:jc w:val="center"/>
              <w:rPr>
                <w:color w:val="000000"/>
                <w:szCs w:val="21"/>
                <w:highlight w:val="none"/>
              </w:rPr>
            </w:pPr>
            <w:r>
              <w:rPr>
                <w:color w:val="000000"/>
                <w:szCs w:val="21"/>
                <w:highlight w:val="none"/>
              </w:rPr>
              <w:t>邮政编码</w:t>
            </w:r>
          </w:p>
        </w:tc>
        <w:tc>
          <w:tcPr>
            <w:tcW w:w="1260" w:type="pct"/>
            <w:tcBorders>
              <w:top w:val="single" w:color="auto" w:sz="2" w:space="0"/>
              <w:left w:val="single" w:color="auto" w:sz="2" w:space="0"/>
              <w:bottom w:val="single" w:color="auto" w:sz="2" w:space="0"/>
            </w:tcBorders>
            <w:noWrap w:val="0"/>
            <w:vAlign w:val="center"/>
          </w:tcPr>
          <w:p w14:paraId="239FD126">
            <w:pPr>
              <w:adjustRightInd w:val="0"/>
              <w:snapToGrid w:val="0"/>
              <w:spacing w:line="300" w:lineRule="exact"/>
              <w:jc w:val="center"/>
              <w:rPr>
                <w:color w:val="000000"/>
                <w:spacing w:val="20"/>
                <w:szCs w:val="21"/>
                <w:highlight w:val="none"/>
              </w:rPr>
            </w:pPr>
          </w:p>
        </w:tc>
      </w:tr>
      <w:tr w14:paraId="1248FB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noWrap w:val="0"/>
            <w:vAlign w:val="center"/>
          </w:tcPr>
          <w:p w14:paraId="3F9E7501">
            <w:pPr>
              <w:adjustRightInd w:val="0"/>
              <w:snapToGrid w:val="0"/>
              <w:spacing w:line="300" w:lineRule="exact"/>
              <w:jc w:val="center"/>
              <w:rPr>
                <w:color w:val="000000"/>
                <w:szCs w:val="21"/>
                <w:highlight w:val="none"/>
              </w:rPr>
            </w:pPr>
            <w:r>
              <w:rPr>
                <w:rFonts w:hint="eastAsia"/>
                <w:color w:val="000000"/>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25B3A01">
            <w:pPr>
              <w:adjustRightInd w:val="0"/>
              <w:snapToGrid w:val="0"/>
              <w:spacing w:line="300" w:lineRule="exact"/>
              <w:jc w:val="center"/>
              <w:rPr>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4ABC58D">
            <w:pPr>
              <w:adjustRightInd w:val="0"/>
              <w:snapToGrid w:val="0"/>
              <w:spacing w:line="300" w:lineRule="exact"/>
              <w:jc w:val="center"/>
              <w:rPr>
                <w:color w:val="000000"/>
                <w:szCs w:val="21"/>
                <w:highlight w:val="none"/>
              </w:rPr>
            </w:pPr>
            <w:r>
              <w:rPr>
                <w:rFonts w:hint="eastAsia"/>
                <w:color w:val="000000"/>
                <w:szCs w:val="21"/>
                <w:highlight w:val="none"/>
              </w:rPr>
              <w:t>电子邮箱</w:t>
            </w:r>
          </w:p>
        </w:tc>
        <w:tc>
          <w:tcPr>
            <w:tcW w:w="1260" w:type="pct"/>
            <w:tcBorders>
              <w:top w:val="single" w:color="auto" w:sz="2" w:space="0"/>
              <w:left w:val="single" w:color="auto" w:sz="2" w:space="0"/>
              <w:bottom w:val="single" w:color="auto" w:sz="2" w:space="0"/>
            </w:tcBorders>
            <w:noWrap w:val="0"/>
            <w:vAlign w:val="center"/>
          </w:tcPr>
          <w:p w14:paraId="007E5BBA">
            <w:pPr>
              <w:adjustRightInd w:val="0"/>
              <w:snapToGrid w:val="0"/>
              <w:spacing w:line="300" w:lineRule="exact"/>
              <w:jc w:val="center"/>
              <w:rPr>
                <w:color w:val="000000"/>
                <w:spacing w:val="20"/>
                <w:szCs w:val="21"/>
                <w:highlight w:val="none"/>
              </w:rPr>
            </w:pPr>
          </w:p>
        </w:tc>
      </w:tr>
      <w:tr w14:paraId="47B0F22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noWrap w:val="0"/>
            <w:vAlign w:val="center"/>
          </w:tcPr>
          <w:p w14:paraId="201B0DB6">
            <w:pPr>
              <w:adjustRightInd w:val="0"/>
              <w:snapToGrid w:val="0"/>
              <w:spacing w:line="300" w:lineRule="exact"/>
              <w:jc w:val="center"/>
              <w:rPr>
                <w:color w:val="000000"/>
                <w:szCs w:val="21"/>
                <w:highlight w:val="none"/>
              </w:rPr>
            </w:pPr>
            <w:r>
              <w:rPr>
                <w:rFonts w:hint="eastAsia"/>
                <w:color w:val="000000"/>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75FA4DA">
            <w:pPr>
              <w:adjustRightInd w:val="0"/>
              <w:snapToGrid w:val="0"/>
              <w:spacing w:line="300" w:lineRule="exact"/>
              <w:jc w:val="center"/>
              <w:rPr>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2F5FC1D">
            <w:pPr>
              <w:adjustRightInd w:val="0"/>
              <w:snapToGrid w:val="0"/>
              <w:spacing w:line="300" w:lineRule="exact"/>
              <w:jc w:val="center"/>
              <w:rPr>
                <w:color w:val="000000"/>
                <w:szCs w:val="21"/>
                <w:highlight w:val="none"/>
              </w:rPr>
            </w:pPr>
            <w:r>
              <w:rPr>
                <w:rFonts w:hint="eastAsia"/>
                <w:color w:val="000000"/>
                <w:szCs w:val="21"/>
                <w:highlight w:val="none"/>
              </w:rPr>
              <w:t>统一社会信用代码</w:t>
            </w:r>
          </w:p>
        </w:tc>
        <w:tc>
          <w:tcPr>
            <w:tcW w:w="1260" w:type="pct"/>
            <w:tcBorders>
              <w:top w:val="single" w:color="auto" w:sz="2" w:space="0"/>
              <w:left w:val="single" w:color="auto" w:sz="2" w:space="0"/>
              <w:bottom w:val="single" w:color="auto" w:sz="2" w:space="0"/>
            </w:tcBorders>
            <w:noWrap w:val="0"/>
            <w:vAlign w:val="center"/>
          </w:tcPr>
          <w:p w14:paraId="51533C1A">
            <w:pPr>
              <w:adjustRightInd w:val="0"/>
              <w:snapToGrid w:val="0"/>
              <w:spacing w:line="300" w:lineRule="exact"/>
              <w:jc w:val="center"/>
              <w:rPr>
                <w:color w:val="000000"/>
                <w:spacing w:val="20"/>
                <w:szCs w:val="21"/>
                <w:highlight w:val="none"/>
              </w:rPr>
            </w:pPr>
          </w:p>
        </w:tc>
      </w:tr>
      <w:tr w14:paraId="3CDD1C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noWrap w:val="0"/>
            <w:vAlign w:val="center"/>
          </w:tcPr>
          <w:p w14:paraId="345878AB">
            <w:pPr>
              <w:adjustRightInd w:val="0"/>
              <w:snapToGrid w:val="0"/>
              <w:spacing w:line="300" w:lineRule="exact"/>
              <w:jc w:val="center"/>
              <w:rPr>
                <w:color w:val="000000"/>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B53AB2A">
            <w:pPr>
              <w:adjustRightInd w:val="0"/>
              <w:snapToGrid w:val="0"/>
              <w:spacing w:line="300" w:lineRule="exact"/>
              <w:jc w:val="center"/>
              <w:rPr>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C9A51DB">
            <w:pPr>
              <w:adjustRightInd w:val="0"/>
              <w:snapToGrid w:val="0"/>
              <w:spacing w:line="300" w:lineRule="exact"/>
              <w:jc w:val="center"/>
              <w:rPr>
                <w:color w:val="000000"/>
                <w:szCs w:val="21"/>
                <w:highlight w:val="none"/>
              </w:rPr>
            </w:pPr>
            <w:r>
              <w:rPr>
                <w:color w:val="000000"/>
                <w:szCs w:val="21"/>
                <w:highlight w:val="none"/>
              </w:rPr>
              <w:t>开户名称</w:t>
            </w:r>
          </w:p>
        </w:tc>
        <w:tc>
          <w:tcPr>
            <w:tcW w:w="1260" w:type="pct"/>
            <w:tcBorders>
              <w:top w:val="single" w:color="auto" w:sz="2" w:space="0"/>
              <w:left w:val="single" w:color="auto" w:sz="2" w:space="0"/>
              <w:bottom w:val="single" w:color="auto" w:sz="2" w:space="0"/>
            </w:tcBorders>
            <w:noWrap w:val="0"/>
            <w:vAlign w:val="center"/>
          </w:tcPr>
          <w:p w14:paraId="5DC0ABB7">
            <w:pPr>
              <w:adjustRightInd w:val="0"/>
              <w:snapToGrid w:val="0"/>
              <w:spacing w:line="300" w:lineRule="exact"/>
              <w:jc w:val="center"/>
              <w:rPr>
                <w:color w:val="000000"/>
                <w:spacing w:val="20"/>
                <w:szCs w:val="21"/>
                <w:highlight w:val="none"/>
              </w:rPr>
            </w:pPr>
          </w:p>
        </w:tc>
      </w:tr>
      <w:tr w14:paraId="5CEEA6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noWrap w:val="0"/>
            <w:vAlign w:val="center"/>
          </w:tcPr>
          <w:p w14:paraId="581A62EF">
            <w:pPr>
              <w:adjustRightInd w:val="0"/>
              <w:snapToGrid w:val="0"/>
              <w:spacing w:line="300" w:lineRule="exact"/>
              <w:jc w:val="center"/>
              <w:rPr>
                <w:color w:val="000000"/>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42FD2DE">
            <w:pPr>
              <w:adjustRightInd w:val="0"/>
              <w:snapToGrid w:val="0"/>
              <w:spacing w:line="300" w:lineRule="exact"/>
              <w:jc w:val="center"/>
              <w:rPr>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B21D13C">
            <w:pPr>
              <w:adjustRightInd w:val="0"/>
              <w:snapToGrid w:val="0"/>
              <w:spacing w:line="300" w:lineRule="exact"/>
              <w:jc w:val="center"/>
              <w:rPr>
                <w:color w:val="000000"/>
                <w:szCs w:val="21"/>
                <w:highlight w:val="none"/>
              </w:rPr>
            </w:pPr>
            <w:r>
              <w:rPr>
                <w:color w:val="000000"/>
                <w:szCs w:val="21"/>
                <w:highlight w:val="none"/>
              </w:rPr>
              <w:t>开户银行</w:t>
            </w:r>
          </w:p>
        </w:tc>
        <w:tc>
          <w:tcPr>
            <w:tcW w:w="1260" w:type="pct"/>
            <w:tcBorders>
              <w:top w:val="single" w:color="auto" w:sz="2" w:space="0"/>
              <w:left w:val="single" w:color="auto" w:sz="2" w:space="0"/>
              <w:bottom w:val="single" w:color="auto" w:sz="2" w:space="0"/>
            </w:tcBorders>
            <w:noWrap w:val="0"/>
            <w:vAlign w:val="center"/>
          </w:tcPr>
          <w:p w14:paraId="0BEEF84C">
            <w:pPr>
              <w:adjustRightInd w:val="0"/>
              <w:snapToGrid w:val="0"/>
              <w:spacing w:line="300" w:lineRule="exact"/>
              <w:jc w:val="center"/>
              <w:rPr>
                <w:color w:val="000000"/>
                <w:spacing w:val="20"/>
                <w:szCs w:val="21"/>
                <w:highlight w:val="none"/>
              </w:rPr>
            </w:pPr>
          </w:p>
        </w:tc>
      </w:tr>
      <w:tr w14:paraId="3B0358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jc w:val="center"/>
        </w:trPr>
        <w:tc>
          <w:tcPr>
            <w:tcW w:w="1125" w:type="pct"/>
            <w:tcBorders>
              <w:top w:val="single" w:color="auto" w:sz="2" w:space="0"/>
              <w:bottom w:val="single" w:color="auto" w:sz="2" w:space="0"/>
              <w:right w:val="single" w:color="auto" w:sz="2" w:space="0"/>
            </w:tcBorders>
            <w:noWrap w:val="0"/>
            <w:vAlign w:val="center"/>
          </w:tcPr>
          <w:p w14:paraId="61069F2F">
            <w:pPr>
              <w:adjustRightInd w:val="0"/>
              <w:snapToGrid w:val="0"/>
              <w:spacing w:line="300" w:lineRule="exact"/>
              <w:jc w:val="center"/>
              <w:rPr>
                <w:color w:val="000000"/>
                <w:szCs w:val="21"/>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1CDB692">
            <w:pPr>
              <w:adjustRightInd w:val="0"/>
              <w:snapToGrid w:val="0"/>
              <w:spacing w:line="300" w:lineRule="exact"/>
              <w:jc w:val="center"/>
              <w:rPr>
                <w:color w:val="000000"/>
                <w:szCs w:val="21"/>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7B33E348">
            <w:pPr>
              <w:adjustRightInd w:val="0"/>
              <w:snapToGrid w:val="0"/>
              <w:spacing w:line="300" w:lineRule="exact"/>
              <w:jc w:val="center"/>
              <w:rPr>
                <w:color w:val="000000"/>
                <w:szCs w:val="21"/>
                <w:highlight w:val="none"/>
              </w:rPr>
            </w:pPr>
            <w:r>
              <w:rPr>
                <w:color w:val="000000"/>
                <w:szCs w:val="21"/>
                <w:highlight w:val="none"/>
              </w:rPr>
              <w:t>银行账号</w:t>
            </w:r>
          </w:p>
        </w:tc>
        <w:tc>
          <w:tcPr>
            <w:tcW w:w="1260" w:type="pct"/>
            <w:tcBorders>
              <w:top w:val="single" w:color="auto" w:sz="2" w:space="0"/>
              <w:left w:val="single" w:color="auto" w:sz="2" w:space="0"/>
              <w:bottom w:val="single" w:color="auto" w:sz="2" w:space="0"/>
            </w:tcBorders>
            <w:noWrap w:val="0"/>
            <w:vAlign w:val="center"/>
          </w:tcPr>
          <w:p w14:paraId="60BCF128">
            <w:pPr>
              <w:adjustRightInd w:val="0"/>
              <w:snapToGrid w:val="0"/>
              <w:spacing w:line="300" w:lineRule="exact"/>
              <w:jc w:val="center"/>
              <w:rPr>
                <w:color w:val="000000"/>
                <w:spacing w:val="20"/>
                <w:szCs w:val="21"/>
                <w:highlight w:val="none"/>
              </w:rPr>
            </w:pPr>
          </w:p>
        </w:tc>
      </w:tr>
      <w:tr w14:paraId="37705D3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jc w:val="center"/>
        </w:trPr>
        <w:tc>
          <w:tcPr>
            <w:tcW w:w="5000" w:type="pct"/>
            <w:gridSpan w:val="4"/>
            <w:tcBorders>
              <w:top w:val="single" w:color="auto" w:sz="2" w:space="0"/>
            </w:tcBorders>
            <w:noWrap w:val="0"/>
            <w:vAlign w:val="center"/>
          </w:tcPr>
          <w:p w14:paraId="50D9B9B0">
            <w:pPr>
              <w:pStyle w:val="19"/>
              <w:adjustRightInd w:val="0"/>
              <w:snapToGrid w:val="0"/>
              <w:spacing w:before="120" w:beforeLines="50" w:after="0" w:line="360" w:lineRule="auto"/>
              <w:ind w:left="0" w:leftChars="0"/>
              <w:jc w:val="left"/>
              <w:rPr>
                <w:color w:val="000000"/>
                <w:spacing w:val="20"/>
                <w:szCs w:val="21"/>
                <w:highlight w:val="none"/>
              </w:rPr>
            </w:pPr>
            <w:r>
              <w:rPr>
                <w:rFonts w:hint="eastAsia" w:ascii="宋体" w:hAnsi="宋体"/>
                <w:color w:val="000000"/>
                <w:szCs w:val="21"/>
                <w:highlight w:val="none"/>
              </w:rPr>
              <w:t>注：涉及联合体或其他合同主体的信息应按上表格式加列。</w:t>
            </w:r>
          </w:p>
        </w:tc>
      </w:tr>
    </w:tbl>
    <w:p w14:paraId="3804E82B">
      <w:pPr>
        <w:rPr>
          <w:rFonts w:hint="eastAsia"/>
          <w:color w:val="000000"/>
          <w:highlight w:val="none"/>
        </w:rPr>
      </w:pPr>
    </w:p>
    <w:p w14:paraId="6023D412">
      <w:pPr>
        <w:pStyle w:val="3"/>
        <w:adjustRightInd w:val="0"/>
        <w:snapToGrid w:val="0"/>
        <w:spacing w:before="120" w:beforeLines="50"/>
        <w:jc w:val="center"/>
        <w:rPr>
          <w:rFonts w:ascii="黑体" w:hAnsi="黑体" w:eastAsia="黑体"/>
          <w:color w:val="000000"/>
          <w:sz w:val="28"/>
          <w:szCs w:val="28"/>
          <w:highlight w:val="none"/>
        </w:rPr>
      </w:pPr>
      <w:r>
        <w:rPr>
          <w:rFonts w:ascii="宋体" w:hAnsi="宋体"/>
          <w:color w:val="000000"/>
          <w:sz w:val="21"/>
          <w:szCs w:val="21"/>
          <w:highlight w:val="none"/>
          <w:u w:val="single"/>
        </w:rPr>
        <w:br w:type="page"/>
      </w:r>
      <w:bookmarkStart w:id="847" w:name="_Toc27624"/>
      <w:r>
        <w:rPr>
          <w:rFonts w:hint="eastAsia" w:ascii="黑体" w:hAnsi="黑体" w:eastAsia="黑体"/>
          <w:b w:val="0"/>
          <w:bCs w:val="0"/>
          <w:color w:val="000000"/>
          <w:sz w:val="28"/>
          <w:szCs w:val="28"/>
          <w:highlight w:val="none"/>
        </w:rPr>
        <w:t>第二节 政府采购合同通用条款</w:t>
      </w:r>
      <w:bookmarkEnd w:id="847"/>
    </w:p>
    <w:p w14:paraId="6965E3F3">
      <w:pPr>
        <w:tabs>
          <w:tab w:val="left" w:pos="8820"/>
          <w:tab w:val="left" w:pos="9345"/>
          <w:tab w:val="left" w:pos="9765"/>
        </w:tabs>
        <w:adjustRightInd w:val="0"/>
        <w:snapToGrid w:val="0"/>
        <w:spacing w:line="400" w:lineRule="exact"/>
        <w:jc w:val="left"/>
        <w:rPr>
          <w:rFonts w:ascii="宋体" w:hAnsi="宋体"/>
          <w:b/>
          <w:bCs/>
          <w:color w:val="000000"/>
          <w:sz w:val="24"/>
          <w:highlight w:val="none"/>
        </w:rPr>
      </w:pPr>
      <w:r>
        <w:rPr>
          <w:rFonts w:hint="eastAsia" w:ascii="宋体" w:hAnsi="宋体"/>
          <w:b/>
          <w:color w:val="000000"/>
          <w:sz w:val="24"/>
          <w:highlight w:val="none"/>
        </w:rPr>
        <w:t xml:space="preserve">1. </w:t>
      </w:r>
      <w:r>
        <w:rPr>
          <w:rFonts w:hint="eastAsia" w:ascii="宋体" w:hAnsi="宋体"/>
          <w:b/>
          <w:bCs/>
          <w:color w:val="000000"/>
          <w:sz w:val="24"/>
          <w:highlight w:val="none"/>
        </w:rPr>
        <w:t>定义</w:t>
      </w:r>
    </w:p>
    <w:p w14:paraId="4C44ADE8">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1.1合同当事人</w:t>
      </w:r>
    </w:p>
    <w:p w14:paraId="3333F9EF">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（1）采购人（以下称甲方）是指使用财政性资金，通过政府采购方式向供应商购买货物及其相关服务的国家机关、事业单位、团体组织。</w:t>
      </w:r>
    </w:p>
    <w:p w14:paraId="48882401">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（2）供应商（以下称乙方）是指参加政府采购活动并且中标（成交），向采购人提供合同约定的货物及其相关服务的法人、非法人组织或者自然人。</w:t>
      </w:r>
    </w:p>
    <w:p w14:paraId="77994D05">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（3）其他合同主体是指除采购人和供应商以外，</w:t>
      </w:r>
      <w:r>
        <w:rPr>
          <w:rFonts w:hint="eastAsia" w:ascii="宋体" w:hAnsi="宋体" w:cs="宋体"/>
          <w:bCs/>
          <w:color w:val="000000"/>
          <w:szCs w:val="21"/>
          <w:highlight w:val="none"/>
        </w:rPr>
        <w:t>依法参与合同缔结或履行，享有权利、承担义务的合同当事人</w:t>
      </w:r>
      <w:r>
        <w:rPr>
          <w:rFonts w:hint="eastAsia" w:ascii="宋体" w:hAnsi="宋体"/>
          <w:color w:val="000000"/>
          <w:szCs w:val="21"/>
          <w:highlight w:val="none"/>
        </w:rPr>
        <w:t>。</w:t>
      </w:r>
    </w:p>
    <w:p w14:paraId="1E566FDC">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1.2本合同下列术语应解释为：</w:t>
      </w:r>
    </w:p>
    <w:p w14:paraId="5156C397">
      <w:pPr>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（1）“合同”系指</w:t>
      </w:r>
      <w:r>
        <w:rPr>
          <w:rFonts w:hint="eastAsia" w:ascii="宋体" w:hAnsi="宋体" w:cs="宋体"/>
          <w:bCs/>
          <w:color w:val="000000"/>
          <w:szCs w:val="21"/>
          <w:highlight w:val="none"/>
        </w:rPr>
        <w:t>合同当事人意思表示达成一致的任何协议，包括签署的</w:t>
      </w:r>
      <w:r>
        <w:rPr>
          <w:rFonts w:hint="eastAsia" w:ascii="宋体" w:hAnsi="宋体"/>
          <w:color w:val="000000"/>
          <w:szCs w:val="21"/>
          <w:highlight w:val="none"/>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000000"/>
          <w:szCs w:val="21"/>
          <w:highlight w:val="none"/>
        </w:rPr>
        <w:t>国家法律、行政法规和规章制度规定或合同约定的作为合同组成部分的其他文件</w:t>
      </w:r>
      <w:r>
        <w:rPr>
          <w:rFonts w:hint="eastAsia" w:ascii="宋体" w:hAnsi="宋体"/>
          <w:color w:val="000000"/>
          <w:szCs w:val="21"/>
          <w:highlight w:val="none"/>
        </w:rPr>
        <w:t>。</w:t>
      </w:r>
    </w:p>
    <w:p w14:paraId="449539D2">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（2）“合同价款”系指根据本合同规定乙方在全面履行合同义务后甲方应支付给乙方的价款。</w:t>
      </w:r>
    </w:p>
    <w:p w14:paraId="3FA8FDD1">
      <w:pPr>
        <w:tabs>
          <w:tab w:val="left" w:pos="570"/>
          <w:tab w:val="left" w:pos="9240"/>
          <w:tab w:val="left" w:pos="9555"/>
        </w:tabs>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（3）“货物”系指乙方根据本合同规定须向甲方提供的各种形态和种类的物品，包括原材料、设备、产品（包括软件）及相关的其备品备件、工具、手册及</w:t>
      </w:r>
      <w:r>
        <w:rPr>
          <w:rFonts w:ascii="宋体" w:hAnsi="宋体"/>
          <w:color w:val="000000"/>
          <w:szCs w:val="21"/>
          <w:highlight w:val="none"/>
          <w:lang w:val="en"/>
        </w:rPr>
        <w:t>其他</w:t>
      </w:r>
      <w:r>
        <w:rPr>
          <w:rFonts w:hint="eastAsia" w:ascii="宋体" w:hAnsi="宋体"/>
          <w:color w:val="000000"/>
          <w:szCs w:val="21"/>
          <w:highlight w:val="none"/>
        </w:rPr>
        <w:t>技术资料和材料等。</w:t>
      </w:r>
    </w:p>
    <w:p w14:paraId="4C37E2D3">
      <w:pPr>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（4）“相关服务”系指根据合同规定，乙方应提供的与货物有关的技术、管理和</w:t>
      </w:r>
      <w:r>
        <w:rPr>
          <w:rFonts w:ascii="宋体" w:hAnsi="宋体"/>
          <w:color w:val="000000"/>
          <w:szCs w:val="21"/>
          <w:highlight w:val="none"/>
          <w:lang w:val="en"/>
        </w:rPr>
        <w:t>其他</w:t>
      </w:r>
      <w:r>
        <w:rPr>
          <w:rFonts w:hint="eastAsia" w:ascii="宋体" w:hAnsi="宋体"/>
          <w:color w:val="000000"/>
          <w:szCs w:val="21"/>
          <w:highlight w:val="none"/>
        </w:rPr>
        <w:t>服务，包括但不限于：管理和质量保证、运输、保险、检验、现场准备、安装、集成、调试、培训、维修、废弃处置、技术支持等以及合同中规定乙方应承担的</w:t>
      </w:r>
      <w:r>
        <w:rPr>
          <w:rFonts w:ascii="宋体" w:hAnsi="宋体"/>
          <w:color w:val="000000"/>
          <w:szCs w:val="21"/>
          <w:highlight w:val="none"/>
          <w:lang w:val="en"/>
        </w:rPr>
        <w:t>其他</w:t>
      </w:r>
      <w:r>
        <w:rPr>
          <w:rFonts w:hint="eastAsia" w:ascii="宋体" w:hAnsi="宋体"/>
          <w:color w:val="000000"/>
          <w:szCs w:val="21"/>
          <w:highlight w:val="none"/>
        </w:rPr>
        <w:t>义务。</w:t>
      </w:r>
    </w:p>
    <w:p w14:paraId="24BA2194">
      <w:pPr>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（5）“分包”系指中标（成交）供应商按采购文件、投标（响应）文件的规定，根据分包意向协议，将中标（成交）项目中的部分履约内容，分给具有相应资质条件的供应商履行合同的行为。</w:t>
      </w:r>
    </w:p>
    <w:p w14:paraId="6CB1D506">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2D8B073B">
      <w:pPr>
        <w:tabs>
          <w:tab w:val="left" w:pos="570"/>
          <w:tab w:val="left" w:pos="9240"/>
          <w:tab w:val="left" w:pos="9555"/>
        </w:tabs>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（7）其他术语解释，见【</w:t>
      </w:r>
      <w:r>
        <w:rPr>
          <w:rFonts w:hint="eastAsia" w:ascii="宋体" w:hAnsi="宋体"/>
          <w:b/>
          <w:bCs/>
          <w:color w:val="000000"/>
          <w:szCs w:val="21"/>
          <w:highlight w:val="none"/>
        </w:rPr>
        <w:t>政府采购合同专用条款</w:t>
      </w:r>
      <w:r>
        <w:rPr>
          <w:rFonts w:hint="eastAsia" w:ascii="宋体" w:hAnsi="宋体"/>
          <w:color w:val="000000"/>
          <w:szCs w:val="21"/>
          <w:highlight w:val="none"/>
        </w:rPr>
        <w:t>】。</w:t>
      </w:r>
    </w:p>
    <w:p w14:paraId="4BBF62CD">
      <w:pPr>
        <w:numPr>
          <w:ilvl w:val="0"/>
          <w:numId w:val="5"/>
        </w:numPr>
        <w:autoSpaceDE w:val="0"/>
        <w:autoSpaceDN w:val="0"/>
        <w:adjustRightInd w:val="0"/>
        <w:snapToGrid w:val="0"/>
        <w:spacing w:line="400" w:lineRule="exact"/>
        <w:jc w:val="left"/>
        <w:rPr>
          <w:rFonts w:ascii="宋体" w:hAnsi="宋体"/>
          <w:b/>
          <w:bCs/>
          <w:color w:val="000000"/>
          <w:sz w:val="24"/>
          <w:highlight w:val="none"/>
        </w:rPr>
      </w:pPr>
      <w:r>
        <w:rPr>
          <w:rFonts w:hint="eastAsia" w:ascii="宋体" w:hAnsi="宋体"/>
          <w:b/>
          <w:color w:val="000000"/>
          <w:sz w:val="24"/>
          <w:highlight w:val="none"/>
        </w:rPr>
        <w:t>合同标的及金额</w:t>
      </w:r>
    </w:p>
    <w:p w14:paraId="46AF34ED">
      <w:pPr>
        <w:autoSpaceDE w:val="0"/>
        <w:autoSpaceDN w:val="0"/>
        <w:adjustRightInd w:val="0"/>
        <w:snapToGrid w:val="0"/>
        <w:spacing w:line="400" w:lineRule="exact"/>
        <w:ind w:firstLine="420" w:firstLineChars="200"/>
        <w:jc w:val="left"/>
        <w:rPr>
          <w:rFonts w:ascii="宋体" w:hAnsi="宋体"/>
          <w:b/>
          <w:bCs/>
          <w:i/>
          <w:iCs/>
          <w:color w:val="000000"/>
          <w:szCs w:val="21"/>
          <w:highlight w:val="none"/>
        </w:rPr>
      </w:pPr>
      <w:r>
        <w:rPr>
          <w:rFonts w:hint="eastAsia" w:ascii="宋体" w:hAnsi="宋体"/>
          <w:color w:val="000000"/>
          <w:szCs w:val="21"/>
          <w:highlight w:val="none"/>
        </w:rPr>
        <w:t>2.1 合同标的及金额应与中标（成交）结果一致。乙方为履行本合同而发生的所有费用均应包含在合同价款中，甲方不再另行支付</w:t>
      </w:r>
      <w:r>
        <w:rPr>
          <w:rFonts w:ascii="宋体" w:hAnsi="宋体"/>
          <w:color w:val="000000"/>
          <w:szCs w:val="21"/>
          <w:highlight w:val="none"/>
          <w:lang w:val="en"/>
        </w:rPr>
        <w:t>其他</w:t>
      </w:r>
      <w:r>
        <w:rPr>
          <w:rFonts w:hint="eastAsia" w:ascii="宋体" w:hAnsi="宋体"/>
          <w:color w:val="000000"/>
          <w:szCs w:val="21"/>
          <w:highlight w:val="none"/>
        </w:rPr>
        <w:t>任何费用。</w:t>
      </w:r>
    </w:p>
    <w:p w14:paraId="71B6C17F">
      <w:pPr>
        <w:adjustRightInd w:val="0"/>
        <w:snapToGrid w:val="0"/>
        <w:spacing w:line="400" w:lineRule="exact"/>
        <w:jc w:val="left"/>
        <w:rPr>
          <w:rFonts w:ascii="宋体" w:hAnsi="宋体"/>
          <w:b/>
          <w:color w:val="000000"/>
          <w:sz w:val="24"/>
          <w:highlight w:val="none"/>
        </w:rPr>
      </w:pPr>
      <w:r>
        <w:rPr>
          <w:rFonts w:hint="eastAsia" w:ascii="宋体" w:hAnsi="宋体"/>
          <w:b/>
          <w:color w:val="000000"/>
          <w:sz w:val="24"/>
          <w:highlight w:val="none"/>
        </w:rPr>
        <w:t>3. 履行合同的时间、地点和方式</w:t>
      </w:r>
    </w:p>
    <w:p w14:paraId="2F845607">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 xml:space="preserve">3.1 </w:t>
      </w:r>
      <w:r>
        <w:rPr>
          <w:rFonts w:hint="eastAsia" w:ascii="宋体" w:hAnsi="宋体" w:cs="宋体"/>
          <w:color w:val="000000"/>
          <w:szCs w:val="21"/>
          <w:highlight w:val="none"/>
        </w:rPr>
        <w:t>乙方应当在约定的时间、地点，按照约定方式履行合同。</w:t>
      </w:r>
    </w:p>
    <w:p w14:paraId="313EA4FF">
      <w:pPr>
        <w:autoSpaceDE w:val="0"/>
        <w:autoSpaceDN w:val="0"/>
        <w:adjustRightInd w:val="0"/>
        <w:snapToGrid w:val="0"/>
        <w:spacing w:line="400" w:lineRule="exact"/>
        <w:jc w:val="left"/>
        <w:rPr>
          <w:rFonts w:ascii="宋体" w:hAnsi="宋体"/>
          <w:b/>
          <w:bCs/>
          <w:color w:val="000000"/>
          <w:sz w:val="24"/>
          <w:highlight w:val="none"/>
        </w:rPr>
      </w:pPr>
      <w:r>
        <w:rPr>
          <w:rFonts w:hint="eastAsia" w:ascii="宋体" w:hAnsi="宋体"/>
          <w:b/>
          <w:bCs/>
          <w:color w:val="000000"/>
          <w:sz w:val="24"/>
          <w:highlight w:val="none"/>
        </w:rPr>
        <w:t>4. 甲方的权利和义务</w:t>
      </w:r>
    </w:p>
    <w:p w14:paraId="003ADE5C">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4.1</w:t>
      </w:r>
      <w:r>
        <w:rPr>
          <w:rFonts w:ascii="宋体" w:hAnsi="宋体"/>
          <w:color w:val="000000"/>
          <w:szCs w:val="21"/>
          <w:highlight w:val="none"/>
        </w:rPr>
        <w:t xml:space="preserve"> 签署合同后，甲方</w:t>
      </w:r>
      <w:r>
        <w:rPr>
          <w:rFonts w:hint="eastAsia" w:ascii="宋体" w:hAnsi="宋体"/>
          <w:color w:val="000000"/>
          <w:szCs w:val="21"/>
          <w:highlight w:val="none"/>
        </w:rPr>
        <w:t>应</w:t>
      </w:r>
      <w:r>
        <w:rPr>
          <w:rFonts w:ascii="宋体" w:hAnsi="宋体"/>
          <w:color w:val="000000"/>
          <w:szCs w:val="21"/>
          <w:highlight w:val="none"/>
        </w:rPr>
        <w:t>确定</w:t>
      </w:r>
      <w:r>
        <w:rPr>
          <w:rFonts w:hint="eastAsia" w:ascii="宋体" w:hAnsi="宋体"/>
          <w:color w:val="000000"/>
          <w:szCs w:val="21"/>
          <w:highlight w:val="none"/>
        </w:rPr>
        <w:t>项目负责人（或项目联系人）</w:t>
      </w:r>
      <w:r>
        <w:rPr>
          <w:rFonts w:ascii="宋体" w:hAnsi="宋体"/>
          <w:color w:val="000000"/>
          <w:szCs w:val="21"/>
          <w:highlight w:val="none"/>
        </w:rPr>
        <w:t>，负责与本合同有关的事务。</w:t>
      </w:r>
      <w:r>
        <w:rPr>
          <w:rFonts w:hint="eastAsia" w:ascii="宋体" w:hAnsi="宋体"/>
          <w:color w:val="000000"/>
          <w:szCs w:val="21"/>
          <w:highlight w:val="none"/>
        </w:rPr>
        <w:t>甲方有权对乙方的履约行为进行检查，并</w:t>
      </w:r>
      <w:r>
        <w:rPr>
          <w:rFonts w:ascii="宋体" w:hAnsi="宋体"/>
          <w:color w:val="000000"/>
          <w:szCs w:val="21"/>
          <w:highlight w:val="none"/>
        </w:rPr>
        <w:t>及时确认乙方提交的事项</w:t>
      </w:r>
      <w:r>
        <w:rPr>
          <w:rFonts w:hint="eastAsia" w:ascii="宋体" w:hAnsi="宋体"/>
          <w:color w:val="000000"/>
          <w:szCs w:val="21"/>
          <w:highlight w:val="none"/>
        </w:rPr>
        <w:t>。甲方应当</w:t>
      </w:r>
      <w:r>
        <w:rPr>
          <w:rFonts w:ascii="宋体" w:hAnsi="宋体"/>
          <w:color w:val="000000"/>
          <w:szCs w:val="21"/>
          <w:highlight w:val="none"/>
        </w:rPr>
        <w:t>配合乙方完成</w:t>
      </w:r>
      <w:r>
        <w:rPr>
          <w:rFonts w:hint="eastAsia" w:ascii="宋体" w:hAnsi="宋体"/>
          <w:color w:val="000000"/>
          <w:szCs w:val="21"/>
          <w:highlight w:val="none"/>
        </w:rPr>
        <w:t>相关项目</w:t>
      </w:r>
      <w:r>
        <w:rPr>
          <w:rFonts w:ascii="宋体" w:hAnsi="宋体"/>
          <w:color w:val="000000"/>
          <w:szCs w:val="21"/>
          <w:highlight w:val="none"/>
        </w:rPr>
        <w:t>实施工作。</w:t>
      </w:r>
    </w:p>
    <w:p w14:paraId="727AC9A9">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 xml:space="preserve">4.2 </w:t>
      </w:r>
      <w:r>
        <w:rPr>
          <w:rFonts w:ascii="宋体" w:hAnsi="宋体"/>
          <w:color w:val="000000"/>
          <w:szCs w:val="21"/>
          <w:highlight w:val="none"/>
        </w:rPr>
        <w:t>甲方有权要求乙方按时提交各阶段有关</w:t>
      </w:r>
      <w:r>
        <w:rPr>
          <w:rFonts w:hint="eastAsia" w:ascii="宋体" w:hAnsi="宋体"/>
          <w:color w:val="000000"/>
          <w:szCs w:val="21"/>
          <w:highlight w:val="none"/>
        </w:rPr>
        <w:t>安排计划</w:t>
      </w:r>
      <w:r>
        <w:rPr>
          <w:rFonts w:ascii="宋体" w:hAnsi="宋体"/>
          <w:color w:val="000000"/>
          <w:szCs w:val="21"/>
          <w:highlight w:val="none"/>
        </w:rPr>
        <w:t>，并有权</w:t>
      </w:r>
      <w:r>
        <w:rPr>
          <w:rFonts w:hint="eastAsia" w:ascii="宋体" w:hAnsi="宋体"/>
          <w:color w:val="000000"/>
          <w:szCs w:val="21"/>
          <w:highlight w:val="none"/>
        </w:rPr>
        <w:t>定期核对乙方提供货物数量、规格、质量等内容。甲方</w:t>
      </w:r>
      <w:r>
        <w:rPr>
          <w:rFonts w:ascii="宋体" w:hAnsi="宋体"/>
          <w:color w:val="000000"/>
          <w:szCs w:val="21"/>
          <w:highlight w:val="none"/>
        </w:rPr>
        <w:t>有权督促乙方工作并要求乙方</w:t>
      </w:r>
      <w:r>
        <w:rPr>
          <w:rFonts w:hint="eastAsia" w:ascii="宋体" w:hAnsi="宋体"/>
          <w:color w:val="000000"/>
          <w:szCs w:val="21"/>
          <w:highlight w:val="none"/>
        </w:rPr>
        <w:t>更</w:t>
      </w:r>
      <w:r>
        <w:rPr>
          <w:rFonts w:ascii="宋体" w:hAnsi="宋体"/>
          <w:color w:val="000000"/>
          <w:szCs w:val="21"/>
          <w:highlight w:val="none"/>
        </w:rPr>
        <w:t>换不符合要求的</w:t>
      </w:r>
      <w:r>
        <w:rPr>
          <w:rFonts w:hint="eastAsia" w:ascii="宋体" w:hAnsi="宋体"/>
          <w:color w:val="000000"/>
          <w:szCs w:val="21"/>
          <w:highlight w:val="none"/>
        </w:rPr>
        <w:t>货物</w:t>
      </w:r>
      <w:r>
        <w:rPr>
          <w:rFonts w:ascii="宋体" w:hAnsi="宋体"/>
          <w:color w:val="000000"/>
          <w:szCs w:val="21"/>
          <w:highlight w:val="none"/>
        </w:rPr>
        <w:t>。</w:t>
      </w:r>
    </w:p>
    <w:p w14:paraId="57EEEC81">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4.</w:t>
      </w: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甲方</w:t>
      </w:r>
      <w:r>
        <w:rPr>
          <w:rFonts w:hint="eastAsia" w:ascii="宋体" w:hAnsi="宋体"/>
          <w:color w:val="000000"/>
          <w:szCs w:val="21"/>
          <w:highlight w:val="none"/>
        </w:rPr>
        <w:t>有权要求乙方对缺陷部分予以修复，并按合同约定享有货物保修及其他合同约定的权利。</w:t>
      </w:r>
    </w:p>
    <w:p w14:paraId="42010C7C">
      <w:pPr>
        <w:snapToGrid w:val="0"/>
        <w:spacing w:line="400" w:lineRule="exact"/>
        <w:ind w:firstLine="420" w:firstLineChars="200"/>
        <w:rPr>
          <w:rFonts w:hint="eastAsia" w:eastAsia="华文楷体"/>
          <w:color w:val="000000"/>
          <w:highlight w:val="none"/>
        </w:rPr>
      </w:pPr>
      <w:r>
        <w:rPr>
          <w:rFonts w:ascii="宋体" w:hAnsi="宋体"/>
          <w:color w:val="000000"/>
          <w:szCs w:val="21"/>
          <w:highlight w:val="none"/>
        </w:rPr>
        <w:t>4.4 甲方应当按照合同约定及时对交付的货物进行验收</w:t>
      </w:r>
      <w:r>
        <w:rPr>
          <w:rFonts w:hint="eastAsia" w:ascii="宋体" w:hAnsi="宋体"/>
          <w:color w:val="000000"/>
          <w:szCs w:val="21"/>
          <w:highlight w:val="none"/>
        </w:rPr>
        <w:t>，</w:t>
      </w:r>
      <w:r>
        <w:rPr>
          <w:rFonts w:hint="eastAsia" w:ascii="宋体" w:hAnsi="宋体" w:cs="宋体"/>
          <w:color w:val="000000"/>
          <w:szCs w:val="21"/>
          <w:highlight w:val="none"/>
        </w:rPr>
        <w:t>未</w:t>
      </w:r>
      <w:r>
        <w:rPr>
          <w:rFonts w:hint="eastAsia" w:ascii="宋体" w:hAnsi="宋体"/>
          <w:color w:val="000000"/>
          <w:szCs w:val="21"/>
          <w:highlight w:val="none"/>
        </w:rPr>
        <w:t>在</w:t>
      </w:r>
      <w:r>
        <w:rPr>
          <w:rFonts w:hint="eastAsia" w:ascii="宋体" w:hAnsi="宋体" w:cs="宋体"/>
          <w:b/>
          <w:bCs/>
          <w:color w:val="000000"/>
          <w:szCs w:val="21"/>
          <w:highlight w:val="none"/>
        </w:rPr>
        <w:t>【政府采购合同专用条款】</w:t>
      </w:r>
      <w:r>
        <w:rPr>
          <w:rFonts w:hint="eastAsia" w:ascii="宋体" w:hAnsi="宋体" w:cs="宋体"/>
          <w:color w:val="000000"/>
          <w:szCs w:val="21"/>
          <w:highlight w:val="none"/>
        </w:rPr>
        <w:t>约定的期限内对乙方履约提出任何异议或者向乙方作出任何说明的，</w:t>
      </w:r>
      <w:r>
        <w:rPr>
          <w:rFonts w:hint="eastAsia" w:ascii="宋体" w:hAnsi="宋体"/>
          <w:color w:val="000000"/>
          <w:szCs w:val="21"/>
          <w:highlight w:val="none"/>
        </w:rPr>
        <w:t>视为验收通过。</w:t>
      </w:r>
    </w:p>
    <w:p w14:paraId="275382E6">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ascii="宋体" w:hAnsi="宋体"/>
          <w:color w:val="000000"/>
          <w:szCs w:val="21"/>
          <w:highlight w:val="none"/>
        </w:rPr>
        <w:t>4</w:t>
      </w:r>
      <w:r>
        <w:rPr>
          <w:rFonts w:hint="eastAsia" w:ascii="宋体" w:hAnsi="宋体"/>
          <w:color w:val="000000"/>
          <w:szCs w:val="21"/>
          <w:highlight w:val="none"/>
        </w:rPr>
        <w:t>.</w:t>
      </w:r>
      <w:r>
        <w:rPr>
          <w:rFonts w:ascii="宋体" w:hAnsi="宋体"/>
          <w:color w:val="000000"/>
          <w:szCs w:val="21"/>
          <w:highlight w:val="none"/>
        </w:rPr>
        <w:t xml:space="preserve">5 </w:t>
      </w:r>
      <w:r>
        <w:rPr>
          <w:rFonts w:hint="eastAsia" w:ascii="宋体" w:hAnsi="宋体"/>
          <w:color w:val="000000"/>
          <w:szCs w:val="21"/>
          <w:highlight w:val="none"/>
        </w:rPr>
        <w:t>甲方应当根据合同约定及时向乙方支付合同价款</w:t>
      </w:r>
      <w:r>
        <w:rPr>
          <w:rFonts w:ascii="宋体" w:hAnsi="宋体"/>
          <w:color w:val="000000"/>
          <w:szCs w:val="21"/>
          <w:highlight w:val="none"/>
        </w:rPr>
        <w:t>，不得以内部人员变更、履行内部付款流程等为由，拒绝或迟延支付。</w:t>
      </w:r>
    </w:p>
    <w:p w14:paraId="2C3BF233">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4.6</w:t>
      </w:r>
      <w:r>
        <w:rPr>
          <w:rFonts w:ascii="宋体" w:hAnsi="宋体"/>
          <w:color w:val="000000"/>
          <w:szCs w:val="21"/>
          <w:highlight w:val="none"/>
        </w:rPr>
        <w:t xml:space="preserve"> </w:t>
      </w:r>
      <w:r>
        <w:rPr>
          <w:rFonts w:hint="eastAsia" w:ascii="宋体" w:hAnsi="宋体"/>
          <w:color w:val="000000"/>
          <w:szCs w:val="21"/>
          <w:highlight w:val="none"/>
        </w:rPr>
        <w:t>国家法律法规规定及</w:t>
      </w:r>
      <w:r>
        <w:rPr>
          <w:rFonts w:hint="eastAsia" w:ascii="宋体" w:hAnsi="宋体" w:cs="宋体"/>
          <w:b/>
          <w:bCs/>
          <w:color w:val="000000"/>
          <w:szCs w:val="21"/>
          <w:highlight w:val="none"/>
        </w:rPr>
        <w:t>【政府采购合同专用条款】</w:t>
      </w:r>
      <w:r>
        <w:rPr>
          <w:rFonts w:hint="eastAsia" w:ascii="宋体" w:hAnsi="宋体"/>
          <w:color w:val="000000"/>
          <w:szCs w:val="21"/>
          <w:highlight w:val="none"/>
        </w:rPr>
        <w:t>约定应由甲方承担的其他义务和责任。</w:t>
      </w:r>
    </w:p>
    <w:p w14:paraId="74B7F4C3">
      <w:pPr>
        <w:autoSpaceDE w:val="0"/>
        <w:autoSpaceDN w:val="0"/>
        <w:adjustRightInd w:val="0"/>
        <w:snapToGrid w:val="0"/>
        <w:spacing w:line="400" w:lineRule="exact"/>
        <w:jc w:val="left"/>
        <w:rPr>
          <w:rFonts w:ascii="宋体" w:hAnsi="宋体"/>
          <w:b/>
          <w:bCs/>
          <w:color w:val="000000"/>
          <w:sz w:val="24"/>
          <w:highlight w:val="none"/>
        </w:rPr>
      </w:pPr>
      <w:r>
        <w:rPr>
          <w:rFonts w:hint="eastAsia" w:ascii="宋体" w:hAnsi="宋体"/>
          <w:b/>
          <w:bCs/>
          <w:color w:val="000000"/>
          <w:sz w:val="24"/>
          <w:highlight w:val="none"/>
        </w:rPr>
        <w:t>5. 乙方的权利和义务</w:t>
      </w:r>
    </w:p>
    <w:p w14:paraId="70DAD779">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 xml:space="preserve">5.1 </w:t>
      </w:r>
      <w:r>
        <w:rPr>
          <w:rFonts w:ascii="宋体" w:hAnsi="宋体"/>
          <w:color w:val="000000"/>
          <w:szCs w:val="21"/>
          <w:highlight w:val="none"/>
        </w:rPr>
        <w:t>签署合同后，乙方</w:t>
      </w:r>
      <w:r>
        <w:rPr>
          <w:rFonts w:hint="eastAsia" w:ascii="宋体" w:hAnsi="宋体"/>
          <w:color w:val="000000"/>
          <w:szCs w:val="21"/>
          <w:highlight w:val="none"/>
        </w:rPr>
        <w:t>应</w:t>
      </w:r>
      <w:r>
        <w:rPr>
          <w:rFonts w:ascii="宋体" w:hAnsi="宋体"/>
          <w:color w:val="000000"/>
          <w:szCs w:val="21"/>
          <w:highlight w:val="none"/>
        </w:rPr>
        <w:t>确定</w:t>
      </w:r>
      <w:r>
        <w:rPr>
          <w:rFonts w:hint="eastAsia" w:ascii="宋体" w:hAnsi="宋体"/>
          <w:color w:val="000000"/>
          <w:szCs w:val="21"/>
          <w:highlight w:val="none"/>
        </w:rPr>
        <w:t>项目负责人（或项目联系人）</w:t>
      </w:r>
      <w:r>
        <w:rPr>
          <w:rFonts w:ascii="宋体" w:hAnsi="宋体"/>
          <w:color w:val="000000"/>
          <w:szCs w:val="21"/>
          <w:highlight w:val="none"/>
        </w:rPr>
        <w:t>，负责与本合同有关的事务。</w:t>
      </w:r>
    </w:p>
    <w:p w14:paraId="14632990">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5.</w:t>
      </w:r>
      <w:r>
        <w:rPr>
          <w:rFonts w:ascii="宋体" w:hAnsi="宋体"/>
          <w:color w:val="000000"/>
          <w:szCs w:val="21"/>
          <w:highlight w:val="none"/>
        </w:rPr>
        <w:t>2 乙方应按照合同要求</w:t>
      </w:r>
      <w:r>
        <w:rPr>
          <w:rFonts w:hint="eastAsia" w:ascii="宋体" w:hAnsi="宋体"/>
          <w:color w:val="000000"/>
          <w:szCs w:val="21"/>
          <w:highlight w:val="none"/>
        </w:rPr>
        <w:t>履约</w:t>
      </w:r>
      <w:r>
        <w:rPr>
          <w:rFonts w:ascii="宋体" w:hAnsi="宋体"/>
          <w:color w:val="000000"/>
          <w:szCs w:val="21"/>
          <w:highlight w:val="none"/>
        </w:rPr>
        <w:t>，充分合理安排，确保</w:t>
      </w:r>
      <w:r>
        <w:rPr>
          <w:rFonts w:hint="eastAsia" w:ascii="宋体" w:hAnsi="宋体"/>
          <w:color w:val="000000"/>
          <w:szCs w:val="21"/>
          <w:highlight w:val="none"/>
        </w:rPr>
        <w:t>提供的货物及相关服务符合合同有关</w:t>
      </w:r>
      <w:r>
        <w:rPr>
          <w:rFonts w:ascii="宋体" w:hAnsi="宋体"/>
          <w:color w:val="000000"/>
          <w:szCs w:val="21"/>
          <w:highlight w:val="none"/>
        </w:rPr>
        <w:t>要求</w:t>
      </w:r>
      <w:r>
        <w:rPr>
          <w:rFonts w:hint="eastAsia" w:ascii="宋体" w:hAnsi="宋体"/>
          <w:color w:val="000000"/>
          <w:szCs w:val="21"/>
          <w:highlight w:val="none"/>
        </w:rPr>
        <w:t>。接受项目行业管理部门及政府有关部门的指导，配合甲方的履约检查及验收，并</w:t>
      </w:r>
      <w:r>
        <w:rPr>
          <w:rFonts w:ascii="宋体" w:hAnsi="宋体"/>
          <w:color w:val="000000"/>
          <w:szCs w:val="21"/>
          <w:highlight w:val="none"/>
        </w:rPr>
        <w:t>负责项目实施过程中的所有协调工作。</w:t>
      </w:r>
    </w:p>
    <w:p w14:paraId="232BC7EF">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5.3乙方有权根据合同约定向甲方收取合同价款。</w:t>
      </w:r>
    </w:p>
    <w:p w14:paraId="33CA516B">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5.4国家法律法规规定及【政府采购合同专用条款】约定应由乙方承担的其他义务和责任。</w:t>
      </w:r>
    </w:p>
    <w:p w14:paraId="302EC4A8">
      <w:pPr>
        <w:numPr>
          <w:ilvl w:val="0"/>
          <w:numId w:val="6"/>
        </w:numPr>
        <w:autoSpaceDE w:val="0"/>
        <w:autoSpaceDN w:val="0"/>
        <w:adjustRightInd w:val="0"/>
        <w:snapToGrid w:val="0"/>
        <w:spacing w:line="400" w:lineRule="exact"/>
        <w:jc w:val="left"/>
        <w:rPr>
          <w:rFonts w:hint="eastAsia" w:ascii="宋体" w:hAnsi="宋体"/>
          <w:b/>
          <w:bCs/>
          <w:color w:val="000000"/>
          <w:sz w:val="24"/>
          <w:highlight w:val="none"/>
        </w:rPr>
      </w:pPr>
      <w:r>
        <w:rPr>
          <w:rFonts w:hint="eastAsia" w:ascii="宋体" w:hAnsi="宋体"/>
          <w:b/>
          <w:bCs/>
          <w:color w:val="000000"/>
          <w:sz w:val="24"/>
          <w:highlight w:val="none"/>
        </w:rPr>
        <w:t>合同履行</w:t>
      </w:r>
    </w:p>
    <w:p w14:paraId="33D8690D">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6.1 甲乙双方应当按照</w:t>
      </w:r>
      <w:r>
        <w:rPr>
          <w:rFonts w:hint="eastAsia" w:ascii="宋体" w:hAnsi="宋体" w:cs="宋体"/>
          <w:b/>
          <w:bCs/>
          <w:color w:val="000000"/>
          <w:szCs w:val="21"/>
          <w:highlight w:val="none"/>
        </w:rPr>
        <w:t>【政府采购合同专用条款】</w:t>
      </w:r>
      <w:r>
        <w:rPr>
          <w:rFonts w:hint="eastAsia" w:ascii="宋体" w:hAnsi="宋体"/>
          <w:color w:val="000000"/>
          <w:szCs w:val="21"/>
          <w:highlight w:val="none"/>
        </w:rPr>
        <w:t>约定顺序履行合同义务；如果没有先后顺序的，应当同时履行。</w:t>
      </w:r>
    </w:p>
    <w:p w14:paraId="5161A78D">
      <w:pPr>
        <w:autoSpaceDE w:val="0"/>
        <w:autoSpaceDN w:val="0"/>
        <w:adjustRightInd w:val="0"/>
        <w:snapToGrid w:val="0"/>
        <w:spacing w:line="400" w:lineRule="exact"/>
        <w:ind w:firstLine="420" w:firstLineChars="200"/>
        <w:jc w:val="left"/>
        <w:rPr>
          <w:color w:val="000000"/>
          <w:highlight w:val="none"/>
        </w:rPr>
      </w:pPr>
      <w:r>
        <w:rPr>
          <w:rFonts w:hint="eastAsia" w:ascii="宋体" w:hAnsi="宋体"/>
          <w:color w:val="000000"/>
          <w:szCs w:val="21"/>
          <w:highlight w:val="none"/>
        </w:rPr>
        <w:t>6.2 甲乙双方按照合同约定顺序履行合同义务时，应当先履行一方未履行的，后履行一方有权拒绝其履行请求。先履行一方履行不符合约定的，后履行一方有权拒绝其相应的履行请求。</w:t>
      </w:r>
    </w:p>
    <w:p w14:paraId="543A3FDA">
      <w:pPr>
        <w:adjustRightInd w:val="0"/>
        <w:snapToGrid w:val="0"/>
        <w:spacing w:line="400" w:lineRule="exact"/>
        <w:jc w:val="left"/>
        <w:rPr>
          <w:rFonts w:ascii="宋体" w:hAnsi="宋体"/>
          <w:b/>
          <w:bCs/>
          <w:color w:val="000000"/>
          <w:sz w:val="24"/>
          <w:highlight w:val="none"/>
        </w:rPr>
      </w:pPr>
      <w:r>
        <w:rPr>
          <w:rFonts w:hint="eastAsia" w:ascii="宋体" w:hAnsi="宋体"/>
          <w:b/>
          <w:bCs/>
          <w:color w:val="000000"/>
          <w:sz w:val="24"/>
          <w:highlight w:val="none"/>
        </w:rPr>
        <w:t>7. 货物包装、运输、保险和交付要求</w:t>
      </w:r>
    </w:p>
    <w:p w14:paraId="1777002F">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7.1 本合同</w:t>
      </w:r>
      <w:r>
        <w:rPr>
          <w:rFonts w:hint="eastAsia" w:ascii="宋体" w:hAnsi="宋体"/>
          <w:bCs/>
          <w:color w:val="000000"/>
          <w:szCs w:val="21"/>
          <w:highlight w:val="none"/>
        </w:rPr>
        <w:t>涉及商品包装、快递包装的，</w:t>
      </w:r>
      <w:r>
        <w:rPr>
          <w:rFonts w:hint="eastAsia" w:ascii="宋体" w:hAnsi="宋体"/>
          <w:color w:val="000000"/>
          <w:szCs w:val="21"/>
          <w:highlight w:val="none"/>
        </w:rPr>
        <w:t>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另有约定外，</w:t>
      </w:r>
      <w:r>
        <w:rPr>
          <w:rFonts w:hint="eastAsia" w:ascii="宋体" w:hAnsi="宋体"/>
          <w:color w:val="000000"/>
          <w:szCs w:val="21"/>
          <w:highlight w:val="none"/>
        </w:rPr>
        <w:t>包装应适应远距离运输、防潮、防震、防锈和防野蛮装卸等要求，确保货物安全无损地运抵</w:t>
      </w:r>
      <w:r>
        <w:rPr>
          <w:rFonts w:hint="eastAsia" w:ascii="宋体" w:hAnsi="宋体"/>
          <w:b/>
          <w:color w:val="000000"/>
          <w:szCs w:val="21"/>
          <w:highlight w:val="none"/>
        </w:rPr>
        <w:t>【政府采购合同专用条款】</w:t>
      </w:r>
      <w:r>
        <w:rPr>
          <w:rFonts w:hint="eastAsia" w:ascii="宋体" w:hAnsi="宋体"/>
          <w:bCs/>
          <w:color w:val="000000"/>
          <w:szCs w:val="21"/>
          <w:highlight w:val="none"/>
        </w:rPr>
        <w:t>约定的</w:t>
      </w:r>
      <w:r>
        <w:rPr>
          <w:rFonts w:hint="eastAsia" w:ascii="宋体" w:hAnsi="宋体"/>
          <w:color w:val="000000"/>
          <w:szCs w:val="21"/>
          <w:highlight w:val="none"/>
        </w:rPr>
        <w:t>指定现场。</w:t>
      </w:r>
    </w:p>
    <w:p w14:paraId="39103E04">
      <w:pPr>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7.2 除</w:t>
      </w:r>
      <w:r>
        <w:rPr>
          <w:rFonts w:hint="eastAsia" w:ascii="宋体" w:hAnsi="宋体"/>
          <w:b/>
          <w:color w:val="000000"/>
          <w:szCs w:val="21"/>
          <w:highlight w:val="none"/>
        </w:rPr>
        <w:t>【政府采购合同专用条款】</w:t>
      </w:r>
      <w:r>
        <w:rPr>
          <w:rFonts w:hint="eastAsia" w:ascii="宋体" w:hAnsi="宋体"/>
          <w:bCs/>
          <w:color w:val="000000"/>
          <w:szCs w:val="21"/>
          <w:highlight w:val="none"/>
        </w:rPr>
        <w:t>另有约定外，</w:t>
      </w:r>
      <w:r>
        <w:rPr>
          <w:rFonts w:hint="eastAsia" w:ascii="宋体" w:hAnsi="宋体"/>
          <w:color w:val="000000"/>
          <w:szCs w:val="21"/>
          <w:highlight w:val="none"/>
        </w:rPr>
        <w:t>乙方负责办理将货物运抵本合同规定的交货地点，并装卸、交付至甲方的一切运输事项，相关费用应包含在合同价款中。</w:t>
      </w:r>
    </w:p>
    <w:p w14:paraId="3AAA6A73">
      <w:pPr>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7.3 货物保险要求按</w:t>
      </w:r>
      <w:r>
        <w:rPr>
          <w:rFonts w:hint="eastAsia" w:ascii="宋体" w:hAnsi="宋体"/>
          <w:b/>
          <w:color w:val="000000"/>
          <w:szCs w:val="21"/>
          <w:highlight w:val="none"/>
        </w:rPr>
        <w:t>【政府采购合同专用条款】</w:t>
      </w:r>
      <w:r>
        <w:rPr>
          <w:rFonts w:hint="eastAsia" w:ascii="宋体" w:hAnsi="宋体"/>
          <w:bCs/>
          <w:color w:val="000000"/>
          <w:szCs w:val="21"/>
          <w:highlight w:val="none"/>
        </w:rPr>
        <w:t>规定执行</w:t>
      </w:r>
      <w:r>
        <w:rPr>
          <w:rFonts w:hint="eastAsia" w:ascii="宋体" w:hAnsi="宋体"/>
          <w:color w:val="000000"/>
          <w:szCs w:val="21"/>
          <w:highlight w:val="none"/>
        </w:rPr>
        <w:t>。</w:t>
      </w:r>
    </w:p>
    <w:p w14:paraId="3DACA110">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71C9EE6">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 xml:space="preserve">7.5 </w:t>
      </w:r>
      <w:r>
        <w:rPr>
          <w:rFonts w:hint="eastAsia" w:ascii="宋体" w:hAnsi="宋体" w:cs="宋体"/>
          <w:color w:val="000000"/>
          <w:szCs w:val="21"/>
          <w:highlight w:val="none"/>
        </w:rPr>
        <w:t>乙方在运输到达之前应提前通知甲方，并提示货物运输装卸的注意事项，甲方配合乙方做好货物的接收工作。</w:t>
      </w:r>
    </w:p>
    <w:p w14:paraId="1E5E148C">
      <w:pPr>
        <w:pStyle w:val="90"/>
        <w:ind w:firstLine="420"/>
        <w:rPr>
          <w:color w:val="000000"/>
          <w:sz w:val="21"/>
          <w:highlight w:val="none"/>
        </w:rPr>
      </w:pPr>
      <w:r>
        <w:rPr>
          <w:rFonts w:hint="eastAsia" w:ascii="宋体" w:hAnsi="宋体" w:eastAsia="宋体" w:cs="Times New Roman"/>
          <w:color w:val="000000"/>
          <w:kern w:val="2"/>
          <w:sz w:val="21"/>
          <w:highlight w:val="none"/>
        </w:rPr>
        <w:t>7.6 如因包装、运输问题导致货物损毁、丢失或者品质下降，甲方有权要求降价、换货、拒收部分或整批货物，由此产生的费用和损失，均由乙方承担。</w:t>
      </w:r>
    </w:p>
    <w:p w14:paraId="0133F5F9">
      <w:pPr>
        <w:adjustRightInd w:val="0"/>
        <w:snapToGrid w:val="0"/>
        <w:spacing w:line="400" w:lineRule="exact"/>
        <w:jc w:val="left"/>
        <w:rPr>
          <w:rFonts w:ascii="宋体" w:hAnsi="宋体"/>
          <w:b/>
          <w:color w:val="000000"/>
          <w:sz w:val="24"/>
          <w:highlight w:val="none"/>
        </w:rPr>
      </w:pPr>
      <w:r>
        <w:rPr>
          <w:rFonts w:hint="eastAsia" w:ascii="宋体" w:hAnsi="宋体"/>
          <w:b/>
          <w:color w:val="000000"/>
          <w:sz w:val="24"/>
          <w:highlight w:val="none"/>
        </w:rPr>
        <w:t>8. 质量标准和保证</w:t>
      </w:r>
    </w:p>
    <w:p w14:paraId="31605570">
      <w:pPr>
        <w:pStyle w:val="24"/>
        <w:adjustRightInd w:val="0"/>
        <w:snapToGrid w:val="0"/>
        <w:spacing w:line="400" w:lineRule="exact"/>
        <w:ind w:firstLine="420" w:firstLineChars="200"/>
        <w:jc w:val="left"/>
        <w:rPr>
          <w:rFonts w:hAnsi="宋体"/>
          <w:b/>
          <w:color w:val="000000"/>
          <w:highlight w:val="none"/>
        </w:rPr>
      </w:pPr>
      <w:r>
        <w:rPr>
          <w:rFonts w:hint="eastAsia" w:hAnsi="宋体"/>
          <w:color w:val="000000"/>
          <w:highlight w:val="none"/>
        </w:rPr>
        <w:t>8.1 质量标准</w:t>
      </w:r>
    </w:p>
    <w:p w14:paraId="69BBB90E">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（1）本合同下提供的货物应符合合同</w:t>
      </w:r>
      <w:r>
        <w:rPr>
          <w:rFonts w:hint="eastAsia" w:ascii="宋体" w:hAnsi="宋体" w:cs="宋体"/>
          <w:color w:val="000000"/>
          <w:szCs w:val="21"/>
          <w:highlight w:val="none"/>
        </w:rPr>
        <w:t>约定的品牌、规格型号、技术性能、配置、质量、数量等要求。</w:t>
      </w:r>
      <w:r>
        <w:rPr>
          <w:rFonts w:hint="eastAsia" w:ascii="宋体" w:hAnsi="宋体"/>
          <w:color w:val="000000"/>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28AABF7">
      <w:pPr>
        <w:pStyle w:val="24"/>
        <w:adjustRightInd w:val="0"/>
        <w:snapToGrid w:val="0"/>
        <w:spacing w:line="400" w:lineRule="exact"/>
        <w:ind w:firstLine="420" w:firstLineChars="200"/>
        <w:jc w:val="left"/>
        <w:rPr>
          <w:rFonts w:hAnsi="宋体"/>
          <w:color w:val="000000"/>
          <w:highlight w:val="none"/>
        </w:rPr>
      </w:pPr>
      <w:r>
        <w:rPr>
          <w:rFonts w:hint="eastAsia" w:hAnsi="宋体"/>
          <w:color w:val="000000"/>
          <w:highlight w:val="none"/>
        </w:rPr>
        <w:t>（2）采用中华人民共和国法定计量单位。</w:t>
      </w:r>
    </w:p>
    <w:p w14:paraId="3E9726C5">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（3）乙方所提供的货物应符合国家有关安全、环保、卫生的规定。</w:t>
      </w:r>
    </w:p>
    <w:p w14:paraId="1FD0BD22">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（4）乙方应向甲方提交所提供货物的技术文件，包括相应的中文技术文件，如：产品目录、图纸、操作手册、使用说明、维护手册或服务指南等。上述文件应包装好随货物一同发运。</w:t>
      </w:r>
    </w:p>
    <w:p w14:paraId="0551718F">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8.2 保证</w:t>
      </w:r>
    </w:p>
    <w:p w14:paraId="086A960C">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（1）乙方应保证提供的货物完全符合合同规定的质量、规格和性能要求。乙方应保证货物在正确安装、正常使用和保养条件下，</w:t>
      </w:r>
      <w:r>
        <w:rPr>
          <w:rFonts w:hint="eastAsia" w:ascii="宋体" w:hAnsi="宋体" w:cs="宋体"/>
          <w:color w:val="000000"/>
          <w:szCs w:val="21"/>
          <w:highlight w:val="none"/>
        </w:rPr>
        <w:t>在其使用寿命期内具备合同约定的性能</w:t>
      </w:r>
      <w:r>
        <w:rPr>
          <w:rFonts w:hint="eastAsia" w:ascii="宋体" w:hAnsi="宋体"/>
          <w:color w:val="000000"/>
          <w:szCs w:val="21"/>
          <w:highlight w:val="none"/>
        </w:rPr>
        <w:t>。存在质量保证期的，货物最终交付验收合格后在</w:t>
      </w:r>
      <w:r>
        <w:rPr>
          <w:rFonts w:hint="eastAsia" w:ascii="宋体" w:hAnsi="宋体"/>
          <w:b/>
          <w:color w:val="000000"/>
          <w:szCs w:val="21"/>
          <w:highlight w:val="none"/>
        </w:rPr>
        <w:t>【政府采购合同专用条款】</w:t>
      </w:r>
      <w:r>
        <w:rPr>
          <w:rFonts w:hint="eastAsia" w:ascii="宋体" w:hAnsi="宋体"/>
          <w:color w:val="000000"/>
          <w:szCs w:val="21"/>
          <w:highlight w:val="none"/>
        </w:rPr>
        <w:t>规定或乙方书面承诺（两者以较长的为准）的质量保证期内，本保证保持有效。</w:t>
      </w:r>
    </w:p>
    <w:p w14:paraId="68568276">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（2）在质量保证期内所发现的缺陷，甲方应尽快以书面形式通知乙方。</w:t>
      </w:r>
    </w:p>
    <w:p w14:paraId="66E03023">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（3）乙方收到通知后，应在</w:t>
      </w:r>
      <w:r>
        <w:rPr>
          <w:rFonts w:hint="eastAsia" w:ascii="宋体" w:hAnsi="宋体"/>
          <w:b/>
          <w:color w:val="000000"/>
          <w:szCs w:val="21"/>
          <w:highlight w:val="none"/>
        </w:rPr>
        <w:t>【政府采购合同专用条款】</w:t>
      </w:r>
      <w:r>
        <w:rPr>
          <w:rFonts w:hint="eastAsia" w:ascii="宋体" w:hAnsi="宋体"/>
          <w:color w:val="000000"/>
          <w:szCs w:val="21"/>
          <w:highlight w:val="none"/>
        </w:rPr>
        <w:t>规定的响应时间内以合理的速度免费维修或更换有缺陷的货物或部件。</w:t>
      </w:r>
    </w:p>
    <w:p w14:paraId="6C3F9C51">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（4）在质量保证期内，如果货物的质量或规格与合同不符，或证实货物是有缺陷的，包括潜在的缺陷或使用不符合要求的材料等，甲方可以根据本合同第15.1条规定以书面形式追究乙方的违约责任。</w:t>
      </w:r>
    </w:p>
    <w:p w14:paraId="119EAA32">
      <w:pPr>
        <w:adjustRightInd w:val="0"/>
        <w:snapToGrid w:val="0"/>
        <w:spacing w:line="400" w:lineRule="exact"/>
        <w:ind w:firstLine="420" w:firstLineChars="200"/>
        <w:jc w:val="left"/>
        <w:rPr>
          <w:color w:val="000000"/>
          <w:highlight w:val="none"/>
        </w:rPr>
      </w:pPr>
      <w:r>
        <w:rPr>
          <w:rFonts w:hint="eastAsia" w:ascii="宋体" w:hAnsi="宋体"/>
          <w:color w:val="000000"/>
          <w:szCs w:val="21"/>
          <w:highlight w:val="none"/>
        </w:rPr>
        <w:t>（5）乙方在约定的时间内未能弥补缺陷，甲方可采取必要的补救措施，但其风险和费用将由乙方承担，甲方根据合同约定对乙方行使的其他权利不受影响。</w:t>
      </w:r>
    </w:p>
    <w:p w14:paraId="4926D5C7">
      <w:pPr>
        <w:adjustRightInd w:val="0"/>
        <w:snapToGrid w:val="0"/>
        <w:spacing w:line="400" w:lineRule="exact"/>
        <w:jc w:val="left"/>
        <w:rPr>
          <w:rFonts w:ascii="宋体" w:hAnsi="宋体"/>
          <w:b/>
          <w:bCs/>
          <w:color w:val="000000"/>
          <w:sz w:val="24"/>
          <w:highlight w:val="none"/>
        </w:rPr>
      </w:pPr>
      <w:r>
        <w:rPr>
          <w:rFonts w:hint="eastAsia" w:ascii="宋体" w:hAnsi="宋体"/>
          <w:b/>
          <w:bCs/>
          <w:color w:val="000000"/>
          <w:sz w:val="24"/>
          <w:highlight w:val="none"/>
        </w:rPr>
        <w:t>9. 权利瑕疵担保</w:t>
      </w:r>
    </w:p>
    <w:p w14:paraId="21A0D21A">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9.1 乙方保证对其出售的货物享有合法的权利。</w:t>
      </w:r>
    </w:p>
    <w:p w14:paraId="26232654">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 xml:space="preserve">9.2 </w:t>
      </w:r>
      <w:r>
        <w:rPr>
          <w:rFonts w:hint="eastAsia" w:ascii="宋体" w:hAnsi="宋体" w:cs="宋体"/>
          <w:color w:val="000000"/>
          <w:szCs w:val="15"/>
          <w:highlight w:val="none"/>
        </w:rPr>
        <w:t>乙方保证在交付的货物上不存在抵押权等担保物权。</w:t>
      </w:r>
    </w:p>
    <w:p w14:paraId="20AAE8BA">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9.3 如甲方使用上述货物构成对第三人侵权的，则由乙方承担全部责任。</w:t>
      </w:r>
    </w:p>
    <w:p w14:paraId="0DB3CAB5">
      <w:pPr>
        <w:autoSpaceDE w:val="0"/>
        <w:autoSpaceDN w:val="0"/>
        <w:adjustRightInd w:val="0"/>
        <w:snapToGrid w:val="0"/>
        <w:spacing w:line="400" w:lineRule="exact"/>
        <w:jc w:val="left"/>
        <w:rPr>
          <w:rFonts w:ascii="宋体" w:hAnsi="宋体"/>
          <w:b/>
          <w:bCs/>
          <w:color w:val="000000"/>
          <w:sz w:val="24"/>
          <w:highlight w:val="none"/>
        </w:rPr>
      </w:pPr>
      <w:r>
        <w:rPr>
          <w:rFonts w:hint="eastAsia" w:ascii="宋体" w:hAnsi="宋体"/>
          <w:b/>
          <w:bCs/>
          <w:color w:val="000000"/>
          <w:sz w:val="24"/>
          <w:highlight w:val="none"/>
        </w:rPr>
        <w:t>10. 知识产权保护</w:t>
      </w:r>
    </w:p>
    <w:p w14:paraId="5EA48419">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10.1 乙方对其所销售的货物应当享有知识产权或经权利人合法授权，保证没有侵犯任何第三人的知识产权等权利。</w:t>
      </w:r>
      <w:bookmarkStart w:id="848" w:name="_Hlk163047038"/>
      <w:r>
        <w:rPr>
          <w:rFonts w:hint="eastAsia" w:ascii="宋体" w:hAnsi="宋体" w:cs="宋体"/>
          <w:color w:val="000000"/>
          <w:szCs w:val="15"/>
          <w:highlight w:val="none"/>
        </w:rPr>
        <w:t>因违反前述约定对第三人构成侵权的，应当由乙方向第三人承担法律责任；甲方依法向第三人赔偿后，有权向乙方追偿。甲方有其他损失的，乙方应当赔偿</w:t>
      </w:r>
      <w:bookmarkEnd w:id="848"/>
      <w:r>
        <w:rPr>
          <w:rFonts w:hint="eastAsia" w:ascii="宋体" w:hAnsi="宋体"/>
          <w:color w:val="000000"/>
          <w:szCs w:val="21"/>
          <w:highlight w:val="none"/>
        </w:rPr>
        <w:t>。</w:t>
      </w:r>
    </w:p>
    <w:p w14:paraId="5FBEF808">
      <w:pPr>
        <w:autoSpaceDE w:val="0"/>
        <w:autoSpaceDN w:val="0"/>
        <w:adjustRightInd w:val="0"/>
        <w:snapToGrid w:val="0"/>
        <w:spacing w:line="400" w:lineRule="exact"/>
        <w:jc w:val="left"/>
        <w:rPr>
          <w:rFonts w:ascii="宋体" w:hAnsi="宋体"/>
          <w:b/>
          <w:bCs/>
          <w:color w:val="000000"/>
          <w:sz w:val="24"/>
          <w:highlight w:val="none"/>
        </w:rPr>
      </w:pPr>
      <w:r>
        <w:rPr>
          <w:rFonts w:hint="eastAsia" w:ascii="宋体" w:hAnsi="宋体"/>
          <w:b/>
          <w:bCs/>
          <w:color w:val="000000"/>
          <w:sz w:val="24"/>
          <w:highlight w:val="none"/>
        </w:rPr>
        <w:t>11. 保密义务</w:t>
      </w:r>
    </w:p>
    <w:p w14:paraId="38F1CB46">
      <w:pPr>
        <w:autoSpaceDE w:val="0"/>
        <w:autoSpaceDN w:val="0"/>
        <w:adjustRightInd w:val="0"/>
        <w:snapToGrid w:val="0"/>
        <w:spacing w:line="400" w:lineRule="exact"/>
        <w:ind w:firstLine="420" w:firstLineChars="200"/>
        <w:jc w:val="left"/>
        <w:rPr>
          <w:rFonts w:hint="eastAsia" w:ascii="宋体" w:hAnsi="宋体" w:cs="宋体"/>
          <w:color w:val="000000"/>
          <w:szCs w:val="15"/>
          <w:highlight w:val="none"/>
        </w:rPr>
      </w:pPr>
      <w:r>
        <w:rPr>
          <w:rFonts w:hint="eastAsia" w:ascii="宋体" w:hAnsi="宋体" w:cs="宋体"/>
          <w:color w:val="000000"/>
          <w:szCs w:val="15"/>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000000"/>
          <w:szCs w:val="15"/>
          <w:highlight w:val="none"/>
        </w:rPr>
        <w:t>【政府采购合同专用条款】</w:t>
      </w:r>
      <w:r>
        <w:rPr>
          <w:rFonts w:hint="eastAsia" w:ascii="宋体" w:hAnsi="宋体" w:cs="宋体"/>
          <w:color w:val="000000"/>
          <w:szCs w:val="15"/>
          <w:highlight w:val="none"/>
        </w:rPr>
        <w:t>中约定。</w:t>
      </w:r>
    </w:p>
    <w:p w14:paraId="4B62DC9F">
      <w:pPr>
        <w:autoSpaceDE w:val="0"/>
        <w:autoSpaceDN w:val="0"/>
        <w:adjustRightInd w:val="0"/>
        <w:snapToGrid w:val="0"/>
        <w:spacing w:line="400" w:lineRule="exact"/>
        <w:jc w:val="left"/>
        <w:rPr>
          <w:rFonts w:ascii="宋体" w:hAnsi="宋体"/>
          <w:b/>
          <w:bCs/>
          <w:color w:val="000000"/>
          <w:sz w:val="24"/>
          <w:highlight w:val="none"/>
        </w:rPr>
      </w:pPr>
      <w:r>
        <w:rPr>
          <w:rFonts w:hint="eastAsia" w:ascii="宋体" w:hAnsi="宋体"/>
          <w:b/>
          <w:bCs/>
          <w:color w:val="000000"/>
          <w:sz w:val="24"/>
          <w:highlight w:val="none"/>
        </w:rPr>
        <w:t>12. 合同价款支付</w:t>
      </w:r>
    </w:p>
    <w:p w14:paraId="4133FCB2">
      <w:pPr>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12.1 合同价款支付按照国库集中支付制度及财政管理相关规定执行。</w:t>
      </w:r>
    </w:p>
    <w:p w14:paraId="05F21C9F">
      <w:pPr>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30E78360">
      <w:pPr>
        <w:pStyle w:val="18"/>
        <w:spacing w:line="400" w:lineRule="exact"/>
        <w:rPr>
          <w:rFonts w:ascii="宋体" w:hAnsi="宋体"/>
          <w:b/>
          <w:bCs/>
          <w:color w:val="000000"/>
          <w:sz w:val="24"/>
          <w:highlight w:val="none"/>
        </w:rPr>
      </w:pPr>
      <w:r>
        <w:rPr>
          <w:rFonts w:hint="eastAsia" w:ascii="宋体" w:hAnsi="宋体"/>
          <w:b/>
          <w:bCs/>
          <w:color w:val="000000"/>
          <w:sz w:val="24"/>
          <w:highlight w:val="none"/>
        </w:rPr>
        <w:t>13. 履约保证金</w:t>
      </w:r>
    </w:p>
    <w:p w14:paraId="298809FB">
      <w:pPr>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 xml:space="preserve">13.1 </w:t>
      </w:r>
      <w:r>
        <w:rPr>
          <w:rFonts w:hint="eastAsia" w:ascii="宋体" w:hAnsi="宋体" w:cs="宋体"/>
          <w:color w:val="000000"/>
          <w:szCs w:val="15"/>
          <w:highlight w:val="none"/>
        </w:rPr>
        <w:t>乙方应当以支票、汇票、本票或者金融机构、担保机构出具的保函等非现金形式提交。</w:t>
      </w:r>
    </w:p>
    <w:p w14:paraId="69320A52">
      <w:pPr>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13.2 如果乙方出现</w:t>
      </w:r>
      <w:r>
        <w:rPr>
          <w:rFonts w:hint="eastAsia" w:ascii="宋体" w:hAnsi="宋体" w:cs="宋体"/>
          <w:b/>
          <w:bCs/>
          <w:color w:val="000000"/>
          <w:szCs w:val="15"/>
          <w:highlight w:val="none"/>
        </w:rPr>
        <w:t>【政府采购合同专用条款】</w:t>
      </w:r>
      <w:r>
        <w:rPr>
          <w:rFonts w:hint="eastAsia" w:ascii="宋体" w:hAnsi="宋体" w:cs="宋体"/>
          <w:color w:val="000000"/>
          <w:szCs w:val="15"/>
          <w:highlight w:val="none"/>
        </w:rPr>
        <w:t>约定情形的</w:t>
      </w:r>
      <w:r>
        <w:rPr>
          <w:rFonts w:hint="eastAsia" w:ascii="宋体" w:hAnsi="宋体"/>
          <w:color w:val="000000"/>
          <w:szCs w:val="21"/>
          <w:highlight w:val="none"/>
        </w:rPr>
        <w:t>，履约保证金不予退还；如果乙方未能按合同约定全面履行义务，甲方有权从履约保证金中取得补偿或赔偿，且不影响甲方要求乙方承担合同约定的超过履约保证金的违约责任的权利。</w:t>
      </w:r>
    </w:p>
    <w:p w14:paraId="5154C4EE">
      <w:pPr>
        <w:spacing w:line="400" w:lineRule="exact"/>
        <w:ind w:firstLine="420"/>
        <w:rPr>
          <w:color w:val="000000"/>
          <w:highlight w:val="none"/>
        </w:rPr>
      </w:pPr>
      <w:r>
        <w:rPr>
          <w:rFonts w:hint="eastAsia" w:ascii="宋体" w:hAnsi="宋体"/>
          <w:color w:val="000000"/>
          <w:szCs w:val="21"/>
          <w:highlight w:val="none"/>
        </w:rPr>
        <w:t>13.3 甲方在项目通过验收后按照</w:t>
      </w:r>
      <w:r>
        <w:rPr>
          <w:rFonts w:hint="eastAsia" w:ascii="宋体" w:hAnsi="宋体"/>
          <w:b/>
          <w:color w:val="000000"/>
          <w:szCs w:val="21"/>
          <w:highlight w:val="none"/>
        </w:rPr>
        <w:t>【政府采购合同专用条款】</w:t>
      </w:r>
      <w:r>
        <w:rPr>
          <w:rFonts w:hint="eastAsia" w:ascii="宋体" w:hAnsi="宋体"/>
          <w:color w:val="000000"/>
          <w:szCs w:val="21"/>
          <w:highlight w:val="none"/>
        </w:rPr>
        <w:t>规定的时间内将履约保证金退还乙方；逾期退还的，乙方可要求甲方支付违约金，违约金按照</w:t>
      </w:r>
      <w:r>
        <w:rPr>
          <w:rFonts w:hint="eastAsia" w:ascii="宋体" w:hAnsi="宋体"/>
          <w:b/>
          <w:color w:val="000000"/>
          <w:szCs w:val="21"/>
          <w:highlight w:val="none"/>
        </w:rPr>
        <w:t>【政府采购合同专用条款】</w:t>
      </w:r>
      <w:r>
        <w:rPr>
          <w:rFonts w:hint="eastAsia" w:ascii="宋体" w:hAnsi="宋体"/>
          <w:color w:val="000000"/>
          <w:szCs w:val="21"/>
          <w:highlight w:val="none"/>
        </w:rPr>
        <w:t>规定支付。</w:t>
      </w:r>
    </w:p>
    <w:p w14:paraId="33198578">
      <w:pPr>
        <w:autoSpaceDE w:val="0"/>
        <w:autoSpaceDN w:val="0"/>
        <w:adjustRightInd w:val="0"/>
        <w:snapToGrid w:val="0"/>
        <w:spacing w:line="400" w:lineRule="exact"/>
        <w:jc w:val="left"/>
        <w:rPr>
          <w:rFonts w:ascii="宋体" w:hAnsi="宋体"/>
          <w:b/>
          <w:color w:val="000000"/>
          <w:sz w:val="24"/>
          <w:highlight w:val="none"/>
        </w:rPr>
      </w:pPr>
      <w:r>
        <w:rPr>
          <w:rFonts w:hint="eastAsia" w:ascii="宋体" w:hAnsi="宋体"/>
          <w:b/>
          <w:bCs/>
          <w:color w:val="000000"/>
          <w:sz w:val="24"/>
          <w:highlight w:val="none"/>
        </w:rPr>
        <w:t xml:space="preserve">14. </w:t>
      </w:r>
      <w:r>
        <w:rPr>
          <w:rFonts w:hint="eastAsia"/>
          <w:b/>
          <w:color w:val="000000"/>
          <w:sz w:val="24"/>
          <w:highlight w:val="none"/>
        </w:rPr>
        <w:t>售后</w:t>
      </w:r>
      <w:r>
        <w:rPr>
          <w:rFonts w:hint="eastAsia" w:ascii="宋体" w:hAnsi="宋体"/>
          <w:b/>
          <w:color w:val="000000"/>
          <w:sz w:val="24"/>
          <w:highlight w:val="none"/>
        </w:rPr>
        <w:t>服务</w:t>
      </w:r>
    </w:p>
    <w:p w14:paraId="64E7C22E">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14.1 除项目不涉及或采购活动中明确约定无须承担外，乙方还应提供下列服务：</w:t>
      </w:r>
    </w:p>
    <w:p w14:paraId="460A78C6">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（1）货物的现场移动、安装、调试、启动监督及技术支持；</w:t>
      </w:r>
    </w:p>
    <w:p w14:paraId="4D7678B5">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（2）提供货物组装和维修所需的专用工具和辅助材料；</w:t>
      </w:r>
    </w:p>
    <w:p w14:paraId="67908CBF">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（3）在</w:t>
      </w:r>
      <w:r>
        <w:rPr>
          <w:rFonts w:hint="eastAsia" w:ascii="宋体" w:hAnsi="宋体" w:cs="宋体"/>
          <w:b/>
          <w:bCs/>
          <w:color w:val="000000"/>
          <w:szCs w:val="15"/>
          <w:highlight w:val="none"/>
        </w:rPr>
        <w:t>【政府采购合同专用条款】</w:t>
      </w:r>
      <w:r>
        <w:rPr>
          <w:rFonts w:hint="eastAsia" w:ascii="宋体" w:hAnsi="宋体"/>
          <w:color w:val="000000"/>
          <w:szCs w:val="21"/>
          <w:highlight w:val="none"/>
        </w:rPr>
        <w:t>约定的期限内对所有的货物实施运行监督、维修，但前提条件是该服务并不能免除乙方在质量保证期内所承担的义务；</w:t>
      </w:r>
    </w:p>
    <w:p w14:paraId="030A8970">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（4）在制造商所在地或指定现场就货物的安装、启动、运营、维护、废弃处置等对甲方操作人员进行培训</w:t>
      </w:r>
      <w:r>
        <w:rPr>
          <w:rFonts w:hint="eastAsia" w:ascii="宋体" w:hAnsi="宋体" w:cs="宋体"/>
          <w:color w:val="000000"/>
          <w:szCs w:val="15"/>
          <w:highlight w:val="none"/>
        </w:rPr>
        <w:t>；</w:t>
      </w:r>
    </w:p>
    <w:p w14:paraId="3436E489">
      <w:pPr>
        <w:pStyle w:val="90"/>
        <w:ind w:firstLine="420"/>
        <w:rPr>
          <w:rFonts w:hint="eastAsia" w:ascii="宋体" w:hAnsi="宋体" w:eastAsia="宋体" w:cs="宋体"/>
          <w:color w:val="000000"/>
          <w:sz w:val="21"/>
          <w:highlight w:val="none"/>
        </w:rPr>
      </w:pPr>
      <w:r>
        <w:rPr>
          <w:rFonts w:hint="eastAsia" w:ascii="宋体" w:hAnsi="宋体" w:eastAsia="宋体" w:cs="宋体"/>
          <w:color w:val="000000"/>
          <w:sz w:val="21"/>
          <w:highlight w:val="none"/>
        </w:rPr>
        <w:t>（5）依照法律、行政法规的规定或者按照</w:t>
      </w:r>
      <w:r>
        <w:rPr>
          <w:rFonts w:hint="eastAsia" w:ascii="宋体" w:hAnsi="宋体" w:eastAsia="宋体" w:cs="宋体"/>
          <w:b/>
          <w:bCs/>
          <w:color w:val="000000"/>
          <w:sz w:val="21"/>
          <w:highlight w:val="none"/>
        </w:rPr>
        <w:t>【政府采购合同专用条款】</w:t>
      </w:r>
      <w:r>
        <w:rPr>
          <w:rFonts w:hint="eastAsia" w:ascii="宋体" w:hAnsi="宋体" w:eastAsia="宋体" w:cs="宋体"/>
          <w:color w:val="000000"/>
          <w:sz w:val="21"/>
          <w:highlight w:val="none"/>
        </w:rPr>
        <w:t>约定，货物在有效使用年限届满后应予回收的，乙方负有自行或者委托第三人对货物予以回收的义务；</w:t>
      </w:r>
    </w:p>
    <w:p w14:paraId="238622F7">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（6）</w:t>
      </w:r>
      <w:r>
        <w:rPr>
          <w:rFonts w:hint="eastAsia" w:ascii="宋体" w:hAnsi="宋体"/>
          <w:b/>
          <w:color w:val="000000"/>
          <w:szCs w:val="21"/>
          <w:highlight w:val="none"/>
        </w:rPr>
        <w:t>【政府采购合同专用条款】</w:t>
      </w:r>
      <w:r>
        <w:rPr>
          <w:rFonts w:hint="eastAsia" w:ascii="宋体" w:hAnsi="宋体"/>
          <w:color w:val="000000"/>
          <w:szCs w:val="21"/>
          <w:highlight w:val="none"/>
        </w:rPr>
        <w:t>规定由乙方提供的其他服务。</w:t>
      </w:r>
    </w:p>
    <w:p w14:paraId="5E6A2492">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14.2 乙方提供的售后服务的费用已包含在合同价款中，甲方不再另行支付。</w:t>
      </w:r>
    </w:p>
    <w:p w14:paraId="52BC8A00">
      <w:pPr>
        <w:adjustRightInd w:val="0"/>
        <w:snapToGrid w:val="0"/>
        <w:spacing w:line="400" w:lineRule="exact"/>
        <w:jc w:val="left"/>
        <w:rPr>
          <w:rFonts w:ascii="宋体" w:hAnsi="宋体"/>
          <w:b/>
          <w:bCs/>
          <w:color w:val="000000"/>
          <w:sz w:val="24"/>
          <w:highlight w:val="none"/>
        </w:rPr>
      </w:pPr>
      <w:r>
        <w:rPr>
          <w:rFonts w:hint="eastAsia" w:ascii="宋体" w:hAnsi="宋体"/>
          <w:b/>
          <w:bCs/>
          <w:color w:val="000000"/>
          <w:sz w:val="24"/>
          <w:highlight w:val="none"/>
        </w:rPr>
        <w:t>15. 违约责任</w:t>
      </w:r>
    </w:p>
    <w:p w14:paraId="76610A12">
      <w:pPr>
        <w:adjustRightInd w:val="0"/>
        <w:snapToGrid w:val="0"/>
        <w:spacing w:line="400" w:lineRule="exact"/>
        <w:ind w:firstLine="420" w:firstLineChars="200"/>
        <w:jc w:val="left"/>
        <w:rPr>
          <w:rFonts w:hint="eastAsia" w:ascii="宋体" w:hAnsi="宋体"/>
          <w:bCs/>
          <w:color w:val="000000"/>
          <w:szCs w:val="21"/>
          <w:highlight w:val="none"/>
        </w:rPr>
      </w:pPr>
      <w:r>
        <w:rPr>
          <w:rFonts w:hint="eastAsia" w:ascii="宋体" w:hAnsi="宋体"/>
          <w:bCs/>
          <w:color w:val="000000"/>
          <w:szCs w:val="21"/>
          <w:highlight w:val="none"/>
        </w:rPr>
        <w:t>15.1质量瑕疵的违约责任</w:t>
      </w:r>
    </w:p>
    <w:p w14:paraId="0FD8DDFF">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乙方提供的产品不符合合同约定的质量标准或存在产品质量缺陷，甲方有权要求乙方根据</w:t>
      </w:r>
      <w:r>
        <w:rPr>
          <w:rFonts w:hint="eastAsia" w:ascii="宋体" w:hAnsi="宋体"/>
          <w:b/>
          <w:color w:val="000000"/>
          <w:szCs w:val="21"/>
          <w:highlight w:val="none"/>
        </w:rPr>
        <w:t>【政府采购合同专用条款】</w:t>
      </w:r>
      <w:r>
        <w:rPr>
          <w:rFonts w:hint="eastAsia" w:ascii="宋体" w:hAnsi="宋体"/>
          <w:bCs/>
          <w:color w:val="000000"/>
          <w:szCs w:val="21"/>
          <w:highlight w:val="none"/>
        </w:rPr>
        <w:t>要求</w:t>
      </w:r>
      <w:r>
        <w:rPr>
          <w:rFonts w:hint="eastAsia" w:ascii="宋体" w:hAnsi="宋体"/>
          <w:color w:val="000000"/>
          <w:szCs w:val="21"/>
          <w:highlight w:val="none"/>
        </w:rPr>
        <w:t>及时修理、重作、更换，并承担由此给甲方造成的损失。</w:t>
      </w:r>
    </w:p>
    <w:p w14:paraId="0E76638F">
      <w:pPr>
        <w:autoSpaceDE w:val="0"/>
        <w:autoSpaceDN w:val="0"/>
        <w:adjustRightInd w:val="0"/>
        <w:snapToGrid w:val="0"/>
        <w:spacing w:line="400" w:lineRule="exact"/>
        <w:ind w:firstLine="420" w:firstLineChars="200"/>
        <w:jc w:val="left"/>
        <w:rPr>
          <w:rFonts w:ascii="宋体" w:hAnsi="宋体"/>
          <w:bCs/>
          <w:color w:val="000000"/>
          <w:szCs w:val="21"/>
          <w:highlight w:val="none"/>
        </w:rPr>
      </w:pPr>
      <w:r>
        <w:rPr>
          <w:rFonts w:hint="eastAsia" w:ascii="宋体" w:hAnsi="宋体"/>
          <w:bCs/>
          <w:color w:val="000000"/>
          <w:szCs w:val="21"/>
          <w:highlight w:val="none"/>
        </w:rPr>
        <w:t>15.2 迟延交货的违约责任</w:t>
      </w:r>
    </w:p>
    <w:p w14:paraId="2A5DF893">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4E0DCD4">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（2）如果乙方没有按照合同规定的时间交货和提供相关服务，甲方有权从货款中扣除误期赔偿费而不影响合同项下的其他补救方法，赔偿费按</w:t>
      </w:r>
      <w:r>
        <w:rPr>
          <w:rFonts w:hint="eastAsia" w:ascii="宋体" w:hAnsi="宋体"/>
          <w:b/>
          <w:color w:val="000000"/>
          <w:szCs w:val="21"/>
          <w:highlight w:val="none"/>
        </w:rPr>
        <w:t>【政府采购合同专用条款】</w:t>
      </w:r>
      <w:r>
        <w:rPr>
          <w:rFonts w:hint="eastAsia" w:ascii="宋体" w:hAnsi="宋体"/>
          <w:color w:val="000000"/>
          <w:szCs w:val="21"/>
          <w:highlight w:val="none"/>
        </w:rPr>
        <w:t>规定执行。如果涉及公共利益，且赔偿金额无法弥补公共利益损失，甲方可要求继续履行或者采取其他补救措施。</w:t>
      </w:r>
    </w:p>
    <w:p w14:paraId="0136F0FF">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15.3 迟延支付的违约责任</w:t>
      </w:r>
    </w:p>
    <w:p w14:paraId="5C939A85">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甲方存在迟延支付乙方合同款项的，应当承担</w:t>
      </w:r>
      <w:r>
        <w:rPr>
          <w:rFonts w:hint="eastAsia" w:ascii="宋体" w:hAnsi="宋体"/>
          <w:b/>
          <w:bCs/>
          <w:color w:val="000000"/>
          <w:szCs w:val="21"/>
          <w:highlight w:val="none"/>
        </w:rPr>
        <w:t>【政府采购合同专用条款】</w:t>
      </w:r>
      <w:r>
        <w:rPr>
          <w:rFonts w:hint="eastAsia" w:ascii="宋体" w:hAnsi="宋体"/>
          <w:color w:val="000000"/>
          <w:szCs w:val="21"/>
          <w:highlight w:val="none"/>
        </w:rPr>
        <w:t>规定的逾期付款利息。</w:t>
      </w:r>
    </w:p>
    <w:p w14:paraId="59D023D1">
      <w:pPr>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bCs/>
          <w:color w:val="000000"/>
          <w:szCs w:val="21"/>
          <w:highlight w:val="none"/>
        </w:rPr>
        <w:t>15.4其他违约责任根据项目实际需要按</w:t>
      </w:r>
      <w:r>
        <w:rPr>
          <w:rFonts w:hint="eastAsia" w:ascii="宋体" w:hAnsi="宋体"/>
          <w:b/>
          <w:bCs/>
          <w:color w:val="000000"/>
          <w:szCs w:val="21"/>
          <w:highlight w:val="none"/>
        </w:rPr>
        <w:t>【政府采购合同专用条款】</w:t>
      </w:r>
      <w:r>
        <w:rPr>
          <w:rFonts w:hint="eastAsia" w:ascii="宋体" w:hAnsi="宋体"/>
          <w:color w:val="000000"/>
          <w:szCs w:val="21"/>
          <w:highlight w:val="none"/>
        </w:rPr>
        <w:t>规定执行。</w:t>
      </w:r>
    </w:p>
    <w:p w14:paraId="63628AAA">
      <w:pPr>
        <w:numPr>
          <w:ilvl w:val="0"/>
          <w:numId w:val="7"/>
        </w:numPr>
        <w:autoSpaceDE w:val="0"/>
        <w:autoSpaceDN w:val="0"/>
        <w:adjustRightInd w:val="0"/>
        <w:snapToGrid w:val="0"/>
        <w:spacing w:line="400" w:lineRule="exact"/>
        <w:jc w:val="left"/>
        <w:rPr>
          <w:rFonts w:ascii="宋体" w:hAnsi="宋体"/>
          <w:b/>
          <w:color w:val="000000"/>
          <w:sz w:val="24"/>
          <w:highlight w:val="none"/>
        </w:rPr>
      </w:pPr>
      <w:r>
        <w:rPr>
          <w:rFonts w:hint="eastAsia" w:ascii="宋体" w:hAnsi="宋体"/>
          <w:b/>
          <w:color w:val="000000"/>
          <w:sz w:val="24"/>
          <w:highlight w:val="none"/>
        </w:rPr>
        <w:t>合同变更、中止与终止</w:t>
      </w:r>
    </w:p>
    <w:p w14:paraId="206B7E68">
      <w:pPr>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16.1合同的变更</w:t>
      </w:r>
    </w:p>
    <w:p w14:paraId="1DB1DE7C">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政府采购合同履行中，在不改变合同其他条款的前提下，甲方可以在合同价款10%的范围内追加与合同标的相同的货物，并就此与乙方协商一致后签订补充协议。</w:t>
      </w:r>
    </w:p>
    <w:p w14:paraId="46793E3D">
      <w:pPr>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16.2合同的中止</w:t>
      </w:r>
    </w:p>
    <w:p w14:paraId="4E43D2BC">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（1）合同履行过程中因供应商就采购文件、采购过程或结果提起投诉的，甲方认为有必要的，可以中止合同的履行。</w:t>
      </w:r>
    </w:p>
    <w:p w14:paraId="69FE425C">
      <w:pPr>
        <w:autoSpaceDE w:val="0"/>
        <w:autoSpaceDN w:val="0"/>
        <w:adjustRightInd w:val="0"/>
        <w:snapToGrid w:val="0"/>
        <w:spacing w:line="4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1975EEF">
      <w:pPr>
        <w:pStyle w:val="90"/>
        <w:ind w:firstLine="420"/>
        <w:jc w:val="both"/>
        <w:rPr>
          <w:color w:val="000000"/>
          <w:sz w:val="21"/>
          <w:highlight w:val="none"/>
        </w:rPr>
      </w:pPr>
      <w:r>
        <w:rPr>
          <w:rFonts w:hint="eastAsia" w:ascii="宋体" w:hAnsi="宋体" w:eastAsia="宋体" w:cs="宋体"/>
          <w:color w:val="000000"/>
          <w:sz w:val="21"/>
          <w:highlight w:val="none"/>
        </w:rPr>
        <w:t>（3）乙方分立、合并或者变更住所的，应当及时以书面形式告知甲方。乙方没有及时告知甲方，致使合同履行发生困难的，甲方可以中止合同履行并要求乙方承担由此给甲方造成的损失。</w:t>
      </w:r>
    </w:p>
    <w:p w14:paraId="1A9F7235">
      <w:pPr>
        <w:snapToGrid w:val="0"/>
        <w:spacing w:line="400" w:lineRule="exact"/>
        <w:ind w:firstLine="420" w:firstLineChars="200"/>
        <w:jc w:val="left"/>
        <w:rPr>
          <w:color w:val="000000"/>
          <w:highlight w:val="none"/>
        </w:rPr>
      </w:pPr>
      <w:r>
        <w:rPr>
          <w:rFonts w:hint="eastAsia" w:ascii="宋体" w:hAnsi="宋体"/>
          <w:color w:val="000000"/>
          <w:szCs w:val="21"/>
          <w:highlight w:val="none"/>
        </w:rPr>
        <w:t>（4）甲方不得以行政区划调整、政府换届、机构或者职能调整以及相关责任人更替为由中止合同。</w:t>
      </w:r>
    </w:p>
    <w:p w14:paraId="24FDFF3C">
      <w:pPr>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16.3合同的终止</w:t>
      </w:r>
    </w:p>
    <w:p w14:paraId="6E432AAB">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（1）合同因有效期限届满而终止；</w:t>
      </w:r>
    </w:p>
    <w:p w14:paraId="3176F595">
      <w:pPr>
        <w:snapToGrid w:val="0"/>
        <w:spacing w:line="400" w:lineRule="exact"/>
        <w:ind w:firstLine="420" w:firstLineChars="200"/>
        <w:rPr>
          <w:rFonts w:hint="eastAsia" w:ascii="宋体" w:hAnsi="宋体" w:cs="宋体"/>
          <w:color w:val="000000"/>
          <w:szCs w:val="21"/>
          <w:highlight w:val="none"/>
        </w:rPr>
      </w:pPr>
      <w:r>
        <w:rPr>
          <w:rFonts w:hint="eastAsia" w:ascii="宋体" w:hAnsi="宋体"/>
          <w:color w:val="000000"/>
          <w:szCs w:val="21"/>
          <w:highlight w:val="none"/>
        </w:rPr>
        <w:t>（2）乙方未按合同约定履行，构成根本性违约的，甲方有权终止合同，</w:t>
      </w:r>
      <w:r>
        <w:rPr>
          <w:rFonts w:hint="eastAsia" w:ascii="宋体" w:hAnsi="宋体" w:cs="宋体"/>
          <w:color w:val="000000"/>
          <w:szCs w:val="21"/>
          <w:highlight w:val="none"/>
        </w:rPr>
        <w:t>并追究乙方的违约责任</w:t>
      </w:r>
      <w:r>
        <w:rPr>
          <w:rFonts w:hint="eastAsia" w:ascii="宋体" w:hAnsi="宋体"/>
          <w:color w:val="000000"/>
          <w:szCs w:val="21"/>
          <w:highlight w:val="none"/>
        </w:rPr>
        <w:t>。</w:t>
      </w:r>
    </w:p>
    <w:p w14:paraId="101DF10A">
      <w:pPr>
        <w:pStyle w:val="90"/>
        <w:rPr>
          <w:rFonts w:hint="eastAsia" w:ascii="宋体" w:hAnsi="宋体"/>
          <w:color w:val="000000"/>
          <w:highlight w:val="none"/>
        </w:rPr>
      </w:pPr>
      <w:r>
        <w:rPr>
          <w:rFonts w:hint="eastAsia" w:ascii="宋体" w:hAnsi="宋体"/>
          <w:color w:val="000000"/>
          <w:highlight w:val="none"/>
        </w:rPr>
        <w:t xml:space="preserve">16.4 </w:t>
      </w:r>
      <w:r>
        <w:rPr>
          <w:rFonts w:hint="eastAsia" w:ascii="宋体" w:hAnsi="宋体" w:eastAsia="宋体" w:cs="Times New Roman"/>
          <w:color w:val="000000"/>
          <w:kern w:val="2"/>
          <w:sz w:val="21"/>
          <w:highlight w:val="none"/>
        </w:rPr>
        <w:t>涉及国家利益、社会公共利益的情形</w:t>
      </w:r>
    </w:p>
    <w:p w14:paraId="11365545">
      <w:pPr>
        <w:pStyle w:val="90"/>
        <w:ind w:firstLine="420"/>
        <w:jc w:val="both"/>
        <w:rPr>
          <w:color w:val="000000"/>
          <w:sz w:val="21"/>
          <w:highlight w:val="none"/>
        </w:rPr>
      </w:pPr>
      <w:r>
        <w:rPr>
          <w:rFonts w:hint="eastAsia" w:ascii="宋体" w:hAnsi="宋体" w:eastAsia="宋体" w:cs="宋体"/>
          <w:color w:val="000000"/>
          <w:sz w:val="21"/>
          <w:highlight w:val="none"/>
        </w:rPr>
        <w:t>政府采购合同继续履行将损害国家利益和社会公共利益的，双方当事人应当变更、中止或者终止合同。有过错的一方应当承担赔偿责任，双方都有过错的，各自承担相应的责任。</w:t>
      </w:r>
    </w:p>
    <w:p w14:paraId="0A7B342D">
      <w:pPr>
        <w:autoSpaceDE w:val="0"/>
        <w:autoSpaceDN w:val="0"/>
        <w:adjustRightInd w:val="0"/>
        <w:snapToGrid w:val="0"/>
        <w:spacing w:line="400" w:lineRule="exact"/>
        <w:jc w:val="left"/>
        <w:rPr>
          <w:rFonts w:ascii="宋体" w:hAnsi="宋体"/>
          <w:b/>
          <w:bCs/>
          <w:color w:val="000000"/>
          <w:sz w:val="24"/>
          <w:highlight w:val="none"/>
        </w:rPr>
      </w:pPr>
      <w:r>
        <w:rPr>
          <w:rFonts w:hint="eastAsia" w:ascii="宋体" w:hAnsi="宋体"/>
          <w:b/>
          <w:bCs/>
          <w:color w:val="000000"/>
          <w:sz w:val="24"/>
          <w:highlight w:val="none"/>
        </w:rPr>
        <w:t>17. 合同分包</w:t>
      </w:r>
    </w:p>
    <w:p w14:paraId="124843AE">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17.1 乙方不得将合同转包给其他供应商。涉及合同分包的，乙方应根据采购文件和投标（响应）文件规定进行合同分包。</w:t>
      </w:r>
    </w:p>
    <w:p w14:paraId="5E5CCD31">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17.2 乙方执行政府采购政策向中小企业依法分包的，乙方应当按采购文件和投标（响应）文件签订分包意向协议，分包意向协议属于本合同组成部分。</w:t>
      </w:r>
    </w:p>
    <w:p w14:paraId="24E5F995">
      <w:pPr>
        <w:autoSpaceDE w:val="0"/>
        <w:autoSpaceDN w:val="0"/>
        <w:adjustRightInd w:val="0"/>
        <w:snapToGrid w:val="0"/>
        <w:spacing w:line="400" w:lineRule="exact"/>
        <w:jc w:val="left"/>
        <w:rPr>
          <w:rFonts w:ascii="宋体" w:hAnsi="宋体"/>
          <w:b/>
          <w:bCs/>
          <w:color w:val="000000"/>
          <w:sz w:val="24"/>
          <w:highlight w:val="none"/>
        </w:rPr>
      </w:pPr>
      <w:r>
        <w:rPr>
          <w:rFonts w:hint="eastAsia" w:ascii="宋体" w:hAnsi="宋体"/>
          <w:b/>
          <w:bCs/>
          <w:color w:val="000000"/>
          <w:sz w:val="24"/>
          <w:highlight w:val="none"/>
        </w:rPr>
        <w:t>18. 不可抗力</w:t>
      </w:r>
    </w:p>
    <w:p w14:paraId="4BA58146">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18.1 不可抗力是指合同双方不能预见、不能避免且不能克服的客观情况。</w:t>
      </w:r>
    </w:p>
    <w:p w14:paraId="635B6FFF">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18.2 任何一方对由于不可抗力造成的部分或全部不能履行合同不承担违约责任。但迟延履行后发生不可抗力的，不能免除责任。</w:t>
      </w:r>
    </w:p>
    <w:p w14:paraId="6B15C4CB">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52AF9643">
      <w:pPr>
        <w:autoSpaceDE w:val="0"/>
        <w:autoSpaceDN w:val="0"/>
        <w:adjustRightInd w:val="0"/>
        <w:snapToGrid w:val="0"/>
        <w:spacing w:line="400" w:lineRule="exact"/>
        <w:jc w:val="left"/>
        <w:rPr>
          <w:rFonts w:hint="eastAsia" w:ascii="宋体" w:hAnsi="宋体"/>
          <w:b/>
          <w:bCs/>
          <w:color w:val="000000"/>
          <w:sz w:val="24"/>
          <w:highlight w:val="none"/>
        </w:rPr>
      </w:pPr>
      <w:r>
        <w:rPr>
          <w:rFonts w:hint="eastAsia" w:ascii="宋体" w:hAnsi="宋体"/>
          <w:b/>
          <w:bCs/>
          <w:color w:val="000000"/>
          <w:sz w:val="24"/>
          <w:highlight w:val="none"/>
        </w:rPr>
        <w:t>19. 解决争议的方法</w:t>
      </w:r>
    </w:p>
    <w:p w14:paraId="5BD42496">
      <w:pPr>
        <w:pStyle w:val="90"/>
        <w:ind w:firstLine="420"/>
        <w:jc w:val="both"/>
        <w:rPr>
          <w:rFonts w:hint="eastAsia" w:ascii="宋体" w:hAnsi="宋体" w:eastAsia="宋体" w:cs="宋体"/>
          <w:color w:val="000000"/>
          <w:sz w:val="21"/>
          <w:highlight w:val="none"/>
        </w:rPr>
      </w:pPr>
      <w:r>
        <w:rPr>
          <w:rFonts w:hint="eastAsia" w:ascii="宋体" w:hAnsi="宋体" w:eastAsia="宋体" w:cs="宋体"/>
          <w:color w:val="000000"/>
          <w:sz w:val="21"/>
          <w:highlight w:val="none"/>
        </w:rPr>
        <w:t>19.1 因本合同及合同有关事项发生的争议，由甲乙双方友好协商解决。协商不成时，可以向有关组织申请调解。合同一方或双方不愿调解或调解不成的，可以通过仲裁或诉讼的方式解决争议。</w:t>
      </w:r>
    </w:p>
    <w:p w14:paraId="2464DFC5">
      <w:pPr>
        <w:pStyle w:val="90"/>
        <w:ind w:firstLine="420"/>
        <w:jc w:val="both"/>
        <w:rPr>
          <w:rFonts w:hint="eastAsia" w:ascii="宋体" w:hAnsi="宋体" w:eastAsia="宋体" w:cs="宋体"/>
          <w:color w:val="000000"/>
          <w:sz w:val="21"/>
          <w:highlight w:val="none"/>
        </w:rPr>
      </w:pPr>
      <w:r>
        <w:rPr>
          <w:rFonts w:hint="eastAsia" w:ascii="宋体" w:hAnsi="宋体" w:eastAsia="宋体" w:cs="宋体"/>
          <w:color w:val="000000"/>
          <w:sz w:val="21"/>
          <w:highlight w:val="none"/>
        </w:rPr>
        <w:t>19.2 选择仲裁的，应在</w:t>
      </w:r>
      <w:r>
        <w:rPr>
          <w:rFonts w:hint="eastAsia" w:ascii="宋体" w:hAnsi="宋体" w:eastAsia="宋体" w:cs="宋体"/>
          <w:b/>
          <w:bCs/>
          <w:color w:val="000000"/>
          <w:sz w:val="21"/>
          <w:highlight w:val="none"/>
        </w:rPr>
        <w:t>【政府采购合同专用条款】</w:t>
      </w:r>
      <w:r>
        <w:rPr>
          <w:rFonts w:hint="eastAsia" w:ascii="宋体" w:hAnsi="宋体" w:eastAsia="宋体" w:cs="宋体"/>
          <w:color w:val="000000"/>
          <w:sz w:val="21"/>
          <w:highlight w:val="none"/>
        </w:rPr>
        <w:t>中明确仲裁机构及仲裁地；通过诉讼方式解决的，可以在</w:t>
      </w:r>
      <w:r>
        <w:rPr>
          <w:rFonts w:hint="eastAsia" w:ascii="宋体" w:hAnsi="宋体" w:eastAsia="宋体" w:cs="宋体"/>
          <w:b/>
          <w:bCs/>
          <w:color w:val="000000"/>
          <w:sz w:val="21"/>
          <w:highlight w:val="none"/>
        </w:rPr>
        <w:t>【政府采购合同专用条款】</w:t>
      </w:r>
      <w:r>
        <w:rPr>
          <w:rFonts w:hint="eastAsia" w:ascii="宋体" w:hAnsi="宋体" w:eastAsia="宋体" w:cs="宋体"/>
          <w:color w:val="000000"/>
          <w:sz w:val="21"/>
          <w:highlight w:val="none"/>
        </w:rPr>
        <w:t>中进一步约定选择与争议有实际联系的地点的人民法院管辖，但管辖法院的约定不得违反级别管辖和专属管辖的规定。</w:t>
      </w:r>
    </w:p>
    <w:p w14:paraId="6BF071C0">
      <w:pPr>
        <w:pStyle w:val="90"/>
        <w:ind w:firstLine="420"/>
        <w:jc w:val="both"/>
        <w:rPr>
          <w:rFonts w:hint="eastAsia" w:ascii="宋体" w:hAnsi="宋体" w:eastAsia="宋体" w:cs="宋体"/>
          <w:color w:val="000000"/>
          <w:sz w:val="21"/>
          <w:highlight w:val="none"/>
        </w:rPr>
      </w:pPr>
      <w:r>
        <w:rPr>
          <w:rFonts w:hint="eastAsia" w:ascii="宋体" w:hAnsi="宋体" w:eastAsia="宋体" w:cs="宋体"/>
          <w:color w:val="000000"/>
          <w:sz w:val="21"/>
          <w:highlight w:val="none"/>
        </w:rPr>
        <w:t>19.3 如甲乙双方有争议的事项不影响合同其他部分的履行，在争议解决期间，合同其他部分应当继续履行。</w:t>
      </w:r>
    </w:p>
    <w:p w14:paraId="369128E5">
      <w:pPr>
        <w:autoSpaceDE w:val="0"/>
        <w:autoSpaceDN w:val="0"/>
        <w:adjustRightInd w:val="0"/>
        <w:snapToGrid w:val="0"/>
        <w:spacing w:line="400" w:lineRule="exact"/>
        <w:jc w:val="left"/>
        <w:rPr>
          <w:rFonts w:ascii="宋体" w:hAnsi="宋体"/>
          <w:color w:val="000000"/>
          <w:sz w:val="24"/>
          <w:highlight w:val="none"/>
        </w:rPr>
      </w:pPr>
      <w:r>
        <w:rPr>
          <w:rFonts w:hint="eastAsia" w:ascii="宋体" w:hAnsi="宋体"/>
          <w:b/>
          <w:color w:val="000000"/>
          <w:sz w:val="24"/>
          <w:highlight w:val="none"/>
        </w:rPr>
        <w:t>20. 政府采购政策</w:t>
      </w:r>
    </w:p>
    <w:p w14:paraId="75784276">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 xml:space="preserve">20.1 </w:t>
      </w:r>
      <w:r>
        <w:rPr>
          <w:rFonts w:hint="eastAsia" w:ascii="宋体" w:hAnsi="宋体" w:cs="宋体"/>
          <w:color w:val="000000"/>
          <w:highlight w:val="none"/>
          <w:lang w:val="en-GB"/>
        </w:rPr>
        <w:t>本合同应当按照规定执行政府采购政策。</w:t>
      </w:r>
    </w:p>
    <w:p w14:paraId="4E95CE41">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0.2 本合同依法执行政府采购政策的方式和内容，属于合同履约验收的范围。</w:t>
      </w:r>
      <w:r>
        <w:rPr>
          <w:rFonts w:hint="eastAsia" w:ascii="宋体" w:hAnsi="宋体" w:cs="宋体"/>
          <w:color w:val="000000"/>
          <w:highlight w:val="none"/>
        </w:rPr>
        <w:t>甲乙双方</w:t>
      </w:r>
      <w:r>
        <w:rPr>
          <w:rFonts w:hint="eastAsia" w:ascii="宋体" w:hAnsi="宋体" w:cs="宋体"/>
          <w:color w:val="000000"/>
          <w:highlight w:val="none"/>
          <w:lang w:val="en-GB"/>
        </w:rPr>
        <w:t>未按规定要求执行政府采购政策造成损失的</w:t>
      </w:r>
      <w:r>
        <w:rPr>
          <w:rFonts w:hint="eastAsia" w:ascii="宋体" w:hAnsi="宋体"/>
          <w:color w:val="000000"/>
          <w:szCs w:val="21"/>
          <w:highlight w:val="none"/>
        </w:rPr>
        <w:t>，有过错的一方应当承担赔偿责任，双方都有过错的，各自承担相应的责任。</w:t>
      </w:r>
    </w:p>
    <w:p w14:paraId="7DC577AA">
      <w:pPr>
        <w:autoSpaceDE w:val="0"/>
        <w:autoSpaceDN w:val="0"/>
        <w:adjustRightInd w:val="0"/>
        <w:snapToGrid w:val="0"/>
        <w:spacing w:line="400" w:lineRule="exact"/>
        <w:ind w:firstLine="420" w:firstLineChars="200"/>
        <w:jc w:val="left"/>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8642A7E">
      <w:pPr>
        <w:autoSpaceDE w:val="0"/>
        <w:autoSpaceDN w:val="0"/>
        <w:adjustRightInd w:val="0"/>
        <w:snapToGrid w:val="0"/>
        <w:spacing w:line="400" w:lineRule="exact"/>
        <w:jc w:val="left"/>
        <w:rPr>
          <w:rFonts w:hint="eastAsia" w:ascii="宋体" w:hAnsi="宋体"/>
          <w:b/>
          <w:color w:val="000000"/>
          <w:sz w:val="24"/>
          <w:highlight w:val="none"/>
        </w:rPr>
      </w:pPr>
      <w:r>
        <w:rPr>
          <w:rFonts w:hint="eastAsia" w:ascii="宋体" w:hAnsi="宋体"/>
          <w:b/>
          <w:color w:val="000000"/>
          <w:sz w:val="24"/>
          <w:highlight w:val="none"/>
        </w:rPr>
        <w:t>21. 法律适用</w:t>
      </w:r>
    </w:p>
    <w:p w14:paraId="6A5639B4">
      <w:pPr>
        <w:pStyle w:val="90"/>
        <w:ind w:firstLine="420"/>
        <w:jc w:val="both"/>
        <w:rPr>
          <w:rFonts w:hint="eastAsia" w:ascii="宋体" w:hAnsi="宋体" w:eastAsia="宋体" w:cs="宋体"/>
          <w:color w:val="000000"/>
          <w:sz w:val="21"/>
          <w:highlight w:val="none"/>
        </w:rPr>
      </w:pPr>
      <w:r>
        <w:rPr>
          <w:rFonts w:hint="eastAsia" w:ascii="宋体" w:hAnsi="宋体" w:eastAsia="宋体" w:cs="宋体"/>
          <w:color w:val="000000"/>
          <w:sz w:val="21"/>
          <w:highlight w:val="none"/>
        </w:rPr>
        <w:t>21.1 本合同的订立、生效、解释、履行及与本合同有关的争议解决，均适用法律、行政法规。</w:t>
      </w:r>
    </w:p>
    <w:p w14:paraId="1BF6BD01">
      <w:pPr>
        <w:pStyle w:val="90"/>
        <w:ind w:firstLine="420"/>
        <w:jc w:val="both"/>
        <w:rPr>
          <w:rFonts w:hint="eastAsia" w:ascii="宋体" w:hAnsi="宋体" w:eastAsia="宋体" w:cs="宋体"/>
          <w:color w:val="000000"/>
          <w:sz w:val="21"/>
          <w:highlight w:val="none"/>
        </w:rPr>
      </w:pPr>
      <w:r>
        <w:rPr>
          <w:rFonts w:hint="eastAsia" w:ascii="宋体" w:hAnsi="宋体" w:eastAsia="宋体" w:cs="宋体"/>
          <w:color w:val="000000"/>
          <w:sz w:val="21"/>
          <w:highlight w:val="none"/>
        </w:rPr>
        <w:t>21.2 本合同条款与法律、行政法规的强制性规定不一致的，双方当事人应按照法律、行政法规的强制性规定修改本合同的相关条款。</w:t>
      </w:r>
    </w:p>
    <w:p w14:paraId="5556A251">
      <w:pPr>
        <w:autoSpaceDE w:val="0"/>
        <w:autoSpaceDN w:val="0"/>
        <w:adjustRightInd w:val="0"/>
        <w:snapToGrid w:val="0"/>
        <w:spacing w:line="400" w:lineRule="exact"/>
        <w:jc w:val="left"/>
        <w:rPr>
          <w:rFonts w:ascii="宋体" w:hAnsi="宋体"/>
          <w:b/>
          <w:color w:val="000000"/>
          <w:sz w:val="24"/>
          <w:highlight w:val="none"/>
        </w:rPr>
      </w:pPr>
      <w:r>
        <w:rPr>
          <w:rFonts w:hint="eastAsia" w:ascii="宋体" w:hAnsi="宋体"/>
          <w:b/>
          <w:color w:val="000000"/>
          <w:sz w:val="24"/>
          <w:highlight w:val="none"/>
        </w:rPr>
        <w:t>22. 通知</w:t>
      </w:r>
    </w:p>
    <w:p w14:paraId="2C5F557E">
      <w:pPr>
        <w:pStyle w:val="90"/>
        <w:ind w:firstLine="420"/>
        <w:jc w:val="both"/>
        <w:rPr>
          <w:rFonts w:hint="eastAsia" w:ascii="宋体" w:hAnsi="宋体" w:eastAsia="宋体" w:cs="宋体"/>
          <w:color w:val="000000"/>
          <w:sz w:val="21"/>
          <w:highlight w:val="none"/>
        </w:rPr>
      </w:pPr>
      <w:r>
        <w:rPr>
          <w:rFonts w:hint="eastAsia" w:ascii="宋体" w:hAnsi="宋体" w:eastAsia="宋体" w:cs="宋体"/>
          <w:color w:val="000000"/>
          <w:sz w:val="21"/>
          <w:highlight w:val="none"/>
        </w:rPr>
        <w:t>22.1 本合同任何一方向对方发出的通知、信件、数据电文等，应当发送至本合同第一部分《政府采购合同协议书》所约定的通讯地址、联系人、联系电话或电子邮箱。</w:t>
      </w:r>
    </w:p>
    <w:p w14:paraId="1436D900">
      <w:pPr>
        <w:pStyle w:val="90"/>
        <w:ind w:firstLine="0" w:firstLineChars="0"/>
        <w:jc w:val="both"/>
        <w:rPr>
          <w:color w:val="000000"/>
          <w:sz w:val="21"/>
          <w:highlight w:val="none"/>
        </w:rPr>
      </w:pPr>
      <w:r>
        <w:rPr>
          <w:rFonts w:hint="eastAsia" w:ascii="宋体" w:hAnsi="宋体" w:eastAsia="宋体" w:cs="宋体"/>
          <w:color w:val="000000"/>
          <w:sz w:val="21"/>
          <w:highlight w:val="none"/>
        </w:rPr>
        <w:t xml:space="preserve">    22.2 一方当事人变更名称、住所、联系人、联系电话或电子邮箱等信息的，应当在变更后3日内及时书面通知对方，对方实际收到变更通知前的送达仍为有效送达。</w:t>
      </w:r>
    </w:p>
    <w:p w14:paraId="109B22A4">
      <w:pPr>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22.3本合同一方给另一方的通知均应采用书面形式，传真或快递送到本合同中规定的对方的地址和办理签收手续。</w:t>
      </w:r>
    </w:p>
    <w:p w14:paraId="38F5C606">
      <w:pPr>
        <w:adjustRightInd w:val="0"/>
        <w:snapToGrid w:val="0"/>
        <w:spacing w:line="400" w:lineRule="exact"/>
        <w:ind w:firstLine="420" w:firstLineChars="200"/>
        <w:jc w:val="left"/>
        <w:rPr>
          <w:rFonts w:ascii="宋体" w:hAnsi="宋体"/>
          <w:color w:val="000000"/>
          <w:szCs w:val="21"/>
          <w:highlight w:val="none"/>
        </w:rPr>
      </w:pPr>
      <w:r>
        <w:rPr>
          <w:rFonts w:hint="eastAsia" w:ascii="宋体" w:hAnsi="宋体"/>
          <w:color w:val="000000"/>
          <w:szCs w:val="21"/>
          <w:highlight w:val="none"/>
        </w:rPr>
        <w:t>22.4通知以送达之日或通知书中规定的生效之日起生效，两者中以较迟之日为准。</w:t>
      </w:r>
    </w:p>
    <w:p w14:paraId="6D4773E8">
      <w:pPr>
        <w:numPr>
          <w:ilvl w:val="0"/>
          <w:numId w:val="8"/>
        </w:numPr>
        <w:adjustRightInd w:val="0"/>
        <w:snapToGrid w:val="0"/>
        <w:spacing w:line="400" w:lineRule="exact"/>
        <w:jc w:val="left"/>
        <w:rPr>
          <w:rFonts w:ascii="宋体" w:hAnsi="宋体"/>
          <w:b/>
          <w:bCs/>
          <w:color w:val="000000"/>
          <w:sz w:val="24"/>
          <w:highlight w:val="none"/>
        </w:rPr>
      </w:pPr>
      <w:r>
        <w:rPr>
          <w:rFonts w:hint="eastAsia" w:ascii="宋体" w:hAnsi="宋体"/>
          <w:b/>
          <w:bCs/>
          <w:color w:val="000000"/>
          <w:sz w:val="24"/>
          <w:highlight w:val="none"/>
        </w:rPr>
        <w:t>合同未尽事项</w:t>
      </w:r>
    </w:p>
    <w:p w14:paraId="46FC5A24">
      <w:pPr>
        <w:adjustRightInd w:val="0"/>
        <w:snapToGrid w:val="0"/>
        <w:spacing w:line="400" w:lineRule="exact"/>
        <w:ind w:firstLine="420" w:firstLineChars="200"/>
        <w:jc w:val="left"/>
        <w:rPr>
          <w:rFonts w:hint="eastAsia" w:ascii="宋体" w:hAnsi="宋体"/>
          <w:bCs/>
          <w:color w:val="000000"/>
          <w:szCs w:val="21"/>
          <w:highlight w:val="none"/>
        </w:rPr>
      </w:pPr>
      <w:r>
        <w:rPr>
          <w:rFonts w:hint="eastAsia" w:ascii="宋体" w:hAnsi="宋体"/>
          <w:bCs/>
          <w:color w:val="000000"/>
          <w:szCs w:val="21"/>
          <w:highlight w:val="none"/>
        </w:rPr>
        <w:t>23.1合同未尽事项见</w:t>
      </w:r>
      <w:r>
        <w:rPr>
          <w:rFonts w:hint="eastAsia" w:ascii="宋体" w:hAnsi="宋体"/>
          <w:b/>
          <w:color w:val="000000"/>
          <w:szCs w:val="21"/>
          <w:highlight w:val="none"/>
        </w:rPr>
        <w:t>【政府采购合同专用条款】</w:t>
      </w:r>
      <w:r>
        <w:rPr>
          <w:rFonts w:hint="eastAsia" w:ascii="宋体" w:hAnsi="宋体"/>
          <w:bCs/>
          <w:color w:val="000000"/>
          <w:szCs w:val="21"/>
          <w:highlight w:val="none"/>
        </w:rPr>
        <w:t>。</w:t>
      </w:r>
    </w:p>
    <w:p w14:paraId="03F4CEA1">
      <w:pPr>
        <w:adjustRightInd w:val="0"/>
        <w:snapToGrid w:val="0"/>
        <w:spacing w:line="400" w:lineRule="exact"/>
        <w:jc w:val="left"/>
        <w:rPr>
          <w:rFonts w:ascii="黑体" w:hAnsi="华文中宋" w:eastAsia="黑体"/>
          <w:color w:val="000000"/>
          <w:sz w:val="28"/>
          <w:szCs w:val="28"/>
          <w:highlight w:val="none"/>
        </w:rPr>
      </w:pPr>
      <w:r>
        <w:rPr>
          <w:rFonts w:hint="eastAsia" w:ascii="宋体" w:hAnsi="宋体"/>
          <w:bCs/>
          <w:color w:val="000000"/>
          <w:szCs w:val="21"/>
          <w:highlight w:val="none"/>
        </w:rPr>
        <w:t xml:space="preserve">    23.2 合同附件与合同正文具有同等的法律效力。</w:t>
      </w:r>
      <w:bookmarkStart w:id="849" w:name="_Toc20313"/>
    </w:p>
    <w:p w14:paraId="2804F0B1">
      <w:pPr>
        <w:adjustRightInd w:val="0"/>
        <w:snapToGrid w:val="0"/>
        <w:jc w:val="center"/>
        <w:rPr>
          <w:rFonts w:ascii="黑体" w:hAnsi="华文中宋" w:eastAsia="黑体"/>
          <w:color w:val="000000"/>
          <w:sz w:val="28"/>
          <w:szCs w:val="28"/>
          <w:highlight w:val="none"/>
        </w:rPr>
      </w:pPr>
      <w:r>
        <w:rPr>
          <w:rFonts w:hint="eastAsia" w:ascii="黑体" w:hAnsi="华文中宋" w:eastAsia="黑体"/>
          <w:color w:val="000000"/>
          <w:sz w:val="28"/>
          <w:szCs w:val="28"/>
          <w:highlight w:val="none"/>
        </w:rPr>
        <w:br w:type="page"/>
      </w:r>
      <w:r>
        <w:rPr>
          <w:rFonts w:hint="eastAsia" w:ascii="黑体" w:hAnsi="华文中宋" w:eastAsia="黑体"/>
          <w:color w:val="000000"/>
          <w:sz w:val="28"/>
          <w:szCs w:val="28"/>
          <w:highlight w:val="none"/>
        </w:rPr>
        <w:t>第三节 政府采购合同专用条款</w:t>
      </w:r>
      <w:bookmarkEnd w:id="849"/>
    </w:p>
    <w:tbl>
      <w:tblPr>
        <w:tblStyle w:val="47"/>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0813B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36" w:hRule="atLeast"/>
          <w:jc w:val="center"/>
        </w:trPr>
        <w:tc>
          <w:tcPr>
            <w:tcW w:w="1607" w:type="dxa"/>
            <w:noWrap w:val="0"/>
            <w:vAlign w:val="center"/>
          </w:tcPr>
          <w:p w14:paraId="053D8E8F">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4688FA47">
            <w:pPr>
              <w:adjustRightInd w:val="0"/>
              <w:snapToGrid w:val="0"/>
              <w:jc w:val="center"/>
              <w:rPr>
                <w:rFonts w:ascii="宋体" w:hAnsi="宋体"/>
                <w:color w:val="000000"/>
                <w:szCs w:val="21"/>
                <w:highlight w:val="none"/>
              </w:rPr>
            </w:pPr>
            <w:r>
              <w:rPr>
                <w:rFonts w:hint="eastAsia" w:ascii="宋体" w:hAnsi="宋体"/>
                <w:color w:val="000000"/>
                <w:szCs w:val="21"/>
                <w:highlight w:val="none"/>
              </w:rPr>
              <w:t>第1.2（6）项</w:t>
            </w:r>
          </w:p>
        </w:tc>
        <w:tc>
          <w:tcPr>
            <w:tcW w:w="1742" w:type="dxa"/>
            <w:noWrap w:val="0"/>
            <w:vAlign w:val="center"/>
          </w:tcPr>
          <w:p w14:paraId="2DB26E9F">
            <w:pPr>
              <w:adjustRightInd w:val="0"/>
              <w:snapToGrid w:val="0"/>
              <w:jc w:val="left"/>
              <w:rPr>
                <w:rFonts w:ascii="宋体" w:hAnsi="宋体"/>
                <w:color w:val="000000"/>
                <w:szCs w:val="21"/>
                <w:highlight w:val="none"/>
              </w:rPr>
            </w:pPr>
            <w:r>
              <w:rPr>
                <w:rFonts w:hint="eastAsia" w:ascii="宋体" w:hAnsi="宋体"/>
                <w:color w:val="000000"/>
                <w:szCs w:val="21"/>
                <w:highlight w:val="none"/>
              </w:rPr>
              <w:t>联合体具体要求</w:t>
            </w:r>
          </w:p>
        </w:tc>
        <w:tc>
          <w:tcPr>
            <w:tcW w:w="5170" w:type="dxa"/>
            <w:noWrap w:val="0"/>
            <w:vAlign w:val="center"/>
          </w:tcPr>
          <w:p w14:paraId="6DB2EF33">
            <w:pPr>
              <w:adjustRightInd w:val="0"/>
              <w:snapToGrid w:val="0"/>
              <w:jc w:val="left"/>
              <w:rPr>
                <w:rFonts w:ascii="宋体" w:hAnsi="宋体"/>
                <w:color w:val="000000"/>
                <w:szCs w:val="21"/>
                <w:highlight w:val="none"/>
              </w:rPr>
            </w:pPr>
            <w:r>
              <w:rPr>
                <w:rFonts w:hint="eastAsia" w:ascii="宋体" w:hAnsi="宋体"/>
                <w:color w:val="000000"/>
                <w:szCs w:val="21"/>
                <w:highlight w:val="none"/>
              </w:rPr>
              <w:t>本项目不接受联合体</w:t>
            </w:r>
          </w:p>
        </w:tc>
      </w:tr>
      <w:tr w14:paraId="3F09D3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04" w:hRule="atLeast"/>
          <w:jc w:val="center"/>
        </w:trPr>
        <w:tc>
          <w:tcPr>
            <w:tcW w:w="1607" w:type="dxa"/>
            <w:noWrap w:val="0"/>
            <w:vAlign w:val="center"/>
          </w:tcPr>
          <w:p w14:paraId="12E5236D">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174A7AB0">
            <w:pPr>
              <w:adjustRightInd w:val="0"/>
              <w:snapToGrid w:val="0"/>
              <w:jc w:val="center"/>
              <w:rPr>
                <w:rFonts w:hint="eastAsia" w:ascii="宋体" w:hAnsi="宋体"/>
                <w:color w:val="000000"/>
                <w:szCs w:val="21"/>
                <w:highlight w:val="none"/>
              </w:rPr>
            </w:pPr>
            <w:r>
              <w:rPr>
                <w:rFonts w:hint="eastAsia" w:ascii="宋体" w:hAnsi="宋体"/>
                <w:color w:val="000000"/>
                <w:szCs w:val="21"/>
                <w:highlight w:val="none"/>
              </w:rPr>
              <w:t>第1.2（7）项</w:t>
            </w:r>
          </w:p>
        </w:tc>
        <w:tc>
          <w:tcPr>
            <w:tcW w:w="1742" w:type="dxa"/>
            <w:noWrap w:val="0"/>
            <w:vAlign w:val="center"/>
          </w:tcPr>
          <w:p w14:paraId="1AA87FBB">
            <w:pPr>
              <w:adjustRightInd w:val="0"/>
              <w:snapToGrid w:val="0"/>
              <w:jc w:val="left"/>
              <w:rPr>
                <w:rFonts w:hint="eastAsia" w:ascii="宋体" w:hAnsi="宋体"/>
                <w:color w:val="000000"/>
                <w:szCs w:val="21"/>
                <w:highlight w:val="none"/>
              </w:rPr>
            </w:pPr>
            <w:r>
              <w:rPr>
                <w:rFonts w:hint="eastAsia" w:ascii="宋体" w:hAnsi="宋体"/>
                <w:color w:val="000000"/>
                <w:szCs w:val="21"/>
                <w:highlight w:val="none"/>
              </w:rPr>
              <w:t>其他术语解释</w:t>
            </w:r>
          </w:p>
        </w:tc>
        <w:tc>
          <w:tcPr>
            <w:tcW w:w="5170" w:type="dxa"/>
            <w:noWrap w:val="0"/>
            <w:vAlign w:val="center"/>
          </w:tcPr>
          <w:p w14:paraId="49723716">
            <w:pPr>
              <w:adjustRightInd w:val="0"/>
              <w:snapToGrid w:val="0"/>
              <w:jc w:val="left"/>
              <w:rPr>
                <w:rFonts w:hint="eastAsia" w:ascii="宋体" w:hAnsi="宋体"/>
                <w:color w:val="000000"/>
                <w:szCs w:val="21"/>
                <w:highlight w:val="none"/>
              </w:rPr>
            </w:pPr>
            <w:r>
              <w:rPr>
                <w:rFonts w:hint="eastAsia" w:ascii="宋体" w:hAnsi="宋体"/>
                <w:color w:val="000000"/>
                <w:szCs w:val="21"/>
                <w:highlight w:val="none"/>
              </w:rPr>
              <w:t xml:space="preserve"> </w:t>
            </w:r>
          </w:p>
        </w:tc>
      </w:tr>
      <w:tr w14:paraId="17E4AD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36" w:hRule="atLeast"/>
          <w:jc w:val="center"/>
        </w:trPr>
        <w:tc>
          <w:tcPr>
            <w:tcW w:w="1607" w:type="dxa"/>
            <w:noWrap w:val="0"/>
            <w:vAlign w:val="center"/>
          </w:tcPr>
          <w:p w14:paraId="64D29237">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132DF3E2">
            <w:pPr>
              <w:adjustRightInd w:val="0"/>
              <w:snapToGrid w:val="0"/>
              <w:jc w:val="center"/>
              <w:rPr>
                <w:rFonts w:ascii="宋体" w:hAnsi="宋体"/>
                <w:color w:val="000000"/>
                <w:szCs w:val="21"/>
                <w:highlight w:val="none"/>
              </w:rPr>
            </w:pPr>
            <w:r>
              <w:rPr>
                <w:rFonts w:hint="eastAsia" w:ascii="宋体" w:hAnsi="宋体"/>
                <w:color w:val="000000"/>
                <w:szCs w:val="21"/>
                <w:highlight w:val="none"/>
              </w:rPr>
              <w:t>第4.4款</w:t>
            </w:r>
          </w:p>
        </w:tc>
        <w:tc>
          <w:tcPr>
            <w:tcW w:w="1742" w:type="dxa"/>
            <w:noWrap w:val="0"/>
            <w:vAlign w:val="center"/>
          </w:tcPr>
          <w:p w14:paraId="5B77180E">
            <w:pPr>
              <w:adjustRightInd w:val="0"/>
              <w:snapToGrid w:val="0"/>
              <w:jc w:val="left"/>
              <w:rPr>
                <w:rFonts w:hint="eastAsia" w:ascii="宋体" w:hAnsi="宋体"/>
                <w:color w:val="000000"/>
                <w:szCs w:val="21"/>
                <w:highlight w:val="none"/>
              </w:rPr>
            </w:pPr>
            <w:r>
              <w:rPr>
                <w:rFonts w:hint="eastAsia" w:ascii="宋体" w:hAnsi="宋体"/>
                <w:color w:val="000000"/>
                <w:szCs w:val="21"/>
                <w:highlight w:val="none"/>
              </w:rPr>
              <w:t>履约验收中甲方提出异议或作出说明的期限</w:t>
            </w:r>
          </w:p>
        </w:tc>
        <w:tc>
          <w:tcPr>
            <w:tcW w:w="5170" w:type="dxa"/>
            <w:noWrap w:val="0"/>
            <w:vAlign w:val="center"/>
          </w:tcPr>
          <w:p w14:paraId="0B8291EE">
            <w:pPr>
              <w:adjustRightInd w:val="0"/>
              <w:snapToGrid w:val="0"/>
              <w:jc w:val="left"/>
              <w:rPr>
                <w:rFonts w:ascii="宋体" w:hAnsi="宋体"/>
                <w:color w:val="000000"/>
                <w:szCs w:val="21"/>
                <w:highlight w:val="none"/>
              </w:rPr>
            </w:pPr>
            <w:r>
              <w:rPr>
                <w:rFonts w:hint="eastAsia" w:ascii="宋体" w:hAnsi="宋体"/>
                <w:color w:val="000000"/>
                <w:szCs w:val="21"/>
                <w:highlight w:val="none"/>
              </w:rPr>
              <w:t>60个日历天</w:t>
            </w:r>
          </w:p>
        </w:tc>
      </w:tr>
      <w:tr w14:paraId="744A88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36" w:hRule="atLeast"/>
          <w:jc w:val="center"/>
        </w:trPr>
        <w:tc>
          <w:tcPr>
            <w:tcW w:w="1607" w:type="dxa"/>
            <w:noWrap w:val="0"/>
            <w:vAlign w:val="center"/>
          </w:tcPr>
          <w:p w14:paraId="48EDBDC8">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5C35E85A">
            <w:pPr>
              <w:adjustRightInd w:val="0"/>
              <w:snapToGrid w:val="0"/>
              <w:jc w:val="center"/>
              <w:rPr>
                <w:rFonts w:hint="eastAsia" w:ascii="宋体" w:hAnsi="宋体"/>
                <w:color w:val="000000"/>
                <w:szCs w:val="21"/>
                <w:highlight w:val="none"/>
              </w:rPr>
            </w:pPr>
            <w:r>
              <w:rPr>
                <w:rFonts w:hint="eastAsia" w:ascii="宋体" w:hAnsi="宋体"/>
                <w:color w:val="000000"/>
                <w:szCs w:val="21"/>
                <w:highlight w:val="none"/>
              </w:rPr>
              <w:t>第4.6款</w:t>
            </w:r>
          </w:p>
        </w:tc>
        <w:tc>
          <w:tcPr>
            <w:tcW w:w="1742" w:type="dxa"/>
            <w:noWrap w:val="0"/>
            <w:vAlign w:val="center"/>
          </w:tcPr>
          <w:p w14:paraId="0194982D">
            <w:pPr>
              <w:adjustRightInd w:val="0"/>
              <w:snapToGrid w:val="0"/>
              <w:jc w:val="left"/>
              <w:rPr>
                <w:rFonts w:hint="eastAsia" w:ascii="宋体" w:hAnsi="宋体"/>
                <w:color w:val="000000"/>
                <w:szCs w:val="21"/>
                <w:highlight w:val="none"/>
              </w:rPr>
            </w:pPr>
            <w:r>
              <w:rPr>
                <w:rFonts w:hint="eastAsia" w:ascii="宋体" w:hAnsi="宋体"/>
                <w:color w:val="000000"/>
                <w:szCs w:val="21"/>
                <w:highlight w:val="none"/>
              </w:rPr>
              <w:t>约定甲方承担的其他义务和责任</w:t>
            </w:r>
          </w:p>
        </w:tc>
        <w:tc>
          <w:tcPr>
            <w:tcW w:w="5170" w:type="dxa"/>
            <w:noWrap w:val="0"/>
            <w:vAlign w:val="center"/>
          </w:tcPr>
          <w:p w14:paraId="128AB95B">
            <w:pPr>
              <w:adjustRightInd w:val="0"/>
              <w:snapToGrid w:val="0"/>
              <w:jc w:val="left"/>
              <w:rPr>
                <w:rFonts w:ascii="宋体" w:hAnsi="宋体"/>
                <w:color w:val="000000"/>
                <w:szCs w:val="21"/>
                <w:highlight w:val="none"/>
              </w:rPr>
            </w:pPr>
          </w:p>
        </w:tc>
      </w:tr>
      <w:tr w14:paraId="3524B1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36" w:hRule="atLeast"/>
          <w:jc w:val="center"/>
        </w:trPr>
        <w:tc>
          <w:tcPr>
            <w:tcW w:w="1607" w:type="dxa"/>
            <w:noWrap w:val="0"/>
            <w:vAlign w:val="center"/>
          </w:tcPr>
          <w:p w14:paraId="5D52C56E">
            <w:pPr>
              <w:adjustRightInd w:val="0"/>
              <w:snapToGrid w:val="0"/>
              <w:jc w:val="center"/>
              <w:rPr>
                <w:rFonts w:hint="eastAsia" w:ascii="宋体" w:hAnsi="宋体"/>
                <w:color w:val="000000"/>
                <w:szCs w:val="21"/>
                <w:highlight w:val="none"/>
              </w:rPr>
            </w:pPr>
            <w:r>
              <w:rPr>
                <w:rFonts w:hint="eastAsia" w:ascii="宋体" w:hAnsi="宋体"/>
                <w:color w:val="000000"/>
                <w:szCs w:val="21"/>
                <w:highlight w:val="none"/>
              </w:rPr>
              <w:t>第二节</w:t>
            </w:r>
          </w:p>
          <w:p w14:paraId="2F178545">
            <w:pPr>
              <w:snapToGrid w:val="0"/>
              <w:jc w:val="center"/>
              <w:rPr>
                <w:color w:val="000000"/>
                <w:highlight w:val="none"/>
              </w:rPr>
            </w:pPr>
            <w:r>
              <w:rPr>
                <w:rFonts w:hint="eastAsia" w:ascii="宋体" w:hAnsi="宋体"/>
                <w:color w:val="000000"/>
                <w:szCs w:val="21"/>
                <w:highlight w:val="none"/>
              </w:rPr>
              <w:t>第5.4款</w:t>
            </w:r>
          </w:p>
        </w:tc>
        <w:tc>
          <w:tcPr>
            <w:tcW w:w="1742" w:type="dxa"/>
            <w:noWrap w:val="0"/>
            <w:vAlign w:val="center"/>
          </w:tcPr>
          <w:p w14:paraId="2DA78ABE">
            <w:pPr>
              <w:adjustRightInd w:val="0"/>
              <w:snapToGrid w:val="0"/>
              <w:jc w:val="left"/>
              <w:rPr>
                <w:rFonts w:hint="eastAsia" w:ascii="宋体" w:hAnsi="宋体"/>
                <w:color w:val="000000"/>
                <w:szCs w:val="21"/>
                <w:highlight w:val="none"/>
              </w:rPr>
            </w:pPr>
            <w:r>
              <w:rPr>
                <w:rFonts w:hint="eastAsia" w:ascii="宋体" w:hAnsi="宋体"/>
                <w:color w:val="000000"/>
                <w:szCs w:val="21"/>
                <w:highlight w:val="none"/>
              </w:rPr>
              <w:t>约定乙方承担的其他义务和责任</w:t>
            </w:r>
          </w:p>
        </w:tc>
        <w:tc>
          <w:tcPr>
            <w:tcW w:w="5170" w:type="dxa"/>
            <w:noWrap w:val="0"/>
            <w:vAlign w:val="center"/>
          </w:tcPr>
          <w:p w14:paraId="7C5B196E">
            <w:pPr>
              <w:adjustRightInd w:val="0"/>
              <w:snapToGrid w:val="0"/>
              <w:jc w:val="left"/>
              <w:rPr>
                <w:rFonts w:ascii="宋体" w:hAnsi="宋体"/>
                <w:color w:val="000000"/>
                <w:szCs w:val="21"/>
                <w:highlight w:val="none"/>
              </w:rPr>
            </w:pPr>
          </w:p>
        </w:tc>
      </w:tr>
      <w:tr w14:paraId="3DEB4EB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36" w:hRule="atLeast"/>
          <w:jc w:val="center"/>
        </w:trPr>
        <w:tc>
          <w:tcPr>
            <w:tcW w:w="1607" w:type="dxa"/>
            <w:noWrap w:val="0"/>
            <w:vAlign w:val="center"/>
          </w:tcPr>
          <w:p w14:paraId="0F4F24A5">
            <w:pPr>
              <w:adjustRightInd w:val="0"/>
              <w:snapToGrid w:val="0"/>
              <w:jc w:val="center"/>
              <w:rPr>
                <w:rFonts w:hint="eastAsia" w:ascii="宋体" w:hAnsi="宋体"/>
                <w:color w:val="000000"/>
                <w:szCs w:val="21"/>
                <w:highlight w:val="none"/>
              </w:rPr>
            </w:pPr>
            <w:r>
              <w:rPr>
                <w:rFonts w:hint="eastAsia" w:ascii="宋体" w:hAnsi="宋体"/>
                <w:color w:val="000000"/>
                <w:szCs w:val="21"/>
                <w:highlight w:val="none"/>
              </w:rPr>
              <w:t>第二节</w:t>
            </w:r>
          </w:p>
          <w:p w14:paraId="726BE5EA">
            <w:pPr>
              <w:snapToGrid w:val="0"/>
              <w:jc w:val="center"/>
              <w:rPr>
                <w:rFonts w:hint="eastAsia" w:ascii="宋体" w:hAnsi="宋体"/>
                <w:color w:val="000000"/>
                <w:szCs w:val="21"/>
                <w:highlight w:val="none"/>
              </w:rPr>
            </w:pPr>
            <w:r>
              <w:rPr>
                <w:rFonts w:hint="eastAsia" w:ascii="宋体" w:hAnsi="宋体"/>
                <w:color w:val="000000"/>
                <w:szCs w:val="21"/>
                <w:highlight w:val="none"/>
              </w:rPr>
              <w:t>第6.1款</w:t>
            </w:r>
          </w:p>
        </w:tc>
        <w:tc>
          <w:tcPr>
            <w:tcW w:w="1742" w:type="dxa"/>
            <w:noWrap w:val="0"/>
            <w:vAlign w:val="center"/>
          </w:tcPr>
          <w:p w14:paraId="5A69B62B">
            <w:pPr>
              <w:adjustRightInd w:val="0"/>
              <w:snapToGrid w:val="0"/>
              <w:jc w:val="left"/>
              <w:rPr>
                <w:rFonts w:hint="eastAsia" w:ascii="宋体" w:hAnsi="宋体"/>
                <w:color w:val="000000"/>
                <w:szCs w:val="21"/>
                <w:highlight w:val="none"/>
              </w:rPr>
            </w:pPr>
            <w:r>
              <w:rPr>
                <w:rFonts w:hint="eastAsia" w:ascii="宋体" w:hAnsi="宋体"/>
                <w:color w:val="000000"/>
                <w:szCs w:val="21"/>
                <w:highlight w:val="none"/>
              </w:rPr>
              <w:t>履行合同义务的顺序</w:t>
            </w:r>
          </w:p>
        </w:tc>
        <w:tc>
          <w:tcPr>
            <w:tcW w:w="5170" w:type="dxa"/>
            <w:noWrap w:val="0"/>
            <w:vAlign w:val="center"/>
          </w:tcPr>
          <w:p w14:paraId="1D706CD8">
            <w:pPr>
              <w:adjustRightInd w:val="0"/>
              <w:snapToGrid w:val="0"/>
              <w:jc w:val="left"/>
              <w:rPr>
                <w:rFonts w:ascii="宋体" w:hAnsi="宋体"/>
                <w:color w:val="000000"/>
                <w:szCs w:val="21"/>
                <w:highlight w:val="none"/>
              </w:rPr>
            </w:pPr>
          </w:p>
        </w:tc>
      </w:tr>
      <w:tr w14:paraId="3EE389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67" w:hRule="atLeast"/>
          <w:jc w:val="center"/>
        </w:trPr>
        <w:tc>
          <w:tcPr>
            <w:tcW w:w="1607" w:type="dxa"/>
            <w:vMerge w:val="restart"/>
            <w:noWrap w:val="0"/>
            <w:vAlign w:val="center"/>
          </w:tcPr>
          <w:p w14:paraId="0BE6AF00">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22C772BD">
            <w:pPr>
              <w:adjustRightInd w:val="0"/>
              <w:snapToGrid w:val="0"/>
              <w:jc w:val="center"/>
              <w:rPr>
                <w:rFonts w:ascii="宋体" w:hAnsi="宋体"/>
                <w:color w:val="000000"/>
                <w:szCs w:val="21"/>
                <w:highlight w:val="none"/>
              </w:rPr>
            </w:pPr>
            <w:r>
              <w:rPr>
                <w:rFonts w:hint="eastAsia" w:ascii="宋体" w:hAnsi="宋体"/>
                <w:color w:val="000000"/>
                <w:szCs w:val="21"/>
                <w:highlight w:val="none"/>
              </w:rPr>
              <w:t>第7.1款</w:t>
            </w:r>
          </w:p>
        </w:tc>
        <w:tc>
          <w:tcPr>
            <w:tcW w:w="1742" w:type="dxa"/>
            <w:noWrap w:val="0"/>
            <w:vAlign w:val="center"/>
          </w:tcPr>
          <w:p w14:paraId="57815054">
            <w:pPr>
              <w:adjustRightInd w:val="0"/>
              <w:snapToGrid w:val="0"/>
              <w:jc w:val="left"/>
              <w:rPr>
                <w:rFonts w:ascii="宋体" w:hAnsi="宋体"/>
                <w:color w:val="000000"/>
                <w:szCs w:val="21"/>
                <w:highlight w:val="none"/>
              </w:rPr>
            </w:pPr>
            <w:r>
              <w:rPr>
                <w:rFonts w:hint="eastAsia" w:ascii="宋体" w:hAnsi="宋体"/>
                <w:color w:val="000000"/>
                <w:szCs w:val="21"/>
                <w:highlight w:val="none"/>
              </w:rPr>
              <w:t>包装特殊要求</w:t>
            </w:r>
          </w:p>
        </w:tc>
        <w:tc>
          <w:tcPr>
            <w:tcW w:w="5170" w:type="dxa"/>
            <w:noWrap w:val="0"/>
            <w:vAlign w:val="center"/>
          </w:tcPr>
          <w:p w14:paraId="7533C8A0">
            <w:pPr>
              <w:rPr>
                <w:color w:val="000000"/>
                <w:highlight w:val="none"/>
              </w:rPr>
            </w:pPr>
          </w:p>
        </w:tc>
      </w:tr>
      <w:tr w14:paraId="6B1EB7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67" w:hRule="atLeast"/>
          <w:jc w:val="center"/>
        </w:trPr>
        <w:tc>
          <w:tcPr>
            <w:tcW w:w="1607" w:type="dxa"/>
            <w:vMerge w:val="continue"/>
            <w:noWrap w:val="0"/>
            <w:vAlign w:val="center"/>
          </w:tcPr>
          <w:p w14:paraId="6025411D">
            <w:pPr>
              <w:adjustRightInd w:val="0"/>
              <w:snapToGrid w:val="0"/>
              <w:jc w:val="center"/>
              <w:rPr>
                <w:rFonts w:hint="eastAsia" w:ascii="宋体" w:hAnsi="宋体"/>
                <w:color w:val="000000"/>
                <w:szCs w:val="21"/>
                <w:highlight w:val="none"/>
              </w:rPr>
            </w:pPr>
          </w:p>
        </w:tc>
        <w:tc>
          <w:tcPr>
            <w:tcW w:w="1742" w:type="dxa"/>
            <w:noWrap w:val="0"/>
            <w:vAlign w:val="center"/>
          </w:tcPr>
          <w:p w14:paraId="6F288A23">
            <w:pPr>
              <w:adjustRightInd w:val="0"/>
              <w:snapToGrid w:val="0"/>
              <w:jc w:val="left"/>
              <w:rPr>
                <w:rFonts w:hint="eastAsia" w:ascii="宋体" w:hAnsi="宋体"/>
                <w:color w:val="000000"/>
                <w:szCs w:val="21"/>
                <w:highlight w:val="none"/>
              </w:rPr>
            </w:pPr>
            <w:r>
              <w:rPr>
                <w:rFonts w:hint="eastAsia" w:ascii="宋体" w:hAnsi="宋体"/>
                <w:color w:val="000000"/>
                <w:szCs w:val="21"/>
                <w:highlight w:val="none"/>
              </w:rPr>
              <w:t>指定现场</w:t>
            </w:r>
          </w:p>
        </w:tc>
        <w:tc>
          <w:tcPr>
            <w:tcW w:w="5170" w:type="dxa"/>
            <w:noWrap w:val="0"/>
            <w:vAlign w:val="center"/>
          </w:tcPr>
          <w:p w14:paraId="3AF0A1EF">
            <w:pPr>
              <w:rPr>
                <w:rFonts w:hint="eastAsia"/>
                <w:color w:val="000000"/>
                <w:highlight w:val="none"/>
              </w:rPr>
            </w:pPr>
          </w:p>
        </w:tc>
      </w:tr>
      <w:tr w14:paraId="17ED20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72" w:hRule="atLeast"/>
          <w:jc w:val="center"/>
        </w:trPr>
        <w:tc>
          <w:tcPr>
            <w:tcW w:w="1607" w:type="dxa"/>
            <w:noWrap w:val="0"/>
            <w:vAlign w:val="center"/>
          </w:tcPr>
          <w:p w14:paraId="549D6E42">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1F6322E8">
            <w:pPr>
              <w:adjustRightInd w:val="0"/>
              <w:snapToGrid w:val="0"/>
              <w:jc w:val="center"/>
              <w:rPr>
                <w:rFonts w:hint="eastAsia" w:ascii="宋体" w:hAnsi="宋体"/>
                <w:color w:val="000000"/>
                <w:szCs w:val="21"/>
                <w:highlight w:val="none"/>
              </w:rPr>
            </w:pPr>
            <w:r>
              <w:rPr>
                <w:rFonts w:hint="eastAsia" w:ascii="宋体" w:hAnsi="宋体"/>
                <w:color w:val="000000"/>
                <w:szCs w:val="21"/>
                <w:highlight w:val="none"/>
              </w:rPr>
              <w:t>第7.2款</w:t>
            </w:r>
          </w:p>
        </w:tc>
        <w:tc>
          <w:tcPr>
            <w:tcW w:w="1742" w:type="dxa"/>
            <w:noWrap w:val="0"/>
            <w:vAlign w:val="center"/>
          </w:tcPr>
          <w:p w14:paraId="70FF69D2">
            <w:pPr>
              <w:adjustRightInd w:val="0"/>
              <w:snapToGrid w:val="0"/>
              <w:jc w:val="left"/>
              <w:rPr>
                <w:rFonts w:hint="eastAsia" w:ascii="宋体" w:hAnsi="宋体"/>
                <w:color w:val="000000"/>
                <w:szCs w:val="21"/>
                <w:highlight w:val="none"/>
              </w:rPr>
            </w:pPr>
            <w:r>
              <w:rPr>
                <w:rFonts w:hint="eastAsia" w:ascii="宋体" w:hAnsi="宋体"/>
                <w:color w:val="000000"/>
                <w:szCs w:val="21"/>
                <w:highlight w:val="none"/>
              </w:rPr>
              <w:t>运输特殊要求</w:t>
            </w:r>
          </w:p>
        </w:tc>
        <w:tc>
          <w:tcPr>
            <w:tcW w:w="5170" w:type="dxa"/>
            <w:noWrap w:val="0"/>
            <w:vAlign w:val="center"/>
          </w:tcPr>
          <w:p w14:paraId="38E29D6E">
            <w:pPr>
              <w:rPr>
                <w:rFonts w:hint="eastAsia"/>
                <w:color w:val="000000"/>
                <w:highlight w:val="none"/>
              </w:rPr>
            </w:pPr>
          </w:p>
        </w:tc>
      </w:tr>
      <w:tr w14:paraId="2D7442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67" w:hRule="atLeast"/>
          <w:jc w:val="center"/>
        </w:trPr>
        <w:tc>
          <w:tcPr>
            <w:tcW w:w="1607" w:type="dxa"/>
            <w:noWrap w:val="0"/>
            <w:vAlign w:val="center"/>
          </w:tcPr>
          <w:p w14:paraId="22C8F1EA">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098696B4">
            <w:pPr>
              <w:adjustRightInd w:val="0"/>
              <w:snapToGrid w:val="0"/>
              <w:jc w:val="center"/>
              <w:rPr>
                <w:rFonts w:hint="eastAsia" w:ascii="宋体" w:hAnsi="宋体"/>
                <w:color w:val="000000"/>
                <w:szCs w:val="21"/>
                <w:highlight w:val="none"/>
              </w:rPr>
            </w:pPr>
            <w:r>
              <w:rPr>
                <w:rFonts w:hint="eastAsia" w:ascii="宋体" w:hAnsi="宋体"/>
                <w:color w:val="000000"/>
                <w:szCs w:val="21"/>
                <w:highlight w:val="none"/>
              </w:rPr>
              <w:t>第7.3款</w:t>
            </w:r>
          </w:p>
        </w:tc>
        <w:tc>
          <w:tcPr>
            <w:tcW w:w="1742" w:type="dxa"/>
            <w:noWrap w:val="0"/>
            <w:vAlign w:val="center"/>
          </w:tcPr>
          <w:p w14:paraId="0851B8BD">
            <w:pPr>
              <w:adjustRightInd w:val="0"/>
              <w:snapToGrid w:val="0"/>
              <w:jc w:val="left"/>
              <w:rPr>
                <w:rFonts w:hint="eastAsia" w:ascii="宋体" w:hAnsi="宋体"/>
                <w:color w:val="000000"/>
                <w:szCs w:val="21"/>
                <w:highlight w:val="none"/>
              </w:rPr>
            </w:pPr>
            <w:r>
              <w:rPr>
                <w:rFonts w:hint="eastAsia" w:ascii="宋体" w:hAnsi="宋体"/>
                <w:color w:val="000000"/>
                <w:szCs w:val="21"/>
                <w:highlight w:val="none"/>
              </w:rPr>
              <w:t>保险要求</w:t>
            </w:r>
          </w:p>
        </w:tc>
        <w:tc>
          <w:tcPr>
            <w:tcW w:w="5170" w:type="dxa"/>
            <w:noWrap w:val="0"/>
            <w:vAlign w:val="center"/>
          </w:tcPr>
          <w:p w14:paraId="18047BD6">
            <w:pPr>
              <w:rPr>
                <w:rFonts w:hint="eastAsia"/>
                <w:color w:val="000000"/>
                <w:highlight w:val="none"/>
              </w:rPr>
            </w:pPr>
          </w:p>
        </w:tc>
      </w:tr>
      <w:tr w14:paraId="4644CF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36" w:hRule="atLeast"/>
          <w:jc w:val="center"/>
        </w:trPr>
        <w:tc>
          <w:tcPr>
            <w:tcW w:w="1607" w:type="dxa"/>
            <w:noWrap w:val="0"/>
            <w:vAlign w:val="center"/>
          </w:tcPr>
          <w:p w14:paraId="56497CCA">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59753B90">
            <w:pPr>
              <w:adjustRightInd w:val="0"/>
              <w:snapToGrid w:val="0"/>
              <w:jc w:val="center"/>
              <w:rPr>
                <w:rFonts w:ascii="宋体" w:hAnsi="宋体"/>
                <w:color w:val="000000"/>
                <w:szCs w:val="21"/>
                <w:highlight w:val="none"/>
              </w:rPr>
            </w:pPr>
            <w:r>
              <w:rPr>
                <w:rFonts w:hint="eastAsia" w:ascii="宋体" w:hAnsi="宋体"/>
                <w:color w:val="000000"/>
                <w:szCs w:val="21"/>
                <w:highlight w:val="none"/>
              </w:rPr>
              <w:t>第8.2（1）项</w:t>
            </w:r>
          </w:p>
        </w:tc>
        <w:tc>
          <w:tcPr>
            <w:tcW w:w="1742" w:type="dxa"/>
            <w:noWrap w:val="0"/>
            <w:vAlign w:val="center"/>
          </w:tcPr>
          <w:p w14:paraId="482FF5DD">
            <w:pPr>
              <w:adjustRightInd w:val="0"/>
              <w:snapToGrid w:val="0"/>
              <w:jc w:val="left"/>
              <w:rPr>
                <w:rFonts w:ascii="宋体" w:hAnsi="宋体"/>
                <w:color w:val="000000"/>
                <w:szCs w:val="21"/>
                <w:highlight w:val="none"/>
              </w:rPr>
            </w:pPr>
            <w:r>
              <w:rPr>
                <w:rFonts w:hint="eastAsia" w:ascii="宋体" w:hAnsi="宋体"/>
                <w:color w:val="000000"/>
                <w:szCs w:val="21"/>
                <w:highlight w:val="none"/>
              </w:rPr>
              <w:t>质量保证期</w:t>
            </w:r>
          </w:p>
        </w:tc>
        <w:tc>
          <w:tcPr>
            <w:tcW w:w="5170" w:type="dxa"/>
            <w:noWrap w:val="0"/>
            <w:vAlign w:val="center"/>
          </w:tcPr>
          <w:p w14:paraId="464837EF">
            <w:pPr>
              <w:autoSpaceDE w:val="0"/>
              <w:autoSpaceDN w:val="0"/>
              <w:adjustRightInd w:val="0"/>
              <w:snapToGrid w:val="0"/>
              <w:ind w:firstLine="210" w:firstLineChars="100"/>
              <w:jc w:val="left"/>
              <w:rPr>
                <w:rFonts w:ascii="宋体" w:hAnsi="宋体"/>
                <w:color w:val="000000"/>
                <w:szCs w:val="21"/>
                <w:highlight w:val="none"/>
              </w:rPr>
            </w:pPr>
            <w:r>
              <w:rPr>
                <w:rFonts w:hint="eastAsia" w:ascii="宋体" w:hAnsi="宋体"/>
                <w:color w:val="000000"/>
                <w:szCs w:val="21"/>
                <w:highlight w:val="none"/>
              </w:rPr>
              <w:t>年</w:t>
            </w:r>
          </w:p>
        </w:tc>
      </w:tr>
      <w:tr w14:paraId="1EC5B5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36" w:hRule="atLeast"/>
          <w:jc w:val="center"/>
        </w:trPr>
        <w:tc>
          <w:tcPr>
            <w:tcW w:w="1607" w:type="dxa"/>
            <w:noWrap w:val="0"/>
            <w:vAlign w:val="center"/>
          </w:tcPr>
          <w:p w14:paraId="299A14EE">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5E999A2A">
            <w:pPr>
              <w:adjustRightInd w:val="0"/>
              <w:snapToGrid w:val="0"/>
              <w:jc w:val="center"/>
              <w:rPr>
                <w:rFonts w:ascii="宋体" w:hAnsi="宋体"/>
                <w:color w:val="000000"/>
                <w:szCs w:val="21"/>
                <w:highlight w:val="none"/>
              </w:rPr>
            </w:pPr>
            <w:r>
              <w:rPr>
                <w:rFonts w:hint="eastAsia" w:ascii="宋体" w:hAnsi="宋体"/>
                <w:color w:val="000000"/>
                <w:szCs w:val="21"/>
                <w:highlight w:val="none"/>
              </w:rPr>
              <w:t>第8.2（3）项</w:t>
            </w:r>
          </w:p>
        </w:tc>
        <w:tc>
          <w:tcPr>
            <w:tcW w:w="1742" w:type="dxa"/>
            <w:noWrap w:val="0"/>
            <w:vAlign w:val="center"/>
          </w:tcPr>
          <w:p w14:paraId="6AD7AE9A">
            <w:pPr>
              <w:adjustRightInd w:val="0"/>
              <w:snapToGrid w:val="0"/>
              <w:jc w:val="left"/>
              <w:rPr>
                <w:rFonts w:hint="eastAsia" w:ascii="宋体" w:hAnsi="宋体"/>
                <w:color w:val="000000"/>
                <w:szCs w:val="21"/>
                <w:highlight w:val="none"/>
              </w:rPr>
            </w:pPr>
            <w:r>
              <w:rPr>
                <w:rFonts w:hint="eastAsia" w:ascii="宋体" w:hAnsi="宋体"/>
                <w:color w:val="000000"/>
                <w:szCs w:val="21"/>
                <w:highlight w:val="none"/>
              </w:rPr>
              <w:t>货物质量缺陷</w:t>
            </w:r>
          </w:p>
          <w:p w14:paraId="5CB34E48">
            <w:pPr>
              <w:adjustRightInd w:val="0"/>
              <w:snapToGrid w:val="0"/>
              <w:jc w:val="left"/>
              <w:rPr>
                <w:rFonts w:ascii="宋体" w:hAnsi="宋体"/>
                <w:color w:val="000000"/>
                <w:szCs w:val="21"/>
                <w:highlight w:val="none"/>
              </w:rPr>
            </w:pPr>
            <w:r>
              <w:rPr>
                <w:rFonts w:hint="eastAsia" w:ascii="宋体" w:hAnsi="宋体"/>
                <w:color w:val="000000"/>
                <w:szCs w:val="21"/>
                <w:highlight w:val="none"/>
              </w:rPr>
              <w:t>响应时间</w:t>
            </w:r>
          </w:p>
        </w:tc>
        <w:tc>
          <w:tcPr>
            <w:tcW w:w="5170" w:type="dxa"/>
            <w:noWrap w:val="0"/>
            <w:vAlign w:val="center"/>
          </w:tcPr>
          <w:p w14:paraId="2DFC10C1">
            <w:pPr>
              <w:adjustRightInd w:val="0"/>
              <w:snapToGrid w:val="0"/>
              <w:jc w:val="left"/>
              <w:rPr>
                <w:rFonts w:ascii="宋体" w:hAnsi="宋体"/>
                <w:color w:val="000000"/>
                <w:szCs w:val="21"/>
                <w:highlight w:val="none"/>
              </w:rPr>
            </w:pPr>
            <w:r>
              <w:rPr>
                <w:rFonts w:hint="eastAsia" w:ascii="宋体" w:hAnsi="宋体"/>
                <w:color w:val="000000"/>
                <w:szCs w:val="21"/>
                <w:highlight w:val="none"/>
              </w:rPr>
              <w:t>7个日历天</w:t>
            </w:r>
          </w:p>
        </w:tc>
      </w:tr>
      <w:tr w14:paraId="136386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36" w:hRule="atLeast"/>
          <w:jc w:val="center"/>
        </w:trPr>
        <w:tc>
          <w:tcPr>
            <w:tcW w:w="1607" w:type="dxa"/>
            <w:noWrap w:val="0"/>
            <w:vAlign w:val="center"/>
          </w:tcPr>
          <w:p w14:paraId="6C040F48">
            <w:pPr>
              <w:snapToGrid w:val="0"/>
              <w:jc w:val="center"/>
              <w:rPr>
                <w:rFonts w:hint="eastAsia" w:ascii="宋体" w:hAnsi="宋体" w:cs="宋体"/>
                <w:color w:val="000000"/>
                <w:szCs w:val="21"/>
                <w:highlight w:val="none"/>
              </w:rPr>
            </w:pPr>
            <w:r>
              <w:rPr>
                <w:rFonts w:hint="eastAsia" w:ascii="宋体" w:hAnsi="宋体" w:cs="宋体"/>
                <w:color w:val="000000"/>
                <w:szCs w:val="21"/>
                <w:highlight w:val="none"/>
              </w:rPr>
              <w:t>第二节</w:t>
            </w:r>
          </w:p>
          <w:p w14:paraId="76DDED09">
            <w:pPr>
              <w:pStyle w:val="90"/>
              <w:ind w:firstLine="0" w:firstLineChars="0"/>
              <w:jc w:val="center"/>
              <w:rPr>
                <w:color w:val="000000"/>
                <w:highlight w:val="none"/>
              </w:rPr>
            </w:pPr>
            <w:r>
              <w:rPr>
                <w:rFonts w:hint="eastAsia" w:ascii="宋体" w:hAnsi="宋体" w:eastAsia="宋体" w:cs="宋体"/>
                <w:color w:val="000000"/>
                <w:highlight w:val="none"/>
              </w:rPr>
              <w:t>第11.1款</w:t>
            </w:r>
          </w:p>
        </w:tc>
        <w:tc>
          <w:tcPr>
            <w:tcW w:w="1742" w:type="dxa"/>
            <w:noWrap w:val="0"/>
            <w:vAlign w:val="center"/>
          </w:tcPr>
          <w:p w14:paraId="0D613918">
            <w:pPr>
              <w:adjustRightInd w:val="0"/>
              <w:snapToGrid w:val="0"/>
              <w:rPr>
                <w:rFonts w:ascii="宋体" w:hAnsi="宋体"/>
                <w:color w:val="000000"/>
                <w:szCs w:val="21"/>
                <w:highlight w:val="none"/>
              </w:rPr>
            </w:pPr>
            <w:r>
              <w:rPr>
                <w:rFonts w:hint="eastAsia" w:ascii="宋体" w:hAnsi="宋体"/>
                <w:color w:val="000000"/>
                <w:szCs w:val="21"/>
                <w:highlight w:val="none"/>
              </w:rPr>
              <w:t>其他应当保密的信息</w:t>
            </w:r>
          </w:p>
        </w:tc>
        <w:tc>
          <w:tcPr>
            <w:tcW w:w="5170" w:type="dxa"/>
            <w:noWrap w:val="0"/>
            <w:vAlign w:val="center"/>
          </w:tcPr>
          <w:p w14:paraId="7887A11B">
            <w:pPr>
              <w:adjustRightInd w:val="0"/>
              <w:snapToGrid w:val="0"/>
              <w:jc w:val="left"/>
              <w:rPr>
                <w:rFonts w:ascii="宋体" w:hAnsi="宋体"/>
                <w:color w:val="000000"/>
                <w:szCs w:val="21"/>
                <w:highlight w:val="none"/>
              </w:rPr>
            </w:pPr>
            <w:r>
              <w:rPr>
                <w:rFonts w:hint="eastAsia" w:ascii="宋体" w:hAnsi="宋体"/>
                <w:color w:val="000000"/>
                <w:szCs w:val="21"/>
                <w:highlight w:val="none"/>
              </w:rPr>
              <w:t>无</w:t>
            </w:r>
          </w:p>
        </w:tc>
      </w:tr>
      <w:tr w14:paraId="035034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97" w:hRule="atLeast"/>
          <w:jc w:val="center"/>
        </w:trPr>
        <w:tc>
          <w:tcPr>
            <w:tcW w:w="1607" w:type="dxa"/>
            <w:noWrap w:val="0"/>
            <w:vAlign w:val="center"/>
          </w:tcPr>
          <w:p w14:paraId="4E2C75E0">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0D3E2F4F">
            <w:pPr>
              <w:adjustRightInd w:val="0"/>
              <w:snapToGrid w:val="0"/>
              <w:jc w:val="center"/>
              <w:rPr>
                <w:rFonts w:ascii="宋体" w:hAnsi="宋体"/>
                <w:color w:val="000000"/>
                <w:szCs w:val="21"/>
                <w:highlight w:val="none"/>
              </w:rPr>
            </w:pPr>
            <w:r>
              <w:rPr>
                <w:rFonts w:hint="eastAsia" w:ascii="宋体" w:hAnsi="宋体"/>
                <w:color w:val="000000"/>
                <w:szCs w:val="21"/>
                <w:highlight w:val="none"/>
              </w:rPr>
              <w:t>第12.2款</w:t>
            </w:r>
          </w:p>
        </w:tc>
        <w:tc>
          <w:tcPr>
            <w:tcW w:w="1742" w:type="dxa"/>
            <w:noWrap w:val="0"/>
            <w:vAlign w:val="center"/>
          </w:tcPr>
          <w:p w14:paraId="08DB9DD7">
            <w:pPr>
              <w:adjustRightInd w:val="0"/>
              <w:snapToGrid w:val="0"/>
              <w:jc w:val="left"/>
              <w:rPr>
                <w:rFonts w:hint="eastAsia" w:ascii="宋体" w:hAnsi="宋体"/>
                <w:color w:val="000000"/>
                <w:szCs w:val="21"/>
                <w:highlight w:val="none"/>
              </w:rPr>
            </w:pPr>
            <w:r>
              <w:rPr>
                <w:rFonts w:hint="eastAsia" w:ascii="宋体" w:hAnsi="宋体"/>
                <w:color w:val="000000"/>
                <w:szCs w:val="21"/>
                <w:highlight w:val="none"/>
              </w:rPr>
              <w:t>合同价款支付时间</w:t>
            </w:r>
          </w:p>
        </w:tc>
        <w:tc>
          <w:tcPr>
            <w:tcW w:w="5170" w:type="dxa"/>
            <w:noWrap w:val="0"/>
            <w:vAlign w:val="center"/>
          </w:tcPr>
          <w:p w14:paraId="7854D02C">
            <w:pPr>
              <w:adjustRightInd w:val="0"/>
              <w:snapToGrid w:val="0"/>
              <w:jc w:val="left"/>
              <w:rPr>
                <w:rFonts w:ascii="宋体" w:hAnsi="宋体"/>
                <w:color w:val="000000"/>
                <w:szCs w:val="21"/>
                <w:highlight w:val="none"/>
              </w:rPr>
            </w:pPr>
          </w:p>
        </w:tc>
      </w:tr>
      <w:tr w14:paraId="446D03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697" w:hRule="atLeast"/>
          <w:jc w:val="center"/>
        </w:trPr>
        <w:tc>
          <w:tcPr>
            <w:tcW w:w="1607" w:type="dxa"/>
            <w:noWrap w:val="0"/>
            <w:vAlign w:val="center"/>
          </w:tcPr>
          <w:p w14:paraId="2967E541">
            <w:pPr>
              <w:adjustRightInd w:val="0"/>
              <w:snapToGrid w:val="0"/>
              <w:jc w:val="center"/>
              <w:rPr>
                <w:rFonts w:hint="eastAsia" w:ascii="宋体" w:hAnsi="宋体"/>
                <w:color w:val="000000"/>
                <w:szCs w:val="21"/>
                <w:highlight w:val="none"/>
              </w:rPr>
            </w:pPr>
            <w:r>
              <w:rPr>
                <w:rFonts w:hint="eastAsia" w:ascii="宋体" w:hAnsi="宋体"/>
                <w:color w:val="000000"/>
                <w:szCs w:val="21"/>
                <w:highlight w:val="none"/>
              </w:rPr>
              <w:t>第二节</w:t>
            </w:r>
          </w:p>
          <w:p w14:paraId="4499154F">
            <w:pPr>
              <w:adjustRightInd w:val="0"/>
              <w:snapToGrid w:val="0"/>
              <w:jc w:val="center"/>
              <w:rPr>
                <w:rFonts w:hint="eastAsia" w:ascii="宋体" w:hAnsi="宋体"/>
                <w:color w:val="000000"/>
                <w:szCs w:val="21"/>
                <w:highlight w:val="none"/>
              </w:rPr>
            </w:pPr>
            <w:r>
              <w:rPr>
                <w:rFonts w:hint="eastAsia" w:ascii="宋体" w:hAnsi="宋体"/>
                <w:color w:val="000000"/>
                <w:szCs w:val="21"/>
                <w:highlight w:val="none"/>
              </w:rPr>
              <w:t>第13.2款</w:t>
            </w:r>
          </w:p>
        </w:tc>
        <w:tc>
          <w:tcPr>
            <w:tcW w:w="1742" w:type="dxa"/>
            <w:noWrap w:val="0"/>
            <w:vAlign w:val="center"/>
          </w:tcPr>
          <w:p w14:paraId="5BB360CD">
            <w:pPr>
              <w:adjustRightInd w:val="0"/>
              <w:snapToGrid w:val="0"/>
              <w:jc w:val="left"/>
              <w:rPr>
                <w:rFonts w:ascii="宋体" w:hAnsi="宋体"/>
                <w:color w:val="000000"/>
                <w:szCs w:val="21"/>
                <w:highlight w:val="none"/>
              </w:rPr>
            </w:pPr>
            <w:r>
              <w:rPr>
                <w:rFonts w:hint="eastAsia" w:ascii="宋体" w:hAnsi="宋体"/>
                <w:color w:val="000000"/>
                <w:szCs w:val="21"/>
                <w:highlight w:val="none"/>
              </w:rPr>
              <w:t>履约保证金不予退还的情形</w:t>
            </w:r>
          </w:p>
        </w:tc>
        <w:tc>
          <w:tcPr>
            <w:tcW w:w="5170" w:type="dxa"/>
            <w:noWrap w:val="0"/>
            <w:vAlign w:val="center"/>
          </w:tcPr>
          <w:p w14:paraId="03553157">
            <w:pPr>
              <w:adjustRightInd w:val="0"/>
              <w:snapToGrid w:val="0"/>
              <w:jc w:val="left"/>
              <w:rPr>
                <w:rFonts w:ascii="宋体" w:hAnsi="宋体"/>
                <w:color w:val="000000"/>
                <w:szCs w:val="21"/>
                <w:highlight w:val="none"/>
              </w:rPr>
            </w:pPr>
          </w:p>
        </w:tc>
      </w:tr>
      <w:tr w14:paraId="191604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36" w:hRule="atLeast"/>
          <w:jc w:val="center"/>
        </w:trPr>
        <w:tc>
          <w:tcPr>
            <w:tcW w:w="1607" w:type="dxa"/>
            <w:noWrap w:val="0"/>
            <w:vAlign w:val="center"/>
          </w:tcPr>
          <w:p w14:paraId="42ABEB19">
            <w:pPr>
              <w:adjustRightInd w:val="0"/>
              <w:snapToGrid w:val="0"/>
              <w:jc w:val="center"/>
              <w:rPr>
                <w:rFonts w:hint="eastAsia" w:ascii="宋体" w:hAnsi="宋体"/>
                <w:color w:val="000000"/>
                <w:szCs w:val="21"/>
                <w:highlight w:val="none"/>
              </w:rPr>
            </w:pPr>
            <w:r>
              <w:rPr>
                <w:rFonts w:hint="eastAsia" w:ascii="宋体" w:hAnsi="宋体"/>
                <w:color w:val="000000"/>
                <w:szCs w:val="21"/>
                <w:highlight w:val="none"/>
              </w:rPr>
              <w:t>第二节</w:t>
            </w:r>
          </w:p>
          <w:p w14:paraId="062FB8E4">
            <w:pPr>
              <w:adjustRightInd w:val="0"/>
              <w:snapToGrid w:val="0"/>
              <w:jc w:val="center"/>
              <w:rPr>
                <w:rFonts w:hint="eastAsia" w:ascii="宋体" w:hAnsi="宋体"/>
                <w:color w:val="000000"/>
                <w:szCs w:val="21"/>
                <w:highlight w:val="none"/>
              </w:rPr>
            </w:pPr>
            <w:r>
              <w:rPr>
                <w:rFonts w:hint="eastAsia" w:ascii="宋体" w:hAnsi="宋体"/>
                <w:color w:val="000000"/>
                <w:szCs w:val="21"/>
                <w:highlight w:val="none"/>
              </w:rPr>
              <w:t>第13.3款</w:t>
            </w:r>
          </w:p>
        </w:tc>
        <w:tc>
          <w:tcPr>
            <w:tcW w:w="1742" w:type="dxa"/>
            <w:noWrap w:val="0"/>
            <w:vAlign w:val="center"/>
          </w:tcPr>
          <w:p w14:paraId="4906BC48">
            <w:pPr>
              <w:adjustRightInd w:val="0"/>
              <w:snapToGrid w:val="0"/>
              <w:jc w:val="left"/>
              <w:rPr>
                <w:rFonts w:ascii="宋体" w:hAnsi="宋体"/>
                <w:color w:val="000000"/>
                <w:szCs w:val="21"/>
                <w:highlight w:val="none"/>
              </w:rPr>
            </w:pPr>
            <w:r>
              <w:rPr>
                <w:rFonts w:hint="eastAsia" w:ascii="宋体" w:hAnsi="宋体"/>
                <w:color w:val="000000"/>
                <w:szCs w:val="21"/>
                <w:highlight w:val="none"/>
              </w:rPr>
              <w:t>履约保证金退还时间及逾期退还的违约金</w:t>
            </w:r>
          </w:p>
        </w:tc>
        <w:tc>
          <w:tcPr>
            <w:tcW w:w="5170" w:type="dxa"/>
            <w:noWrap w:val="0"/>
            <w:vAlign w:val="center"/>
          </w:tcPr>
          <w:p w14:paraId="56FBB75F">
            <w:pPr>
              <w:adjustRightInd w:val="0"/>
              <w:snapToGrid w:val="0"/>
              <w:jc w:val="left"/>
              <w:rPr>
                <w:rFonts w:ascii="宋体" w:hAnsi="宋体"/>
                <w:color w:val="000000"/>
                <w:szCs w:val="21"/>
                <w:highlight w:val="none"/>
              </w:rPr>
            </w:pPr>
          </w:p>
        </w:tc>
      </w:tr>
      <w:tr w14:paraId="0F15E7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84" w:hRule="atLeast"/>
          <w:jc w:val="center"/>
        </w:trPr>
        <w:tc>
          <w:tcPr>
            <w:tcW w:w="1607" w:type="dxa"/>
            <w:noWrap w:val="0"/>
            <w:vAlign w:val="center"/>
          </w:tcPr>
          <w:p w14:paraId="304FFFB2">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0E3D3C8E">
            <w:pPr>
              <w:adjustRightInd w:val="0"/>
              <w:snapToGrid w:val="0"/>
              <w:jc w:val="center"/>
              <w:rPr>
                <w:rFonts w:hint="eastAsia" w:ascii="宋体" w:hAnsi="宋体"/>
                <w:color w:val="000000"/>
                <w:szCs w:val="21"/>
                <w:highlight w:val="none"/>
              </w:rPr>
            </w:pPr>
            <w:r>
              <w:rPr>
                <w:rFonts w:hint="eastAsia" w:ascii="宋体" w:hAnsi="宋体"/>
                <w:color w:val="000000"/>
                <w:szCs w:val="21"/>
                <w:highlight w:val="none"/>
              </w:rPr>
              <w:t>第14.1（3）项</w:t>
            </w:r>
          </w:p>
        </w:tc>
        <w:tc>
          <w:tcPr>
            <w:tcW w:w="1742" w:type="dxa"/>
            <w:noWrap w:val="0"/>
            <w:vAlign w:val="center"/>
          </w:tcPr>
          <w:p w14:paraId="62D40B16">
            <w:pPr>
              <w:adjustRightInd w:val="0"/>
              <w:snapToGrid w:val="0"/>
              <w:jc w:val="left"/>
              <w:rPr>
                <w:rFonts w:hint="eastAsia" w:ascii="宋体" w:hAnsi="宋体"/>
                <w:color w:val="000000"/>
                <w:szCs w:val="21"/>
                <w:highlight w:val="none"/>
              </w:rPr>
            </w:pPr>
            <w:r>
              <w:rPr>
                <w:rFonts w:hint="eastAsia" w:ascii="宋体" w:hAnsi="宋体"/>
                <w:color w:val="000000"/>
                <w:szCs w:val="21"/>
                <w:highlight w:val="none"/>
              </w:rPr>
              <w:t>运行监督、维修期限</w:t>
            </w:r>
          </w:p>
        </w:tc>
        <w:tc>
          <w:tcPr>
            <w:tcW w:w="5170" w:type="dxa"/>
            <w:noWrap w:val="0"/>
            <w:vAlign w:val="center"/>
          </w:tcPr>
          <w:p w14:paraId="5F558E2F">
            <w:pPr>
              <w:adjustRightInd w:val="0"/>
              <w:snapToGrid w:val="0"/>
              <w:jc w:val="left"/>
              <w:rPr>
                <w:rFonts w:ascii="宋体" w:hAnsi="宋体"/>
                <w:color w:val="000000"/>
                <w:szCs w:val="21"/>
                <w:highlight w:val="none"/>
              </w:rPr>
            </w:pPr>
            <w:r>
              <w:rPr>
                <w:rFonts w:hint="eastAsia" w:ascii="宋体" w:hAnsi="宋体"/>
                <w:color w:val="000000"/>
                <w:szCs w:val="21"/>
                <w:highlight w:val="none"/>
              </w:rPr>
              <w:t>3年</w:t>
            </w:r>
          </w:p>
        </w:tc>
      </w:tr>
      <w:tr w14:paraId="796CEA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84" w:hRule="atLeast"/>
          <w:jc w:val="center"/>
        </w:trPr>
        <w:tc>
          <w:tcPr>
            <w:tcW w:w="1607" w:type="dxa"/>
            <w:noWrap w:val="0"/>
            <w:vAlign w:val="center"/>
          </w:tcPr>
          <w:p w14:paraId="2AED5CD0">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446E2015">
            <w:pPr>
              <w:adjustRightInd w:val="0"/>
              <w:snapToGrid w:val="0"/>
              <w:jc w:val="center"/>
              <w:rPr>
                <w:rFonts w:hint="eastAsia" w:ascii="宋体" w:hAnsi="宋体"/>
                <w:color w:val="000000"/>
                <w:szCs w:val="21"/>
                <w:highlight w:val="none"/>
              </w:rPr>
            </w:pPr>
            <w:r>
              <w:rPr>
                <w:rFonts w:hint="eastAsia" w:ascii="宋体" w:hAnsi="宋体"/>
                <w:color w:val="000000"/>
                <w:szCs w:val="21"/>
                <w:highlight w:val="none"/>
              </w:rPr>
              <w:t>第14.1（5）项</w:t>
            </w:r>
          </w:p>
        </w:tc>
        <w:tc>
          <w:tcPr>
            <w:tcW w:w="1742" w:type="dxa"/>
            <w:noWrap w:val="0"/>
            <w:vAlign w:val="center"/>
          </w:tcPr>
          <w:p w14:paraId="30BDA325">
            <w:pPr>
              <w:adjustRightInd w:val="0"/>
              <w:snapToGrid w:val="0"/>
              <w:jc w:val="left"/>
              <w:rPr>
                <w:rFonts w:ascii="宋体" w:hAnsi="宋体"/>
                <w:color w:val="000000"/>
                <w:szCs w:val="21"/>
                <w:highlight w:val="none"/>
              </w:rPr>
            </w:pPr>
            <w:r>
              <w:rPr>
                <w:rFonts w:hint="eastAsia" w:ascii="宋体" w:hAnsi="宋体"/>
                <w:color w:val="000000"/>
                <w:szCs w:val="21"/>
                <w:highlight w:val="none"/>
              </w:rPr>
              <w:t>货物回收的约定</w:t>
            </w:r>
          </w:p>
        </w:tc>
        <w:tc>
          <w:tcPr>
            <w:tcW w:w="5170" w:type="dxa"/>
            <w:noWrap w:val="0"/>
            <w:vAlign w:val="center"/>
          </w:tcPr>
          <w:p w14:paraId="397EDAA6">
            <w:pPr>
              <w:adjustRightInd w:val="0"/>
              <w:snapToGrid w:val="0"/>
              <w:jc w:val="left"/>
              <w:rPr>
                <w:rFonts w:hint="eastAsia" w:ascii="宋体" w:hAnsi="宋体"/>
                <w:color w:val="000000"/>
                <w:szCs w:val="21"/>
                <w:highlight w:val="none"/>
              </w:rPr>
            </w:pPr>
            <w:r>
              <w:rPr>
                <w:rFonts w:hint="eastAsia" w:ascii="宋体" w:hAnsi="宋体"/>
                <w:color w:val="000000"/>
                <w:szCs w:val="21"/>
                <w:highlight w:val="none"/>
              </w:rPr>
              <w:t>不涉及</w:t>
            </w:r>
          </w:p>
        </w:tc>
      </w:tr>
      <w:tr w14:paraId="21622D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36" w:hRule="atLeast"/>
          <w:jc w:val="center"/>
        </w:trPr>
        <w:tc>
          <w:tcPr>
            <w:tcW w:w="1607" w:type="dxa"/>
            <w:noWrap w:val="0"/>
            <w:vAlign w:val="center"/>
          </w:tcPr>
          <w:p w14:paraId="1AE64D37">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06D89B52">
            <w:pPr>
              <w:adjustRightInd w:val="0"/>
              <w:snapToGrid w:val="0"/>
              <w:jc w:val="center"/>
              <w:rPr>
                <w:rFonts w:ascii="宋体" w:hAnsi="宋体"/>
                <w:color w:val="000000"/>
                <w:szCs w:val="21"/>
                <w:highlight w:val="none"/>
              </w:rPr>
            </w:pPr>
            <w:r>
              <w:rPr>
                <w:rFonts w:hint="eastAsia" w:ascii="宋体" w:hAnsi="宋体"/>
                <w:color w:val="000000"/>
                <w:szCs w:val="21"/>
                <w:highlight w:val="none"/>
              </w:rPr>
              <w:t>第14.1（6）项</w:t>
            </w:r>
          </w:p>
        </w:tc>
        <w:tc>
          <w:tcPr>
            <w:tcW w:w="1742" w:type="dxa"/>
            <w:noWrap w:val="0"/>
            <w:vAlign w:val="center"/>
          </w:tcPr>
          <w:p w14:paraId="2D127C1B">
            <w:pPr>
              <w:adjustRightInd w:val="0"/>
              <w:snapToGrid w:val="0"/>
              <w:jc w:val="left"/>
              <w:rPr>
                <w:rFonts w:ascii="宋体" w:hAnsi="宋体"/>
                <w:color w:val="000000"/>
                <w:szCs w:val="21"/>
                <w:highlight w:val="none"/>
              </w:rPr>
            </w:pPr>
            <w:r>
              <w:rPr>
                <w:rFonts w:hint="eastAsia" w:ascii="宋体" w:hAnsi="宋体"/>
                <w:color w:val="000000"/>
                <w:szCs w:val="21"/>
                <w:highlight w:val="none"/>
              </w:rPr>
              <w:t>乙方提供的其他服务</w:t>
            </w:r>
          </w:p>
        </w:tc>
        <w:tc>
          <w:tcPr>
            <w:tcW w:w="5170" w:type="dxa"/>
            <w:noWrap w:val="0"/>
            <w:vAlign w:val="center"/>
          </w:tcPr>
          <w:p w14:paraId="4382C276">
            <w:pPr>
              <w:adjustRightInd w:val="0"/>
              <w:snapToGrid w:val="0"/>
              <w:jc w:val="left"/>
              <w:rPr>
                <w:rFonts w:hint="eastAsia" w:ascii="宋体" w:hAnsi="宋体"/>
                <w:color w:val="000000"/>
                <w:szCs w:val="21"/>
                <w:highlight w:val="none"/>
              </w:rPr>
            </w:pPr>
            <w:r>
              <w:rPr>
                <w:rFonts w:hint="eastAsia" w:ascii="宋体" w:hAnsi="宋体"/>
                <w:color w:val="000000"/>
                <w:szCs w:val="21"/>
                <w:highlight w:val="none"/>
              </w:rPr>
              <w:t xml:space="preserve"> </w:t>
            </w:r>
          </w:p>
        </w:tc>
      </w:tr>
      <w:tr w14:paraId="295CF5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36" w:hRule="atLeast"/>
          <w:jc w:val="center"/>
        </w:trPr>
        <w:tc>
          <w:tcPr>
            <w:tcW w:w="1607" w:type="dxa"/>
            <w:noWrap w:val="0"/>
            <w:vAlign w:val="center"/>
          </w:tcPr>
          <w:p w14:paraId="5D0CC680">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55209081">
            <w:pPr>
              <w:adjustRightInd w:val="0"/>
              <w:snapToGrid w:val="0"/>
              <w:jc w:val="center"/>
              <w:rPr>
                <w:rFonts w:ascii="宋体" w:hAnsi="宋体"/>
                <w:color w:val="000000"/>
                <w:szCs w:val="21"/>
                <w:highlight w:val="none"/>
              </w:rPr>
            </w:pPr>
            <w:r>
              <w:rPr>
                <w:rFonts w:hint="eastAsia" w:ascii="宋体" w:hAnsi="宋体"/>
                <w:color w:val="000000"/>
                <w:szCs w:val="21"/>
                <w:highlight w:val="none"/>
              </w:rPr>
              <w:t>第15.1款</w:t>
            </w:r>
          </w:p>
        </w:tc>
        <w:tc>
          <w:tcPr>
            <w:tcW w:w="1742" w:type="dxa"/>
            <w:noWrap w:val="0"/>
            <w:vAlign w:val="center"/>
          </w:tcPr>
          <w:p w14:paraId="144D8C5E">
            <w:pPr>
              <w:adjustRightInd w:val="0"/>
              <w:snapToGrid w:val="0"/>
              <w:jc w:val="left"/>
              <w:rPr>
                <w:rFonts w:hint="eastAsia" w:ascii="宋体" w:hAnsi="宋体"/>
                <w:color w:val="000000"/>
                <w:szCs w:val="21"/>
                <w:highlight w:val="none"/>
              </w:rPr>
            </w:pPr>
            <w:r>
              <w:rPr>
                <w:rFonts w:hint="eastAsia" w:ascii="宋体" w:hAnsi="宋体"/>
                <w:color w:val="000000"/>
                <w:szCs w:val="21"/>
                <w:highlight w:val="none"/>
              </w:rPr>
              <w:t>修理、重作、更换相关具体规定</w:t>
            </w:r>
          </w:p>
        </w:tc>
        <w:tc>
          <w:tcPr>
            <w:tcW w:w="5170" w:type="dxa"/>
            <w:noWrap w:val="0"/>
            <w:vAlign w:val="center"/>
          </w:tcPr>
          <w:p w14:paraId="4701ED89">
            <w:pPr>
              <w:adjustRightInd w:val="0"/>
              <w:snapToGrid w:val="0"/>
              <w:jc w:val="left"/>
              <w:rPr>
                <w:rFonts w:ascii="宋体" w:hAnsi="宋体"/>
                <w:color w:val="000000"/>
                <w:szCs w:val="21"/>
                <w:highlight w:val="none"/>
              </w:rPr>
            </w:pPr>
            <w:r>
              <w:rPr>
                <w:rFonts w:hint="eastAsia" w:ascii="宋体" w:hAnsi="宋体"/>
                <w:color w:val="000000"/>
                <w:szCs w:val="21"/>
                <w:highlight w:val="none"/>
              </w:rPr>
              <w:t>按照投标文件响应要求及时修理、重作、更换</w:t>
            </w:r>
          </w:p>
        </w:tc>
      </w:tr>
      <w:tr w14:paraId="4E7FF2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36" w:hRule="atLeast"/>
          <w:jc w:val="center"/>
        </w:trPr>
        <w:tc>
          <w:tcPr>
            <w:tcW w:w="1607" w:type="dxa"/>
            <w:noWrap w:val="0"/>
            <w:vAlign w:val="center"/>
          </w:tcPr>
          <w:p w14:paraId="6D7BFC77">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3AAE8D69">
            <w:pPr>
              <w:adjustRightInd w:val="0"/>
              <w:snapToGrid w:val="0"/>
              <w:jc w:val="center"/>
              <w:rPr>
                <w:rFonts w:ascii="宋体" w:hAnsi="宋体"/>
                <w:color w:val="000000"/>
                <w:szCs w:val="21"/>
                <w:highlight w:val="none"/>
              </w:rPr>
            </w:pPr>
            <w:r>
              <w:rPr>
                <w:rFonts w:hint="eastAsia" w:ascii="宋体" w:hAnsi="宋体"/>
                <w:color w:val="000000"/>
                <w:szCs w:val="21"/>
                <w:highlight w:val="none"/>
              </w:rPr>
              <w:t>第15.2（2）项</w:t>
            </w:r>
          </w:p>
        </w:tc>
        <w:tc>
          <w:tcPr>
            <w:tcW w:w="1742" w:type="dxa"/>
            <w:noWrap w:val="0"/>
            <w:vAlign w:val="center"/>
          </w:tcPr>
          <w:p w14:paraId="46250935">
            <w:pPr>
              <w:adjustRightInd w:val="0"/>
              <w:snapToGrid w:val="0"/>
              <w:jc w:val="left"/>
              <w:rPr>
                <w:rFonts w:ascii="宋体" w:hAnsi="宋体"/>
                <w:color w:val="000000"/>
                <w:szCs w:val="21"/>
                <w:highlight w:val="none"/>
              </w:rPr>
            </w:pPr>
            <w:r>
              <w:rPr>
                <w:rFonts w:hint="eastAsia" w:ascii="宋体" w:hAnsi="宋体"/>
                <w:color w:val="000000"/>
                <w:szCs w:val="21"/>
                <w:highlight w:val="none"/>
              </w:rPr>
              <w:t>迟延交货赔偿费</w:t>
            </w:r>
          </w:p>
        </w:tc>
        <w:tc>
          <w:tcPr>
            <w:tcW w:w="5170" w:type="dxa"/>
            <w:noWrap w:val="0"/>
            <w:vAlign w:val="center"/>
          </w:tcPr>
          <w:p w14:paraId="0BF97BC3">
            <w:pPr>
              <w:adjustRightInd w:val="0"/>
              <w:snapToGrid w:val="0"/>
              <w:jc w:val="left"/>
              <w:rPr>
                <w:rFonts w:ascii="宋体" w:hAnsi="宋体"/>
                <w:color w:val="000000"/>
                <w:szCs w:val="21"/>
                <w:highlight w:val="none"/>
                <w:u w:val="single"/>
              </w:rPr>
            </w:pPr>
            <w:r>
              <w:rPr>
                <w:rFonts w:hint="eastAsia" w:ascii="宋体" w:hAnsi="宋体"/>
                <w:color w:val="000000"/>
                <w:szCs w:val="21"/>
                <w:highlight w:val="none"/>
              </w:rPr>
              <w:t>合同金额的1%/天</w:t>
            </w:r>
          </w:p>
        </w:tc>
      </w:tr>
      <w:tr w14:paraId="300EAA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36" w:hRule="atLeast"/>
          <w:jc w:val="center"/>
        </w:trPr>
        <w:tc>
          <w:tcPr>
            <w:tcW w:w="1607" w:type="dxa"/>
            <w:noWrap w:val="0"/>
            <w:vAlign w:val="center"/>
          </w:tcPr>
          <w:p w14:paraId="1FE9B0BE">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571EC4A1">
            <w:pPr>
              <w:adjustRightInd w:val="0"/>
              <w:snapToGrid w:val="0"/>
              <w:jc w:val="center"/>
              <w:rPr>
                <w:rFonts w:hint="eastAsia" w:ascii="宋体" w:hAnsi="宋体"/>
                <w:color w:val="000000"/>
                <w:szCs w:val="21"/>
                <w:highlight w:val="none"/>
              </w:rPr>
            </w:pPr>
            <w:r>
              <w:rPr>
                <w:rFonts w:hint="eastAsia" w:ascii="宋体" w:hAnsi="宋体"/>
                <w:color w:val="000000"/>
                <w:szCs w:val="21"/>
                <w:highlight w:val="none"/>
              </w:rPr>
              <w:t>第15.3款</w:t>
            </w:r>
          </w:p>
        </w:tc>
        <w:tc>
          <w:tcPr>
            <w:tcW w:w="1742" w:type="dxa"/>
            <w:noWrap w:val="0"/>
            <w:vAlign w:val="center"/>
          </w:tcPr>
          <w:p w14:paraId="0CE9E361">
            <w:pPr>
              <w:adjustRightInd w:val="0"/>
              <w:snapToGrid w:val="0"/>
              <w:jc w:val="left"/>
              <w:rPr>
                <w:rFonts w:hint="eastAsia" w:ascii="宋体" w:hAnsi="宋体"/>
                <w:color w:val="000000"/>
                <w:szCs w:val="21"/>
                <w:highlight w:val="none"/>
              </w:rPr>
            </w:pPr>
            <w:r>
              <w:rPr>
                <w:rFonts w:hint="eastAsia" w:ascii="宋体" w:hAnsi="宋体"/>
                <w:color w:val="000000"/>
                <w:szCs w:val="21"/>
                <w:highlight w:val="none"/>
              </w:rPr>
              <w:t>逾期付款利息</w:t>
            </w:r>
          </w:p>
        </w:tc>
        <w:tc>
          <w:tcPr>
            <w:tcW w:w="5170" w:type="dxa"/>
            <w:noWrap w:val="0"/>
            <w:vAlign w:val="center"/>
          </w:tcPr>
          <w:p w14:paraId="7DE4FB69">
            <w:pPr>
              <w:adjustRightInd w:val="0"/>
              <w:snapToGrid w:val="0"/>
              <w:jc w:val="left"/>
              <w:rPr>
                <w:rFonts w:hint="eastAsia" w:ascii="宋体" w:hAnsi="宋体"/>
                <w:color w:val="000000"/>
                <w:szCs w:val="21"/>
                <w:highlight w:val="none"/>
                <w:u w:val="single"/>
              </w:rPr>
            </w:pPr>
            <w:r>
              <w:rPr>
                <w:rFonts w:hint="eastAsia" w:ascii="宋体" w:hAnsi="宋体"/>
                <w:color w:val="000000"/>
                <w:szCs w:val="21"/>
                <w:highlight w:val="none"/>
              </w:rPr>
              <w:t>迟延支付利息利率按照合同订立时一年期LPR执行</w:t>
            </w:r>
          </w:p>
        </w:tc>
      </w:tr>
      <w:tr w14:paraId="1807DF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876" w:hRule="atLeast"/>
          <w:jc w:val="center"/>
        </w:trPr>
        <w:tc>
          <w:tcPr>
            <w:tcW w:w="1607" w:type="dxa"/>
            <w:tcBorders>
              <w:bottom w:val="single" w:color="auto" w:sz="2" w:space="0"/>
              <w:right w:val="single" w:color="auto" w:sz="2" w:space="0"/>
            </w:tcBorders>
            <w:noWrap w:val="0"/>
            <w:vAlign w:val="center"/>
          </w:tcPr>
          <w:p w14:paraId="35678938">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5BFC9342">
            <w:pPr>
              <w:adjustRightInd w:val="0"/>
              <w:snapToGrid w:val="0"/>
              <w:jc w:val="center"/>
              <w:rPr>
                <w:rFonts w:ascii="宋体" w:hAnsi="宋体"/>
                <w:color w:val="000000"/>
                <w:szCs w:val="21"/>
                <w:highlight w:val="none"/>
              </w:rPr>
            </w:pPr>
            <w:r>
              <w:rPr>
                <w:rFonts w:hint="eastAsia" w:ascii="宋体" w:hAnsi="宋体"/>
                <w:color w:val="000000"/>
                <w:szCs w:val="21"/>
                <w:highlight w:val="none"/>
              </w:rPr>
              <w:t>第15.4款</w:t>
            </w:r>
          </w:p>
        </w:tc>
        <w:tc>
          <w:tcPr>
            <w:tcW w:w="1742" w:type="dxa"/>
            <w:tcBorders>
              <w:left w:val="single" w:color="auto" w:sz="2" w:space="0"/>
              <w:bottom w:val="single" w:color="auto" w:sz="2" w:space="0"/>
              <w:right w:val="single" w:color="auto" w:sz="2" w:space="0"/>
            </w:tcBorders>
            <w:noWrap w:val="0"/>
            <w:vAlign w:val="center"/>
          </w:tcPr>
          <w:p w14:paraId="528F8EF2">
            <w:pPr>
              <w:adjustRightInd w:val="0"/>
              <w:snapToGrid w:val="0"/>
              <w:jc w:val="left"/>
              <w:rPr>
                <w:rFonts w:ascii="宋体" w:hAnsi="宋体"/>
                <w:color w:val="000000"/>
                <w:szCs w:val="21"/>
                <w:highlight w:val="none"/>
              </w:rPr>
            </w:pPr>
            <w:r>
              <w:rPr>
                <w:rFonts w:hint="eastAsia" w:ascii="宋体" w:hAnsi="宋体"/>
                <w:color w:val="000000"/>
                <w:szCs w:val="21"/>
                <w:highlight w:val="none"/>
              </w:rPr>
              <w:t>其他违约责任</w:t>
            </w:r>
          </w:p>
        </w:tc>
        <w:tc>
          <w:tcPr>
            <w:tcW w:w="5170" w:type="dxa"/>
            <w:tcBorders>
              <w:left w:val="single" w:color="auto" w:sz="2" w:space="0"/>
              <w:bottom w:val="single" w:color="auto" w:sz="2" w:space="0"/>
            </w:tcBorders>
            <w:noWrap w:val="0"/>
            <w:vAlign w:val="center"/>
          </w:tcPr>
          <w:p w14:paraId="1020444E">
            <w:pPr>
              <w:adjustRightInd w:val="0"/>
              <w:snapToGrid w:val="0"/>
              <w:jc w:val="left"/>
              <w:rPr>
                <w:rFonts w:hint="eastAsia" w:ascii="宋体" w:hAnsi="宋体"/>
                <w:color w:val="000000"/>
                <w:szCs w:val="21"/>
                <w:highlight w:val="none"/>
                <w:u w:val="single"/>
              </w:rPr>
            </w:pPr>
          </w:p>
        </w:tc>
      </w:tr>
      <w:tr w14:paraId="435378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2189" w:hRule="atLeast"/>
          <w:jc w:val="center"/>
        </w:trPr>
        <w:tc>
          <w:tcPr>
            <w:tcW w:w="1607" w:type="dxa"/>
            <w:tcBorders>
              <w:top w:val="single" w:color="auto" w:sz="2" w:space="0"/>
              <w:right w:val="single" w:color="auto" w:sz="2" w:space="0"/>
            </w:tcBorders>
            <w:noWrap w:val="0"/>
            <w:vAlign w:val="center"/>
          </w:tcPr>
          <w:p w14:paraId="34E42CDD">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1305573E">
            <w:pPr>
              <w:adjustRightInd w:val="0"/>
              <w:snapToGrid w:val="0"/>
              <w:jc w:val="center"/>
              <w:rPr>
                <w:rFonts w:ascii="宋体" w:hAnsi="宋体"/>
                <w:color w:val="000000"/>
                <w:szCs w:val="21"/>
                <w:highlight w:val="none"/>
              </w:rPr>
            </w:pPr>
            <w:r>
              <w:rPr>
                <w:rFonts w:hint="eastAsia" w:ascii="宋体" w:hAnsi="宋体"/>
                <w:color w:val="000000"/>
                <w:szCs w:val="21"/>
                <w:highlight w:val="none"/>
              </w:rPr>
              <w:t>第19.2款</w:t>
            </w:r>
          </w:p>
        </w:tc>
        <w:tc>
          <w:tcPr>
            <w:tcW w:w="1742" w:type="dxa"/>
            <w:tcBorders>
              <w:top w:val="single" w:color="auto" w:sz="2" w:space="0"/>
              <w:left w:val="single" w:color="auto" w:sz="2" w:space="0"/>
              <w:right w:val="single" w:color="auto" w:sz="2" w:space="0"/>
            </w:tcBorders>
            <w:noWrap w:val="0"/>
            <w:vAlign w:val="center"/>
          </w:tcPr>
          <w:p w14:paraId="0E06945C">
            <w:pPr>
              <w:adjustRightInd w:val="0"/>
              <w:snapToGrid w:val="0"/>
              <w:jc w:val="left"/>
              <w:rPr>
                <w:rFonts w:ascii="宋体" w:hAnsi="宋体"/>
                <w:color w:val="000000"/>
                <w:szCs w:val="21"/>
                <w:highlight w:val="none"/>
              </w:rPr>
            </w:pPr>
            <w:r>
              <w:rPr>
                <w:rFonts w:hint="eastAsia" w:ascii="宋体" w:hAnsi="宋体"/>
                <w:color w:val="000000"/>
                <w:szCs w:val="21"/>
                <w:highlight w:val="none"/>
              </w:rPr>
              <w:t>解决争议的方法</w:t>
            </w:r>
          </w:p>
        </w:tc>
        <w:tc>
          <w:tcPr>
            <w:tcW w:w="5170" w:type="dxa"/>
            <w:tcBorders>
              <w:top w:val="single" w:color="auto" w:sz="2" w:space="0"/>
              <w:left w:val="single" w:color="auto" w:sz="2" w:space="0"/>
            </w:tcBorders>
            <w:noWrap w:val="0"/>
            <w:vAlign w:val="center"/>
          </w:tcPr>
          <w:p w14:paraId="28ECBD35">
            <w:pPr>
              <w:autoSpaceDE w:val="0"/>
              <w:autoSpaceDN w:val="0"/>
              <w:adjustRightInd w:val="0"/>
              <w:snapToGrid w:val="0"/>
              <w:spacing w:line="400" w:lineRule="exact"/>
              <w:jc w:val="left"/>
              <w:rPr>
                <w:rFonts w:hint="eastAsia" w:ascii="宋体" w:hAnsi="宋体" w:cs="宋体"/>
                <w:iCs/>
                <w:color w:val="000000"/>
                <w:szCs w:val="21"/>
                <w:highlight w:val="none"/>
              </w:rPr>
            </w:pPr>
            <w:r>
              <w:rPr>
                <w:rFonts w:hint="eastAsia" w:ascii="宋体" w:hAnsi="宋体" w:cs="宋体"/>
                <w:iCs/>
                <w:color w:val="000000"/>
                <w:szCs w:val="21"/>
                <w:highlight w:val="none"/>
              </w:rPr>
              <w:t>因本合同及合同有关事项发生的争议，按下列第</w:t>
            </w:r>
            <w:r>
              <w:rPr>
                <w:rFonts w:hint="eastAsia" w:ascii="宋体" w:hAnsi="宋体" w:cs="宋体"/>
                <w:iCs/>
                <w:color w:val="000000"/>
                <w:szCs w:val="21"/>
                <w:highlight w:val="none"/>
                <w:u w:val="single"/>
              </w:rPr>
              <w:t>2</w:t>
            </w:r>
            <w:r>
              <w:rPr>
                <w:rFonts w:hint="eastAsia" w:ascii="宋体" w:hAnsi="宋体" w:cs="宋体"/>
                <w:iCs/>
                <w:color w:val="000000"/>
                <w:szCs w:val="21"/>
                <w:highlight w:val="none"/>
              </w:rPr>
              <w:t>种方式解决：</w:t>
            </w:r>
          </w:p>
          <w:p w14:paraId="3D2F7BD8">
            <w:pPr>
              <w:autoSpaceDE w:val="0"/>
              <w:autoSpaceDN w:val="0"/>
              <w:adjustRightInd w:val="0"/>
              <w:snapToGrid w:val="0"/>
              <w:spacing w:line="400" w:lineRule="exact"/>
              <w:jc w:val="left"/>
              <w:rPr>
                <w:rFonts w:hint="eastAsia" w:ascii="宋体" w:hAnsi="宋体" w:cs="宋体"/>
                <w:iCs/>
                <w:color w:val="000000"/>
                <w:szCs w:val="21"/>
                <w:highlight w:val="none"/>
              </w:rPr>
            </w:pPr>
            <w:r>
              <w:rPr>
                <w:rFonts w:hint="eastAsia" w:ascii="宋体" w:hAnsi="宋体" w:cs="宋体"/>
                <w:iCs/>
                <w:color w:val="000000"/>
                <w:szCs w:val="21"/>
                <w:highlight w:val="none"/>
              </w:rPr>
              <w:t>（1）向</w:t>
            </w:r>
            <w:r>
              <w:rPr>
                <w:rFonts w:hint="eastAsia" w:ascii="宋体" w:hAnsi="宋体" w:cs="宋体"/>
                <w:iCs/>
                <w:color w:val="000000"/>
                <w:szCs w:val="21"/>
                <w:highlight w:val="none"/>
                <w:u w:val="single"/>
              </w:rPr>
              <w:t xml:space="preserve">                    </w:t>
            </w:r>
            <w:r>
              <w:rPr>
                <w:rFonts w:hint="eastAsia" w:ascii="宋体" w:hAnsi="宋体" w:cs="宋体"/>
                <w:iCs/>
                <w:color w:val="000000"/>
                <w:szCs w:val="21"/>
                <w:highlight w:val="none"/>
              </w:rPr>
              <w:t>仲裁委员会申请仲裁，仲裁地点为</w:t>
            </w:r>
            <w:r>
              <w:rPr>
                <w:rFonts w:hint="eastAsia" w:ascii="宋体" w:hAnsi="宋体" w:cs="宋体"/>
                <w:iCs/>
                <w:color w:val="000000"/>
                <w:szCs w:val="21"/>
                <w:highlight w:val="none"/>
                <w:u w:val="single"/>
              </w:rPr>
              <w:t xml:space="preserve">           </w:t>
            </w:r>
            <w:r>
              <w:rPr>
                <w:rFonts w:hint="eastAsia" w:ascii="宋体" w:hAnsi="宋体" w:cs="宋体"/>
                <w:iCs/>
                <w:color w:val="000000"/>
                <w:szCs w:val="21"/>
                <w:highlight w:val="none"/>
              </w:rPr>
              <w:t>；</w:t>
            </w:r>
          </w:p>
          <w:p w14:paraId="684EC0C3">
            <w:pPr>
              <w:adjustRightInd w:val="0"/>
              <w:snapToGrid w:val="0"/>
              <w:jc w:val="left"/>
              <w:rPr>
                <w:rFonts w:ascii="宋体" w:hAnsi="宋体"/>
                <w:color w:val="000000"/>
                <w:szCs w:val="21"/>
                <w:highlight w:val="none"/>
                <w:u w:val="single"/>
              </w:rPr>
            </w:pPr>
            <w:r>
              <w:rPr>
                <w:rFonts w:hint="eastAsia" w:ascii="宋体" w:hAnsi="宋体" w:cs="宋体"/>
                <w:iCs/>
                <w:color w:val="000000"/>
                <w:szCs w:val="21"/>
                <w:highlight w:val="none"/>
              </w:rPr>
              <w:t>（2）向</w:t>
            </w:r>
            <w:r>
              <w:rPr>
                <w:rFonts w:hint="eastAsia" w:ascii="宋体" w:hAnsi="宋体" w:cs="宋体"/>
                <w:iCs/>
                <w:color w:val="000000"/>
                <w:szCs w:val="21"/>
                <w:highlight w:val="none"/>
                <w:u w:val="single"/>
              </w:rPr>
              <w:t xml:space="preserve"> 项目所在地</w:t>
            </w:r>
            <w:r>
              <w:rPr>
                <w:rFonts w:hint="eastAsia" w:ascii="宋体" w:hAnsi="宋体" w:cs="宋体"/>
                <w:iCs/>
                <w:color w:val="000000"/>
                <w:szCs w:val="21"/>
                <w:highlight w:val="none"/>
              </w:rPr>
              <w:t>人民法院起诉。</w:t>
            </w:r>
          </w:p>
        </w:tc>
      </w:tr>
      <w:tr w14:paraId="4EEFC0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wBefore w:w="0" w:type="dxa"/>
          <w:wAfter w:w="0" w:type="dxa"/>
          <w:trHeight w:val="770" w:hRule="atLeast"/>
          <w:jc w:val="center"/>
        </w:trPr>
        <w:tc>
          <w:tcPr>
            <w:tcW w:w="1607" w:type="dxa"/>
            <w:noWrap w:val="0"/>
            <w:vAlign w:val="center"/>
          </w:tcPr>
          <w:p w14:paraId="288624A9">
            <w:pPr>
              <w:adjustRightInd w:val="0"/>
              <w:snapToGrid w:val="0"/>
              <w:jc w:val="center"/>
              <w:rPr>
                <w:rFonts w:ascii="宋体" w:hAnsi="宋体"/>
                <w:color w:val="000000"/>
                <w:szCs w:val="21"/>
                <w:highlight w:val="none"/>
              </w:rPr>
            </w:pPr>
            <w:r>
              <w:rPr>
                <w:rFonts w:hint="eastAsia" w:ascii="宋体" w:hAnsi="宋体"/>
                <w:color w:val="000000"/>
                <w:szCs w:val="21"/>
                <w:highlight w:val="none"/>
              </w:rPr>
              <w:t>第二节</w:t>
            </w:r>
          </w:p>
          <w:p w14:paraId="3B493D62">
            <w:pPr>
              <w:adjustRightInd w:val="0"/>
              <w:snapToGrid w:val="0"/>
              <w:jc w:val="center"/>
              <w:rPr>
                <w:rFonts w:ascii="宋体" w:hAnsi="宋体"/>
                <w:color w:val="000000"/>
                <w:szCs w:val="21"/>
                <w:highlight w:val="none"/>
              </w:rPr>
            </w:pPr>
            <w:r>
              <w:rPr>
                <w:rFonts w:hint="eastAsia" w:ascii="宋体" w:hAnsi="宋体"/>
                <w:color w:val="000000"/>
                <w:szCs w:val="21"/>
                <w:highlight w:val="none"/>
              </w:rPr>
              <w:t>第23.1款</w:t>
            </w:r>
          </w:p>
        </w:tc>
        <w:tc>
          <w:tcPr>
            <w:tcW w:w="1742" w:type="dxa"/>
            <w:noWrap w:val="0"/>
            <w:vAlign w:val="center"/>
          </w:tcPr>
          <w:p w14:paraId="14E1895E">
            <w:pPr>
              <w:adjustRightInd w:val="0"/>
              <w:snapToGrid w:val="0"/>
              <w:jc w:val="left"/>
              <w:rPr>
                <w:rFonts w:ascii="宋体" w:hAnsi="宋体"/>
                <w:color w:val="000000"/>
                <w:szCs w:val="21"/>
                <w:highlight w:val="none"/>
              </w:rPr>
            </w:pPr>
            <w:r>
              <w:rPr>
                <w:rFonts w:hint="eastAsia" w:ascii="宋体" w:hAnsi="宋体"/>
                <w:bCs/>
                <w:color w:val="000000"/>
                <w:szCs w:val="21"/>
                <w:highlight w:val="none"/>
              </w:rPr>
              <w:t>其他专用条款</w:t>
            </w:r>
          </w:p>
        </w:tc>
        <w:tc>
          <w:tcPr>
            <w:tcW w:w="5170" w:type="dxa"/>
            <w:noWrap w:val="0"/>
            <w:vAlign w:val="center"/>
          </w:tcPr>
          <w:p w14:paraId="02BA327C">
            <w:pPr>
              <w:adjustRightInd w:val="0"/>
              <w:snapToGrid w:val="0"/>
              <w:jc w:val="left"/>
              <w:rPr>
                <w:rFonts w:ascii="宋体" w:hAnsi="宋体"/>
                <w:color w:val="000000"/>
                <w:szCs w:val="21"/>
                <w:highlight w:val="none"/>
              </w:rPr>
            </w:pPr>
          </w:p>
        </w:tc>
      </w:tr>
    </w:tbl>
    <w:p w14:paraId="54E373E9">
      <w:pPr>
        <w:rPr>
          <w:color w:val="000000"/>
          <w:highlight w:val="none"/>
        </w:rPr>
      </w:pPr>
    </w:p>
    <w:p w14:paraId="790EEF48">
      <w:pPr>
        <w:rPr>
          <w:color w:val="000000"/>
          <w:highlight w:val="none"/>
        </w:rPr>
      </w:pPr>
    </w:p>
    <w:p w14:paraId="773AC817">
      <w:pPr>
        <w:rPr>
          <w:rFonts w:hint="eastAsia" w:ascii="宋体" w:hAnsi="宋体" w:eastAsia="仿宋"/>
          <w:color w:val="000000"/>
          <w:sz w:val="24"/>
          <w:highlight w:val="none"/>
        </w:rPr>
      </w:pPr>
    </w:p>
    <w:p w14:paraId="0DB58A31">
      <w:pPr>
        <w:rPr>
          <w:rFonts w:hint="eastAsia"/>
          <w:color w:val="000000"/>
          <w:highlight w:val="none"/>
        </w:rPr>
      </w:pPr>
    </w:p>
    <w:p w14:paraId="7DBC9A0F">
      <w:pPr>
        <w:pStyle w:val="3"/>
        <w:rPr>
          <w:rFonts w:hint="eastAsia" w:eastAsia="仿宋"/>
          <w:color w:val="000000"/>
          <w:sz w:val="24"/>
          <w:szCs w:val="24"/>
          <w:highlight w:val="none"/>
        </w:rPr>
      </w:pPr>
      <w:r>
        <w:rPr>
          <w:rFonts w:ascii="宋体" w:hAnsi="宋体" w:eastAsia="仿宋" w:cs="Microsoft JhengHei"/>
          <w:b w:val="0"/>
          <w:bCs w:val="0"/>
          <w:color w:val="000000"/>
          <w:kern w:val="0"/>
          <w:position w:val="-3"/>
          <w:sz w:val="24"/>
          <w:highlight w:val="none"/>
        </w:rPr>
        <w:br w:type="page"/>
      </w:r>
      <w:bookmarkStart w:id="850" w:name="_Toc500009176"/>
      <w:bookmarkStart w:id="851" w:name="_Toc526265702"/>
      <w:bookmarkStart w:id="852" w:name="_Toc497923303"/>
      <w:bookmarkStart w:id="853" w:name="_Toc500235608"/>
      <w:r>
        <w:rPr>
          <w:rFonts w:hint="eastAsia" w:eastAsia="仿宋"/>
          <w:color w:val="000000"/>
          <w:sz w:val="24"/>
          <w:szCs w:val="24"/>
          <w:highlight w:val="none"/>
        </w:rPr>
        <w:t>附件一：履约保证金格式</w:t>
      </w:r>
      <w:bookmarkEnd w:id="850"/>
      <w:bookmarkEnd w:id="851"/>
      <w:bookmarkEnd w:id="852"/>
      <w:bookmarkEnd w:id="853"/>
    </w:p>
    <w:p w14:paraId="36859691">
      <w:pPr>
        <w:autoSpaceDE w:val="0"/>
        <w:autoSpaceDN w:val="0"/>
        <w:adjustRightInd w:val="0"/>
        <w:spacing w:line="360" w:lineRule="auto"/>
        <w:contextualSpacing/>
        <w:jc w:val="center"/>
        <w:rPr>
          <w:rFonts w:hint="eastAsia" w:ascii="黑体" w:hAnsi="黑体" w:eastAsia="黑体" w:cs="Microsoft JhengHei"/>
          <w:color w:val="000000"/>
          <w:kern w:val="0"/>
          <w:position w:val="-5"/>
          <w:sz w:val="24"/>
          <w:highlight w:val="none"/>
        </w:rPr>
      </w:pPr>
      <w:r>
        <w:rPr>
          <w:rFonts w:hint="eastAsia" w:ascii="黑体" w:hAnsi="黑体" w:eastAsia="黑体" w:cs="Microsoft JhengHei"/>
          <w:color w:val="000000"/>
          <w:kern w:val="0"/>
          <w:position w:val="-5"/>
          <w:sz w:val="24"/>
          <w:highlight w:val="none"/>
        </w:rPr>
        <w:t>履约保函</w:t>
      </w:r>
    </w:p>
    <w:p w14:paraId="0F55836C">
      <w:pPr>
        <w:spacing w:line="360" w:lineRule="auto"/>
        <w:ind w:right="2974" w:rightChars="1416"/>
        <w:jc w:val="right"/>
        <w:rPr>
          <w:rFonts w:hint="eastAsia" w:ascii="宋体" w:hAnsi="宋体" w:eastAsia="仿宋"/>
          <w:color w:val="000000"/>
          <w:sz w:val="24"/>
          <w:highlight w:val="none"/>
        </w:rPr>
      </w:pPr>
      <w:r>
        <w:rPr>
          <w:rFonts w:hint="eastAsia" w:ascii="宋体" w:hAnsi="宋体" w:eastAsia="仿宋"/>
          <w:color w:val="000000"/>
          <w:sz w:val="24"/>
          <w:highlight w:val="none"/>
        </w:rPr>
        <w:t xml:space="preserve">编号：             </w:t>
      </w:r>
    </w:p>
    <w:p w14:paraId="3661959B">
      <w:pPr>
        <w:snapToGrid w:val="0"/>
        <w:spacing w:line="360" w:lineRule="auto"/>
        <w:rPr>
          <w:rFonts w:hint="eastAsia" w:ascii="宋体" w:hAnsi="宋体" w:eastAsia="仿宋" w:cs="宋体"/>
          <w:color w:val="000000"/>
          <w:sz w:val="24"/>
          <w:highlight w:val="none"/>
        </w:rPr>
      </w:pPr>
      <w:r>
        <w:rPr>
          <w:rFonts w:hint="eastAsia" w:ascii="宋体" w:hAnsi="宋体" w:eastAsia="仿宋" w:cs="宋体"/>
          <w:color w:val="000000"/>
          <w:sz w:val="24"/>
          <w:highlight w:val="none"/>
        </w:rPr>
        <w:t>致受益人</w:t>
      </w:r>
      <w:r>
        <w:rPr>
          <w:rFonts w:hint="eastAsia" w:ascii="宋体" w:hAnsi="宋体" w:eastAsia="仿宋" w:cs="宋体"/>
          <w:color w:val="000000"/>
          <w:sz w:val="24"/>
          <w:highlight w:val="none"/>
          <w:u w:val="single"/>
        </w:rPr>
        <w:t xml:space="preserve"> </w:t>
      </w:r>
      <w:r>
        <w:rPr>
          <w:rFonts w:ascii="宋体" w:hAnsi="宋体" w:eastAsia="仿宋" w:cs="宋体"/>
          <w:color w:val="000000"/>
          <w:sz w:val="24"/>
          <w:highlight w:val="none"/>
          <w:u w:val="single"/>
        </w:rPr>
        <w:t xml:space="preserve">                      </w:t>
      </w:r>
      <w:r>
        <w:rPr>
          <w:rFonts w:hint="eastAsia" w:ascii="宋体" w:hAnsi="宋体" w:eastAsia="仿宋" w:cs="宋体"/>
          <w:color w:val="000000"/>
          <w:sz w:val="24"/>
          <w:highlight w:val="none"/>
        </w:rPr>
        <w:t>：</w:t>
      </w:r>
    </w:p>
    <w:p w14:paraId="55A81FCA">
      <w:pPr>
        <w:snapToGrid w:val="0"/>
        <w:spacing w:line="360" w:lineRule="auto"/>
        <w:ind w:firstLine="480" w:firstLineChars="200"/>
        <w:jc w:val="left"/>
        <w:rPr>
          <w:rFonts w:hint="eastAsia" w:ascii="宋体" w:hAnsi="宋体" w:eastAsia="仿宋" w:cs="宋体"/>
          <w:b/>
          <w:bCs/>
          <w:color w:val="000000"/>
          <w:sz w:val="24"/>
          <w:highlight w:val="none"/>
        </w:rPr>
      </w:pPr>
      <w:r>
        <w:rPr>
          <w:rFonts w:hint="eastAsia" w:ascii="宋体" w:hAnsi="宋体" w:eastAsia="仿宋" w:cs="宋体"/>
          <w:color w:val="000000"/>
          <w:sz w:val="24"/>
          <w:highlight w:val="none"/>
        </w:rPr>
        <w:t>因</w:t>
      </w:r>
      <w:r>
        <w:rPr>
          <w:rFonts w:hint="eastAsia" w:ascii="宋体" w:hAnsi="宋体" w:eastAsia="仿宋" w:cs="宋体"/>
          <w:color w:val="000000"/>
          <w:sz w:val="24"/>
          <w:highlight w:val="none"/>
          <w:u w:val="single"/>
        </w:rPr>
        <w:t xml:space="preserve"> </w:t>
      </w:r>
      <w:r>
        <w:rPr>
          <w:rFonts w:ascii="宋体" w:hAnsi="宋体" w:eastAsia="仿宋" w:cs="宋体"/>
          <w:color w:val="000000"/>
          <w:sz w:val="24"/>
          <w:highlight w:val="none"/>
          <w:u w:val="single"/>
        </w:rPr>
        <w:t xml:space="preserve">               </w:t>
      </w:r>
      <w:r>
        <w:rPr>
          <w:rFonts w:hint="eastAsia" w:ascii="宋体" w:hAnsi="宋体" w:eastAsia="仿宋" w:cs="宋体"/>
          <w:color w:val="000000"/>
          <w:sz w:val="24"/>
          <w:highlight w:val="none"/>
        </w:rPr>
        <w:t>（下称“被保证人”，地址：</w:t>
      </w:r>
      <w:r>
        <w:rPr>
          <w:rFonts w:hint="eastAsia" w:ascii="宋体" w:hAnsi="宋体" w:eastAsia="仿宋" w:cs="宋体"/>
          <w:color w:val="000000"/>
          <w:sz w:val="24"/>
          <w:highlight w:val="none"/>
          <w:u w:val="single"/>
        </w:rPr>
        <w:t xml:space="preserve"> </w:t>
      </w:r>
      <w:r>
        <w:rPr>
          <w:rFonts w:ascii="宋体" w:hAnsi="宋体" w:eastAsia="仿宋" w:cs="宋体"/>
          <w:color w:val="000000"/>
          <w:sz w:val="24"/>
          <w:highlight w:val="none"/>
          <w:u w:val="single"/>
        </w:rPr>
        <w:t xml:space="preserve">             </w:t>
      </w:r>
      <w:r>
        <w:rPr>
          <w:rFonts w:hint="eastAsia" w:ascii="宋体" w:hAnsi="宋体" w:eastAsia="仿宋" w:cs="宋体"/>
          <w:color w:val="000000"/>
          <w:sz w:val="24"/>
          <w:highlight w:val="none"/>
        </w:rPr>
        <w:t>）与你方签订了</w:t>
      </w:r>
      <w:r>
        <w:rPr>
          <w:rFonts w:hint="eastAsia" w:ascii="宋体" w:hAnsi="宋体" w:eastAsia="仿宋" w:cs="宋体"/>
          <w:color w:val="000000"/>
          <w:sz w:val="24"/>
          <w:highlight w:val="none"/>
          <w:u w:val="single"/>
        </w:rPr>
        <w:t xml:space="preserve"> </w:t>
      </w:r>
      <w:r>
        <w:rPr>
          <w:rFonts w:ascii="宋体" w:hAnsi="宋体" w:eastAsia="仿宋" w:cs="宋体"/>
          <w:color w:val="000000"/>
          <w:sz w:val="24"/>
          <w:highlight w:val="none"/>
          <w:u w:val="single"/>
        </w:rPr>
        <w:t xml:space="preserve">   </w:t>
      </w:r>
      <w:r>
        <w:rPr>
          <w:rFonts w:hint="eastAsia" w:ascii="宋体" w:hAnsi="宋体" w:eastAsia="仿宋" w:cs="宋体"/>
          <w:color w:val="000000"/>
          <w:sz w:val="24"/>
          <w:highlight w:val="none"/>
          <w:u w:val="single"/>
        </w:rPr>
        <w:t xml:space="preserve">    </w:t>
      </w:r>
      <w:r>
        <w:rPr>
          <w:rFonts w:ascii="宋体" w:hAnsi="宋体" w:eastAsia="仿宋" w:cs="宋体"/>
          <w:color w:val="000000"/>
          <w:sz w:val="24"/>
          <w:highlight w:val="none"/>
          <w:u w:val="single"/>
        </w:rPr>
        <w:t xml:space="preserve">   </w:t>
      </w:r>
      <w:r>
        <w:rPr>
          <w:rFonts w:hint="eastAsia" w:ascii="宋体" w:hAnsi="宋体" w:eastAsia="仿宋" w:cs="宋体"/>
          <w:color w:val="000000"/>
          <w:sz w:val="24"/>
          <w:highlight w:val="none"/>
        </w:rPr>
        <w:t>项目合同（项目编号：</w:t>
      </w:r>
      <w:r>
        <w:rPr>
          <w:rFonts w:hint="eastAsia" w:ascii="宋体" w:hAnsi="宋体" w:eastAsia="仿宋" w:cs="宋体"/>
          <w:color w:val="000000"/>
          <w:sz w:val="24"/>
          <w:highlight w:val="none"/>
          <w:u w:val="single"/>
        </w:rPr>
        <w:t xml:space="preserve"> </w:t>
      </w:r>
      <w:r>
        <w:rPr>
          <w:rFonts w:ascii="宋体" w:hAnsi="宋体" w:eastAsia="仿宋" w:cs="宋体"/>
          <w:color w:val="000000"/>
          <w:sz w:val="24"/>
          <w:highlight w:val="none"/>
          <w:u w:val="single"/>
        </w:rPr>
        <w:t xml:space="preserve">               </w:t>
      </w:r>
      <w:r>
        <w:rPr>
          <w:rFonts w:hint="eastAsia" w:ascii="宋体" w:hAnsi="宋体" w:eastAsia="仿宋" w:cs="宋体"/>
          <w:color w:val="000000"/>
          <w:sz w:val="24"/>
          <w:highlight w:val="none"/>
        </w:rPr>
        <w:t>），我方愿就被保证人履行上述合同的义务向你方提供如下保证：</w:t>
      </w:r>
    </w:p>
    <w:p w14:paraId="1A439A37">
      <w:pPr>
        <w:numPr>
          <w:ilvl w:val="0"/>
          <w:numId w:val="9"/>
        </w:numPr>
        <w:snapToGrid w:val="0"/>
        <w:spacing w:line="360" w:lineRule="auto"/>
        <w:ind w:firstLine="480" w:firstLineChars="200"/>
        <w:rPr>
          <w:rFonts w:hint="eastAsia" w:ascii="宋体" w:hAnsi="宋体" w:eastAsia="仿宋" w:cs="宋体"/>
          <w:color w:val="000000"/>
          <w:sz w:val="24"/>
          <w:highlight w:val="none"/>
        </w:rPr>
      </w:pPr>
      <w:r>
        <w:rPr>
          <w:rFonts w:hint="eastAsia" w:ascii="宋体" w:hAnsi="宋体" w:eastAsia="仿宋" w:cs="宋体"/>
          <w:color w:val="000000"/>
          <w:sz w:val="24"/>
          <w:highlight w:val="none"/>
        </w:rPr>
        <w:t>本保函项下我方承担的保证责任最高限额（下称“担保金额”）为(币种金额、大写)</w:t>
      </w:r>
      <w:r>
        <w:rPr>
          <w:rFonts w:hint="eastAsia" w:ascii="宋体" w:hAnsi="宋体" w:eastAsia="仿宋" w:cs="宋体"/>
          <w:color w:val="000000"/>
          <w:sz w:val="24"/>
          <w:highlight w:val="none"/>
          <w:u w:val="single"/>
        </w:rPr>
        <w:t>人民币</w:t>
      </w:r>
      <w:r>
        <w:rPr>
          <w:rFonts w:ascii="宋体" w:hAnsi="宋体" w:eastAsia="仿宋" w:cs="宋体"/>
          <w:color w:val="000000"/>
          <w:sz w:val="24"/>
          <w:highlight w:val="none"/>
          <w:u w:val="single"/>
        </w:rPr>
        <w:t xml:space="preserve">     </w:t>
      </w:r>
      <w:r>
        <w:rPr>
          <w:rFonts w:hint="eastAsia" w:ascii="宋体" w:hAnsi="宋体" w:eastAsia="仿宋" w:cs="宋体"/>
          <w:color w:val="000000"/>
          <w:sz w:val="24"/>
          <w:highlight w:val="none"/>
          <w:u w:val="single"/>
        </w:rPr>
        <w:t xml:space="preserve">              </w:t>
      </w:r>
      <w:r>
        <w:rPr>
          <w:rFonts w:ascii="宋体" w:hAnsi="宋体" w:eastAsia="仿宋" w:cs="宋体"/>
          <w:color w:val="000000"/>
          <w:sz w:val="24"/>
          <w:highlight w:val="none"/>
          <w:u w:val="single"/>
        </w:rPr>
        <w:t xml:space="preserve">   </w:t>
      </w:r>
      <w:r>
        <w:rPr>
          <w:rFonts w:hint="eastAsia" w:ascii="宋体" w:hAnsi="宋体" w:eastAsia="仿宋" w:cs="宋体"/>
          <w:color w:val="000000"/>
          <w:sz w:val="24"/>
          <w:highlight w:val="none"/>
        </w:rPr>
        <w:t>。</w:t>
      </w:r>
    </w:p>
    <w:p w14:paraId="53EAC1A7">
      <w:pPr>
        <w:snapToGrid w:val="0"/>
        <w:spacing w:line="360" w:lineRule="auto"/>
        <w:ind w:firstLine="480" w:firstLineChars="200"/>
        <w:jc w:val="left"/>
        <w:rPr>
          <w:rFonts w:hint="eastAsia" w:ascii="宋体" w:hAnsi="宋体" w:eastAsia="仿宋" w:cs="宋体"/>
          <w:snapToGrid w:val="0"/>
          <w:color w:val="000000"/>
          <w:kern w:val="0"/>
          <w:sz w:val="24"/>
          <w:highlight w:val="none"/>
        </w:rPr>
      </w:pPr>
      <w:r>
        <w:rPr>
          <w:rFonts w:hint="eastAsia" w:ascii="宋体" w:hAnsi="宋体" w:eastAsia="仿宋" w:cs="宋体"/>
          <w:snapToGrid w:val="0"/>
          <w:color w:val="000000"/>
          <w:kern w:val="0"/>
          <w:sz w:val="24"/>
          <w:highlight w:val="none"/>
        </w:rPr>
        <w:t>二、我方在本保函项下提供的保证为</w:t>
      </w:r>
      <w:r>
        <w:rPr>
          <w:rFonts w:hint="eastAsia" w:ascii="宋体" w:hAnsi="宋体" w:eastAsia="仿宋" w:cs="宋体"/>
          <w:snapToGrid w:val="0"/>
          <w:color w:val="000000"/>
          <w:kern w:val="0"/>
          <w:sz w:val="24"/>
          <w:highlight w:val="none"/>
          <w:u w:val="single"/>
        </w:rPr>
        <w:t xml:space="preserve">  连带  </w:t>
      </w:r>
      <w:r>
        <w:rPr>
          <w:rFonts w:hint="eastAsia" w:ascii="宋体" w:hAnsi="宋体" w:eastAsia="仿宋" w:cs="宋体"/>
          <w:snapToGrid w:val="0"/>
          <w:color w:val="000000"/>
          <w:kern w:val="0"/>
          <w:sz w:val="24"/>
          <w:highlight w:val="none"/>
        </w:rPr>
        <w:t>责任保证。</w:t>
      </w:r>
    </w:p>
    <w:p w14:paraId="7A5E7C17">
      <w:pPr>
        <w:snapToGrid w:val="0"/>
        <w:spacing w:line="360" w:lineRule="auto"/>
        <w:ind w:firstLine="480" w:firstLineChars="200"/>
        <w:jc w:val="left"/>
        <w:rPr>
          <w:rFonts w:hint="eastAsia" w:ascii="宋体" w:hAnsi="宋体" w:eastAsia="仿宋" w:cs="宋体"/>
          <w:snapToGrid w:val="0"/>
          <w:color w:val="000000"/>
          <w:kern w:val="0"/>
          <w:sz w:val="24"/>
          <w:highlight w:val="none"/>
        </w:rPr>
      </w:pPr>
      <w:r>
        <w:rPr>
          <w:rFonts w:hint="eastAsia" w:ascii="宋体" w:hAnsi="宋体" w:eastAsia="仿宋" w:cs="宋体"/>
          <w:snapToGrid w:val="0"/>
          <w:color w:val="000000"/>
          <w:kern w:val="0"/>
          <w:sz w:val="24"/>
          <w:highlight w:val="none"/>
        </w:rPr>
        <w:t>三、本保函的有效期为以下第</w:t>
      </w:r>
      <w:r>
        <w:rPr>
          <w:rFonts w:hint="eastAsia" w:ascii="宋体" w:hAnsi="宋体" w:eastAsia="仿宋" w:cs="宋体"/>
          <w:snapToGrid w:val="0"/>
          <w:color w:val="000000"/>
          <w:kern w:val="0"/>
          <w:sz w:val="24"/>
          <w:highlight w:val="none"/>
          <w:u w:val="single"/>
        </w:rPr>
        <w:t xml:space="preserve">   1    </w:t>
      </w:r>
      <w:r>
        <w:rPr>
          <w:rFonts w:hint="eastAsia" w:ascii="宋体" w:hAnsi="宋体" w:eastAsia="仿宋" w:cs="宋体"/>
          <w:snapToGrid w:val="0"/>
          <w:color w:val="000000"/>
          <w:kern w:val="0"/>
          <w:sz w:val="24"/>
          <w:highlight w:val="none"/>
        </w:rPr>
        <w:t>种：</w:t>
      </w:r>
    </w:p>
    <w:p w14:paraId="531EFF9E">
      <w:pPr>
        <w:snapToGrid w:val="0"/>
        <w:spacing w:line="360" w:lineRule="auto"/>
        <w:ind w:firstLine="480" w:firstLineChars="200"/>
        <w:jc w:val="left"/>
        <w:rPr>
          <w:rFonts w:hint="eastAsia" w:ascii="宋体" w:hAnsi="宋体" w:eastAsia="仿宋"/>
          <w:snapToGrid w:val="0"/>
          <w:color w:val="000000"/>
          <w:kern w:val="0"/>
          <w:sz w:val="24"/>
          <w:highlight w:val="none"/>
        </w:rPr>
      </w:pPr>
      <w:r>
        <w:rPr>
          <w:rFonts w:hint="eastAsia" w:ascii="宋体" w:hAnsi="宋体" w:eastAsia="仿宋" w:cs="宋体"/>
          <w:snapToGrid w:val="0"/>
          <w:color w:val="000000"/>
          <w:kern w:val="0"/>
          <w:sz w:val="24"/>
          <w:highlight w:val="none"/>
        </w:rPr>
        <w:t>1.本保函有效期自生效之日起至</w:t>
      </w:r>
      <w:r>
        <w:rPr>
          <w:rFonts w:hint="eastAsia" w:ascii="宋体" w:hAnsi="宋体" w:eastAsia="仿宋" w:cs="宋体"/>
          <w:snapToGrid w:val="0"/>
          <w:color w:val="000000"/>
          <w:kern w:val="0"/>
          <w:sz w:val="24"/>
          <w:highlight w:val="none"/>
          <w:u w:val="single"/>
        </w:rPr>
        <w:t xml:space="preserve">  </w:t>
      </w:r>
      <w:r>
        <w:rPr>
          <w:rFonts w:ascii="宋体" w:hAnsi="宋体" w:eastAsia="仿宋" w:cs="宋体"/>
          <w:snapToGrid w:val="0"/>
          <w:color w:val="000000"/>
          <w:kern w:val="0"/>
          <w:sz w:val="24"/>
          <w:highlight w:val="none"/>
          <w:u w:val="single"/>
        </w:rPr>
        <w:t xml:space="preserve">     </w:t>
      </w:r>
      <w:r>
        <w:rPr>
          <w:rFonts w:hint="eastAsia" w:ascii="宋体" w:hAnsi="宋体" w:eastAsia="仿宋" w:cs="宋体"/>
          <w:snapToGrid w:val="0"/>
          <w:color w:val="000000"/>
          <w:kern w:val="0"/>
          <w:sz w:val="24"/>
          <w:highlight w:val="none"/>
        </w:rPr>
        <w:t>年</w:t>
      </w:r>
      <w:r>
        <w:rPr>
          <w:rFonts w:hint="eastAsia" w:ascii="宋体" w:hAnsi="宋体" w:eastAsia="仿宋" w:cs="宋体"/>
          <w:snapToGrid w:val="0"/>
          <w:color w:val="000000"/>
          <w:kern w:val="0"/>
          <w:sz w:val="24"/>
          <w:highlight w:val="none"/>
          <w:u w:val="single"/>
        </w:rPr>
        <w:t xml:space="preserve">   </w:t>
      </w:r>
      <w:r>
        <w:rPr>
          <w:rFonts w:ascii="宋体" w:hAnsi="宋体" w:eastAsia="仿宋" w:cs="宋体"/>
          <w:snapToGrid w:val="0"/>
          <w:color w:val="000000"/>
          <w:kern w:val="0"/>
          <w:sz w:val="24"/>
          <w:highlight w:val="none"/>
          <w:u w:val="single"/>
        </w:rPr>
        <w:t xml:space="preserve"> </w:t>
      </w:r>
      <w:r>
        <w:rPr>
          <w:rFonts w:hint="eastAsia" w:ascii="宋体" w:hAnsi="宋体" w:eastAsia="仿宋" w:cs="宋体"/>
          <w:snapToGrid w:val="0"/>
          <w:color w:val="000000"/>
          <w:kern w:val="0"/>
          <w:sz w:val="24"/>
          <w:highlight w:val="none"/>
          <w:u w:val="single"/>
        </w:rPr>
        <w:t xml:space="preserve">  </w:t>
      </w:r>
      <w:r>
        <w:rPr>
          <w:rFonts w:hint="eastAsia" w:ascii="宋体" w:hAnsi="宋体" w:eastAsia="仿宋" w:cs="宋体"/>
          <w:snapToGrid w:val="0"/>
          <w:color w:val="000000"/>
          <w:kern w:val="0"/>
          <w:sz w:val="24"/>
          <w:highlight w:val="none"/>
        </w:rPr>
        <w:t>月</w:t>
      </w:r>
      <w:r>
        <w:rPr>
          <w:rFonts w:hint="eastAsia" w:ascii="宋体" w:hAnsi="宋体" w:eastAsia="仿宋" w:cs="宋体"/>
          <w:snapToGrid w:val="0"/>
          <w:color w:val="000000"/>
          <w:kern w:val="0"/>
          <w:sz w:val="24"/>
          <w:highlight w:val="none"/>
          <w:u w:val="single"/>
        </w:rPr>
        <w:t xml:space="preserve">  </w:t>
      </w:r>
      <w:r>
        <w:rPr>
          <w:rFonts w:ascii="宋体" w:hAnsi="宋体" w:eastAsia="仿宋" w:cs="宋体"/>
          <w:snapToGrid w:val="0"/>
          <w:color w:val="000000"/>
          <w:kern w:val="0"/>
          <w:sz w:val="24"/>
          <w:highlight w:val="none"/>
          <w:u w:val="single"/>
        </w:rPr>
        <w:t xml:space="preserve">  </w:t>
      </w:r>
      <w:r>
        <w:rPr>
          <w:rFonts w:hint="eastAsia" w:ascii="宋体" w:hAnsi="宋体" w:eastAsia="仿宋" w:cs="宋体"/>
          <w:snapToGrid w:val="0"/>
          <w:color w:val="000000"/>
          <w:kern w:val="0"/>
          <w:sz w:val="24"/>
          <w:highlight w:val="none"/>
          <w:u w:val="single"/>
        </w:rPr>
        <w:t xml:space="preserve">  </w:t>
      </w:r>
      <w:r>
        <w:rPr>
          <w:rFonts w:hint="eastAsia" w:ascii="宋体" w:hAnsi="宋体" w:eastAsia="仿宋" w:cs="宋体"/>
          <w:snapToGrid w:val="0"/>
          <w:color w:val="000000"/>
          <w:kern w:val="0"/>
          <w:sz w:val="24"/>
          <w:highlight w:val="none"/>
        </w:rPr>
        <w:t>日止</w:t>
      </w:r>
      <w:r>
        <w:rPr>
          <w:rFonts w:hint="eastAsia" w:ascii="宋体" w:hAnsi="宋体" w:eastAsia="仿宋"/>
          <w:snapToGrid w:val="0"/>
          <w:color w:val="000000"/>
          <w:kern w:val="0"/>
          <w:sz w:val="24"/>
          <w:highlight w:val="none"/>
        </w:rPr>
        <w:t>。</w:t>
      </w:r>
    </w:p>
    <w:p w14:paraId="34659893">
      <w:pPr>
        <w:adjustRightInd w:val="0"/>
        <w:snapToGrid w:val="0"/>
        <w:spacing w:line="360" w:lineRule="auto"/>
        <w:ind w:firstLine="480" w:firstLineChars="200"/>
        <w:rPr>
          <w:rFonts w:hint="eastAsia" w:ascii="宋体" w:hAnsi="宋体" w:eastAsia="仿宋"/>
          <w:snapToGrid w:val="0"/>
          <w:color w:val="000000"/>
          <w:kern w:val="0"/>
          <w:sz w:val="24"/>
          <w:highlight w:val="none"/>
        </w:rPr>
      </w:pPr>
      <w:r>
        <w:rPr>
          <w:rFonts w:hint="eastAsia" w:ascii="宋体" w:hAnsi="宋体" w:eastAsia="仿宋"/>
          <w:snapToGrid w:val="0"/>
          <w:color w:val="000000"/>
          <w:kern w:val="0"/>
          <w:sz w:val="24"/>
          <w:highlight w:val="none"/>
        </w:rPr>
        <w:t>2.</w:t>
      </w:r>
      <w:r>
        <w:rPr>
          <w:rFonts w:hint="eastAsia" w:ascii="宋体" w:hAnsi="宋体" w:eastAsia="仿宋"/>
          <w:snapToGrid w:val="0"/>
          <w:color w:val="000000"/>
          <w:kern w:val="0"/>
          <w:sz w:val="24"/>
          <w:highlight w:val="none"/>
          <w:u w:val="single"/>
        </w:rPr>
        <w:t xml:space="preserve">                                /                    </w:t>
      </w:r>
      <w:r>
        <w:rPr>
          <w:rFonts w:hint="eastAsia" w:ascii="宋体" w:hAnsi="宋体" w:eastAsia="仿宋"/>
          <w:snapToGrid w:val="0"/>
          <w:color w:val="000000"/>
          <w:kern w:val="0"/>
          <w:sz w:val="24"/>
          <w:highlight w:val="none"/>
        </w:rPr>
        <w:t>。</w:t>
      </w:r>
    </w:p>
    <w:p w14:paraId="3182D585">
      <w:pPr>
        <w:snapToGrid w:val="0"/>
        <w:spacing w:line="360" w:lineRule="auto"/>
        <w:ind w:firstLine="480" w:firstLineChars="200"/>
        <w:jc w:val="left"/>
        <w:rPr>
          <w:rFonts w:hint="eastAsia" w:ascii="宋体" w:hAnsi="宋体" w:eastAsia="仿宋"/>
          <w:snapToGrid w:val="0"/>
          <w:color w:val="000000"/>
          <w:kern w:val="0"/>
          <w:sz w:val="24"/>
          <w:highlight w:val="none"/>
        </w:rPr>
      </w:pPr>
      <w:r>
        <w:rPr>
          <w:rFonts w:hint="eastAsia" w:ascii="宋体" w:hAnsi="宋体" w:eastAsia="仿宋"/>
          <w:color w:val="000000"/>
          <w:sz w:val="24"/>
          <w:highlight w:val="none"/>
        </w:rPr>
        <w:t>四、在本保函的有效期内，如被保证人</w:t>
      </w:r>
      <w:r>
        <w:rPr>
          <w:rFonts w:hint="eastAsia" w:ascii="宋体" w:hAnsi="宋体" w:eastAsia="仿宋"/>
          <w:snapToGrid w:val="0"/>
          <w:color w:val="000000"/>
          <w:kern w:val="0"/>
          <w:sz w:val="24"/>
          <w:highlight w:val="none"/>
        </w:rPr>
        <w:t>违反上述合同的约定给你方造成经济损失的，我方将在收到你方提交的本保函原件及符合下列全部条件的索赔通知后</w:t>
      </w:r>
      <w:r>
        <w:rPr>
          <w:rFonts w:hint="eastAsia" w:ascii="宋体" w:hAnsi="宋体" w:eastAsia="仿宋"/>
          <w:snapToGrid w:val="0"/>
          <w:color w:val="000000"/>
          <w:kern w:val="0"/>
          <w:sz w:val="24"/>
          <w:highlight w:val="none"/>
          <w:u w:val="single"/>
        </w:rPr>
        <w:t>10</w:t>
      </w:r>
      <w:r>
        <w:rPr>
          <w:rFonts w:hint="eastAsia" w:ascii="宋体" w:hAnsi="宋体" w:eastAsia="仿宋"/>
          <w:snapToGrid w:val="0"/>
          <w:color w:val="000000"/>
          <w:kern w:val="0"/>
          <w:sz w:val="24"/>
          <w:highlight w:val="none"/>
        </w:rPr>
        <w:t>个工作日内，以上述担保金额为限支付你方索赔金额：</w:t>
      </w:r>
    </w:p>
    <w:p w14:paraId="41AEB272">
      <w:pPr>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snapToGrid w:val="0"/>
          <w:color w:val="000000"/>
          <w:kern w:val="0"/>
          <w:sz w:val="24"/>
          <w:highlight w:val="none"/>
        </w:rPr>
        <w:t>（一）索赔通知必须以书面形式提出，列明索赔金额，并由你方法定代表人（负责人）或授权代理人签字并加盖公章；代理人签署索赔通知的，应当同时提交法定代表人（负责人）签发的授权文件。</w:t>
      </w:r>
    </w:p>
    <w:p w14:paraId="7E0959AB">
      <w:pPr>
        <w:adjustRightInd w:val="0"/>
        <w:snapToGrid w:val="0"/>
        <w:spacing w:line="360" w:lineRule="auto"/>
        <w:ind w:firstLine="480" w:firstLineChars="200"/>
        <w:rPr>
          <w:rFonts w:hint="eastAsia" w:ascii="宋体" w:hAnsi="宋体" w:eastAsia="仿宋"/>
          <w:snapToGrid w:val="0"/>
          <w:color w:val="000000"/>
          <w:kern w:val="0"/>
          <w:sz w:val="24"/>
          <w:highlight w:val="none"/>
        </w:rPr>
      </w:pPr>
      <w:r>
        <w:rPr>
          <w:rFonts w:hint="eastAsia" w:ascii="宋体" w:hAnsi="宋体" w:eastAsia="仿宋"/>
          <w:snapToGrid w:val="0"/>
          <w:color w:val="000000"/>
          <w:kern w:val="0"/>
          <w:sz w:val="24"/>
          <w:highlight w:val="none"/>
        </w:rPr>
        <w:t>（二）索赔通知必须同时附有：</w:t>
      </w:r>
    </w:p>
    <w:p w14:paraId="0B0A7539">
      <w:pPr>
        <w:adjustRightInd w:val="0"/>
        <w:snapToGrid w:val="0"/>
        <w:spacing w:line="360" w:lineRule="auto"/>
        <w:ind w:firstLine="480" w:firstLineChars="200"/>
        <w:rPr>
          <w:rFonts w:hint="eastAsia" w:ascii="宋体" w:hAnsi="宋体" w:eastAsia="仿宋"/>
          <w:snapToGrid w:val="0"/>
          <w:color w:val="000000"/>
          <w:kern w:val="0"/>
          <w:sz w:val="24"/>
          <w:highlight w:val="none"/>
        </w:rPr>
      </w:pPr>
      <w:r>
        <w:rPr>
          <w:rFonts w:hint="eastAsia" w:ascii="宋体" w:hAnsi="宋体" w:eastAsia="仿宋"/>
          <w:snapToGrid w:val="0"/>
          <w:color w:val="000000"/>
          <w:kern w:val="0"/>
          <w:sz w:val="24"/>
          <w:highlight w:val="none"/>
        </w:rPr>
        <w:t>1.一项书面声明，声明索赔款项并未由</w:t>
      </w:r>
      <w:r>
        <w:rPr>
          <w:rFonts w:hint="eastAsia" w:ascii="宋体" w:hAnsi="宋体" w:eastAsia="仿宋"/>
          <w:color w:val="000000"/>
          <w:sz w:val="24"/>
          <w:highlight w:val="none"/>
        </w:rPr>
        <w:t>被保证人</w:t>
      </w:r>
      <w:r>
        <w:rPr>
          <w:rFonts w:hint="eastAsia" w:ascii="宋体" w:hAnsi="宋体" w:eastAsia="仿宋"/>
          <w:snapToGrid w:val="0"/>
          <w:color w:val="000000"/>
          <w:kern w:val="0"/>
          <w:sz w:val="24"/>
          <w:highlight w:val="none"/>
        </w:rPr>
        <w:t>或其代理人直接或间接地支付给你方；</w:t>
      </w:r>
    </w:p>
    <w:p w14:paraId="6C55F238">
      <w:pPr>
        <w:adjustRightInd w:val="0"/>
        <w:snapToGrid w:val="0"/>
        <w:spacing w:line="360" w:lineRule="auto"/>
        <w:ind w:firstLine="480" w:firstLineChars="200"/>
        <w:rPr>
          <w:rFonts w:hint="eastAsia" w:ascii="宋体" w:hAnsi="宋体" w:eastAsia="仿宋"/>
          <w:snapToGrid w:val="0"/>
          <w:color w:val="000000"/>
          <w:kern w:val="0"/>
          <w:sz w:val="24"/>
          <w:highlight w:val="none"/>
        </w:rPr>
      </w:pPr>
      <w:r>
        <w:rPr>
          <w:rFonts w:hint="eastAsia" w:ascii="宋体" w:hAnsi="宋体" w:eastAsia="仿宋"/>
          <w:snapToGrid w:val="0"/>
          <w:color w:val="000000"/>
          <w:kern w:val="0"/>
          <w:sz w:val="24"/>
          <w:highlight w:val="none"/>
        </w:rPr>
        <w:t>2. 证明</w:t>
      </w:r>
      <w:r>
        <w:rPr>
          <w:rFonts w:hint="eastAsia" w:ascii="宋体" w:hAnsi="宋体" w:eastAsia="仿宋"/>
          <w:color w:val="000000"/>
          <w:sz w:val="24"/>
          <w:highlight w:val="none"/>
        </w:rPr>
        <w:t>被保证人</w:t>
      </w:r>
      <w:r>
        <w:rPr>
          <w:rFonts w:hint="eastAsia" w:ascii="宋体" w:hAnsi="宋体" w:eastAsia="仿宋"/>
          <w:snapToGrid w:val="0"/>
          <w:color w:val="000000"/>
          <w:kern w:val="0"/>
          <w:sz w:val="24"/>
          <w:highlight w:val="none"/>
        </w:rPr>
        <w:t>违反上述合同的约定以及有责任支付你方索赔金额的证据，包括但不限于已发生法律效力的法院判决书或仲裁裁决书等。</w:t>
      </w:r>
    </w:p>
    <w:p w14:paraId="45531529">
      <w:pPr>
        <w:adjustRightInd w:val="0"/>
        <w:snapToGrid w:val="0"/>
        <w:spacing w:line="360" w:lineRule="auto"/>
        <w:ind w:firstLine="480" w:firstLineChars="200"/>
        <w:rPr>
          <w:rFonts w:hint="eastAsia" w:ascii="宋体" w:hAnsi="宋体" w:eastAsia="仿宋"/>
          <w:snapToGrid w:val="0"/>
          <w:color w:val="000000"/>
          <w:kern w:val="0"/>
          <w:sz w:val="24"/>
          <w:highlight w:val="none"/>
        </w:rPr>
      </w:pPr>
      <w:r>
        <w:rPr>
          <w:rFonts w:hint="eastAsia" w:ascii="宋体" w:hAnsi="宋体" w:eastAsia="仿宋"/>
          <w:snapToGrid w:val="0"/>
          <w:color w:val="000000"/>
          <w:kern w:val="0"/>
          <w:sz w:val="24"/>
          <w:highlight w:val="none"/>
        </w:rPr>
        <w:t>3.索赔资料应在有效期内送达我方，否则我方不承担责任。</w:t>
      </w:r>
    </w:p>
    <w:p w14:paraId="3ACBBA5A">
      <w:pPr>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color w:val="000000"/>
          <w:sz w:val="24"/>
          <w:highlight w:val="none"/>
        </w:rPr>
        <w:t>（三）索赔通知必须在本保函有效期内到达以下地址</w:t>
      </w:r>
      <w:r>
        <w:rPr>
          <w:rFonts w:hint="eastAsia" w:ascii="宋体" w:hAnsi="宋体" w:eastAsia="仿宋"/>
          <w:color w:val="000000"/>
          <w:sz w:val="24"/>
          <w:highlight w:val="none"/>
          <w:u w:val="single"/>
        </w:rPr>
        <w:t xml:space="preserve"> </w:t>
      </w:r>
      <w:r>
        <w:rPr>
          <w:rFonts w:ascii="宋体" w:hAnsi="宋体" w:eastAsia="仿宋"/>
          <w:color w:val="000000"/>
          <w:sz w:val="24"/>
          <w:highlight w:val="none"/>
          <w:u w:val="single"/>
        </w:rPr>
        <w:t xml:space="preserve">                     </w:t>
      </w:r>
      <w:r>
        <w:rPr>
          <w:rFonts w:hint="eastAsia" w:ascii="宋体" w:hAnsi="宋体" w:eastAsia="仿宋"/>
          <w:color w:val="000000"/>
          <w:sz w:val="24"/>
          <w:highlight w:val="none"/>
        </w:rPr>
        <w:t>。</w:t>
      </w:r>
    </w:p>
    <w:p w14:paraId="19A76590">
      <w:pPr>
        <w:adjustRightInd w:val="0"/>
        <w:snapToGrid w:val="0"/>
        <w:spacing w:line="360" w:lineRule="auto"/>
        <w:ind w:firstLine="480" w:firstLineChars="200"/>
        <w:rPr>
          <w:rFonts w:hint="eastAsia" w:ascii="宋体" w:hAnsi="宋体" w:eastAsia="仿宋"/>
          <w:color w:val="000000"/>
          <w:sz w:val="24"/>
          <w:highlight w:val="none"/>
        </w:rPr>
      </w:pPr>
      <w:r>
        <w:rPr>
          <w:rFonts w:hint="eastAsia" w:ascii="宋体" w:hAnsi="宋体" w:eastAsia="仿宋"/>
          <w:snapToGrid w:val="0"/>
          <w:color w:val="000000"/>
          <w:kern w:val="0"/>
          <w:sz w:val="24"/>
          <w:highlight w:val="none"/>
        </w:rPr>
        <w:t>五、</w:t>
      </w:r>
      <w:r>
        <w:rPr>
          <w:rFonts w:hint="eastAsia" w:ascii="宋体" w:hAnsi="宋体" w:eastAsia="仿宋"/>
          <w:color w:val="000000"/>
          <w:sz w:val="24"/>
          <w:highlight w:val="none"/>
        </w:rPr>
        <w:t>本保函担保金额将随被保证人逐步履行保函项下合同约定或法定的义务以及我方</w:t>
      </w:r>
      <w:r>
        <w:rPr>
          <w:rFonts w:hint="eastAsia" w:ascii="宋体" w:hAnsi="宋体" w:eastAsia="仿宋"/>
          <w:snapToGrid w:val="0"/>
          <w:color w:val="000000"/>
          <w:kern w:val="0"/>
          <w:sz w:val="24"/>
          <w:highlight w:val="none"/>
        </w:rPr>
        <w:t>按你方索赔通知要求分次支付</w:t>
      </w:r>
      <w:r>
        <w:rPr>
          <w:rFonts w:hint="eastAsia" w:ascii="宋体" w:hAnsi="宋体" w:eastAsia="仿宋"/>
          <w:color w:val="000000"/>
          <w:sz w:val="24"/>
          <w:highlight w:val="none"/>
        </w:rPr>
        <w:t>而相应递减。</w:t>
      </w:r>
    </w:p>
    <w:p w14:paraId="1C5BF365">
      <w:pPr>
        <w:pStyle w:val="19"/>
        <w:snapToGrid w:val="0"/>
        <w:spacing w:after="0" w:line="360" w:lineRule="auto"/>
        <w:ind w:left="0" w:leftChars="0" w:firstLine="480" w:firstLineChars="200"/>
        <w:rPr>
          <w:rFonts w:hint="eastAsia" w:ascii="宋体" w:hAnsi="宋体" w:eastAsia="仿宋"/>
          <w:iCs/>
          <w:color w:val="000000"/>
          <w:sz w:val="24"/>
          <w:highlight w:val="none"/>
        </w:rPr>
      </w:pPr>
      <w:r>
        <w:rPr>
          <w:rFonts w:hint="eastAsia" w:ascii="宋体" w:hAnsi="宋体" w:eastAsia="仿宋"/>
          <w:iCs/>
          <w:color w:val="000000"/>
          <w:sz w:val="24"/>
          <w:highlight w:val="none"/>
        </w:rPr>
        <w:t>六、本保函项下的权利不得转让，不得设定担保。</w:t>
      </w:r>
    </w:p>
    <w:p w14:paraId="31758F3D">
      <w:pPr>
        <w:pStyle w:val="19"/>
        <w:snapToGrid w:val="0"/>
        <w:spacing w:after="0" w:line="360" w:lineRule="auto"/>
        <w:ind w:left="0" w:leftChars="0" w:firstLine="480" w:firstLineChars="200"/>
        <w:rPr>
          <w:rFonts w:hint="eastAsia" w:ascii="宋体" w:hAnsi="宋体" w:eastAsia="仿宋"/>
          <w:iCs/>
          <w:color w:val="000000"/>
          <w:sz w:val="24"/>
          <w:highlight w:val="none"/>
          <w:u w:val="single"/>
        </w:rPr>
      </w:pPr>
      <w:r>
        <w:rPr>
          <w:rFonts w:hint="eastAsia" w:ascii="宋体" w:hAnsi="宋体" w:eastAsia="仿宋"/>
          <w:iCs/>
          <w:color w:val="000000"/>
          <w:sz w:val="24"/>
          <w:highlight w:val="none"/>
        </w:rPr>
        <w:t>七、本保函项下的合同或基础交易不成立、不生效、无效、被撤销、被解除，本保函无效；被保证人基于保函项下的合同或基础交易或其他原因的抗辩，我方均有权主张。</w:t>
      </w:r>
    </w:p>
    <w:p w14:paraId="7E44645F">
      <w:pPr>
        <w:pStyle w:val="19"/>
        <w:snapToGrid w:val="0"/>
        <w:spacing w:after="0" w:line="360" w:lineRule="auto"/>
        <w:ind w:left="0" w:leftChars="0" w:firstLine="480" w:firstLineChars="200"/>
        <w:rPr>
          <w:rFonts w:hint="eastAsia" w:ascii="宋体" w:hAnsi="宋体" w:eastAsia="仿宋"/>
          <w:iCs/>
          <w:color w:val="000000"/>
          <w:sz w:val="24"/>
          <w:highlight w:val="none"/>
        </w:rPr>
      </w:pPr>
      <w:r>
        <w:rPr>
          <w:rFonts w:hint="eastAsia" w:ascii="宋体" w:hAnsi="宋体" w:eastAsia="仿宋"/>
          <w:iCs/>
          <w:snapToGrid w:val="0"/>
          <w:color w:val="000000"/>
          <w:kern w:val="0"/>
          <w:sz w:val="24"/>
          <w:highlight w:val="none"/>
        </w:rPr>
        <w:t>八、</w:t>
      </w:r>
      <w:r>
        <w:rPr>
          <w:rFonts w:hint="eastAsia" w:ascii="宋体" w:hAnsi="宋体" w:eastAsia="仿宋"/>
          <w:iCs/>
          <w:color w:val="000000"/>
          <w:sz w:val="24"/>
          <w:highlight w:val="none"/>
        </w:rPr>
        <w:t>因本保函发生争议协商解决不成，按以下第</w:t>
      </w:r>
      <w:r>
        <w:rPr>
          <w:rFonts w:hint="eastAsia" w:ascii="宋体" w:hAnsi="宋体" w:eastAsia="仿宋"/>
          <w:iCs/>
          <w:color w:val="000000"/>
          <w:sz w:val="24"/>
          <w:highlight w:val="none"/>
          <w:u w:val="single"/>
        </w:rPr>
        <w:t>（一）</w:t>
      </w:r>
      <w:r>
        <w:rPr>
          <w:rFonts w:hint="eastAsia" w:ascii="宋体" w:hAnsi="宋体" w:eastAsia="仿宋"/>
          <w:iCs/>
          <w:color w:val="000000"/>
          <w:sz w:val="24"/>
          <w:highlight w:val="none"/>
        </w:rPr>
        <w:t>种方式解决：</w:t>
      </w:r>
    </w:p>
    <w:p w14:paraId="09DF1D58">
      <w:pPr>
        <w:pStyle w:val="19"/>
        <w:snapToGrid w:val="0"/>
        <w:spacing w:after="0" w:line="360" w:lineRule="auto"/>
        <w:ind w:left="0" w:leftChars="0" w:firstLine="480" w:firstLineChars="200"/>
        <w:rPr>
          <w:rFonts w:hint="eastAsia" w:ascii="宋体" w:hAnsi="宋体" w:eastAsia="仿宋"/>
          <w:iCs/>
          <w:color w:val="000000"/>
          <w:sz w:val="24"/>
          <w:highlight w:val="none"/>
        </w:rPr>
      </w:pPr>
      <w:r>
        <w:rPr>
          <w:rFonts w:hint="eastAsia" w:ascii="宋体" w:hAnsi="宋体" w:eastAsia="仿宋"/>
          <w:iCs/>
          <w:color w:val="000000"/>
          <w:sz w:val="24"/>
          <w:highlight w:val="none"/>
        </w:rPr>
        <w:t>（一）向</w:t>
      </w:r>
      <w:r>
        <w:rPr>
          <w:rFonts w:hint="eastAsia" w:ascii="宋体" w:hAnsi="宋体" w:eastAsia="仿宋"/>
          <w:iCs/>
          <w:color w:val="000000"/>
          <w:sz w:val="24"/>
          <w:highlight w:val="none"/>
          <w:u w:val="single"/>
        </w:rPr>
        <w:t xml:space="preserve">      </w:t>
      </w:r>
      <w:r>
        <w:rPr>
          <w:rFonts w:hint="eastAsia" w:ascii="宋体" w:hAnsi="宋体" w:eastAsia="仿宋"/>
          <w:iCs/>
          <w:color w:val="000000"/>
          <w:sz w:val="24"/>
          <w:highlight w:val="none"/>
        </w:rPr>
        <w:t>所在地的人民法院起诉。</w:t>
      </w:r>
    </w:p>
    <w:p w14:paraId="0B4787D5">
      <w:pPr>
        <w:pStyle w:val="19"/>
        <w:snapToGrid w:val="0"/>
        <w:spacing w:after="0" w:line="360" w:lineRule="auto"/>
        <w:ind w:left="0" w:leftChars="0" w:firstLine="480" w:firstLineChars="200"/>
        <w:rPr>
          <w:rFonts w:hint="eastAsia" w:ascii="宋体" w:hAnsi="宋体" w:eastAsia="仿宋"/>
          <w:iCs/>
          <w:color w:val="000000"/>
          <w:sz w:val="24"/>
          <w:highlight w:val="none"/>
        </w:rPr>
      </w:pPr>
      <w:r>
        <w:rPr>
          <w:rFonts w:hint="eastAsia" w:ascii="宋体" w:hAnsi="宋体" w:eastAsia="仿宋"/>
          <w:iCs/>
          <w:color w:val="000000"/>
          <w:sz w:val="24"/>
          <w:highlight w:val="none"/>
        </w:rPr>
        <w:t>（二）提交</w:t>
      </w:r>
      <w:r>
        <w:rPr>
          <w:rFonts w:hint="eastAsia" w:ascii="宋体" w:hAnsi="宋体" w:eastAsia="仿宋"/>
          <w:iCs/>
          <w:color w:val="000000"/>
          <w:sz w:val="24"/>
          <w:highlight w:val="none"/>
          <w:u w:val="single"/>
        </w:rPr>
        <w:t xml:space="preserve">  /   </w:t>
      </w:r>
      <w:r>
        <w:rPr>
          <w:rFonts w:hint="eastAsia" w:ascii="宋体" w:hAnsi="宋体" w:eastAsia="仿宋"/>
          <w:iCs/>
          <w:color w:val="000000"/>
          <w:sz w:val="24"/>
          <w:highlight w:val="none"/>
        </w:rPr>
        <w:t>仲裁委员会（仲裁地点为</w:t>
      </w:r>
      <w:r>
        <w:rPr>
          <w:rFonts w:hint="eastAsia" w:ascii="宋体" w:hAnsi="宋体" w:eastAsia="仿宋"/>
          <w:iCs/>
          <w:color w:val="000000"/>
          <w:sz w:val="24"/>
          <w:highlight w:val="none"/>
          <w:u w:val="single"/>
        </w:rPr>
        <w:t xml:space="preserve">   /  </w:t>
      </w:r>
      <w:r>
        <w:rPr>
          <w:rFonts w:hint="eastAsia" w:ascii="宋体" w:hAnsi="宋体" w:eastAsia="仿宋"/>
          <w:iCs/>
          <w:color w:val="000000"/>
          <w:sz w:val="24"/>
          <w:highlight w:val="none"/>
        </w:rPr>
        <w:t>）,按照申请仲裁时该会现行有效的仲裁规则进行仲裁。仲裁裁决是终局的，对双方均有约束力。</w:t>
      </w:r>
    </w:p>
    <w:p w14:paraId="3BB91465">
      <w:pPr>
        <w:pStyle w:val="19"/>
        <w:snapToGrid w:val="0"/>
        <w:spacing w:after="0" w:line="360" w:lineRule="auto"/>
        <w:ind w:left="0" w:leftChars="0" w:firstLine="480" w:firstLineChars="200"/>
        <w:rPr>
          <w:rFonts w:hint="eastAsia" w:ascii="宋体" w:hAnsi="宋体" w:eastAsia="仿宋"/>
          <w:iCs/>
          <w:color w:val="000000"/>
          <w:sz w:val="24"/>
          <w:highlight w:val="none"/>
        </w:rPr>
      </w:pPr>
      <w:r>
        <w:rPr>
          <w:rFonts w:hint="eastAsia" w:ascii="宋体" w:hAnsi="宋体" w:eastAsia="仿宋"/>
          <w:iCs/>
          <w:snapToGrid w:val="0"/>
          <w:color w:val="000000"/>
          <w:kern w:val="0"/>
          <w:sz w:val="24"/>
          <w:highlight w:val="none"/>
        </w:rPr>
        <w:t>九、</w:t>
      </w:r>
      <w:r>
        <w:rPr>
          <w:rFonts w:hint="eastAsia" w:ascii="宋体" w:hAnsi="宋体" w:eastAsia="仿宋"/>
          <w:iCs/>
          <w:color w:val="000000"/>
          <w:sz w:val="24"/>
          <w:highlight w:val="none"/>
        </w:rPr>
        <w:t>本保函有效期届满或提前终止，本保函失效，我方在本保函项下的责任消灭，受益人应立即将本保函原件退还我方；受益人未履行上述义务，本保函仍在有效期届至或提前终止之日失效。</w:t>
      </w:r>
    </w:p>
    <w:p w14:paraId="46A7A8D3">
      <w:pPr>
        <w:pStyle w:val="19"/>
        <w:snapToGrid w:val="0"/>
        <w:spacing w:after="0" w:line="360" w:lineRule="auto"/>
        <w:ind w:left="0" w:leftChars="0" w:firstLine="480" w:firstLineChars="200"/>
        <w:rPr>
          <w:rFonts w:hint="eastAsia" w:ascii="宋体" w:hAnsi="宋体" w:eastAsia="仿宋"/>
          <w:iCs/>
          <w:color w:val="000000"/>
          <w:sz w:val="24"/>
          <w:highlight w:val="none"/>
        </w:rPr>
      </w:pPr>
      <w:r>
        <w:rPr>
          <w:rFonts w:hint="eastAsia" w:ascii="宋体" w:hAnsi="宋体" w:eastAsia="仿宋"/>
          <w:iCs/>
          <w:color w:val="000000"/>
          <w:sz w:val="24"/>
          <w:highlight w:val="none"/>
        </w:rPr>
        <w:t>十、本保函适用中华人民共和国法律。</w:t>
      </w:r>
    </w:p>
    <w:p w14:paraId="1116565D">
      <w:pPr>
        <w:pStyle w:val="19"/>
        <w:snapToGrid w:val="0"/>
        <w:spacing w:after="0" w:line="360" w:lineRule="auto"/>
        <w:ind w:left="0" w:leftChars="0" w:firstLine="480" w:firstLineChars="200"/>
        <w:rPr>
          <w:rFonts w:hint="eastAsia" w:ascii="宋体" w:hAnsi="宋体" w:eastAsia="仿宋"/>
          <w:iCs/>
          <w:color w:val="000000"/>
          <w:sz w:val="24"/>
          <w:highlight w:val="none"/>
        </w:rPr>
      </w:pPr>
      <w:r>
        <w:rPr>
          <w:rFonts w:hint="eastAsia" w:ascii="宋体" w:hAnsi="宋体" w:eastAsia="仿宋"/>
          <w:iCs/>
          <w:color w:val="000000"/>
          <w:sz w:val="24"/>
          <w:highlight w:val="none"/>
        </w:rPr>
        <w:t>十一、其他条款：</w:t>
      </w:r>
    </w:p>
    <w:p w14:paraId="7A6C8FBC">
      <w:pPr>
        <w:pStyle w:val="19"/>
        <w:snapToGrid w:val="0"/>
        <w:spacing w:after="0" w:line="360" w:lineRule="auto"/>
        <w:ind w:left="0" w:leftChars="0" w:firstLine="480" w:firstLineChars="200"/>
        <w:rPr>
          <w:rFonts w:hint="eastAsia" w:ascii="宋体" w:hAnsi="宋体" w:eastAsia="仿宋"/>
          <w:iCs/>
          <w:color w:val="000000"/>
          <w:sz w:val="24"/>
          <w:highlight w:val="none"/>
        </w:rPr>
      </w:pPr>
      <w:r>
        <w:rPr>
          <w:rFonts w:hint="eastAsia" w:ascii="宋体" w:hAnsi="宋体" w:eastAsia="仿宋"/>
          <w:iCs/>
          <w:color w:val="000000"/>
          <w:sz w:val="24"/>
          <w:highlight w:val="none"/>
          <w:u w:val="single"/>
        </w:rPr>
        <w:t xml:space="preserve">                 /              </w:t>
      </w:r>
      <w:r>
        <w:rPr>
          <w:rFonts w:hint="eastAsia" w:ascii="宋体" w:hAnsi="宋体" w:eastAsia="仿宋"/>
          <w:iCs/>
          <w:color w:val="000000"/>
          <w:sz w:val="24"/>
          <w:highlight w:val="none"/>
        </w:rPr>
        <w:t>。</w:t>
      </w:r>
    </w:p>
    <w:p w14:paraId="43638A07">
      <w:pPr>
        <w:pStyle w:val="19"/>
        <w:snapToGrid w:val="0"/>
        <w:spacing w:after="0" w:line="360" w:lineRule="auto"/>
        <w:ind w:left="0" w:leftChars="0" w:firstLine="480" w:firstLineChars="200"/>
        <w:rPr>
          <w:rFonts w:hint="eastAsia" w:ascii="宋体" w:hAnsi="宋体" w:eastAsia="仿宋"/>
          <w:iCs/>
          <w:color w:val="000000"/>
          <w:sz w:val="24"/>
          <w:highlight w:val="none"/>
        </w:rPr>
      </w:pPr>
      <w:r>
        <w:rPr>
          <w:rFonts w:hint="eastAsia" w:ascii="宋体" w:hAnsi="宋体" w:eastAsia="仿宋"/>
          <w:iCs/>
          <w:color w:val="000000"/>
          <w:sz w:val="24"/>
          <w:highlight w:val="none"/>
        </w:rPr>
        <w:t>十二、本保函自我方负责人或授权代理人签字并加盖公章之日起生效。</w:t>
      </w:r>
    </w:p>
    <w:p w14:paraId="5BFFE5C8">
      <w:pPr>
        <w:pStyle w:val="19"/>
        <w:snapToGrid w:val="0"/>
        <w:spacing w:after="0" w:line="360" w:lineRule="auto"/>
        <w:ind w:left="0" w:leftChars="0" w:firstLine="200"/>
        <w:rPr>
          <w:rFonts w:hint="eastAsia" w:ascii="宋体" w:hAnsi="宋体" w:eastAsia="仿宋"/>
          <w:iCs/>
          <w:color w:val="000000"/>
          <w:sz w:val="24"/>
          <w:highlight w:val="none"/>
        </w:rPr>
      </w:pPr>
    </w:p>
    <w:p w14:paraId="67B81E7B">
      <w:pPr>
        <w:snapToGrid w:val="0"/>
        <w:spacing w:line="360" w:lineRule="auto"/>
        <w:ind w:firstLine="2640" w:firstLineChars="1100"/>
        <w:rPr>
          <w:rFonts w:hint="eastAsia" w:ascii="宋体" w:hAnsi="宋体" w:eastAsia="仿宋"/>
          <w:color w:val="000000"/>
          <w:sz w:val="24"/>
          <w:highlight w:val="none"/>
        </w:rPr>
      </w:pPr>
      <w:r>
        <w:rPr>
          <w:rFonts w:hint="eastAsia" w:ascii="宋体" w:hAnsi="宋体" w:eastAsia="仿宋"/>
          <w:color w:val="000000"/>
          <w:sz w:val="24"/>
          <w:highlight w:val="none"/>
        </w:rPr>
        <w:t xml:space="preserve">保证人（公章）： </w:t>
      </w:r>
      <w:r>
        <w:rPr>
          <w:rFonts w:hint="eastAsia" w:ascii="宋体" w:hAnsi="宋体" w:eastAsia="仿宋"/>
          <w:iCs/>
          <w:color w:val="000000"/>
          <w:sz w:val="24"/>
          <w:highlight w:val="none"/>
          <w:u w:val="single"/>
        </w:rPr>
        <w:t xml:space="preserve">                        </w:t>
      </w:r>
    </w:p>
    <w:p w14:paraId="13888CE2">
      <w:pPr>
        <w:snapToGrid w:val="0"/>
        <w:spacing w:line="360" w:lineRule="auto"/>
        <w:ind w:firstLine="2640" w:firstLineChars="1100"/>
        <w:rPr>
          <w:rFonts w:hint="eastAsia" w:ascii="宋体" w:hAnsi="宋体" w:eastAsia="仿宋"/>
          <w:color w:val="000000"/>
          <w:sz w:val="24"/>
          <w:highlight w:val="none"/>
        </w:rPr>
      </w:pPr>
      <w:r>
        <w:rPr>
          <w:rFonts w:hint="eastAsia" w:ascii="宋体" w:hAnsi="宋体" w:eastAsia="仿宋"/>
          <w:color w:val="000000"/>
          <w:sz w:val="24"/>
          <w:highlight w:val="none"/>
        </w:rPr>
        <w:t>负责人或授权代理人（签字）：</w:t>
      </w:r>
      <w:r>
        <w:rPr>
          <w:rFonts w:hint="eastAsia" w:ascii="宋体" w:hAnsi="宋体" w:eastAsia="仿宋"/>
          <w:iCs/>
          <w:color w:val="000000"/>
          <w:sz w:val="24"/>
          <w:highlight w:val="none"/>
          <w:u w:val="single"/>
        </w:rPr>
        <w:t xml:space="preserve">              </w:t>
      </w:r>
    </w:p>
    <w:p w14:paraId="40B7E452">
      <w:pPr>
        <w:snapToGrid w:val="0"/>
        <w:spacing w:line="360" w:lineRule="auto"/>
        <w:ind w:firstLine="2640" w:firstLineChars="1100"/>
        <w:rPr>
          <w:rFonts w:hint="eastAsia" w:ascii="宋体" w:hAnsi="宋体" w:eastAsia="仿宋"/>
          <w:color w:val="000000"/>
          <w:sz w:val="24"/>
          <w:highlight w:val="none"/>
        </w:rPr>
      </w:pPr>
      <w:r>
        <w:rPr>
          <w:rFonts w:hint="eastAsia" w:ascii="宋体" w:hAnsi="宋体" w:eastAsia="仿宋"/>
          <w:color w:val="000000"/>
          <w:sz w:val="24"/>
          <w:highlight w:val="none"/>
        </w:rPr>
        <w:t xml:space="preserve">邮编： </w:t>
      </w:r>
    </w:p>
    <w:p w14:paraId="597ACACC">
      <w:pPr>
        <w:snapToGrid w:val="0"/>
        <w:spacing w:line="360" w:lineRule="auto"/>
        <w:ind w:firstLine="2640" w:firstLineChars="1100"/>
        <w:rPr>
          <w:rFonts w:ascii="宋体" w:hAnsi="宋体" w:eastAsia="仿宋"/>
          <w:color w:val="000000"/>
          <w:sz w:val="24"/>
          <w:highlight w:val="none"/>
        </w:rPr>
      </w:pPr>
      <w:r>
        <w:rPr>
          <w:rFonts w:hint="eastAsia" w:ascii="宋体" w:hAnsi="宋体" w:eastAsia="仿宋"/>
          <w:color w:val="000000"/>
          <w:sz w:val="24"/>
          <w:highlight w:val="none"/>
        </w:rPr>
        <w:t>电话：</w:t>
      </w:r>
      <w:r>
        <w:rPr>
          <w:rFonts w:ascii="宋体" w:hAnsi="宋体" w:eastAsia="仿宋"/>
          <w:color w:val="000000"/>
          <w:sz w:val="24"/>
          <w:highlight w:val="none"/>
        </w:rPr>
        <w:t xml:space="preserve"> </w:t>
      </w:r>
    </w:p>
    <w:p w14:paraId="130DF0D5">
      <w:pPr>
        <w:snapToGrid w:val="0"/>
        <w:spacing w:line="360" w:lineRule="auto"/>
        <w:ind w:firstLine="2640" w:firstLineChars="1100"/>
        <w:rPr>
          <w:rFonts w:hint="eastAsia" w:ascii="宋体" w:hAnsi="宋体" w:eastAsia="仿宋"/>
          <w:color w:val="000000"/>
          <w:sz w:val="24"/>
          <w:highlight w:val="none"/>
        </w:rPr>
      </w:pPr>
      <w:r>
        <w:rPr>
          <w:rFonts w:hint="eastAsia" w:ascii="宋体" w:hAnsi="宋体" w:eastAsia="仿宋"/>
          <w:color w:val="000000"/>
          <w:sz w:val="24"/>
          <w:highlight w:val="none"/>
        </w:rPr>
        <w:t xml:space="preserve">传真： </w:t>
      </w:r>
    </w:p>
    <w:p w14:paraId="00C6546E">
      <w:pPr>
        <w:snapToGrid w:val="0"/>
        <w:spacing w:line="360" w:lineRule="auto"/>
        <w:ind w:firstLine="2640" w:firstLineChars="1100"/>
        <w:rPr>
          <w:rFonts w:hint="eastAsia" w:ascii="宋体" w:hAnsi="宋体" w:eastAsia="仿宋"/>
          <w:color w:val="000000"/>
          <w:sz w:val="24"/>
          <w:highlight w:val="none"/>
        </w:rPr>
      </w:pPr>
      <w:r>
        <w:rPr>
          <w:rFonts w:hint="eastAsia" w:ascii="宋体" w:hAnsi="宋体" w:eastAsia="仿宋"/>
          <w:color w:val="000000"/>
          <w:sz w:val="24"/>
          <w:highlight w:val="none"/>
        </w:rPr>
        <w:t xml:space="preserve">签发日期 </w:t>
      </w:r>
      <w:r>
        <w:rPr>
          <w:rFonts w:hint="eastAsia" w:ascii="宋体" w:hAnsi="宋体" w:eastAsia="仿宋"/>
          <w:color w:val="000000"/>
          <w:sz w:val="24"/>
          <w:highlight w:val="none"/>
          <w:u w:val="single"/>
        </w:rPr>
        <w:t xml:space="preserve">        </w:t>
      </w:r>
      <w:r>
        <w:rPr>
          <w:rFonts w:hint="eastAsia" w:ascii="宋体" w:hAnsi="宋体" w:eastAsia="仿宋"/>
          <w:color w:val="000000"/>
          <w:sz w:val="24"/>
          <w:highlight w:val="none"/>
        </w:rPr>
        <w:t>年</w:t>
      </w:r>
      <w:r>
        <w:rPr>
          <w:rFonts w:hint="eastAsia" w:ascii="宋体" w:hAnsi="宋体" w:eastAsia="仿宋"/>
          <w:color w:val="000000"/>
          <w:sz w:val="24"/>
          <w:highlight w:val="none"/>
          <w:u w:val="single"/>
        </w:rPr>
        <w:t xml:space="preserve">     </w:t>
      </w:r>
      <w:r>
        <w:rPr>
          <w:rFonts w:hint="eastAsia" w:ascii="宋体" w:hAnsi="宋体" w:eastAsia="仿宋"/>
          <w:color w:val="000000"/>
          <w:sz w:val="24"/>
          <w:highlight w:val="none"/>
        </w:rPr>
        <w:t>月</w:t>
      </w:r>
      <w:r>
        <w:rPr>
          <w:rFonts w:hint="eastAsia" w:ascii="宋体" w:hAnsi="宋体" w:eastAsia="仿宋"/>
          <w:color w:val="000000"/>
          <w:sz w:val="24"/>
          <w:highlight w:val="none"/>
          <w:u w:val="single"/>
        </w:rPr>
        <w:t xml:space="preserve">     </w:t>
      </w:r>
      <w:r>
        <w:rPr>
          <w:rFonts w:hint="eastAsia" w:ascii="宋体" w:hAnsi="宋体" w:eastAsia="仿宋"/>
          <w:color w:val="000000"/>
          <w:sz w:val="24"/>
          <w:highlight w:val="none"/>
        </w:rPr>
        <w:t>日</w:t>
      </w:r>
    </w:p>
    <w:p w14:paraId="3DA60505">
      <w:pPr>
        <w:autoSpaceDE w:val="0"/>
        <w:autoSpaceDN w:val="0"/>
        <w:adjustRightInd w:val="0"/>
        <w:spacing w:line="200" w:lineRule="exact"/>
        <w:contextualSpacing/>
        <w:jc w:val="left"/>
        <w:rPr>
          <w:rFonts w:hint="eastAsia" w:ascii="宋体" w:hAnsi="宋体" w:eastAsia="仿宋" w:cs="Microsoft JhengHei"/>
          <w:color w:val="000000"/>
          <w:kern w:val="0"/>
          <w:sz w:val="20"/>
          <w:szCs w:val="20"/>
          <w:highlight w:val="none"/>
        </w:rPr>
      </w:pPr>
    </w:p>
    <w:p w14:paraId="3ECEA2C0">
      <w:pPr>
        <w:rPr>
          <w:rFonts w:hint="eastAsia" w:eastAsia="仿宋"/>
          <w:color w:val="000000"/>
          <w:highlight w:val="none"/>
        </w:rPr>
      </w:pPr>
      <w:r>
        <w:rPr>
          <w:rFonts w:hint="eastAsia" w:eastAsia="仿宋"/>
          <w:color w:val="000000"/>
          <w:highlight w:val="none"/>
        </w:rPr>
        <w:t>注：</w:t>
      </w:r>
    </w:p>
    <w:p w14:paraId="25791A94">
      <w:pPr>
        <w:rPr>
          <w:rFonts w:hint="eastAsia" w:eastAsia="仿宋"/>
          <w:color w:val="000000"/>
          <w:highlight w:val="none"/>
        </w:rPr>
      </w:pPr>
      <w:r>
        <w:rPr>
          <w:rFonts w:hint="eastAsia" w:eastAsia="仿宋"/>
          <w:color w:val="000000"/>
          <w:highlight w:val="none"/>
        </w:rPr>
        <w:t>1.允许投标人实际开具的银行保函或担保机构或保证保险机构出具的担保的格式与本文件提供的格式有所不同，但不得更改本文件提供的银行保函或担保格式中的实质性内容。</w:t>
      </w:r>
    </w:p>
    <w:p w14:paraId="494A6DF3">
      <w:pPr>
        <w:rPr>
          <w:rFonts w:hint="eastAsia" w:eastAsia="仿宋"/>
          <w:color w:val="000000"/>
          <w:highlight w:val="none"/>
        </w:rPr>
      </w:pPr>
      <w:r>
        <w:rPr>
          <w:rFonts w:hint="eastAsia" w:eastAsia="仿宋"/>
          <w:color w:val="000000"/>
          <w:highlight w:val="none"/>
        </w:rPr>
        <w:t>2.投标人开具的银行保函（或担保机构担保或保证保险）必须具有明确有效的查询途径（网址链接及查询方式）。</w:t>
      </w:r>
    </w:p>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p w14:paraId="11F1A402">
      <w:pPr>
        <w:widowControl/>
        <w:rPr>
          <w:rFonts w:ascii="宋体" w:hAnsi="宋体" w:eastAsia="仿宋"/>
          <w:color w:val="000000"/>
          <w:highlight w:val="none"/>
        </w:rPr>
      </w:pPr>
    </w:p>
    <w:p w14:paraId="385C8B00">
      <w:pPr>
        <w:pStyle w:val="2"/>
        <w:widowControl/>
        <w:jc w:val="center"/>
        <w:rPr>
          <w:rFonts w:ascii="宋体" w:hAnsi="宋体" w:eastAsia="仿宋"/>
          <w:color w:val="000000"/>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439B123A">
      <w:pPr>
        <w:pStyle w:val="2"/>
        <w:widowControl/>
        <w:spacing w:before="0" w:after="0" w:line="240" w:lineRule="auto"/>
        <w:jc w:val="center"/>
        <w:rPr>
          <w:rFonts w:hint="eastAsia" w:ascii="宋体" w:hAnsi="宋体" w:eastAsia="仿宋"/>
          <w:color w:val="000000"/>
          <w:highlight w:val="none"/>
        </w:rPr>
      </w:pPr>
      <w:bookmarkStart w:id="854" w:name="_Toc13236"/>
      <w:bookmarkStart w:id="855" w:name="_Toc466024585"/>
      <w:bookmarkStart w:id="856" w:name="_Toc445554784"/>
      <w:r>
        <w:rPr>
          <w:rFonts w:hint="eastAsia" w:ascii="宋体" w:hAnsi="宋体" w:eastAsia="仿宋"/>
          <w:color w:val="000000"/>
          <w:highlight w:val="none"/>
        </w:rPr>
        <w:t>第六章  投标文件格式</w:t>
      </w:r>
      <w:bookmarkEnd w:id="854"/>
      <w:bookmarkEnd w:id="855"/>
      <w:bookmarkEnd w:id="856"/>
    </w:p>
    <w:p w14:paraId="60091A07">
      <w:pPr>
        <w:widowControl/>
        <w:adjustRightInd w:val="0"/>
        <w:snapToGrid w:val="0"/>
        <w:spacing w:before="48" w:beforeLines="20" w:after="48" w:afterLines="20" w:line="540" w:lineRule="exact"/>
        <w:rPr>
          <w:rFonts w:hint="eastAsia" w:ascii="黑体" w:hAnsi="黑体" w:eastAsia="黑体"/>
          <w:color w:val="000000"/>
          <w:sz w:val="36"/>
          <w:highlight w:val="none"/>
        </w:rPr>
      </w:pPr>
    </w:p>
    <w:p w14:paraId="4EFDCCC8">
      <w:pPr>
        <w:widowControl/>
        <w:adjustRightInd w:val="0"/>
        <w:snapToGrid w:val="0"/>
        <w:spacing w:before="48" w:beforeLines="20" w:after="48" w:afterLines="20" w:line="540" w:lineRule="exact"/>
        <w:rPr>
          <w:rFonts w:hint="eastAsia" w:ascii="黑体" w:hAnsi="黑体" w:eastAsia="黑体"/>
          <w:color w:val="000000"/>
          <w:sz w:val="36"/>
          <w:highlight w:val="none"/>
        </w:rPr>
      </w:pPr>
    </w:p>
    <w:p w14:paraId="68CFC415">
      <w:pPr>
        <w:widowControl/>
        <w:adjustRightInd w:val="0"/>
        <w:snapToGrid w:val="0"/>
        <w:spacing w:line="360" w:lineRule="auto"/>
        <w:ind w:firstLine="480" w:firstLineChars="200"/>
        <w:rPr>
          <w:rFonts w:hint="eastAsia" w:ascii="仿宋_GB2312" w:hAnsi="黑体" w:eastAsia="仿宋_GB2312"/>
          <w:color w:val="000000"/>
          <w:sz w:val="24"/>
          <w:highlight w:val="none"/>
        </w:rPr>
      </w:pPr>
      <w:r>
        <w:rPr>
          <w:rFonts w:hint="eastAsia" w:ascii="仿宋_GB2312" w:hAnsi="黑体" w:eastAsia="仿宋_GB2312"/>
          <w:color w:val="000000"/>
          <w:sz w:val="24"/>
          <w:highlight w:val="none"/>
        </w:rPr>
        <w:t>注：1.投标人应按给定格式编制投标文件，相关格式可以扩展。评标办法、招标澄清修改等招标文件要求提供相关材料的，此处未给出格式、章节的，请投标人自定格式，编制在投标文件内。</w:t>
      </w:r>
    </w:p>
    <w:p w14:paraId="4084B853">
      <w:pPr>
        <w:widowControl/>
        <w:adjustRightInd w:val="0"/>
        <w:snapToGrid w:val="0"/>
        <w:spacing w:line="360" w:lineRule="auto"/>
        <w:ind w:firstLine="480" w:firstLineChars="200"/>
        <w:rPr>
          <w:rFonts w:hint="eastAsia" w:ascii="仿宋_GB2312" w:hAnsi="宋体" w:eastAsia="仿宋_GB2312"/>
          <w:color w:val="000000"/>
          <w:sz w:val="24"/>
          <w:highlight w:val="none"/>
        </w:rPr>
      </w:pPr>
      <w:r>
        <w:rPr>
          <w:rFonts w:hint="eastAsia" w:ascii="仿宋_GB2312" w:hAnsi="黑体" w:eastAsia="仿宋_GB2312"/>
          <w:color w:val="000000"/>
          <w:sz w:val="24"/>
          <w:highlight w:val="none"/>
        </w:rPr>
        <w:t>2.采用全流程电子招标投标时，投标文件格式要求盖章的，可为电子签章，或盖章后的扫描件。投标文件格式要求签字的，电子投标文件中，应采用签字后的扫描件。</w:t>
      </w:r>
    </w:p>
    <w:p w14:paraId="0839F350">
      <w:pPr>
        <w:widowControl/>
        <w:spacing w:line="560" w:lineRule="exact"/>
        <w:ind w:firstLine="420" w:firstLineChars="200"/>
        <w:jc w:val="center"/>
        <w:rPr>
          <w:rFonts w:hint="eastAsia" w:ascii="宋体" w:hAnsi="宋体" w:eastAsia="仿宋"/>
          <w:color w:val="000000"/>
          <w:szCs w:val="21"/>
          <w:highlight w:val="none"/>
        </w:rPr>
      </w:pPr>
      <w:r>
        <w:rPr>
          <w:rFonts w:ascii="宋体" w:hAnsi="宋体" w:eastAsia="仿宋"/>
          <w:color w:val="000000"/>
          <w:szCs w:val="21"/>
          <w:highlight w:val="none"/>
        </w:rPr>
        <w:br w:type="page"/>
      </w:r>
    </w:p>
    <w:p w14:paraId="6E8FE577">
      <w:pPr>
        <w:widowControl/>
        <w:spacing w:line="560" w:lineRule="exact"/>
        <w:ind w:firstLine="420" w:firstLineChars="200"/>
        <w:jc w:val="center"/>
        <w:rPr>
          <w:rFonts w:hint="eastAsia" w:ascii="宋体" w:hAnsi="宋体" w:eastAsia="仿宋"/>
          <w:color w:val="000000"/>
          <w:szCs w:val="21"/>
          <w:highlight w:val="none"/>
        </w:rPr>
      </w:pPr>
    </w:p>
    <w:p w14:paraId="2E812B5F">
      <w:pPr>
        <w:widowControl/>
        <w:spacing w:line="560" w:lineRule="exact"/>
        <w:ind w:firstLine="420" w:firstLineChars="200"/>
        <w:jc w:val="center"/>
        <w:rPr>
          <w:rFonts w:hint="eastAsia" w:ascii="宋体" w:hAnsi="宋体" w:eastAsia="仿宋"/>
          <w:color w:val="000000"/>
          <w:szCs w:val="21"/>
          <w:highlight w:val="none"/>
        </w:rPr>
      </w:pPr>
    </w:p>
    <w:p w14:paraId="5D3F15CE">
      <w:pPr>
        <w:widowControl/>
        <w:spacing w:line="560" w:lineRule="exact"/>
        <w:ind w:firstLine="420" w:firstLineChars="200"/>
        <w:jc w:val="center"/>
        <w:rPr>
          <w:rFonts w:hint="eastAsia" w:ascii="宋体" w:hAnsi="宋体" w:eastAsia="仿宋"/>
          <w:color w:val="000000"/>
          <w:szCs w:val="21"/>
          <w:highlight w:val="none"/>
        </w:rPr>
      </w:pPr>
    </w:p>
    <w:p w14:paraId="0A6DC9C5">
      <w:pPr>
        <w:widowControl/>
        <w:spacing w:line="560" w:lineRule="exact"/>
        <w:ind w:firstLine="420" w:firstLineChars="200"/>
        <w:jc w:val="center"/>
        <w:rPr>
          <w:rFonts w:hint="eastAsia" w:ascii="宋体" w:hAnsi="宋体" w:cs="宋体"/>
          <w:color w:val="000000"/>
          <w:szCs w:val="21"/>
          <w:highlight w:val="none"/>
        </w:rPr>
      </w:pPr>
    </w:p>
    <w:p w14:paraId="68DAB00B">
      <w:pPr>
        <w:widowControl/>
        <w:spacing w:line="560" w:lineRule="exact"/>
        <w:ind w:firstLine="880" w:firstLineChars="200"/>
        <w:jc w:val="center"/>
        <w:rPr>
          <w:rFonts w:hint="eastAsia" w:ascii="宋体" w:hAnsi="宋体" w:cs="宋体"/>
          <w:color w:val="000000"/>
          <w:sz w:val="44"/>
          <w:szCs w:val="44"/>
          <w:highlight w:val="none"/>
        </w:rPr>
      </w:pPr>
      <w:r>
        <w:rPr>
          <w:rFonts w:hint="eastAsia" w:ascii="宋体" w:hAnsi="宋体" w:cs="宋体"/>
          <w:color w:val="000000"/>
          <w:sz w:val="44"/>
          <w:szCs w:val="44"/>
          <w:highlight w:val="none"/>
          <w:u w:val="single"/>
        </w:rPr>
        <w:t xml:space="preserve">             </w:t>
      </w:r>
      <w:r>
        <w:rPr>
          <w:rFonts w:hint="eastAsia" w:ascii="宋体" w:hAnsi="宋体" w:cs="宋体"/>
          <w:color w:val="000000"/>
          <w:sz w:val="44"/>
          <w:szCs w:val="44"/>
          <w:highlight w:val="none"/>
        </w:rPr>
        <w:t>（项目名称）招标</w:t>
      </w:r>
    </w:p>
    <w:p w14:paraId="3F238353">
      <w:pPr>
        <w:widowControl/>
        <w:spacing w:line="560" w:lineRule="exact"/>
        <w:ind w:firstLine="400" w:firstLineChars="200"/>
        <w:jc w:val="center"/>
        <w:rPr>
          <w:rFonts w:hint="eastAsia" w:ascii="宋体" w:hAnsi="宋体" w:cs="宋体"/>
          <w:color w:val="000000"/>
          <w:sz w:val="20"/>
          <w:szCs w:val="20"/>
          <w:highlight w:val="none"/>
        </w:rPr>
      </w:pPr>
    </w:p>
    <w:p w14:paraId="72B5DF9C">
      <w:pPr>
        <w:widowControl/>
        <w:spacing w:line="560" w:lineRule="exact"/>
        <w:ind w:firstLine="400" w:firstLineChars="200"/>
        <w:jc w:val="center"/>
        <w:rPr>
          <w:rFonts w:hint="eastAsia" w:ascii="宋体" w:hAnsi="宋体" w:cs="宋体"/>
          <w:color w:val="000000"/>
          <w:sz w:val="20"/>
          <w:szCs w:val="20"/>
          <w:highlight w:val="none"/>
        </w:rPr>
      </w:pPr>
    </w:p>
    <w:p w14:paraId="620CF485">
      <w:pPr>
        <w:widowControl/>
        <w:snapToGrid w:val="0"/>
        <w:jc w:val="center"/>
        <w:rPr>
          <w:rFonts w:hint="eastAsia" w:ascii="宋体" w:hAnsi="宋体" w:cs="宋体"/>
          <w:color w:val="000000"/>
          <w:sz w:val="72"/>
          <w:szCs w:val="72"/>
          <w:highlight w:val="none"/>
        </w:rPr>
      </w:pPr>
      <w:r>
        <w:rPr>
          <w:rFonts w:hint="eastAsia" w:ascii="宋体" w:hAnsi="宋体" w:cs="宋体"/>
          <w:color w:val="000000"/>
          <w:sz w:val="72"/>
          <w:szCs w:val="72"/>
          <w:highlight w:val="none"/>
        </w:rPr>
        <w:t>投  标  文  件</w:t>
      </w:r>
    </w:p>
    <w:p w14:paraId="018E2DBC">
      <w:pPr>
        <w:widowControl/>
        <w:spacing w:line="560" w:lineRule="exact"/>
        <w:ind w:firstLine="560" w:firstLineChars="200"/>
        <w:rPr>
          <w:rFonts w:hint="eastAsia" w:ascii="宋体" w:hAnsi="宋体" w:cs="宋体"/>
          <w:color w:val="000000"/>
          <w:sz w:val="28"/>
          <w:szCs w:val="28"/>
          <w:highlight w:val="none"/>
        </w:rPr>
      </w:pPr>
    </w:p>
    <w:p w14:paraId="18349545">
      <w:pPr>
        <w:widowControl/>
        <w:spacing w:line="560" w:lineRule="exact"/>
        <w:ind w:firstLine="560" w:firstLineChars="200"/>
        <w:rPr>
          <w:rFonts w:hint="eastAsia" w:ascii="宋体" w:hAnsi="宋体" w:cs="宋体"/>
          <w:color w:val="000000"/>
          <w:sz w:val="28"/>
          <w:szCs w:val="28"/>
          <w:highlight w:val="none"/>
        </w:rPr>
      </w:pPr>
    </w:p>
    <w:p w14:paraId="7E2C19F9">
      <w:pPr>
        <w:widowControl/>
        <w:spacing w:line="560" w:lineRule="exact"/>
        <w:ind w:firstLine="560" w:firstLineChars="200"/>
        <w:rPr>
          <w:rFonts w:hint="eastAsia" w:ascii="宋体" w:hAnsi="宋体" w:cs="宋体"/>
          <w:color w:val="000000"/>
          <w:sz w:val="28"/>
          <w:szCs w:val="28"/>
          <w:highlight w:val="none"/>
        </w:rPr>
      </w:pPr>
    </w:p>
    <w:p w14:paraId="284F7152">
      <w:pPr>
        <w:widowControl/>
        <w:spacing w:line="560" w:lineRule="exact"/>
        <w:ind w:firstLine="560" w:firstLineChars="200"/>
        <w:rPr>
          <w:rFonts w:hint="eastAsia" w:ascii="宋体" w:hAnsi="宋体" w:cs="宋体"/>
          <w:color w:val="000000"/>
          <w:sz w:val="28"/>
          <w:szCs w:val="28"/>
          <w:highlight w:val="none"/>
        </w:rPr>
      </w:pPr>
    </w:p>
    <w:p w14:paraId="5A8E31F5">
      <w:pPr>
        <w:widowControl/>
        <w:spacing w:line="560" w:lineRule="exact"/>
        <w:ind w:firstLine="560" w:firstLineChars="200"/>
        <w:rPr>
          <w:rFonts w:hint="eastAsia" w:ascii="宋体" w:hAnsi="宋体" w:cs="宋体"/>
          <w:color w:val="000000"/>
          <w:sz w:val="28"/>
          <w:szCs w:val="28"/>
          <w:highlight w:val="none"/>
        </w:rPr>
      </w:pPr>
    </w:p>
    <w:p w14:paraId="2657F345">
      <w:pPr>
        <w:widowControl/>
        <w:spacing w:line="560" w:lineRule="exact"/>
        <w:ind w:firstLine="560" w:firstLineChars="200"/>
        <w:rPr>
          <w:rFonts w:hint="eastAsia" w:ascii="宋体" w:hAnsi="宋体" w:cs="宋体"/>
          <w:color w:val="000000"/>
          <w:sz w:val="28"/>
          <w:szCs w:val="28"/>
          <w:highlight w:val="none"/>
        </w:rPr>
      </w:pPr>
    </w:p>
    <w:p w14:paraId="79674AB3">
      <w:pPr>
        <w:widowControl/>
        <w:spacing w:line="560" w:lineRule="exact"/>
        <w:ind w:firstLine="560" w:firstLineChars="200"/>
        <w:rPr>
          <w:rFonts w:hint="eastAsia" w:ascii="宋体" w:hAnsi="宋体" w:cs="宋体"/>
          <w:color w:val="000000"/>
          <w:sz w:val="28"/>
          <w:szCs w:val="28"/>
          <w:highlight w:val="none"/>
          <w:u w:val="single"/>
        </w:rPr>
      </w:pPr>
      <w:r>
        <w:rPr>
          <w:rFonts w:hint="eastAsia" w:ascii="宋体" w:hAnsi="宋体" w:cs="宋体"/>
          <w:color w:val="000000"/>
          <w:sz w:val="28"/>
          <w:szCs w:val="28"/>
          <w:highlight w:val="none"/>
        </w:rPr>
        <w:t>投标人名称：</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rPr>
        <w:t xml:space="preserve"> </w:t>
      </w:r>
    </w:p>
    <w:p w14:paraId="0E2268F6">
      <w:pPr>
        <w:widowControl/>
        <w:spacing w:line="560" w:lineRule="exact"/>
        <w:ind w:firstLine="560" w:firstLineChars="200"/>
        <w:rPr>
          <w:rFonts w:hint="eastAsia" w:ascii="宋体" w:hAnsi="宋体" w:cs="宋体"/>
          <w:color w:val="000000"/>
          <w:sz w:val="28"/>
          <w:szCs w:val="28"/>
          <w:highlight w:val="none"/>
        </w:rPr>
      </w:pPr>
    </w:p>
    <w:p w14:paraId="5AE94803">
      <w:pPr>
        <w:widowControl/>
        <w:spacing w:line="560" w:lineRule="exact"/>
        <w:ind w:firstLine="560" w:firstLineChars="200"/>
        <w:rPr>
          <w:rFonts w:hint="eastAsia" w:ascii="宋体" w:hAnsi="宋体" w:cs="宋体"/>
          <w:color w:val="000000"/>
          <w:sz w:val="28"/>
          <w:szCs w:val="28"/>
          <w:highlight w:val="none"/>
        </w:rPr>
      </w:pPr>
      <w:r>
        <w:rPr>
          <w:rFonts w:hint="eastAsia" w:ascii="宋体" w:hAnsi="宋体" w:cs="宋体"/>
          <w:color w:val="000000"/>
          <w:sz w:val="28"/>
          <w:szCs w:val="28"/>
          <w:highlight w:val="none"/>
        </w:rPr>
        <w:t>法定代表人（单位负责人）或其委托代理人：</w:t>
      </w:r>
      <w:r>
        <w:rPr>
          <w:rFonts w:hint="eastAsia" w:ascii="宋体" w:hAnsi="宋体" w:cs="宋体"/>
          <w:color w:val="000000"/>
          <w:sz w:val="28"/>
          <w:szCs w:val="28"/>
          <w:highlight w:val="none"/>
          <w:u w:val="single"/>
        </w:rPr>
        <w:t xml:space="preserve">        </w:t>
      </w:r>
    </w:p>
    <w:p w14:paraId="6A489DEF">
      <w:pPr>
        <w:widowControl/>
        <w:spacing w:line="560" w:lineRule="exact"/>
        <w:ind w:firstLine="2800" w:firstLineChars="1000"/>
        <w:rPr>
          <w:rFonts w:hint="eastAsia" w:ascii="宋体" w:hAnsi="宋体" w:cs="宋体"/>
          <w:color w:val="000000"/>
          <w:highlight w:val="none"/>
        </w:rPr>
      </w:pP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rPr>
        <w:t>年</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rPr>
        <w:t>月</w:t>
      </w:r>
      <w:r>
        <w:rPr>
          <w:rFonts w:hint="eastAsia" w:ascii="宋体" w:hAnsi="宋体" w:cs="宋体"/>
          <w:color w:val="000000"/>
          <w:sz w:val="28"/>
          <w:szCs w:val="28"/>
          <w:highlight w:val="none"/>
          <w:u w:val="single"/>
        </w:rPr>
        <w:t xml:space="preserve">        </w:t>
      </w:r>
      <w:r>
        <w:rPr>
          <w:rFonts w:hint="eastAsia" w:ascii="宋体" w:hAnsi="宋体" w:cs="宋体"/>
          <w:color w:val="000000"/>
          <w:sz w:val="28"/>
          <w:szCs w:val="28"/>
          <w:highlight w:val="none"/>
        </w:rPr>
        <w:t>日</w:t>
      </w:r>
    </w:p>
    <w:p w14:paraId="030B4ECF">
      <w:pPr>
        <w:widowControl/>
        <w:jc w:val="center"/>
        <w:rPr>
          <w:rFonts w:hint="eastAsia" w:ascii="宋体" w:hAnsi="宋体" w:cs="宋体"/>
          <w:b/>
          <w:bCs/>
          <w:color w:val="000000"/>
          <w:sz w:val="44"/>
          <w:szCs w:val="44"/>
          <w:highlight w:val="none"/>
        </w:rPr>
      </w:pPr>
    </w:p>
    <w:p w14:paraId="68EB7F8A">
      <w:pPr>
        <w:widowControl/>
        <w:jc w:val="center"/>
        <w:rPr>
          <w:rFonts w:hint="eastAsia" w:ascii="宋体" w:hAnsi="宋体" w:cs="宋体"/>
          <w:b/>
          <w:bCs/>
          <w:color w:val="000000"/>
          <w:sz w:val="44"/>
          <w:szCs w:val="44"/>
          <w:highlight w:val="none"/>
        </w:rPr>
      </w:pPr>
    </w:p>
    <w:p w14:paraId="7968996F">
      <w:pPr>
        <w:widowControl/>
        <w:jc w:val="center"/>
        <w:rPr>
          <w:rFonts w:hint="eastAsia" w:ascii="宋体" w:hAnsi="宋体" w:cs="宋体"/>
          <w:b/>
          <w:bCs/>
          <w:color w:val="000000"/>
          <w:sz w:val="44"/>
          <w:szCs w:val="4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4C94C459">
      <w:pPr>
        <w:widowControl/>
        <w:jc w:val="center"/>
        <w:rPr>
          <w:rFonts w:hint="eastAsia" w:ascii="宋体" w:hAnsi="宋体" w:cs="宋体"/>
          <w:b/>
          <w:bCs/>
          <w:color w:val="000000"/>
          <w:sz w:val="44"/>
          <w:szCs w:val="44"/>
          <w:highlight w:val="none"/>
        </w:rPr>
      </w:pPr>
      <w:r>
        <w:rPr>
          <w:rFonts w:hint="eastAsia" w:ascii="宋体" w:hAnsi="宋体" w:cs="宋体"/>
          <w:b/>
          <w:bCs/>
          <w:color w:val="000000"/>
          <w:sz w:val="44"/>
          <w:szCs w:val="44"/>
          <w:highlight w:val="none"/>
        </w:rPr>
        <w:t>目  录</w:t>
      </w:r>
    </w:p>
    <w:p w14:paraId="3546FA39">
      <w:pPr>
        <w:widowControl/>
        <w:rPr>
          <w:rFonts w:hint="eastAsia" w:ascii="宋体" w:hAnsi="宋体" w:cs="宋体"/>
          <w:bCs/>
          <w:color w:val="000000"/>
          <w:sz w:val="28"/>
          <w:szCs w:val="28"/>
          <w:highlight w:val="none"/>
        </w:rPr>
      </w:pPr>
    </w:p>
    <w:p w14:paraId="4FCC06DD">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一、投标函</w:t>
      </w:r>
    </w:p>
    <w:p w14:paraId="4413E860">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二、开标一览表</w:t>
      </w:r>
    </w:p>
    <w:p w14:paraId="536C8B81">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三、分项报价表</w:t>
      </w:r>
    </w:p>
    <w:p w14:paraId="28002766">
      <w:pPr>
        <w:widowControl/>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四、投标人综合情况简介</w:t>
      </w:r>
    </w:p>
    <w:p w14:paraId="4251FBA3">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五、中小企业声明函（货物）</w:t>
      </w:r>
    </w:p>
    <w:p w14:paraId="0701BF71">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六、法定代表人（单位负责人）身份证明或授权委托书</w:t>
      </w:r>
    </w:p>
    <w:p w14:paraId="2E8B695E">
      <w:pPr>
        <w:widowControl/>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七、联合体协议书(如有)</w:t>
      </w:r>
    </w:p>
    <w:p w14:paraId="27382C72">
      <w:pPr>
        <w:widowControl/>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八、分包意向协议书（如有）</w:t>
      </w:r>
    </w:p>
    <w:p w14:paraId="5D8C9C1A">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九、资格审查材料</w:t>
      </w:r>
    </w:p>
    <w:p w14:paraId="6C776C3F">
      <w:pPr>
        <w:widowControl/>
        <w:adjustRightInd w:val="0"/>
        <w:snapToGrid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十、符合性审查与详细评审材料</w:t>
      </w:r>
    </w:p>
    <w:p w14:paraId="183C11B7">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十一、主要标的承诺函</w:t>
      </w:r>
    </w:p>
    <w:p w14:paraId="6F4ADA16">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十二、投标人认为应该提供的其他材料</w:t>
      </w:r>
    </w:p>
    <w:p w14:paraId="6317A4AD">
      <w:pPr>
        <w:widowControl/>
        <w:rPr>
          <w:rFonts w:hint="eastAsia" w:ascii="宋体" w:hAnsi="宋体" w:cs="宋体"/>
          <w:bCs/>
          <w:color w:val="000000"/>
          <w:highlight w:val="none"/>
        </w:rPr>
      </w:pPr>
    </w:p>
    <w:p w14:paraId="4A050B99">
      <w:pPr>
        <w:pStyle w:val="3"/>
        <w:widowControl/>
        <w:spacing w:before="120" w:after="120" w:line="240" w:lineRule="auto"/>
        <w:jc w:val="center"/>
        <w:rPr>
          <w:rStyle w:val="106"/>
          <w:rFonts w:hint="eastAsia" w:ascii="宋体" w:hAnsi="宋体" w:eastAsia="宋体" w:cs="宋体"/>
          <w:b/>
          <w:color w:val="000000"/>
          <w:sz w:val="30"/>
          <w:szCs w:val="30"/>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0C1E0ACB">
      <w:pPr>
        <w:widowControl/>
        <w:rPr>
          <w:rFonts w:hint="eastAsia" w:ascii="宋体" w:hAnsi="宋体" w:cs="宋体"/>
          <w:b/>
          <w:color w:val="000000"/>
          <w:szCs w:val="21"/>
          <w:highlight w:val="none"/>
        </w:rPr>
      </w:pPr>
    </w:p>
    <w:p w14:paraId="2E404ECC">
      <w:pPr>
        <w:pStyle w:val="3"/>
        <w:widowControl/>
        <w:spacing w:before="120" w:after="120" w:line="240" w:lineRule="auto"/>
        <w:jc w:val="center"/>
        <w:rPr>
          <w:rStyle w:val="106"/>
          <w:rFonts w:hint="eastAsia" w:ascii="宋体" w:hAnsi="宋体" w:eastAsia="宋体" w:cs="宋体"/>
          <w:b/>
          <w:color w:val="000000"/>
          <w:sz w:val="30"/>
          <w:szCs w:val="30"/>
          <w:highlight w:val="none"/>
        </w:rPr>
      </w:pPr>
      <w:bookmarkStart w:id="857" w:name="_Toc445554786"/>
      <w:bookmarkStart w:id="858" w:name="_Toc466024587"/>
      <w:r>
        <w:rPr>
          <w:rStyle w:val="106"/>
          <w:rFonts w:hint="eastAsia" w:ascii="宋体" w:hAnsi="宋体" w:eastAsia="宋体" w:cs="宋体"/>
          <w:b/>
          <w:color w:val="000000"/>
          <w:sz w:val="30"/>
          <w:szCs w:val="30"/>
          <w:highlight w:val="none"/>
        </w:rPr>
        <w:t>一、投标函</w:t>
      </w:r>
    </w:p>
    <w:p w14:paraId="0420B2C6">
      <w:pPr>
        <w:widowControl/>
        <w:tabs>
          <w:tab w:val="left" w:leader="underscore" w:pos="2880"/>
        </w:tabs>
        <w:spacing w:line="400" w:lineRule="exact"/>
        <w:rPr>
          <w:rFonts w:hint="eastAsia" w:ascii="宋体" w:hAnsi="宋体" w:cs="宋体"/>
          <w:b/>
          <w:color w:val="000000"/>
          <w:szCs w:val="21"/>
          <w:highlight w:val="none"/>
        </w:rPr>
      </w:pPr>
      <w:r>
        <w:rPr>
          <w:rFonts w:hint="eastAsia" w:ascii="宋体" w:hAnsi="宋体" w:cs="宋体"/>
          <w:color w:val="000000"/>
          <w:szCs w:val="21"/>
          <w:highlight w:val="none"/>
        </w:rPr>
        <w:t>致：安徽省疾病预防控制中心（采购人名称)</w:t>
      </w:r>
    </w:p>
    <w:p w14:paraId="62BF2753">
      <w:pPr>
        <w:widowControl/>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u w:val="single"/>
        </w:rPr>
        <w:t xml:space="preserve">  安徽省招标集团股份有限公司  </w:t>
      </w:r>
      <w:r>
        <w:rPr>
          <w:rFonts w:hint="eastAsia" w:ascii="宋体" w:hAnsi="宋体" w:cs="宋体"/>
          <w:color w:val="000000"/>
          <w:szCs w:val="21"/>
          <w:highlight w:val="none"/>
        </w:rPr>
        <w:t>（采购代理名称)</w:t>
      </w:r>
    </w:p>
    <w:p w14:paraId="35E5CEF2">
      <w:pPr>
        <w:widowControl/>
        <w:spacing w:line="400" w:lineRule="exact"/>
        <w:ind w:firstLine="420" w:firstLineChars="200"/>
        <w:rPr>
          <w:rFonts w:hint="eastAsia" w:ascii="宋体" w:hAnsi="宋体" w:cs="宋体"/>
          <w:color w:val="000000"/>
          <w:szCs w:val="21"/>
          <w:highlight w:val="none"/>
        </w:rPr>
      </w:pPr>
    </w:p>
    <w:p w14:paraId="210890F9">
      <w:pPr>
        <w:widowControl/>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1.我方已仔细研究了编号为</w:t>
      </w:r>
      <w:r>
        <w:rPr>
          <w:rFonts w:hint="eastAsia" w:ascii="宋体" w:hAnsi="宋体" w:cs="宋体"/>
          <w:color w:val="000000"/>
          <w:szCs w:val="21"/>
          <w:highlight w:val="none"/>
          <w:lang w:eastAsia="zh-CN"/>
        </w:rPr>
        <w:t>ZF2025-36-1936</w:t>
      </w:r>
      <w:r>
        <w:rPr>
          <w:rFonts w:hint="eastAsia" w:ascii="宋体" w:hAnsi="宋体" w:cs="宋体"/>
          <w:color w:val="000000"/>
          <w:szCs w:val="21"/>
          <w:highlight w:val="none"/>
        </w:rPr>
        <w:t>的</w:t>
      </w:r>
      <w:r>
        <w:rPr>
          <w:rFonts w:hint="eastAsia" w:ascii="宋体" w:hAnsi="宋体" w:cs="宋体"/>
          <w:color w:val="000000"/>
          <w:szCs w:val="21"/>
          <w:highlight w:val="none"/>
          <w:lang w:eastAsia="zh-CN"/>
        </w:rPr>
        <w:t>安徽省疾控中心省结核病参比实验室耐药检测能力提升</w:t>
      </w:r>
      <w:r>
        <w:rPr>
          <w:rFonts w:hint="eastAsia" w:ascii="宋体" w:hAnsi="宋体" w:cs="宋体"/>
          <w:color w:val="000000"/>
          <w:szCs w:val="21"/>
          <w:highlight w:val="none"/>
        </w:rPr>
        <w:t>招标文件的全部内容，接受你方在招标文件中对投标人的约束条件。我方愿意以开标一览表中确定的投标总价，按照合同的约定履行合同义务。</w:t>
      </w:r>
    </w:p>
    <w:p w14:paraId="550BAE2C">
      <w:pPr>
        <w:widowControl/>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2.我方承诺在招标文件规定的投标有效期内不修改、撤销投标文件</w:t>
      </w:r>
      <w:r>
        <w:rPr>
          <w:rFonts w:hint="eastAsia" w:ascii="宋体" w:hAnsi="宋体" w:cs="宋体"/>
          <w:color w:val="000000"/>
          <w:highlight w:val="none"/>
        </w:rPr>
        <w:t>，且随时准备接受你方发出的中标通知书</w:t>
      </w:r>
      <w:r>
        <w:rPr>
          <w:rFonts w:hint="eastAsia" w:ascii="宋体" w:hAnsi="宋体" w:cs="宋体"/>
          <w:color w:val="000000"/>
          <w:szCs w:val="21"/>
          <w:highlight w:val="none"/>
        </w:rPr>
        <w:t>。</w:t>
      </w:r>
    </w:p>
    <w:p w14:paraId="5E271713">
      <w:pPr>
        <w:widowControl/>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3.我方已详细审查全部招标文件，包括全部澄清、修改、答疑补充文件。我们完全理解并同意放弃对这方面有不明及误解的权力。</w:t>
      </w:r>
    </w:p>
    <w:p w14:paraId="4AA5B4CC">
      <w:pPr>
        <w:widowControl/>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4.我方在此声明，所递交的投标文件及有关资料内容完整、真实和准确，且不存在招标文件第二章“投标人须知”第1.3.3项规定的任何一种情形。</w:t>
      </w:r>
    </w:p>
    <w:p w14:paraId="1D63F588">
      <w:pPr>
        <w:widowControl/>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5.如我方中标：</w:t>
      </w:r>
    </w:p>
    <w:p w14:paraId="3F915EF9">
      <w:pPr>
        <w:widowControl/>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（1）我方承诺在收到中标通知书后，在中标通知书规定的期限内与你方签订合同；</w:t>
      </w:r>
    </w:p>
    <w:p w14:paraId="44979967">
      <w:pPr>
        <w:widowControl/>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（2）在签订合同时不向你方提出附加条件；</w:t>
      </w:r>
    </w:p>
    <w:p w14:paraId="4D70D2B3">
      <w:pPr>
        <w:widowControl/>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（3）我方承诺按照招标文件规定向你方递交履约保证金；</w:t>
      </w:r>
    </w:p>
    <w:p w14:paraId="3D45F043">
      <w:pPr>
        <w:widowControl/>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（4）我方承诺在合同约定的期限内提供并交付货物及服务，履行合同规定的各项义务。</w:t>
      </w:r>
    </w:p>
    <w:p w14:paraId="10E6D275">
      <w:pPr>
        <w:widowControl/>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.我方同意按照你方要求提供与我方投标有关的一切数据或资料，完全理解你方不一定接受最低价的投标或收到的任何投标。</w:t>
      </w:r>
    </w:p>
    <w:p w14:paraId="2DE0BBFE">
      <w:pPr>
        <w:widowControl/>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.我方对投标文件中所提供资料、文件、证书及证件的真实性、合法性和有效性负责。</w:t>
      </w:r>
    </w:p>
    <w:p w14:paraId="387E4875">
      <w:pPr>
        <w:widowControl/>
        <w:tabs>
          <w:tab w:val="left" w:leader="underscore" w:pos="3600"/>
          <w:tab w:val="left" w:leader="underscore" w:pos="5400"/>
        </w:tabs>
        <w:spacing w:line="400" w:lineRule="exact"/>
        <w:ind w:firstLine="422" w:firstLineChars="200"/>
        <w:rPr>
          <w:rFonts w:hint="eastAsia" w:ascii="宋体" w:hAnsi="宋体" w:cs="宋体"/>
          <w:b/>
          <w:color w:val="000000"/>
          <w:highlight w:val="none"/>
          <w:u w:val="single"/>
        </w:rPr>
      </w:pPr>
      <w:r>
        <w:rPr>
          <w:rFonts w:hint="eastAsia" w:ascii="宋体" w:hAnsi="宋体" w:cs="宋体"/>
          <w:b/>
          <w:color w:val="000000"/>
          <w:highlight w:val="none"/>
          <w:lang w:val="en-US" w:eastAsia="zh-CN"/>
        </w:rPr>
        <w:t>8</w:t>
      </w:r>
      <w:r>
        <w:rPr>
          <w:rFonts w:hint="eastAsia" w:ascii="宋体" w:hAnsi="宋体" w:cs="宋体"/>
          <w:b/>
          <w:color w:val="000000"/>
          <w:highlight w:val="none"/>
        </w:rPr>
        <w:t>.其他补充说明：</w:t>
      </w:r>
      <w:r>
        <w:rPr>
          <w:rFonts w:hint="eastAsia" w:ascii="宋体" w:hAnsi="宋体" w:cs="宋体"/>
          <w:b/>
          <w:color w:val="000000"/>
          <w:highlight w:val="none"/>
          <w:u w:val="single"/>
        </w:rPr>
        <w:t xml:space="preserve">                                               </w:t>
      </w:r>
    </w:p>
    <w:p w14:paraId="58A39AC8">
      <w:pPr>
        <w:widowControl/>
        <w:tabs>
          <w:tab w:val="left" w:leader="underscore" w:pos="3600"/>
          <w:tab w:val="left" w:leader="underscore" w:pos="5400"/>
        </w:tabs>
        <w:spacing w:line="400" w:lineRule="exact"/>
        <w:ind w:firstLine="422" w:firstLineChars="200"/>
        <w:rPr>
          <w:rFonts w:hint="eastAsia" w:ascii="宋体" w:hAnsi="宋体" w:cs="宋体"/>
          <w:b/>
          <w:color w:val="000000"/>
          <w:highlight w:val="none"/>
        </w:rPr>
      </w:pPr>
    </w:p>
    <w:p w14:paraId="1F77EC8D">
      <w:pPr>
        <w:pStyle w:val="155"/>
        <w:spacing w:line="390" w:lineRule="atLeast"/>
        <w:rPr>
          <w:rFonts w:hint="eastAsia" w:ascii="宋体" w:hAnsi="宋体" w:cs="宋体"/>
          <w:color w:val="000000"/>
          <w:highlight w:val="none"/>
        </w:rPr>
      </w:pPr>
      <w:r>
        <w:rPr>
          <w:rFonts w:hint="eastAsia" w:ascii="宋体" w:hAnsi="宋体" w:cs="宋体"/>
          <w:color w:val="000000"/>
          <w:highlight w:val="none"/>
        </w:rPr>
        <w:t>投标人：</w:t>
      </w:r>
      <w:r>
        <w:rPr>
          <w:rFonts w:hint="eastAsia" w:ascii="宋体" w:hAnsi="宋体" w:cs="宋体"/>
          <w:color w:val="000000"/>
          <w:spacing w:val="42"/>
          <w:highlight w:val="none"/>
          <w:u w:val="single"/>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（盖</w:t>
      </w:r>
      <w:r>
        <w:rPr>
          <w:rFonts w:hint="eastAsia" w:ascii="宋体" w:hAnsi="宋体" w:cs="宋体"/>
          <w:color w:val="000000"/>
          <w:spacing w:val="-1"/>
          <w:highlight w:val="none"/>
        </w:rPr>
        <w:t>单</w:t>
      </w:r>
      <w:r>
        <w:rPr>
          <w:rFonts w:hint="eastAsia" w:ascii="宋体" w:hAnsi="宋体" w:cs="宋体"/>
          <w:color w:val="000000"/>
          <w:highlight w:val="none"/>
        </w:rPr>
        <w:t>位章）</w:t>
      </w:r>
    </w:p>
    <w:p w14:paraId="6CE6E5C7">
      <w:pPr>
        <w:pStyle w:val="155"/>
        <w:spacing w:line="390" w:lineRule="atLeast"/>
        <w:rPr>
          <w:rFonts w:hint="eastAsia" w:ascii="宋体" w:hAnsi="宋体" w:cs="宋体"/>
          <w:color w:val="000000"/>
          <w:highlight w:val="none"/>
        </w:rPr>
      </w:pPr>
      <w:r>
        <w:rPr>
          <w:rFonts w:hint="eastAsia" w:ascii="宋体" w:hAnsi="宋体" w:cs="宋体"/>
          <w:color w:val="000000"/>
          <w:highlight w:val="none"/>
        </w:rPr>
        <w:t>法定代表人（单位负责人）或其委托代理人</w:t>
      </w:r>
      <w:r>
        <w:rPr>
          <w:rFonts w:hint="eastAsia" w:ascii="宋体" w:hAnsi="宋体" w:cs="宋体"/>
          <w:color w:val="000000"/>
          <w:spacing w:val="1"/>
          <w:highlight w:val="none"/>
        </w:rPr>
        <w:t>：</w:t>
      </w:r>
      <w:r>
        <w:rPr>
          <w:rFonts w:hint="eastAsia" w:ascii="宋体" w:hAnsi="宋体" w:cs="宋体"/>
          <w:color w:val="000000"/>
          <w:spacing w:val="42"/>
          <w:highlight w:val="none"/>
          <w:u w:val="single"/>
        </w:rPr>
        <w:t xml:space="preserve">            </w:t>
      </w:r>
      <w:r>
        <w:rPr>
          <w:rFonts w:hint="eastAsia" w:ascii="宋体" w:hAnsi="宋体" w:cs="宋体"/>
          <w:color w:val="000000"/>
          <w:highlight w:val="none"/>
        </w:rPr>
        <w:t>（签字或盖章）</w:t>
      </w:r>
    </w:p>
    <w:p w14:paraId="5E06E21E">
      <w:pPr>
        <w:pStyle w:val="155"/>
        <w:spacing w:line="390" w:lineRule="atLeast"/>
        <w:rPr>
          <w:rFonts w:hint="eastAsia" w:ascii="宋体" w:hAnsi="宋体" w:cs="宋体"/>
          <w:color w:val="000000"/>
          <w:highlight w:val="none"/>
        </w:rPr>
      </w:pPr>
      <w:r>
        <w:rPr>
          <w:rFonts w:hint="eastAsia" w:ascii="宋体" w:hAnsi="宋体" w:cs="宋体"/>
          <w:color w:val="000000"/>
          <w:spacing w:val="-1"/>
          <w:highlight w:val="none"/>
        </w:rPr>
        <w:t>地</w:t>
      </w:r>
      <w:r>
        <w:rPr>
          <w:rFonts w:hint="eastAsia" w:ascii="宋体" w:hAnsi="宋体" w:cs="宋体"/>
          <w:color w:val="000000"/>
          <w:spacing w:val="1"/>
          <w:highlight w:val="none"/>
        </w:rPr>
        <w:t>址</w:t>
      </w:r>
      <w:r>
        <w:rPr>
          <w:rFonts w:hint="eastAsia" w:ascii="宋体" w:hAnsi="宋体" w:cs="宋体"/>
          <w:color w:val="000000"/>
          <w:spacing w:val="42"/>
          <w:highlight w:val="none"/>
          <w:u w:val="single"/>
        </w:rPr>
        <w:t xml:space="preserve"> </w:t>
      </w:r>
      <w:r>
        <w:rPr>
          <w:rFonts w:hint="eastAsia" w:ascii="宋体" w:hAnsi="宋体" w:cs="宋体"/>
          <w:color w:val="000000"/>
          <w:highlight w:val="none"/>
          <w:u w:val="single"/>
        </w:rPr>
        <w:t xml:space="preserve">                 </w:t>
      </w:r>
      <w:r>
        <w:rPr>
          <w:rFonts w:hint="eastAsia" w:ascii="宋体" w:hAnsi="宋体" w:cs="宋体"/>
          <w:color w:val="000000"/>
          <w:spacing w:val="-1"/>
          <w:highlight w:val="none"/>
        </w:rPr>
        <w:t>邮</w:t>
      </w:r>
      <w:r>
        <w:rPr>
          <w:rFonts w:hint="eastAsia" w:ascii="宋体" w:hAnsi="宋体" w:cs="宋体"/>
          <w:color w:val="000000"/>
          <w:highlight w:val="none"/>
        </w:rPr>
        <w:t>编</w:t>
      </w:r>
      <w:r>
        <w:rPr>
          <w:rFonts w:hint="eastAsia" w:ascii="宋体" w:hAnsi="宋体" w:cs="宋体"/>
          <w:color w:val="000000"/>
          <w:highlight w:val="none"/>
          <w:u w:val="single"/>
        </w:rPr>
        <w:t xml:space="preserve">                            </w:t>
      </w:r>
    </w:p>
    <w:p w14:paraId="2A922E19">
      <w:pPr>
        <w:pStyle w:val="155"/>
        <w:spacing w:line="390" w:lineRule="atLeast"/>
        <w:rPr>
          <w:rFonts w:hint="eastAsia" w:ascii="宋体" w:hAnsi="宋体" w:cs="宋体"/>
          <w:color w:val="000000"/>
          <w:highlight w:val="none"/>
        </w:rPr>
      </w:pPr>
      <w:r>
        <w:rPr>
          <w:rFonts w:hint="eastAsia" w:ascii="宋体" w:hAnsi="宋体" w:cs="宋体"/>
          <w:color w:val="000000"/>
          <w:spacing w:val="-1"/>
          <w:highlight w:val="none"/>
        </w:rPr>
        <w:t>电</w:t>
      </w:r>
      <w:r>
        <w:rPr>
          <w:rFonts w:hint="eastAsia" w:ascii="宋体" w:hAnsi="宋体" w:cs="宋体"/>
          <w:color w:val="000000"/>
          <w:spacing w:val="1"/>
          <w:highlight w:val="none"/>
        </w:rPr>
        <w:t>话</w:t>
      </w:r>
      <w:r>
        <w:rPr>
          <w:rFonts w:hint="eastAsia" w:ascii="宋体" w:hAnsi="宋体" w:cs="宋体"/>
          <w:color w:val="000000"/>
          <w:highlight w:val="none"/>
          <w:u w:val="single"/>
        </w:rPr>
        <w:t xml:space="preserve">                        </w:t>
      </w:r>
      <w:r>
        <w:rPr>
          <w:rFonts w:hint="eastAsia" w:ascii="宋体" w:hAnsi="宋体" w:cs="宋体"/>
          <w:color w:val="000000"/>
          <w:spacing w:val="-1"/>
          <w:highlight w:val="none"/>
        </w:rPr>
        <w:t>传</w:t>
      </w:r>
      <w:r>
        <w:rPr>
          <w:rFonts w:hint="eastAsia" w:ascii="宋体" w:hAnsi="宋体" w:cs="宋体"/>
          <w:color w:val="000000"/>
          <w:highlight w:val="none"/>
        </w:rPr>
        <w:t>真</w:t>
      </w:r>
      <w:r>
        <w:rPr>
          <w:rFonts w:hint="eastAsia" w:ascii="宋体" w:hAnsi="宋体" w:cs="宋体"/>
          <w:color w:val="000000"/>
          <w:highlight w:val="none"/>
          <w:u w:val="single"/>
        </w:rPr>
        <w:t xml:space="preserve">                       </w:t>
      </w:r>
    </w:p>
    <w:p w14:paraId="18D79227">
      <w:pPr>
        <w:pStyle w:val="155"/>
        <w:spacing w:line="390" w:lineRule="atLeast"/>
        <w:rPr>
          <w:rFonts w:hint="eastAsia" w:ascii="宋体" w:hAnsi="宋体" w:cs="宋体"/>
          <w:color w:val="000000"/>
          <w:highlight w:val="none"/>
        </w:rPr>
      </w:pPr>
      <w:r>
        <w:rPr>
          <w:rFonts w:hint="eastAsia" w:ascii="宋体" w:hAnsi="宋体" w:cs="宋体"/>
          <w:color w:val="000000"/>
          <w:highlight w:val="none"/>
        </w:rPr>
        <w:t>电子邮箱</w:t>
      </w:r>
      <w:r>
        <w:rPr>
          <w:rFonts w:hint="eastAsia" w:ascii="宋体" w:hAnsi="宋体" w:cs="宋体"/>
          <w:color w:val="000000"/>
          <w:highlight w:val="none"/>
          <w:u w:val="single"/>
        </w:rPr>
        <w:t xml:space="preserve">                  </w:t>
      </w:r>
      <w:r>
        <w:rPr>
          <w:rFonts w:hint="eastAsia" w:ascii="宋体" w:hAnsi="宋体" w:cs="宋体"/>
          <w:color w:val="000000"/>
          <w:highlight w:val="none"/>
        </w:rPr>
        <w:t>网址：</w:t>
      </w:r>
      <w:r>
        <w:rPr>
          <w:rFonts w:hint="eastAsia" w:ascii="宋体" w:hAnsi="宋体" w:cs="宋体"/>
          <w:color w:val="000000"/>
          <w:highlight w:val="none"/>
          <w:u w:val="single"/>
        </w:rPr>
        <w:t xml:space="preserve">                       </w:t>
      </w:r>
    </w:p>
    <w:p w14:paraId="0F86F7EB">
      <w:pPr>
        <w:pStyle w:val="155"/>
        <w:spacing w:line="200" w:lineRule="atLeast"/>
        <w:rPr>
          <w:rFonts w:hint="eastAsia" w:ascii="宋体" w:hAnsi="宋体" w:cs="宋体"/>
          <w:color w:val="000000"/>
          <w:highlight w:val="none"/>
        </w:rPr>
      </w:pPr>
      <w:r>
        <w:rPr>
          <w:rFonts w:hint="eastAsia" w:ascii="宋体" w:hAnsi="宋体" w:cs="宋体"/>
          <w:color w:val="000000"/>
          <w:sz w:val="20"/>
          <w:szCs w:val="20"/>
          <w:highlight w:val="none"/>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年</w:t>
      </w:r>
      <w:r>
        <w:rPr>
          <w:rFonts w:hint="eastAsia" w:ascii="宋体" w:hAnsi="宋体" w:cs="宋体"/>
          <w:color w:val="000000"/>
          <w:spacing w:val="42"/>
          <w:highlight w:val="none"/>
          <w:u w:val="single"/>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月</w:t>
      </w:r>
      <w:r>
        <w:rPr>
          <w:rFonts w:hint="eastAsia" w:ascii="宋体" w:hAnsi="宋体" w:cs="宋体"/>
          <w:color w:val="000000"/>
          <w:spacing w:val="42"/>
          <w:highlight w:val="none"/>
          <w:u w:val="single"/>
        </w:rPr>
        <w:t xml:space="preserve"> </w:t>
      </w:r>
      <w:r>
        <w:rPr>
          <w:rFonts w:hint="eastAsia" w:ascii="宋体" w:hAnsi="宋体" w:cs="宋体"/>
          <w:color w:val="000000"/>
          <w:highlight w:val="none"/>
          <w:u w:val="single"/>
        </w:rPr>
        <w:t xml:space="preserve">  </w:t>
      </w:r>
      <w:r>
        <w:rPr>
          <w:rFonts w:hint="eastAsia" w:ascii="宋体" w:hAnsi="宋体" w:cs="宋体"/>
          <w:color w:val="000000"/>
          <w:highlight w:val="none"/>
        </w:rPr>
        <w:t>日</w:t>
      </w:r>
    </w:p>
    <w:p w14:paraId="2D7B12E8">
      <w:pPr>
        <w:pStyle w:val="155"/>
        <w:spacing w:line="200" w:lineRule="atLeast"/>
        <w:rPr>
          <w:rFonts w:hint="eastAsia" w:ascii="宋体" w:hAnsi="宋体" w:cs="宋体"/>
          <w:color w:val="000000"/>
          <w:sz w:val="20"/>
          <w:szCs w:val="20"/>
          <w:highlight w:val="none"/>
        </w:rPr>
      </w:pPr>
    </w:p>
    <w:p w14:paraId="080D1029">
      <w:pPr>
        <w:pStyle w:val="155"/>
        <w:spacing w:before="6" w:line="220" w:lineRule="atLeast"/>
        <w:rPr>
          <w:rFonts w:hint="eastAsia" w:ascii="宋体" w:hAnsi="宋体" w:cs="宋体"/>
          <w:color w:val="000000"/>
          <w:sz w:val="22"/>
          <w:szCs w:val="22"/>
          <w:highlight w:val="none"/>
        </w:rPr>
      </w:pPr>
    </w:p>
    <w:p w14:paraId="5CA56C37">
      <w:pPr>
        <w:pStyle w:val="155"/>
        <w:ind w:left="120" w:right="-20"/>
        <w:rPr>
          <w:rFonts w:hint="eastAsia" w:ascii="宋体" w:hAnsi="宋体" w:cs="宋体"/>
          <w:color w:val="000000"/>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70FDBC77">
      <w:pPr>
        <w:pStyle w:val="3"/>
        <w:widowControl/>
        <w:spacing w:before="120" w:after="120" w:line="240" w:lineRule="auto"/>
        <w:jc w:val="center"/>
        <w:rPr>
          <w:rStyle w:val="106"/>
          <w:rFonts w:hint="eastAsia" w:ascii="宋体" w:hAnsi="宋体" w:eastAsia="宋体" w:cs="宋体"/>
          <w:b/>
          <w:color w:val="000000"/>
          <w:sz w:val="30"/>
          <w:szCs w:val="30"/>
          <w:highlight w:val="none"/>
        </w:rPr>
      </w:pPr>
      <w:r>
        <w:rPr>
          <w:rStyle w:val="106"/>
          <w:rFonts w:hint="eastAsia" w:ascii="宋体" w:hAnsi="宋体" w:eastAsia="宋体" w:cs="宋体"/>
          <w:b/>
          <w:color w:val="000000"/>
          <w:sz w:val="30"/>
          <w:szCs w:val="30"/>
          <w:highlight w:val="none"/>
        </w:rPr>
        <w:t>二、开标一览表</w:t>
      </w:r>
      <w:bookmarkEnd w:id="857"/>
      <w:bookmarkEnd w:id="858"/>
    </w:p>
    <w:p w14:paraId="449DA4E8">
      <w:pPr>
        <w:widowControl/>
        <w:spacing w:line="333" w:lineRule="atLeast"/>
        <w:jc w:val="right"/>
        <w:rPr>
          <w:rFonts w:hint="eastAsia" w:ascii="宋体" w:hAnsi="宋体" w:cs="宋体"/>
          <w:color w:val="000000"/>
          <w:kern w:val="0"/>
          <w:szCs w:val="21"/>
          <w:highlight w:val="none"/>
        </w:rPr>
      </w:pPr>
      <w:r>
        <w:rPr>
          <w:rFonts w:hint="eastAsia" w:ascii="宋体" w:hAnsi="宋体" w:cs="宋体"/>
          <w:color w:val="000000"/>
          <w:spacing w:val="-1"/>
          <w:kern w:val="0"/>
          <w:position w:val="-4"/>
          <w:szCs w:val="21"/>
          <w:highlight w:val="none"/>
        </w:rPr>
        <w:t>货</w:t>
      </w:r>
      <w:r>
        <w:rPr>
          <w:rFonts w:hint="eastAsia" w:ascii="宋体" w:hAnsi="宋体" w:cs="宋体"/>
          <w:color w:val="000000"/>
          <w:kern w:val="0"/>
          <w:position w:val="-4"/>
          <w:szCs w:val="21"/>
          <w:highlight w:val="none"/>
        </w:rPr>
        <w:t>币单位</w:t>
      </w:r>
      <w:r>
        <w:rPr>
          <w:rFonts w:hint="eastAsia" w:ascii="宋体" w:hAnsi="宋体" w:cs="宋体"/>
          <w:color w:val="000000"/>
          <w:spacing w:val="-24"/>
          <w:kern w:val="0"/>
          <w:position w:val="-4"/>
          <w:szCs w:val="21"/>
          <w:highlight w:val="none"/>
        </w:rPr>
        <w:t>：</w:t>
      </w:r>
      <w:r>
        <w:rPr>
          <w:rFonts w:hint="eastAsia" w:ascii="宋体" w:hAnsi="宋体" w:cs="宋体"/>
          <w:color w:val="000000"/>
          <w:kern w:val="0"/>
          <w:position w:val="-4"/>
          <w:szCs w:val="21"/>
          <w:highlight w:val="none"/>
        </w:rPr>
        <w:t>人民币</w:t>
      </w:r>
    </w:p>
    <w:tbl>
      <w:tblPr>
        <w:tblStyle w:val="47"/>
        <w:tblW w:w="9538" w:type="dxa"/>
        <w:tblInd w:w="20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28"/>
        <w:gridCol w:w="2715"/>
        <w:gridCol w:w="6095"/>
      </w:tblGrid>
      <w:tr w14:paraId="4245C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775" w:hRule="atLeast"/>
        </w:trPr>
        <w:tc>
          <w:tcPr>
            <w:tcW w:w="728" w:type="dxa"/>
            <w:noWrap w:val="0"/>
            <w:vAlign w:val="center"/>
          </w:tcPr>
          <w:p w14:paraId="3FD84B9F">
            <w:pPr>
              <w:widowControl/>
              <w:adjustRightInd w:val="0"/>
              <w:snapToGrid w:val="0"/>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序号</w:t>
            </w:r>
          </w:p>
        </w:tc>
        <w:tc>
          <w:tcPr>
            <w:tcW w:w="2715" w:type="dxa"/>
            <w:noWrap w:val="0"/>
            <w:vAlign w:val="center"/>
          </w:tcPr>
          <w:p w14:paraId="37ADA3BE">
            <w:pPr>
              <w:widowControl/>
              <w:adjustRightInd w:val="0"/>
              <w:snapToGrid w:val="0"/>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项目</w:t>
            </w:r>
          </w:p>
        </w:tc>
        <w:tc>
          <w:tcPr>
            <w:tcW w:w="6095" w:type="dxa"/>
            <w:noWrap w:val="0"/>
            <w:vAlign w:val="center"/>
          </w:tcPr>
          <w:p w14:paraId="3129A4DE">
            <w:pPr>
              <w:widowControl/>
              <w:adjustRightInd w:val="0"/>
              <w:snapToGrid w:val="0"/>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内容</w:t>
            </w:r>
          </w:p>
        </w:tc>
      </w:tr>
      <w:tr w14:paraId="61B06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694" w:hRule="atLeast"/>
        </w:trPr>
        <w:tc>
          <w:tcPr>
            <w:tcW w:w="728" w:type="dxa"/>
            <w:noWrap w:val="0"/>
            <w:vAlign w:val="center"/>
          </w:tcPr>
          <w:p w14:paraId="41A2CDA7">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2715" w:type="dxa"/>
            <w:noWrap w:val="0"/>
            <w:vAlign w:val="center"/>
          </w:tcPr>
          <w:p w14:paraId="7E2F8E88">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项目名称</w:t>
            </w:r>
          </w:p>
        </w:tc>
        <w:tc>
          <w:tcPr>
            <w:tcW w:w="6095" w:type="dxa"/>
            <w:noWrap w:val="0"/>
            <w:vAlign w:val="center"/>
          </w:tcPr>
          <w:p w14:paraId="70B25B06">
            <w:pPr>
              <w:widowControl/>
              <w:adjustRightInd w:val="0"/>
              <w:snapToGrid w:val="0"/>
              <w:rPr>
                <w:rFonts w:hint="eastAsia" w:ascii="宋体" w:hAnsi="宋体" w:cs="宋体"/>
                <w:color w:val="000000"/>
                <w:kern w:val="0"/>
                <w:szCs w:val="21"/>
                <w:highlight w:val="none"/>
              </w:rPr>
            </w:pPr>
          </w:p>
        </w:tc>
      </w:tr>
      <w:tr w14:paraId="1A56C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694" w:hRule="atLeast"/>
        </w:trPr>
        <w:tc>
          <w:tcPr>
            <w:tcW w:w="728" w:type="dxa"/>
            <w:noWrap w:val="0"/>
            <w:vAlign w:val="center"/>
          </w:tcPr>
          <w:p w14:paraId="38053DDC">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2715" w:type="dxa"/>
            <w:noWrap w:val="0"/>
            <w:vAlign w:val="center"/>
          </w:tcPr>
          <w:p w14:paraId="13B2DAEC">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项目编号</w:t>
            </w:r>
          </w:p>
        </w:tc>
        <w:tc>
          <w:tcPr>
            <w:tcW w:w="6095" w:type="dxa"/>
            <w:noWrap w:val="0"/>
            <w:vAlign w:val="center"/>
          </w:tcPr>
          <w:p w14:paraId="1BA1FAD7">
            <w:pPr>
              <w:widowControl/>
              <w:adjustRightInd w:val="0"/>
              <w:snapToGrid w:val="0"/>
              <w:rPr>
                <w:rFonts w:hint="eastAsia" w:ascii="宋体" w:hAnsi="宋体" w:cs="宋体"/>
                <w:color w:val="000000"/>
                <w:kern w:val="0"/>
                <w:szCs w:val="21"/>
                <w:highlight w:val="none"/>
              </w:rPr>
            </w:pPr>
          </w:p>
        </w:tc>
      </w:tr>
      <w:tr w14:paraId="77529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694" w:hRule="atLeast"/>
        </w:trPr>
        <w:tc>
          <w:tcPr>
            <w:tcW w:w="728" w:type="dxa"/>
            <w:noWrap w:val="0"/>
            <w:vAlign w:val="center"/>
          </w:tcPr>
          <w:p w14:paraId="28776410">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2715" w:type="dxa"/>
            <w:noWrap w:val="0"/>
            <w:vAlign w:val="center"/>
          </w:tcPr>
          <w:p w14:paraId="6F89F914">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分包号（无分包，不填写）</w:t>
            </w:r>
          </w:p>
        </w:tc>
        <w:tc>
          <w:tcPr>
            <w:tcW w:w="6095" w:type="dxa"/>
            <w:noWrap w:val="0"/>
            <w:vAlign w:val="center"/>
          </w:tcPr>
          <w:p w14:paraId="4730E188">
            <w:pPr>
              <w:widowControl/>
              <w:adjustRightInd w:val="0"/>
              <w:snapToGrid w:val="0"/>
              <w:rPr>
                <w:rFonts w:hint="eastAsia" w:ascii="宋体" w:hAnsi="宋体" w:cs="宋体"/>
                <w:color w:val="000000"/>
                <w:kern w:val="0"/>
                <w:szCs w:val="21"/>
                <w:highlight w:val="none"/>
              </w:rPr>
            </w:pPr>
          </w:p>
        </w:tc>
      </w:tr>
      <w:tr w14:paraId="5B1E5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694" w:hRule="atLeast"/>
        </w:trPr>
        <w:tc>
          <w:tcPr>
            <w:tcW w:w="728" w:type="dxa"/>
            <w:noWrap w:val="0"/>
            <w:vAlign w:val="center"/>
          </w:tcPr>
          <w:p w14:paraId="1FCA76A1">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w:t>
            </w:r>
          </w:p>
        </w:tc>
        <w:tc>
          <w:tcPr>
            <w:tcW w:w="2715" w:type="dxa"/>
            <w:noWrap w:val="0"/>
            <w:vAlign w:val="center"/>
          </w:tcPr>
          <w:p w14:paraId="09C99F97">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投标报价</w:t>
            </w:r>
          </w:p>
        </w:tc>
        <w:tc>
          <w:tcPr>
            <w:tcW w:w="6095" w:type="dxa"/>
            <w:noWrap w:val="0"/>
            <w:vAlign w:val="center"/>
          </w:tcPr>
          <w:p w14:paraId="010B3DAF">
            <w:pPr>
              <w:widowControl/>
              <w:adjustRightInd w:val="0"/>
              <w:snapToGrid w:val="0"/>
              <w:rPr>
                <w:rFonts w:hint="eastAsia" w:ascii="宋体" w:hAnsi="宋体" w:cs="宋体"/>
                <w:color w:val="000000"/>
                <w:kern w:val="0"/>
                <w:szCs w:val="21"/>
                <w:highlight w:val="none"/>
              </w:rPr>
            </w:pPr>
          </w:p>
        </w:tc>
      </w:tr>
      <w:tr w14:paraId="0B858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628" w:hRule="atLeast"/>
        </w:trPr>
        <w:tc>
          <w:tcPr>
            <w:tcW w:w="728" w:type="dxa"/>
            <w:noWrap w:val="0"/>
            <w:vAlign w:val="center"/>
          </w:tcPr>
          <w:p w14:paraId="6077BD61">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w:t>
            </w:r>
          </w:p>
        </w:tc>
        <w:tc>
          <w:tcPr>
            <w:tcW w:w="2715" w:type="dxa"/>
            <w:noWrap w:val="0"/>
            <w:vAlign w:val="center"/>
          </w:tcPr>
          <w:p w14:paraId="51DDBE05">
            <w:pPr>
              <w:widowControl/>
              <w:adjustRightInd w:val="0"/>
              <w:snapToGrid w:val="0"/>
              <w:jc w:val="center"/>
              <w:rPr>
                <w:rFonts w:hint="eastAsia" w:ascii="宋体" w:hAnsi="宋体" w:cs="宋体"/>
                <w:color w:val="000000"/>
                <w:kern w:val="0"/>
                <w:szCs w:val="21"/>
                <w:highlight w:val="none"/>
              </w:rPr>
            </w:pPr>
          </w:p>
        </w:tc>
        <w:tc>
          <w:tcPr>
            <w:tcW w:w="6095" w:type="dxa"/>
            <w:noWrap w:val="0"/>
            <w:vAlign w:val="center"/>
          </w:tcPr>
          <w:p w14:paraId="00CEF8DF">
            <w:pPr>
              <w:widowControl/>
              <w:adjustRightInd w:val="0"/>
              <w:snapToGrid w:val="0"/>
              <w:jc w:val="center"/>
              <w:rPr>
                <w:rFonts w:hint="eastAsia" w:ascii="宋体" w:hAnsi="宋体" w:cs="宋体"/>
                <w:color w:val="000000"/>
                <w:kern w:val="0"/>
                <w:szCs w:val="21"/>
                <w:highlight w:val="none"/>
              </w:rPr>
            </w:pPr>
          </w:p>
        </w:tc>
      </w:tr>
    </w:tbl>
    <w:p w14:paraId="6577FFA6">
      <w:pPr>
        <w:widowControl/>
        <w:spacing w:line="200" w:lineRule="atLeast"/>
        <w:rPr>
          <w:rFonts w:hint="eastAsia" w:ascii="宋体" w:hAnsi="宋体" w:cs="宋体"/>
          <w:color w:val="000000"/>
          <w:kern w:val="0"/>
          <w:szCs w:val="21"/>
          <w:highlight w:val="none"/>
        </w:rPr>
      </w:pPr>
    </w:p>
    <w:p w14:paraId="1F7D238D">
      <w:pPr>
        <w:widowControl/>
        <w:spacing w:before="18" w:line="280" w:lineRule="atLeast"/>
        <w:rPr>
          <w:rFonts w:hint="eastAsia" w:ascii="宋体" w:hAnsi="宋体" w:cs="宋体"/>
          <w:color w:val="000000"/>
          <w:kern w:val="0"/>
          <w:szCs w:val="21"/>
          <w:highlight w:val="none"/>
        </w:rPr>
      </w:pPr>
    </w:p>
    <w:p w14:paraId="1F29024D">
      <w:pPr>
        <w:widowControl/>
        <w:spacing w:line="360" w:lineRule="auto"/>
        <w:ind w:left="2977" w:right="-20"/>
        <w:rPr>
          <w:rFonts w:hint="eastAsia" w:ascii="宋体" w:hAnsi="宋体" w:cs="宋体"/>
          <w:color w:val="000000"/>
          <w:kern w:val="0"/>
          <w:szCs w:val="21"/>
          <w:highlight w:val="none"/>
        </w:rPr>
      </w:pPr>
      <w:r>
        <w:rPr>
          <w:rFonts w:hint="eastAsia" w:ascii="宋体" w:hAnsi="宋体" w:cs="宋体"/>
          <w:color w:val="000000"/>
          <w:kern w:val="0"/>
          <w:szCs w:val="21"/>
          <w:highlight w:val="none"/>
        </w:rPr>
        <w:t>投</w:t>
      </w:r>
      <w:r>
        <w:rPr>
          <w:rFonts w:hint="eastAsia" w:ascii="宋体" w:hAnsi="宋体" w:cs="宋体"/>
          <w:color w:val="000000"/>
          <w:spacing w:val="43"/>
          <w:kern w:val="0"/>
          <w:szCs w:val="21"/>
          <w:highlight w:val="none"/>
        </w:rPr>
        <w:t xml:space="preserve"> </w:t>
      </w:r>
      <w:r>
        <w:rPr>
          <w:rFonts w:hint="eastAsia" w:ascii="宋体" w:hAnsi="宋体" w:cs="宋体"/>
          <w:color w:val="000000"/>
          <w:kern w:val="0"/>
          <w:szCs w:val="21"/>
          <w:highlight w:val="none"/>
        </w:rPr>
        <w:t>标</w:t>
      </w:r>
      <w:r>
        <w:rPr>
          <w:rFonts w:hint="eastAsia" w:ascii="宋体" w:hAnsi="宋体" w:cs="宋体"/>
          <w:color w:val="000000"/>
          <w:spacing w:val="43"/>
          <w:kern w:val="0"/>
          <w:szCs w:val="21"/>
          <w:highlight w:val="none"/>
        </w:rPr>
        <w:t xml:space="preserve"> </w:t>
      </w:r>
      <w:r>
        <w:rPr>
          <w:rFonts w:hint="eastAsia" w:ascii="宋体" w:hAnsi="宋体" w:cs="宋体"/>
          <w:color w:val="000000"/>
          <w:spacing w:val="-1"/>
          <w:kern w:val="0"/>
          <w:szCs w:val="21"/>
          <w:highlight w:val="none"/>
        </w:rPr>
        <w:t>人</w:t>
      </w:r>
      <w:r>
        <w:rPr>
          <w:rFonts w:hint="eastAsia" w:ascii="宋体" w:hAnsi="宋体" w:cs="宋体"/>
          <w:color w:val="000000"/>
          <w:kern w:val="0"/>
          <w:szCs w:val="21"/>
          <w:highlight w:val="none"/>
        </w:rPr>
        <w:t>：</w:t>
      </w:r>
      <w:r>
        <w:rPr>
          <w:rFonts w:hint="eastAsia" w:ascii="宋体" w:hAnsi="宋体" w:cs="宋体"/>
          <w:color w:val="000000"/>
          <w:spacing w:val="42"/>
          <w:kern w:val="0"/>
          <w:szCs w:val="21"/>
          <w:highlight w:val="none"/>
          <w:u w:val="single"/>
        </w:rPr>
        <w:t xml:space="preserve"> </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（单位盖章）</w:t>
      </w:r>
    </w:p>
    <w:p w14:paraId="77CAD454">
      <w:pPr>
        <w:widowControl/>
        <w:spacing w:before="34" w:line="360" w:lineRule="auto"/>
        <w:ind w:left="2977" w:right="-20"/>
        <w:rPr>
          <w:rFonts w:hint="eastAsia" w:ascii="宋体" w:hAnsi="宋体" w:cs="宋体"/>
          <w:color w:val="000000"/>
          <w:kern w:val="0"/>
          <w:szCs w:val="21"/>
          <w:highlight w:val="none"/>
        </w:rPr>
      </w:pPr>
      <w:r>
        <w:rPr>
          <w:rFonts w:hint="eastAsia" w:ascii="宋体" w:hAnsi="宋体" w:cs="宋体"/>
          <w:color w:val="000000"/>
          <w:kern w:val="0"/>
          <w:szCs w:val="21"/>
          <w:highlight w:val="none"/>
        </w:rPr>
        <w:t>法定代表人（单位负责人）或其委托代理人</w:t>
      </w:r>
      <w:r>
        <w:rPr>
          <w:rFonts w:hint="eastAsia" w:ascii="宋体" w:hAnsi="宋体" w:cs="宋体"/>
          <w:color w:val="000000"/>
          <w:spacing w:val="-47"/>
          <w:kern w:val="0"/>
          <w:szCs w:val="21"/>
          <w:highlight w:val="none"/>
        </w:rPr>
        <w:t>：</w:t>
      </w:r>
      <w:r>
        <w:rPr>
          <w:rFonts w:hint="eastAsia" w:ascii="宋体" w:hAnsi="宋体" w:cs="宋体"/>
          <w:color w:val="000000"/>
          <w:spacing w:val="42"/>
          <w:kern w:val="0"/>
          <w:szCs w:val="21"/>
          <w:highlight w:val="none"/>
          <w:u w:val="single"/>
        </w:rPr>
        <w:t xml:space="preserve"> </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（签字或盖章）</w:t>
      </w:r>
    </w:p>
    <w:p w14:paraId="0AF5866A">
      <w:pPr>
        <w:widowControl/>
        <w:spacing w:before="34" w:line="360" w:lineRule="auto"/>
        <w:ind w:left="5516" w:right="-20"/>
        <w:rPr>
          <w:rFonts w:hint="eastAsia" w:ascii="宋体" w:hAnsi="宋体" w:cs="宋体"/>
          <w:color w:val="000000"/>
          <w:kern w:val="0"/>
          <w:szCs w:val="21"/>
          <w:highlight w:val="none"/>
        </w:rPr>
      </w:pP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年</w:t>
      </w:r>
      <w:r>
        <w:rPr>
          <w:rFonts w:hint="eastAsia" w:ascii="宋体" w:hAnsi="宋体" w:cs="宋体"/>
          <w:color w:val="000000"/>
          <w:spacing w:val="42"/>
          <w:kern w:val="0"/>
          <w:szCs w:val="21"/>
          <w:highlight w:val="none"/>
          <w:u w:val="single"/>
        </w:rPr>
        <w:t xml:space="preserve"> </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月</w:t>
      </w:r>
      <w:r>
        <w:rPr>
          <w:rFonts w:hint="eastAsia" w:ascii="宋体" w:hAnsi="宋体" w:cs="宋体"/>
          <w:color w:val="000000"/>
          <w:spacing w:val="42"/>
          <w:kern w:val="0"/>
          <w:szCs w:val="21"/>
          <w:highlight w:val="none"/>
          <w:u w:val="single"/>
        </w:rPr>
        <w:t xml:space="preserve"> </w:t>
      </w:r>
      <w:r>
        <w:rPr>
          <w:rFonts w:hint="eastAsia" w:ascii="宋体" w:hAnsi="宋体" w:cs="宋体"/>
          <w:color w:val="000000"/>
          <w:kern w:val="0"/>
          <w:szCs w:val="21"/>
          <w:highlight w:val="none"/>
          <w:u w:val="single"/>
        </w:rPr>
        <w:t xml:space="preserve">  </w:t>
      </w:r>
      <w:r>
        <w:rPr>
          <w:rFonts w:hint="eastAsia" w:ascii="宋体" w:hAnsi="宋体" w:cs="宋体"/>
          <w:color w:val="000000"/>
          <w:kern w:val="0"/>
          <w:szCs w:val="21"/>
          <w:highlight w:val="none"/>
        </w:rPr>
        <w:t>日</w:t>
      </w:r>
    </w:p>
    <w:p w14:paraId="4C93C9DE">
      <w:pPr>
        <w:widowControl/>
        <w:spacing w:line="200" w:lineRule="atLeast"/>
        <w:rPr>
          <w:rFonts w:hint="eastAsia" w:ascii="宋体" w:hAnsi="宋体" w:cs="宋体"/>
          <w:color w:val="000000"/>
          <w:kern w:val="0"/>
          <w:szCs w:val="21"/>
          <w:highlight w:val="none"/>
        </w:rPr>
      </w:pPr>
    </w:p>
    <w:p w14:paraId="42E98DEB">
      <w:pPr>
        <w:widowControl/>
        <w:spacing w:line="272" w:lineRule="atLeast"/>
        <w:ind w:left="160" w:right="-20"/>
        <w:rPr>
          <w:rFonts w:hint="eastAsia" w:ascii="宋体" w:hAnsi="宋体" w:cs="宋体"/>
          <w:color w:val="000000"/>
          <w:kern w:val="0"/>
          <w:szCs w:val="21"/>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32AA14C7">
      <w:pPr>
        <w:pStyle w:val="3"/>
        <w:widowControl/>
        <w:spacing w:before="120" w:after="120" w:line="240" w:lineRule="auto"/>
        <w:jc w:val="center"/>
        <w:rPr>
          <w:rStyle w:val="106"/>
          <w:rFonts w:hint="eastAsia" w:ascii="宋体" w:hAnsi="宋体" w:eastAsia="宋体" w:cs="宋体"/>
          <w:bCs/>
          <w:color w:val="000000"/>
          <w:sz w:val="30"/>
          <w:szCs w:val="30"/>
          <w:highlight w:val="none"/>
        </w:rPr>
      </w:pPr>
      <w:bookmarkStart w:id="859" w:name="_Toc445554787"/>
      <w:bookmarkStart w:id="860" w:name="_Toc466024588"/>
      <w:r>
        <w:rPr>
          <w:rStyle w:val="106"/>
          <w:rFonts w:hint="eastAsia" w:ascii="宋体" w:hAnsi="宋体" w:eastAsia="宋体" w:cs="宋体"/>
          <w:b/>
          <w:color w:val="000000"/>
          <w:sz w:val="30"/>
          <w:szCs w:val="30"/>
          <w:highlight w:val="none"/>
        </w:rPr>
        <w:t>三、分项报价表</w:t>
      </w:r>
      <w:bookmarkEnd w:id="859"/>
      <w:bookmarkEnd w:id="860"/>
    </w:p>
    <w:p w14:paraId="79E67032">
      <w:pPr>
        <w:widowControl/>
        <w:ind w:left="1503" w:right="1683"/>
        <w:jc w:val="center"/>
        <w:rPr>
          <w:rFonts w:hint="eastAsia" w:ascii="宋体" w:hAnsi="宋体" w:cs="宋体"/>
          <w:color w:val="000000"/>
          <w:kern w:val="0"/>
          <w:sz w:val="28"/>
          <w:szCs w:val="28"/>
          <w:highlight w:val="none"/>
        </w:rPr>
      </w:pPr>
      <w:r>
        <w:rPr>
          <w:rFonts w:hint="eastAsia" w:ascii="宋体" w:hAnsi="宋体" w:cs="宋体"/>
          <w:color w:val="000000"/>
          <w:kern w:val="0"/>
          <w:sz w:val="28"/>
          <w:szCs w:val="28"/>
          <w:highlight w:val="none"/>
        </w:rPr>
        <w:t>表3-1  分项报价表</w:t>
      </w:r>
    </w:p>
    <w:p w14:paraId="1032C663">
      <w:pPr>
        <w:widowControl/>
        <w:spacing w:line="333" w:lineRule="atLeast"/>
        <w:jc w:val="right"/>
        <w:rPr>
          <w:rFonts w:hint="eastAsia" w:ascii="宋体" w:hAnsi="宋体" w:cs="宋体"/>
          <w:color w:val="000000"/>
          <w:kern w:val="0"/>
          <w:szCs w:val="21"/>
          <w:highlight w:val="none"/>
        </w:rPr>
      </w:pPr>
      <w:r>
        <w:rPr>
          <w:rFonts w:hint="eastAsia" w:ascii="宋体" w:hAnsi="宋体" w:cs="宋体"/>
          <w:color w:val="000000"/>
          <w:kern w:val="0"/>
          <w:position w:val="-4"/>
          <w:szCs w:val="21"/>
          <w:highlight w:val="none"/>
        </w:rPr>
        <w:t>项目编号</w:t>
      </w:r>
      <w:r>
        <w:rPr>
          <w:rFonts w:hint="eastAsia" w:ascii="宋体" w:hAnsi="宋体" w:cs="宋体"/>
          <w:color w:val="000000"/>
          <w:spacing w:val="-24"/>
          <w:kern w:val="0"/>
          <w:position w:val="-4"/>
          <w:szCs w:val="21"/>
          <w:highlight w:val="none"/>
        </w:rPr>
        <w:t>：</w:t>
      </w:r>
      <w:r>
        <w:rPr>
          <w:rFonts w:hint="eastAsia" w:ascii="宋体" w:hAnsi="宋体" w:cs="宋体"/>
          <w:color w:val="000000"/>
          <w:spacing w:val="42"/>
          <w:kern w:val="0"/>
          <w:position w:val="-4"/>
          <w:szCs w:val="21"/>
          <w:highlight w:val="none"/>
          <w:u w:val="single"/>
        </w:rPr>
        <w:t xml:space="preserve">      </w:t>
      </w:r>
      <w:r>
        <w:rPr>
          <w:rFonts w:hint="eastAsia" w:ascii="宋体" w:hAnsi="宋体" w:cs="宋体"/>
          <w:color w:val="000000"/>
          <w:kern w:val="0"/>
          <w:position w:val="-4"/>
          <w:szCs w:val="21"/>
          <w:highlight w:val="none"/>
          <w:u w:val="single"/>
        </w:rPr>
        <w:t xml:space="preserve">   </w:t>
      </w:r>
      <w:r>
        <w:rPr>
          <w:rFonts w:hint="eastAsia" w:ascii="宋体" w:hAnsi="宋体" w:cs="宋体"/>
          <w:color w:val="000000"/>
          <w:kern w:val="0"/>
          <w:position w:val="-4"/>
          <w:szCs w:val="21"/>
          <w:highlight w:val="none"/>
        </w:rPr>
        <w:t>标包号</w:t>
      </w:r>
      <w:r>
        <w:rPr>
          <w:rFonts w:hint="eastAsia" w:ascii="宋体" w:hAnsi="宋体" w:cs="宋体"/>
          <w:color w:val="000000"/>
          <w:spacing w:val="-25"/>
          <w:kern w:val="0"/>
          <w:position w:val="-4"/>
          <w:szCs w:val="21"/>
          <w:highlight w:val="none"/>
        </w:rPr>
        <w:t>：</w:t>
      </w:r>
      <w:r>
        <w:rPr>
          <w:rFonts w:hint="eastAsia" w:ascii="宋体" w:hAnsi="宋体" w:cs="宋体"/>
          <w:color w:val="000000"/>
          <w:spacing w:val="42"/>
          <w:kern w:val="0"/>
          <w:position w:val="-4"/>
          <w:szCs w:val="21"/>
          <w:highlight w:val="none"/>
          <w:u w:val="single"/>
        </w:rPr>
        <w:t xml:space="preserve"> </w:t>
      </w:r>
      <w:r>
        <w:rPr>
          <w:rFonts w:hint="eastAsia" w:ascii="宋体" w:hAnsi="宋体" w:cs="宋体"/>
          <w:color w:val="000000"/>
          <w:kern w:val="0"/>
          <w:position w:val="-4"/>
          <w:szCs w:val="21"/>
          <w:highlight w:val="none"/>
          <w:u w:val="single"/>
        </w:rPr>
        <w:t xml:space="preserve">    </w:t>
      </w:r>
      <w:r>
        <w:rPr>
          <w:rFonts w:hint="eastAsia" w:ascii="宋体" w:hAnsi="宋体" w:cs="宋体"/>
          <w:color w:val="000000"/>
          <w:spacing w:val="-1"/>
          <w:kern w:val="0"/>
          <w:position w:val="-4"/>
          <w:szCs w:val="21"/>
          <w:highlight w:val="none"/>
        </w:rPr>
        <w:t>货</w:t>
      </w:r>
      <w:r>
        <w:rPr>
          <w:rFonts w:hint="eastAsia" w:ascii="宋体" w:hAnsi="宋体" w:cs="宋体"/>
          <w:color w:val="000000"/>
          <w:kern w:val="0"/>
          <w:position w:val="-4"/>
          <w:szCs w:val="21"/>
          <w:highlight w:val="none"/>
        </w:rPr>
        <w:t>币单位</w:t>
      </w:r>
      <w:r>
        <w:rPr>
          <w:rFonts w:hint="eastAsia" w:ascii="宋体" w:hAnsi="宋体" w:cs="宋体"/>
          <w:color w:val="000000"/>
          <w:spacing w:val="-24"/>
          <w:kern w:val="0"/>
          <w:position w:val="-4"/>
          <w:szCs w:val="21"/>
          <w:highlight w:val="none"/>
        </w:rPr>
        <w:t>：</w:t>
      </w:r>
      <w:r>
        <w:rPr>
          <w:rFonts w:hint="eastAsia" w:ascii="宋体" w:hAnsi="宋体" w:cs="宋体"/>
          <w:color w:val="000000"/>
          <w:kern w:val="0"/>
          <w:position w:val="-4"/>
          <w:szCs w:val="21"/>
          <w:highlight w:val="none"/>
        </w:rPr>
        <w:t>人民币</w:t>
      </w:r>
    </w:p>
    <w:tbl>
      <w:tblPr>
        <w:tblStyle w:val="47"/>
        <w:tblW w:w="14216" w:type="dxa"/>
        <w:tblInd w:w="2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8"/>
        <w:gridCol w:w="1156"/>
        <w:gridCol w:w="1124"/>
        <w:gridCol w:w="567"/>
        <w:gridCol w:w="567"/>
        <w:gridCol w:w="1134"/>
        <w:gridCol w:w="1050"/>
        <w:gridCol w:w="934"/>
        <w:gridCol w:w="1050"/>
        <w:gridCol w:w="651"/>
        <w:gridCol w:w="709"/>
        <w:gridCol w:w="992"/>
        <w:gridCol w:w="993"/>
        <w:gridCol w:w="851"/>
        <w:gridCol w:w="850"/>
        <w:gridCol w:w="850"/>
      </w:tblGrid>
      <w:tr w14:paraId="4C52F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wBefore w:w="0" w:type="dxa"/>
          <w:wAfter w:w="0" w:type="dxa"/>
          <w:trHeight w:val="554" w:hRule="atLeast"/>
        </w:trPr>
        <w:tc>
          <w:tcPr>
            <w:tcW w:w="738" w:type="dxa"/>
            <w:vMerge w:val="restart"/>
            <w:noWrap w:val="0"/>
            <w:vAlign w:val="center"/>
          </w:tcPr>
          <w:p w14:paraId="6B0196E4">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1156" w:type="dxa"/>
            <w:vMerge w:val="restart"/>
            <w:noWrap w:val="0"/>
            <w:vAlign w:val="center"/>
          </w:tcPr>
          <w:p w14:paraId="593CC600">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货物</w:t>
            </w:r>
            <w:r>
              <w:rPr>
                <w:rFonts w:hint="eastAsia" w:ascii="宋体" w:hAnsi="宋体" w:cs="宋体"/>
                <w:color w:val="000000"/>
                <w:szCs w:val="21"/>
                <w:highlight w:val="none"/>
                <w:lang/>
              </w:rPr>
              <w:t>（服务）</w:t>
            </w:r>
            <w:r>
              <w:rPr>
                <w:rFonts w:hint="eastAsia" w:ascii="宋体" w:hAnsi="宋体" w:cs="宋体"/>
                <w:color w:val="000000"/>
                <w:kern w:val="0"/>
                <w:szCs w:val="21"/>
                <w:highlight w:val="none"/>
              </w:rPr>
              <w:t>名称</w:t>
            </w:r>
          </w:p>
        </w:tc>
        <w:tc>
          <w:tcPr>
            <w:tcW w:w="1124" w:type="dxa"/>
            <w:vMerge w:val="restart"/>
            <w:noWrap w:val="0"/>
            <w:vAlign w:val="center"/>
          </w:tcPr>
          <w:p w14:paraId="6D15CA62">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规格型号</w:t>
            </w:r>
          </w:p>
        </w:tc>
        <w:tc>
          <w:tcPr>
            <w:tcW w:w="567" w:type="dxa"/>
            <w:vMerge w:val="restart"/>
            <w:noWrap w:val="0"/>
            <w:vAlign w:val="center"/>
          </w:tcPr>
          <w:p w14:paraId="411F9E40">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567" w:type="dxa"/>
            <w:vMerge w:val="restart"/>
            <w:noWrap w:val="0"/>
            <w:vAlign w:val="center"/>
          </w:tcPr>
          <w:p w14:paraId="430C7DB6">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单位</w:t>
            </w:r>
          </w:p>
        </w:tc>
        <w:tc>
          <w:tcPr>
            <w:tcW w:w="5528" w:type="dxa"/>
            <w:gridSpan w:val="6"/>
            <w:noWrap w:val="0"/>
            <w:vAlign w:val="center"/>
          </w:tcPr>
          <w:p w14:paraId="2BCD7AEC">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单价</w:t>
            </w:r>
          </w:p>
        </w:tc>
        <w:tc>
          <w:tcPr>
            <w:tcW w:w="992" w:type="dxa"/>
            <w:noWrap w:val="0"/>
            <w:vAlign w:val="center"/>
          </w:tcPr>
          <w:p w14:paraId="459A087F">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合价</w:t>
            </w:r>
          </w:p>
        </w:tc>
        <w:tc>
          <w:tcPr>
            <w:tcW w:w="993" w:type="dxa"/>
            <w:noWrap w:val="0"/>
            <w:vAlign w:val="center"/>
          </w:tcPr>
          <w:p w14:paraId="22441C32">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制造商</w:t>
            </w:r>
          </w:p>
        </w:tc>
        <w:tc>
          <w:tcPr>
            <w:tcW w:w="851" w:type="dxa"/>
            <w:noWrap w:val="0"/>
            <w:vAlign w:val="center"/>
          </w:tcPr>
          <w:p w14:paraId="3EDA94E0">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品牌</w:t>
            </w:r>
          </w:p>
        </w:tc>
        <w:tc>
          <w:tcPr>
            <w:tcW w:w="850" w:type="dxa"/>
            <w:noWrap w:val="0"/>
            <w:vAlign w:val="center"/>
          </w:tcPr>
          <w:p w14:paraId="00702759">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产地</w:t>
            </w:r>
          </w:p>
        </w:tc>
        <w:tc>
          <w:tcPr>
            <w:tcW w:w="850" w:type="dxa"/>
            <w:noWrap w:val="0"/>
            <w:vAlign w:val="center"/>
          </w:tcPr>
          <w:p w14:paraId="49D6D928">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发货地点</w:t>
            </w:r>
          </w:p>
        </w:tc>
      </w:tr>
      <w:tr w14:paraId="24C59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05" w:hRule="atLeast"/>
        </w:trPr>
        <w:tc>
          <w:tcPr>
            <w:tcW w:w="738" w:type="dxa"/>
            <w:vMerge w:val="continue"/>
            <w:noWrap w:val="0"/>
            <w:vAlign w:val="center"/>
          </w:tcPr>
          <w:p w14:paraId="6D0A1FC8">
            <w:pPr>
              <w:widowControl/>
              <w:adjustRightInd w:val="0"/>
              <w:snapToGrid w:val="0"/>
              <w:jc w:val="center"/>
              <w:rPr>
                <w:rFonts w:hint="eastAsia" w:ascii="宋体" w:hAnsi="宋体" w:cs="宋体"/>
                <w:color w:val="000000"/>
                <w:kern w:val="0"/>
                <w:szCs w:val="21"/>
                <w:highlight w:val="none"/>
              </w:rPr>
            </w:pPr>
          </w:p>
        </w:tc>
        <w:tc>
          <w:tcPr>
            <w:tcW w:w="1156" w:type="dxa"/>
            <w:vMerge w:val="continue"/>
            <w:noWrap w:val="0"/>
            <w:vAlign w:val="center"/>
          </w:tcPr>
          <w:p w14:paraId="3385A294">
            <w:pPr>
              <w:widowControl/>
              <w:adjustRightInd w:val="0"/>
              <w:snapToGrid w:val="0"/>
              <w:jc w:val="center"/>
              <w:rPr>
                <w:rFonts w:hint="eastAsia" w:ascii="宋体" w:hAnsi="宋体" w:cs="宋体"/>
                <w:color w:val="000000"/>
                <w:kern w:val="0"/>
                <w:szCs w:val="21"/>
                <w:highlight w:val="none"/>
              </w:rPr>
            </w:pPr>
          </w:p>
        </w:tc>
        <w:tc>
          <w:tcPr>
            <w:tcW w:w="1124" w:type="dxa"/>
            <w:vMerge w:val="continue"/>
            <w:noWrap w:val="0"/>
            <w:vAlign w:val="center"/>
          </w:tcPr>
          <w:p w14:paraId="3BB5DB51">
            <w:pPr>
              <w:widowControl/>
              <w:adjustRightInd w:val="0"/>
              <w:snapToGrid w:val="0"/>
              <w:jc w:val="center"/>
              <w:rPr>
                <w:rFonts w:hint="eastAsia" w:ascii="宋体" w:hAnsi="宋体" w:cs="宋体"/>
                <w:color w:val="000000"/>
                <w:kern w:val="0"/>
                <w:szCs w:val="21"/>
                <w:highlight w:val="none"/>
              </w:rPr>
            </w:pPr>
          </w:p>
        </w:tc>
        <w:tc>
          <w:tcPr>
            <w:tcW w:w="567" w:type="dxa"/>
            <w:vMerge w:val="continue"/>
            <w:noWrap w:val="0"/>
            <w:vAlign w:val="center"/>
          </w:tcPr>
          <w:p w14:paraId="1EDC263C">
            <w:pPr>
              <w:widowControl/>
              <w:adjustRightInd w:val="0"/>
              <w:snapToGrid w:val="0"/>
              <w:jc w:val="center"/>
              <w:rPr>
                <w:rFonts w:hint="eastAsia" w:ascii="宋体" w:hAnsi="宋体" w:cs="宋体"/>
                <w:color w:val="000000"/>
                <w:kern w:val="0"/>
                <w:szCs w:val="21"/>
                <w:highlight w:val="none"/>
              </w:rPr>
            </w:pPr>
          </w:p>
        </w:tc>
        <w:tc>
          <w:tcPr>
            <w:tcW w:w="567" w:type="dxa"/>
            <w:vMerge w:val="continue"/>
            <w:noWrap w:val="0"/>
            <w:vAlign w:val="center"/>
          </w:tcPr>
          <w:p w14:paraId="5A8E69E7">
            <w:pPr>
              <w:widowControl/>
              <w:adjustRightInd w:val="0"/>
              <w:snapToGrid w:val="0"/>
              <w:jc w:val="center"/>
              <w:rPr>
                <w:rFonts w:hint="eastAsia" w:ascii="宋体" w:hAnsi="宋体" w:cs="宋体"/>
                <w:color w:val="000000"/>
                <w:kern w:val="0"/>
                <w:szCs w:val="21"/>
                <w:highlight w:val="none"/>
              </w:rPr>
            </w:pPr>
          </w:p>
        </w:tc>
        <w:tc>
          <w:tcPr>
            <w:tcW w:w="1134" w:type="dxa"/>
            <w:noWrap w:val="0"/>
            <w:vAlign w:val="center"/>
          </w:tcPr>
          <w:p w14:paraId="62556FF0">
            <w:pPr>
              <w:jc w:val="center"/>
              <w:rPr>
                <w:rFonts w:hint="eastAsia" w:ascii="宋体" w:hAnsi="宋体" w:cs="宋体"/>
                <w:color w:val="000000"/>
                <w:szCs w:val="21"/>
                <w:highlight w:val="none"/>
              </w:rPr>
            </w:pPr>
            <w:r>
              <w:rPr>
                <w:rFonts w:hint="eastAsia" w:ascii="宋体" w:hAnsi="宋体" w:cs="宋体"/>
                <w:color w:val="000000"/>
                <w:szCs w:val="21"/>
                <w:highlight w:val="none"/>
              </w:rPr>
              <w:t>主机及标准附件</w:t>
            </w:r>
          </w:p>
        </w:tc>
        <w:tc>
          <w:tcPr>
            <w:tcW w:w="1050" w:type="dxa"/>
            <w:noWrap w:val="0"/>
            <w:vAlign w:val="center"/>
          </w:tcPr>
          <w:p w14:paraId="232C8FE9">
            <w:pPr>
              <w:jc w:val="center"/>
              <w:rPr>
                <w:rFonts w:hint="eastAsia" w:ascii="宋体" w:hAnsi="宋体" w:cs="宋体"/>
                <w:color w:val="000000"/>
                <w:szCs w:val="21"/>
                <w:highlight w:val="none"/>
              </w:rPr>
            </w:pPr>
            <w:r>
              <w:rPr>
                <w:rFonts w:hint="eastAsia" w:ascii="宋体" w:hAnsi="宋体" w:cs="宋体"/>
                <w:color w:val="000000"/>
                <w:szCs w:val="21"/>
                <w:highlight w:val="none"/>
              </w:rPr>
              <w:t>运输、保险、卸货</w:t>
            </w:r>
          </w:p>
        </w:tc>
        <w:tc>
          <w:tcPr>
            <w:tcW w:w="934" w:type="dxa"/>
            <w:noWrap w:val="0"/>
            <w:vAlign w:val="center"/>
          </w:tcPr>
          <w:p w14:paraId="45D53A26">
            <w:pPr>
              <w:jc w:val="center"/>
              <w:rPr>
                <w:rFonts w:hint="eastAsia" w:ascii="宋体" w:hAnsi="宋体" w:cs="宋体"/>
                <w:color w:val="000000"/>
                <w:szCs w:val="21"/>
                <w:highlight w:val="none"/>
              </w:rPr>
            </w:pPr>
            <w:r>
              <w:rPr>
                <w:rFonts w:hint="eastAsia" w:ascii="宋体" w:hAnsi="宋体" w:cs="宋体"/>
                <w:color w:val="000000"/>
                <w:szCs w:val="21"/>
                <w:highlight w:val="none"/>
              </w:rPr>
              <w:t>安装调试检验</w:t>
            </w:r>
          </w:p>
        </w:tc>
        <w:tc>
          <w:tcPr>
            <w:tcW w:w="1050" w:type="dxa"/>
            <w:noWrap w:val="0"/>
            <w:vAlign w:val="center"/>
          </w:tcPr>
          <w:p w14:paraId="19BD2858">
            <w:pPr>
              <w:jc w:val="center"/>
              <w:rPr>
                <w:rFonts w:hint="eastAsia" w:ascii="宋体" w:hAnsi="宋体" w:cs="宋体"/>
                <w:color w:val="000000"/>
                <w:szCs w:val="21"/>
                <w:highlight w:val="none"/>
              </w:rPr>
            </w:pPr>
            <w:r>
              <w:rPr>
                <w:rFonts w:hint="eastAsia" w:ascii="宋体" w:hAnsi="宋体" w:cs="宋体"/>
                <w:color w:val="000000"/>
                <w:szCs w:val="21"/>
                <w:highlight w:val="none"/>
              </w:rPr>
              <w:t>培训及</w:t>
            </w:r>
          </w:p>
          <w:p w14:paraId="0F79CF8E">
            <w:pPr>
              <w:jc w:val="center"/>
              <w:rPr>
                <w:rFonts w:hint="eastAsia" w:ascii="宋体" w:hAnsi="宋体" w:cs="宋体"/>
                <w:color w:val="000000"/>
                <w:szCs w:val="21"/>
                <w:highlight w:val="none"/>
              </w:rPr>
            </w:pPr>
            <w:r>
              <w:rPr>
                <w:rFonts w:hint="eastAsia" w:ascii="宋体" w:hAnsi="宋体" w:cs="宋体"/>
                <w:color w:val="000000"/>
                <w:szCs w:val="21"/>
                <w:highlight w:val="none"/>
              </w:rPr>
              <w:t>技术服务</w:t>
            </w:r>
          </w:p>
        </w:tc>
        <w:tc>
          <w:tcPr>
            <w:tcW w:w="651" w:type="dxa"/>
            <w:noWrap w:val="0"/>
            <w:vAlign w:val="center"/>
          </w:tcPr>
          <w:p w14:paraId="47D32D81">
            <w:pPr>
              <w:jc w:val="center"/>
              <w:rPr>
                <w:rFonts w:hint="eastAsia" w:ascii="宋体" w:hAnsi="宋体" w:cs="宋体"/>
                <w:color w:val="000000"/>
                <w:szCs w:val="21"/>
                <w:highlight w:val="none"/>
              </w:rPr>
            </w:pPr>
            <w:r>
              <w:rPr>
                <w:rFonts w:hint="eastAsia" w:ascii="宋体" w:hAnsi="宋体" w:cs="宋体"/>
                <w:color w:val="000000"/>
                <w:szCs w:val="21"/>
                <w:highlight w:val="none"/>
              </w:rPr>
              <w:t>其他</w:t>
            </w:r>
          </w:p>
        </w:tc>
        <w:tc>
          <w:tcPr>
            <w:tcW w:w="709" w:type="dxa"/>
            <w:noWrap w:val="0"/>
            <w:vAlign w:val="center"/>
          </w:tcPr>
          <w:p w14:paraId="104219CF">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szCs w:val="21"/>
                <w:highlight w:val="none"/>
              </w:rPr>
              <w:t>小计</w:t>
            </w:r>
          </w:p>
        </w:tc>
        <w:tc>
          <w:tcPr>
            <w:tcW w:w="992" w:type="dxa"/>
            <w:noWrap w:val="0"/>
            <w:vAlign w:val="center"/>
          </w:tcPr>
          <w:p w14:paraId="09B55733">
            <w:pPr>
              <w:widowControl/>
              <w:adjustRightInd w:val="0"/>
              <w:snapToGrid w:val="0"/>
              <w:jc w:val="center"/>
              <w:rPr>
                <w:rFonts w:hint="eastAsia" w:ascii="宋体" w:hAnsi="宋体" w:cs="宋体"/>
                <w:color w:val="000000"/>
                <w:kern w:val="0"/>
                <w:szCs w:val="21"/>
                <w:highlight w:val="none"/>
              </w:rPr>
            </w:pPr>
          </w:p>
        </w:tc>
        <w:tc>
          <w:tcPr>
            <w:tcW w:w="993" w:type="dxa"/>
            <w:noWrap w:val="0"/>
            <w:vAlign w:val="center"/>
          </w:tcPr>
          <w:p w14:paraId="0384D090">
            <w:pPr>
              <w:widowControl/>
              <w:adjustRightInd w:val="0"/>
              <w:snapToGrid w:val="0"/>
              <w:jc w:val="center"/>
              <w:rPr>
                <w:rFonts w:hint="eastAsia" w:ascii="宋体" w:hAnsi="宋体" w:cs="宋体"/>
                <w:color w:val="000000"/>
                <w:kern w:val="0"/>
                <w:szCs w:val="21"/>
                <w:highlight w:val="none"/>
              </w:rPr>
            </w:pPr>
          </w:p>
        </w:tc>
        <w:tc>
          <w:tcPr>
            <w:tcW w:w="851" w:type="dxa"/>
            <w:noWrap w:val="0"/>
            <w:vAlign w:val="center"/>
          </w:tcPr>
          <w:p w14:paraId="42B819DC">
            <w:pPr>
              <w:widowControl/>
              <w:adjustRightInd w:val="0"/>
              <w:snapToGrid w:val="0"/>
              <w:jc w:val="center"/>
              <w:rPr>
                <w:rFonts w:hint="eastAsia" w:ascii="宋体" w:hAnsi="宋体" w:cs="宋体"/>
                <w:color w:val="000000"/>
                <w:kern w:val="0"/>
                <w:szCs w:val="21"/>
                <w:highlight w:val="none"/>
              </w:rPr>
            </w:pPr>
          </w:p>
        </w:tc>
        <w:tc>
          <w:tcPr>
            <w:tcW w:w="850" w:type="dxa"/>
            <w:noWrap w:val="0"/>
            <w:vAlign w:val="center"/>
          </w:tcPr>
          <w:p w14:paraId="72D810F2">
            <w:pPr>
              <w:widowControl/>
              <w:adjustRightInd w:val="0"/>
              <w:snapToGrid w:val="0"/>
              <w:jc w:val="center"/>
              <w:rPr>
                <w:rFonts w:hint="eastAsia" w:ascii="宋体" w:hAnsi="宋体" w:cs="宋体"/>
                <w:color w:val="000000"/>
                <w:kern w:val="0"/>
                <w:szCs w:val="21"/>
                <w:highlight w:val="none"/>
              </w:rPr>
            </w:pPr>
          </w:p>
        </w:tc>
        <w:tc>
          <w:tcPr>
            <w:tcW w:w="850" w:type="dxa"/>
            <w:noWrap w:val="0"/>
            <w:vAlign w:val="center"/>
          </w:tcPr>
          <w:p w14:paraId="6CCC05B1">
            <w:pPr>
              <w:widowControl/>
              <w:adjustRightInd w:val="0"/>
              <w:snapToGrid w:val="0"/>
              <w:jc w:val="center"/>
              <w:rPr>
                <w:rFonts w:hint="eastAsia" w:ascii="宋体" w:hAnsi="宋体" w:cs="宋体"/>
                <w:color w:val="000000"/>
                <w:kern w:val="0"/>
                <w:szCs w:val="21"/>
                <w:highlight w:val="none"/>
              </w:rPr>
            </w:pPr>
          </w:p>
        </w:tc>
      </w:tr>
      <w:tr w14:paraId="10230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05" w:hRule="atLeast"/>
        </w:trPr>
        <w:tc>
          <w:tcPr>
            <w:tcW w:w="738" w:type="dxa"/>
            <w:noWrap w:val="0"/>
            <w:vAlign w:val="center"/>
          </w:tcPr>
          <w:p w14:paraId="6DDB5324">
            <w:pPr>
              <w:widowControl/>
              <w:adjustRightInd w:val="0"/>
              <w:snapToGrid w:val="0"/>
              <w:jc w:val="center"/>
              <w:rPr>
                <w:rFonts w:hint="eastAsia" w:ascii="宋体" w:hAnsi="宋体" w:cs="宋体"/>
                <w:color w:val="000000"/>
                <w:kern w:val="0"/>
                <w:szCs w:val="21"/>
                <w:highlight w:val="none"/>
              </w:rPr>
            </w:pPr>
          </w:p>
        </w:tc>
        <w:tc>
          <w:tcPr>
            <w:tcW w:w="1156" w:type="dxa"/>
            <w:noWrap w:val="0"/>
            <w:vAlign w:val="center"/>
          </w:tcPr>
          <w:p w14:paraId="263411E7">
            <w:pPr>
              <w:jc w:val="center"/>
              <w:rPr>
                <w:rFonts w:hint="eastAsia" w:ascii="宋体" w:hAnsi="宋体" w:cs="宋体"/>
                <w:color w:val="000000"/>
                <w:szCs w:val="21"/>
                <w:highlight w:val="none"/>
              </w:rPr>
            </w:pPr>
          </w:p>
        </w:tc>
        <w:tc>
          <w:tcPr>
            <w:tcW w:w="1124" w:type="dxa"/>
            <w:noWrap w:val="0"/>
            <w:vAlign w:val="center"/>
          </w:tcPr>
          <w:p w14:paraId="1214562E">
            <w:pPr>
              <w:jc w:val="center"/>
              <w:rPr>
                <w:rFonts w:hint="eastAsia" w:ascii="宋体" w:hAnsi="宋体" w:cs="宋体"/>
                <w:color w:val="000000"/>
                <w:szCs w:val="21"/>
                <w:highlight w:val="none"/>
              </w:rPr>
            </w:pPr>
          </w:p>
        </w:tc>
        <w:tc>
          <w:tcPr>
            <w:tcW w:w="567" w:type="dxa"/>
            <w:noWrap w:val="0"/>
            <w:vAlign w:val="center"/>
          </w:tcPr>
          <w:p w14:paraId="482C2682">
            <w:pPr>
              <w:jc w:val="center"/>
              <w:rPr>
                <w:rFonts w:hint="eastAsia" w:ascii="宋体" w:hAnsi="宋体" w:cs="宋体"/>
                <w:color w:val="000000"/>
                <w:szCs w:val="21"/>
                <w:highlight w:val="none"/>
              </w:rPr>
            </w:pPr>
          </w:p>
        </w:tc>
        <w:tc>
          <w:tcPr>
            <w:tcW w:w="567" w:type="dxa"/>
            <w:noWrap w:val="0"/>
            <w:vAlign w:val="center"/>
          </w:tcPr>
          <w:p w14:paraId="7C45B6B6">
            <w:pPr>
              <w:jc w:val="center"/>
              <w:rPr>
                <w:rFonts w:hint="eastAsia" w:ascii="宋体" w:hAnsi="宋体" w:cs="宋体"/>
                <w:color w:val="000000"/>
                <w:szCs w:val="21"/>
                <w:highlight w:val="none"/>
              </w:rPr>
            </w:pPr>
          </w:p>
        </w:tc>
        <w:tc>
          <w:tcPr>
            <w:tcW w:w="1134" w:type="dxa"/>
            <w:noWrap w:val="0"/>
            <w:vAlign w:val="center"/>
          </w:tcPr>
          <w:p w14:paraId="35C12E19">
            <w:pPr>
              <w:jc w:val="center"/>
              <w:rPr>
                <w:rFonts w:hint="eastAsia" w:ascii="宋体" w:hAnsi="宋体" w:cs="宋体"/>
                <w:color w:val="000000"/>
                <w:szCs w:val="21"/>
                <w:highlight w:val="none"/>
              </w:rPr>
            </w:pPr>
          </w:p>
        </w:tc>
        <w:tc>
          <w:tcPr>
            <w:tcW w:w="1050" w:type="dxa"/>
            <w:noWrap w:val="0"/>
            <w:vAlign w:val="center"/>
          </w:tcPr>
          <w:p w14:paraId="2F44AB36">
            <w:pPr>
              <w:jc w:val="center"/>
              <w:rPr>
                <w:rFonts w:hint="eastAsia" w:ascii="宋体" w:hAnsi="宋体" w:cs="宋体"/>
                <w:color w:val="000000"/>
                <w:szCs w:val="21"/>
                <w:highlight w:val="none"/>
              </w:rPr>
            </w:pPr>
          </w:p>
        </w:tc>
        <w:tc>
          <w:tcPr>
            <w:tcW w:w="934" w:type="dxa"/>
            <w:noWrap w:val="0"/>
            <w:vAlign w:val="center"/>
          </w:tcPr>
          <w:p w14:paraId="1FADBBB4">
            <w:pPr>
              <w:jc w:val="center"/>
              <w:rPr>
                <w:rFonts w:hint="eastAsia" w:ascii="宋体" w:hAnsi="宋体" w:cs="宋体"/>
                <w:color w:val="000000"/>
                <w:szCs w:val="21"/>
                <w:highlight w:val="none"/>
              </w:rPr>
            </w:pPr>
          </w:p>
        </w:tc>
        <w:tc>
          <w:tcPr>
            <w:tcW w:w="1050" w:type="dxa"/>
            <w:noWrap w:val="0"/>
            <w:vAlign w:val="center"/>
          </w:tcPr>
          <w:p w14:paraId="067D336B">
            <w:pPr>
              <w:jc w:val="center"/>
              <w:rPr>
                <w:rFonts w:hint="eastAsia" w:ascii="宋体" w:hAnsi="宋体" w:cs="宋体"/>
                <w:color w:val="000000"/>
                <w:szCs w:val="21"/>
                <w:highlight w:val="none"/>
              </w:rPr>
            </w:pPr>
          </w:p>
        </w:tc>
        <w:tc>
          <w:tcPr>
            <w:tcW w:w="651" w:type="dxa"/>
            <w:noWrap w:val="0"/>
            <w:vAlign w:val="center"/>
          </w:tcPr>
          <w:p w14:paraId="731E7D4B">
            <w:pPr>
              <w:jc w:val="center"/>
              <w:rPr>
                <w:rFonts w:hint="eastAsia" w:ascii="宋体" w:hAnsi="宋体" w:cs="宋体"/>
                <w:color w:val="000000"/>
                <w:szCs w:val="21"/>
                <w:highlight w:val="none"/>
              </w:rPr>
            </w:pPr>
          </w:p>
        </w:tc>
        <w:tc>
          <w:tcPr>
            <w:tcW w:w="709" w:type="dxa"/>
            <w:noWrap w:val="0"/>
            <w:vAlign w:val="center"/>
          </w:tcPr>
          <w:p w14:paraId="429C2DF9">
            <w:pPr>
              <w:jc w:val="center"/>
              <w:rPr>
                <w:rFonts w:hint="eastAsia" w:ascii="宋体" w:hAnsi="宋体" w:cs="宋体"/>
                <w:color w:val="000000"/>
                <w:szCs w:val="21"/>
                <w:highlight w:val="none"/>
              </w:rPr>
            </w:pPr>
          </w:p>
        </w:tc>
        <w:tc>
          <w:tcPr>
            <w:tcW w:w="992" w:type="dxa"/>
            <w:noWrap w:val="0"/>
            <w:vAlign w:val="center"/>
          </w:tcPr>
          <w:p w14:paraId="7290C13C">
            <w:pPr>
              <w:jc w:val="center"/>
              <w:rPr>
                <w:rFonts w:hint="eastAsia" w:ascii="宋体" w:hAnsi="宋体" w:cs="宋体"/>
                <w:color w:val="000000"/>
                <w:szCs w:val="21"/>
                <w:highlight w:val="none"/>
              </w:rPr>
            </w:pPr>
          </w:p>
        </w:tc>
        <w:tc>
          <w:tcPr>
            <w:tcW w:w="993" w:type="dxa"/>
            <w:noWrap w:val="0"/>
            <w:vAlign w:val="center"/>
          </w:tcPr>
          <w:p w14:paraId="3930038B">
            <w:pPr>
              <w:jc w:val="center"/>
              <w:rPr>
                <w:rFonts w:hint="eastAsia" w:ascii="宋体" w:hAnsi="宋体" w:cs="宋体"/>
                <w:color w:val="000000"/>
                <w:szCs w:val="21"/>
                <w:highlight w:val="none"/>
              </w:rPr>
            </w:pPr>
          </w:p>
        </w:tc>
        <w:tc>
          <w:tcPr>
            <w:tcW w:w="851" w:type="dxa"/>
            <w:noWrap w:val="0"/>
            <w:vAlign w:val="center"/>
          </w:tcPr>
          <w:p w14:paraId="52A25697">
            <w:pPr>
              <w:jc w:val="center"/>
              <w:rPr>
                <w:rFonts w:hint="eastAsia" w:ascii="宋体" w:hAnsi="宋体" w:cs="宋体"/>
                <w:color w:val="000000"/>
                <w:szCs w:val="21"/>
                <w:highlight w:val="none"/>
              </w:rPr>
            </w:pPr>
          </w:p>
        </w:tc>
        <w:tc>
          <w:tcPr>
            <w:tcW w:w="850" w:type="dxa"/>
            <w:noWrap w:val="0"/>
            <w:vAlign w:val="center"/>
          </w:tcPr>
          <w:p w14:paraId="352F4CF7">
            <w:pPr>
              <w:widowControl/>
              <w:adjustRightInd w:val="0"/>
              <w:snapToGrid w:val="0"/>
              <w:jc w:val="center"/>
              <w:rPr>
                <w:rFonts w:hint="eastAsia" w:ascii="宋体" w:hAnsi="宋体" w:cs="宋体"/>
                <w:color w:val="000000"/>
                <w:kern w:val="0"/>
                <w:szCs w:val="21"/>
                <w:highlight w:val="none"/>
              </w:rPr>
            </w:pPr>
          </w:p>
        </w:tc>
        <w:tc>
          <w:tcPr>
            <w:tcW w:w="850" w:type="dxa"/>
            <w:noWrap w:val="0"/>
            <w:vAlign w:val="center"/>
          </w:tcPr>
          <w:p w14:paraId="4C461B48">
            <w:pPr>
              <w:widowControl/>
              <w:adjustRightInd w:val="0"/>
              <w:snapToGrid w:val="0"/>
              <w:jc w:val="center"/>
              <w:rPr>
                <w:rFonts w:hint="eastAsia" w:ascii="宋体" w:hAnsi="宋体" w:cs="宋体"/>
                <w:color w:val="000000"/>
                <w:kern w:val="0"/>
                <w:szCs w:val="21"/>
                <w:highlight w:val="none"/>
              </w:rPr>
            </w:pPr>
          </w:p>
        </w:tc>
      </w:tr>
      <w:tr w14:paraId="1BD01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05" w:hRule="atLeast"/>
        </w:trPr>
        <w:tc>
          <w:tcPr>
            <w:tcW w:w="738" w:type="dxa"/>
            <w:noWrap w:val="0"/>
            <w:vAlign w:val="center"/>
          </w:tcPr>
          <w:p w14:paraId="62A05960">
            <w:pPr>
              <w:widowControl/>
              <w:adjustRightInd w:val="0"/>
              <w:snapToGrid w:val="0"/>
              <w:jc w:val="center"/>
              <w:rPr>
                <w:rFonts w:hint="eastAsia" w:ascii="宋体" w:hAnsi="宋体" w:cs="宋体"/>
                <w:color w:val="000000"/>
                <w:kern w:val="0"/>
                <w:szCs w:val="21"/>
                <w:highlight w:val="none"/>
              </w:rPr>
            </w:pPr>
          </w:p>
        </w:tc>
        <w:tc>
          <w:tcPr>
            <w:tcW w:w="1156" w:type="dxa"/>
            <w:noWrap w:val="0"/>
            <w:vAlign w:val="center"/>
          </w:tcPr>
          <w:p w14:paraId="7D52401D">
            <w:pPr>
              <w:widowControl/>
              <w:adjustRightInd w:val="0"/>
              <w:snapToGrid w:val="0"/>
              <w:jc w:val="center"/>
              <w:rPr>
                <w:rFonts w:hint="eastAsia" w:ascii="宋体" w:hAnsi="宋体" w:cs="宋体"/>
                <w:color w:val="000000"/>
                <w:kern w:val="0"/>
                <w:szCs w:val="21"/>
                <w:highlight w:val="none"/>
              </w:rPr>
            </w:pPr>
          </w:p>
        </w:tc>
        <w:tc>
          <w:tcPr>
            <w:tcW w:w="1124" w:type="dxa"/>
            <w:noWrap w:val="0"/>
            <w:vAlign w:val="center"/>
          </w:tcPr>
          <w:p w14:paraId="5FAE48CC">
            <w:pPr>
              <w:widowControl/>
              <w:adjustRightInd w:val="0"/>
              <w:snapToGrid w:val="0"/>
              <w:jc w:val="center"/>
              <w:rPr>
                <w:rFonts w:hint="eastAsia" w:ascii="宋体" w:hAnsi="宋体" w:cs="宋体"/>
                <w:color w:val="000000"/>
                <w:kern w:val="0"/>
                <w:szCs w:val="21"/>
                <w:highlight w:val="none"/>
              </w:rPr>
            </w:pPr>
          </w:p>
        </w:tc>
        <w:tc>
          <w:tcPr>
            <w:tcW w:w="567" w:type="dxa"/>
            <w:noWrap w:val="0"/>
            <w:vAlign w:val="center"/>
          </w:tcPr>
          <w:p w14:paraId="104C3005">
            <w:pPr>
              <w:widowControl/>
              <w:adjustRightInd w:val="0"/>
              <w:snapToGrid w:val="0"/>
              <w:jc w:val="center"/>
              <w:rPr>
                <w:rFonts w:hint="eastAsia" w:ascii="宋体" w:hAnsi="宋体" w:cs="宋体"/>
                <w:color w:val="000000"/>
                <w:kern w:val="0"/>
                <w:szCs w:val="21"/>
                <w:highlight w:val="none"/>
              </w:rPr>
            </w:pPr>
          </w:p>
        </w:tc>
        <w:tc>
          <w:tcPr>
            <w:tcW w:w="567" w:type="dxa"/>
            <w:noWrap w:val="0"/>
            <w:vAlign w:val="center"/>
          </w:tcPr>
          <w:p w14:paraId="59C10233">
            <w:pPr>
              <w:widowControl/>
              <w:adjustRightInd w:val="0"/>
              <w:snapToGrid w:val="0"/>
              <w:jc w:val="center"/>
              <w:rPr>
                <w:rFonts w:hint="eastAsia" w:ascii="宋体" w:hAnsi="宋体" w:cs="宋体"/>
                <w:color w:val="000000"/>
                <w:kern w:val="0"/>
                <w:szCs w:val="21"/>
                <w:highlight w:val="none"/>
              </w:rPr>
            </w:pPr>
          </w:p>
        </w:tc>
        <w:tc>
          <w:tcPr>
            <w:tcW w:w="1134" w:type="dxa"/>
            <w:noWrap w:val="0"/>
            <w:vAlign w:val="center"/>
          </w:tcPr>
          <w:p w14:paraId="7134C6B4">
            <w:pPr>
              <w:widowControl/>
              <w:adjustRightInd w:val="0"/>
              <w:snapToGrid w:val="0"/>
              <w:jc w:val="center"/>
              <w:rPr>
                <w:rFonts w:hint="eastAsia" w:ascii="宋体" w:hAnsi="宋体" w:cs="宋体"/>
                <w:color w:val="000000"/>
                <w:kern w:val="0"/>
                <w:szCs w:val="21"/>
                <w:highlight w:val="none"/>
              </w:rPr>
            </w:pPr>
          </w:p>
        </w:tc>
        <w:tc>
          <w:tcPr>
            <w:tcW w:w="1050" w:type="dxa"/>
            <w:noWrap w:val="0"/>
            <w:vAlign w:val="center"/>
          </w:tcPr>
          <w:p w14:paraId="751B8CF2">
            <w:pPr>
              <w:widowControl/>
              <w:adjustRightInd w:val="0"/>
              <w:snapToGrid w:val="0"/>
              <w:jc w:val="center"/>
              <w:rPr>
                <w:rFonts w:hint="eastAsia" w:ascii="宋体" w:hAnsi="宋体" w:cs="宋体"/>
                <w:color w:val="000000"/>
                <w:kern w:val="0"/>
                <w:szCs w:val="21"/>
                <w:highlight w:val="none"/>
              </w:rPr>
            </w:pPr>
          </w:p>
        </w:tc>
        <w:tc>
          <w:tcPr>
            <w:tcW w:w="934" w:type="dxa"/>
            <w:noWrap w:val="0"/>
            <w:vAlign w:val="center"/>
          </w:tcPr>
          <w:p w14:paraId="03FE2B9C">
            <w:pPr>
              <w:widowControl/>
              <w:adjustRightInd w:val="0"/>
              <w:snapToGrid w:val="0"/>
              <w:jc w:val="center"/>
              <w:rPr>
                <w:rFonts w:hint="eastAsia" w:ascii="宋体" w:hAnsi="宋体" w:cs="宋体"/>
                <w:color w:val="000000"/>
                <w:kern w:val="0"/>
                <w:szCs w:val="21"/>
                <w:highlight w:val="none"/>
              </w:rPr>
            </w:pPr>
          </w:p>
        </w:tc>
        <w:tc>
          <w:tcPr>
            <w:tcW w:w="1050" w:type="dxa"/>
            <w:noWrap w:val="0"/>
            <w:vAlign w:val="center"/>
          </w:tcPr>
          <w:p w14:paraId="5426CEF7">
            <w:pPr>
              <w:widowControl/>
              <w:adjustRightInd w:val="0"/>
              <w:snapToGrid w:val="0"/>
              <w:jc w:val="center"/>
              <w:rPr>
                <w:rFonts w:hint="eastAsia" w:ascii="宋体" w:hAnsi="宋体" w:cs="宋体"/>
                <w:color w:val="000000"/>
                <w:kern w:val="0"/>
                <w:szCs w:val="21"/>
                <w:highlight w:val="none"/>
              </w:rPr>
            </w:pPr>
          </w:p>
        </w:tc>
        <w:tc>
          <w:tcPr>
            <w:tcW w:w="651" w:type="dxa"/>
            <w:noWrap w:val="0"/>
            <w:vAlign w:val="center"/>
          </w:tcPr>
          <w:p w14:paraId="4011C3A1">
            <w:pPr>
              <w:widowControl/>
              <w:adjustRightInd w:val="0"/>
              <w:snapToGrid w:val="0"/>
              <w:jc w:val="center"/>
              <w:rPr>
                <w:rFonts w:hint="eastAsia" w:ascii="宋体" w:hAnsi="宋体" w:cs="宋体"/>
                <w:color w:val="000000"/>
                <w:kern w:val="0"/>
                <w:szCs w:val="21"/>
                <w:highlight w:val="none"/>
              </w:rPr>
            </w:pPr>
          </w:p>
        </w:tc>
        <w:tc>
          <w:tcPr>
            <w:tcW w:w="709" w:type="dxa"/>
            <w:noWrap w:val="0"/>
            <w:vAlign w:val="center"/>
          </w:tcPr>
          <w:p w14:paraId="684CBD83">
            <w:pPr>
              <w:widowControl/>
              <w:adjustRightInd w:val="0"/>
              <w:snapToGrid w:val="0"/>
              <w:jc w:val="center"/>
              <w:rPr>
                <w:rFonts w:hint="eastAsia" w:ascii="宋体" w:hAnsi="宋体" w:cs="宋体"/>
                <w:color w:val="000000"/>
                <w:kern w:val="0"/>
                <w:szCs w:val="21"/>
                <w:highlight w:val="none"/>
              </w:rPr>
            </w:pPr>
          </w:p>
        </w:tc>
        <w:tc>
          <w:tcPr>
            <w:tcW w:w="992" w:type="dxa"/>
            <w:noWrap w:val="0"/>
            <w:vAlign w:val="center"/>
          </w:tcPr>
          <w:p w14:paraId="3C57A6D2">
            <w:pPr>
              <w:widowControl/>
              <w:adjustRightInd w:val="0"/>
              <w:snapToGrid w:val="0"/>
              <w:jc w:val="center"/>
              <w:rPr>
                <w:rFonts w:hint="eastAsia" w:ascii="宋体" w:hAnsi="宋体" w:cs="宋体"/>
                <w:color w:val="000000"/>
                <w:kern w:val="0"/>
                <w:szCs w:val="21"/>
                <w:highlight w:val="none"/>
              </w:rPr>
            </w:pPr>
          </w:p>
        </w:tc>
        <w:tc>
          <w:tcPr>
            <w:tcW w:w="993" w:type="dxa"/>
            <w:noWrap w:val="0"/>
            <w:vAlign w:val="center"/>
          </w:tcPr>
          <w:p w14:paraId="167C273B">
            <w:pPr>
              <w:widowControl/>
              <w:adjustRightInd w:val="0"/>
              <w:snapToGrid w:val="0"/>
              <w:jc w:val="center"/>
              <w:rPr>
                <w:rFonts w:hint="eastAsia" w:ascii="宋体" w:hAnsi="宋体" w:cs="宋体"/>
                <w:color w:val="000000"/>
                <w:kern w:val="0"/>
                <w:szCs w:val="21"/>
                <w:highlight w:val="none"/>
              </w:rPr>
            </w:pPr>
          </w:p>
        </w:tc>
        <w:tc>
          <w:tcPr>
            <w:tcW w:w="851" w:type="dxa"/>
            <w:noWrap w:val="0"/>
            <w:vAlign w:val="center"/>
          </w:tcPr>
          <w:p w14:paraId="41E5F915">
            <w:pPr>
              <w:widowControl/>
              <w:adjustRightInd w:val="0"/>
              <w:snapToGrid w:val="0"/>
              <w:jc w:val="center"/>
              <w:rPr>
                <w:rFonts w:hint="eastAsia" w:ascii="宋体" w:hAnsi="宋体" w:cs="宋体"/>
                <w:color w:val="000000"/>
                <w:kern w:val="0"/>
                <w:szCs w:val="21"/>
                <w:highlight w:val="none"/>
              </w:rPr>
            </w:pPr>
          </w:p>
        </w:tc>
        <w:tc>
          <w:tcPr>
            <w:tcW w:w="850" w:type="dxa"/>
            <w:noWrap w:val="0"/>
            <w:vAlign w:val="center"/>
          </w:tcPr>
          <w:p w14:paraId="182150DD">
            <w:pPr>
              <w:widowControl/>
              <w:adjustRightInd w:val="0"/>
              <w:snapToGrid w:val="0"/>
              <w:jc w:val="center"/>
              <w:rPr>
                <w:rFonts w:hint="eastAsia" w:ascii="宋体" w:hAnsi="宋体" w:cs="宋体"/>
                <w:color w:val="000000"/>
                <w:kern w:val="0"/>
                <w:szCs w:val="21"/>
                <w:highlight w:val="none"/>
              </w:rPr>
            </w:pPr>
          </w:p>
        </w:tc>
        <w:tc>
          <w:tcPr>
            <w:tcW w:w="850" w:type="dxa"/>
            <w:noWrap w:val="0"/>
            <w:vAlign w:val="center"/>
          </w:tcPr>
          <w:p w14:paraId="454EEE47">
            <w:pPr>
              <w:widowControl/>
              <w:adjustRightInd w:val="0"/>
              <w:snapToGrid w:val="0"/>
              <w:jc w:val="center"/>
              <w:rPr>
                <w:rFonts w:hint="eastAsia" w:ascii="宋体" w:hAnsi="宋体" w:cs="宋体"/>
                <w:color w:val="000000"/>
                <w:kern w:val="0"/>
                <w:szCs w:val="21"/>
                <w:highlight w:val="none"/>
              </w:rPr>
            </w:pPr>
          </w:p>
        </w:tc>
      </w:tr>
      <w:tr w14:paraId="7E4D5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05" w:hRule="atLeast"/>
        </w:trPr>
        <w:tc>
          <w:tcPr>
            <w:tcW w:w="738" w:type="dxa"/>
            <w:noWrap w:val="0"/>
            <w:vAlign w:val="center"/>
          </w:tcPr>
          <w:p w14:paraId="03BB3E32">
            <w:pPr>
              <w:widowControl/>
              <w:adjustRightInd w:val="0"/>
              <w:snapToGrid w:val="0"/>
              <w:jc w:val="center"/>
              <w:rPr>
                <w:rFonts w:hint="eastAsia" w:ascii="宋体" w:hAnsi="宋体" w:cs="宋体"/>
                <w:color w:val="000000"/>
                <w:kern w:val="0"/>
                <w:szCs w:val="21"/>
                <w:highlight w:val="none"/>
              </w:rPr>
            </w:pPr>
          </w:p>
        </w:tc>
        <w:tc>
          <w:tcPr>
            <w:tcW w:w="1156" w:type="dxa"/>
            <w:noWrap w:val="0"/>
            <w:vAlign w:val="center"/>
          </w:tcPr>
          <w:p w14:paraId="53DC9F15">
            <w:pPr>
              <w:widowControl/>
              <w:adjustRightInd w:val="0"/>
              <w:snapToGrid w:val="0"/>
              <w:jc w:val="center"/>
              <w:rPr>
                <w:rFonts w:hint="eastAsia" w:ascii="宋体" w:hAnsi="宋体" w:cs="宋体"/>
                <w:color w:val="000000"/>
                <w:kern w:val="0"/>
                <w:szCs w:val="21"/>
                <w:highlight w:val="none"/>
              </w:rPr>
            </w:pPr>
          </w:p>
        </w:tc>
        <w:tc>
          <w:tcPr>
            <w:tcW w:w="1124" w:type="dxa"/>
            <w:noWrap w:val="0"/>
            <w:vAlign w:val="center"/>
          </w:tcPr>
          <w:p w14:paraId="2183B721">
            <w:pPr>
              <w:widowControl/>
              <w:adjustRightInd w:val="0"/>
              <w:snapToGrid w:val="0"/>
              <w:jc w:val="center"/>
              <w:rPr>
                <w:rFonts w:hint="eastAsia" w:ascii="宋体" w:hAnsi="宋体" w:cs="宋体"/>
                <w:color w:val="000000"/>
                <w:kern w:val="0"/>
                <w:szCs w:val="21"/>
                <w:highlight w:val="none"/>
              </w:rPr>
            </w:pPr>
          </w:p>
        </w:tc>
        <w:tc>
          <w:tcPr>
            <w:tcW w:w="567" w:type="dxa"/>
            <w:noWrap w:val="0"/>
            <w:vAlign w:val="center"/>
          </w:tcPr>
          <w:p w14:paraId="3F130F0B">
            <w:pPr>
              <w:widowControl/>
              <w:adjustRightInd w:val="0"/>
              <w:snapToGrid w:val="0"/>
              <w:jc w:val="center"/>
              <w:rPr>
                <w:rFonts w:hint="eastAsia" w:ascii="宋体" w:hAnsi="宋体" w:cs="宋体"/>
                <w:color w:val="000000"/>
                <w:kern w:val="0"/>
                <w:szCs w:val="21"/>
                <w:highlight w:val="none"/>
              </w:rPr>
            </w:pPr>
          </w:p>
        </w:tc>
        <w:tc>
          <w:tcPr>
            <w:tcW w:w="567" w:type="dxa"/>
            <w:noWrap w:val="0"/>
            <w:vAlign w:val="center"/>
          </w:tcPr>
          <w:p w14:paraId="413E44AD">
            <w:pPr>
              <w:widowControl/>
              <w:adjustRightInd w:val="0"/>
              <w:snapToGrid w:val="0"/>
              <w:jc w:val="center"/>
              <w:rPr>
                <w:rFonts w:hint="eastAsia" w:ascii="宋体" w:hAnsi="宋体" w:cs="宋体"/>
                <w:color w:val="000000"/>
                <w:kern w:val="0"/>
                <w:szCs w:val="21"/>
                <w:highlight w:val="none"/>
              </w:rPr>
            </w:pPr>
          </w:p>
        </w:tc>
        <w:tc>
          <w:tcPr>
            <w:tcW w:w="1134" w:type="dxa"/>
            <w:noWrap w:val="0"/>
            <w:vAlign w:val="center"/>
          </w:tcPr>
          <w:p w14:paraId="147498F1">
            <w:pPr>
              <w:widowControl/>
              <w:adjustRightInd w:val="0"/>
              <w:snapToGrid w:val="0"/>
              <w:jc w:val="center"/>
              <w:rPr>
                <w:rFonts w:hint="eastAsia" w:ascii="宋体" w:hAnsi="宋体" w:cs="宋体"/>
                <w:color w:val="000000"/>
                <w:kern w:val="0"/>
                <w:szCs w:val="21"/>
                <w:highlight w:val="none"/>
              </w:rPr>
            </w:pPr>
          </w:p>
        </w:tc>
        <w:tc>
          <w:tcPr>
            <w:tcW w:w="1050" w:type="dxa"/>
            <w:noWrap w:val="0"/>
            <w:vAlign w:val="center"/>
          </w:tcPr>
          <w:p w14:paraId="3CB0B8C3">
            <w:pPr>
              <w:widowControl/>
              <w:adjustRightInd w:val="0"/>
              <w:snapToGrid w:val="0"/>
              <w:jc w:val="center"/>
              <w:rPr>
                <w:rFonts w:hint="eastAsia" w:ascii="宋体" w:hAnsi="宋体" w:cs="宋体"/>
                <w:color w:val="000000"/>
                <w:kern w:val="0"/>
                <w:szCs w:val="21"/>
                <w:highlight w:val="none"/>
              </w:rPr>
            </w:pPr>
          </w:p>
        </w:tc>
        <w:tc>
          <w:tcPr>
            <w:tcW w:w="934" w:type="dxa"/>
            <w:noWrap w:val="0"/>
            <w:vAlign w:val="center"/>
          </w:tcPr>
          <w:p w14:paraId="40C4ACC5">
            <w:pPr>
              <w:widowControl/>
              <w:adjustRightInd w:val="0"/>
              <w:snapToGrid w:val="0"/>
              <w:jc w:val="center"/>
              <w:rPr>
                <w:rFonts w:hint="eastAsia" w:ascii="宋体" w:hAnsi="宋体" w:cs="宋体"/>
                <w:color w:val="000000"/>
                <w:kern w:val="0"/>
                <w:szCs w:val="21"/>
                <w:highlight w:val="none"/>
              </w:rPr>
            </w:pPr>
          </w:p>
        </w:tc>
        <w:tc>
          <w:tcPr>
            <w:tcW w:w="1050" w:type="dxa"/>
            <w:noWrap w:val="0"/>
            <w:vAlign w:val="center"/>
          </w:tcPr>
          <w:p w14:paraId="1DACEE4D">
            <w:pPr>
              <w:widowControl/>
              <w:adjustRightInd w:val="0"/>
              <w:snapToGrid w:val="0"/>
              <w:jc w:val="center"/>
              <w:rPr>
                <w:rFonts w:hint="eastAsia" w:ascii="宋体" w:hAnsi="宋体" w:cs="宋体"/>
                <w:color w:val="000000"/>
                <w:kern w:val="0"/>
                <w:szCs w:val="21"/>
                <w:highlight w:val="none"/>
              </w:rPr>
            </w:pPr>
          </w:p>
        </w:tc>
        <w:tc>
          <w:tcPr>
            <w:tcW w:w="651" w:type="dxa"/>
            <w:noWrap w:val="0"/>
            <w:vAlign w:val="center"/>
          </w:tcPr>
          <w:p w14:paraId="69E1BCD4">
            <w:pPr>
              <w:widowControl/>
              <w:adjustRightInd w:val="0"/>
              <w:snapToGrid w:val="0"/>
              <w:jc w:val="center"/>
              <w:rPr>
                <w:rFonts w:hint="eastAsia" w:ascii="宋体" w:hAnsi="宋体" w:cs="宋体"/>
                <w:color w:val="000000"/>
                <w:kern w:val="0"/>
                <w:szCs w:val="21"/>
                <w:highlight w:val="none"/>
              </w:rPr>
            </w:pPr>
          </w:p>
        </w:tc>
        <w:tc>
          <w:tcPr>
            <w:tcW w:w="709" w:type="dxa"/>
            <w:noWrap w:val="0"/>
            <w:vAlign w:val="center"/>
          </w:tcPr>
          <w:p w14:paraId="55AF954D">
            <w:pPr>
              <w:widowControl/>
              <w:adjustRightInd w:val="0"/>
              <w:snapToGrid w:val="0"/>
              <w:jc w:val="center"/>
              <w:rPr>
                <w:rFonts w:hint="eastAsia" w:ascii="宋体" w:hAnsi="宋体" w:cs="宋体"/>
                <w:color w:val="000000"/>
                <w:kern w:val="0"/>
                <w:szCs w:val="21"/>
                <w:highlight w:val="none"/>
              </w:rPr>
            </w:pPr>
          </w:p>
        </w:tc>
        <w:tc>
          <w:tcPr>
            <w:tcW w:w="992" w:type="dxa"/>
            <w:noWrap w:val="0"/>
            <w:vAlign w:val="center"/>
          </w:tcPr>
          <w:p w14:paraId="79CECCC7">
            <w:pPr>
              <w:widowControl/>
              <w:adjustRightInd w:val="0"/>
              <w:snapToGrid w:val="0"/>
              <w:jc w:val="center"/>
              <w:rPr>
                <w:rFonts w:hint="eastAsia" w:ascii="宋体" w:hAnsi="宋体" w:cs="宋体"/>
                <w:color w:val="000000"/>
                <w:kern w:val="0"/>
                <w:szCs w:val="21"/>
                <w:highlight w:val="none"/>
              </w:rPr>
            </w:pPr>
          </w:p>
        </w:tc>
        <w:tc>
          <w:tcPr>
            <w:tcW w:w="993" w:type="dxa"/>
            <w:noWrap w:val="0"/>
            <w:vAlign w:val="center"/>
          </w:tcPr>
          <w:p w14:paraId="3538CD16">
            <w:pPr>
              <w:widowControl/>
              <w:adjustRightInd w:val="0"/>
              <w:snapToGrid w:val="0"/>
              <w:jc w:val="center"/>
              <w:rPr>
                <w:rFonts w:hint="eastAsia" w:ascii="宋体" w:hAnsi="宋体" w:cs="宋体"/>
                <w:color w:val="000000"/>
                <w:kern w:val="0"/>
                <w:szCs w:val="21"/>
                <w:highlight w:val="none"/>
              </w:rPr>
            </w:pPr>
          </w:p>
        </w:tc>
        <w:tc>
          <w:tcPr>
            <w:tcW w:w="851" w:type="dxa"/>
            <w:noWrap w:val="0"/>
            <w:vAlign w:val="center"/>
          </w:tcPr>
          <w:p w14:paraId="14941C47">
            <w:pPr>
              <w:widowControl/>
              <w:adjustRightInd w:val="0"/>
              <w:snapToGrid w:val="0"/>
              <w:jc w:val="center"/>
              <w:rPr>
                <w:rFonts w:hint="eastAsia" w:ascii="宋体" w:hAnsi="宋体" w:cs="宋体"/>
                <w:color w:val="000000"/>
                <w:kern w:val="0"/>
                <w:szCs w:val="21"/>
                <w:highlight w:val="none"/>
              </w:rPr>
            </w:pPr>
          </w:p>
        </w:tc>
        <w:tc>
          <w:tcPr>
            <w:tcW w:w="850" w:type="dxa"/>
            <w:noWrap w:val="0"/>
            <w:vAlign w:val="center"/>
          </w:tcPr>
          <w:p w14:paraId="2788EA02">
            <w:pPr>
              <w:widowControl/>
              <w:adjustRightInd w:val="0"/>
              <w:snapToGrid w:val="0"/>
              <w:jc w:val="center"/>
              <w:rPr>
                <w:rFonts w:hint="eastAsia" w:ascii="宋体" w:hAnsi="宋体" w:cs="宋体"/>
                <w:color w:val="000000"/>
                <w:kern w:val="0"/>
                <w:szCs w:val="21"/>
                <w:highlight w:val="none"/>
              </w:rPr>
            </w:pPr>
          </w:p>
        </w:tc>
        <w:tc>
          <w:tcPr>
            <w:tcW w:w="850" w:type="dxa"/>
            <w:noWrap w:val="0"/>
            <w:vAlign w:val="center"/>
          </w:tcPr>
          <w:p w14:paraId="3E3155BF">
            <w:pPr>
              <w:widowControl/>
              <w:adjustRightInd w:val="0"/>
              <w:snapToGrid w:val="0"/>
              <w:jc w:val="center"/>
              <w:rPr>
                <w:rFonts w:hint="eastAsia" w:ascii="宋体" w:hAnsi="宋体" w:cs="宋体"/>
                <w:color w:val="000000"/>
                <w:kern w:val="0"/>
                <w:szCs w:val="21"/>
                <w:highlight w:val="none"/>
              </w:rPr>
            </w:pPr>
          </w:p>
        </w:tc>
      </w:tr>
      <w:tr w14:paraId="7370B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04" w:hRule="atLeast"/>
        </w:trPr>
        <w:tc>
          <w:tcPr>
            <w:tcW w:w="738" w:type="dxa"/>
            <w:noWrap w:val="0"/>
            <w:vAlign w:val="center"/>
          </w:tcPr>
          <w:p w14:paraId="152FE02E">
            <w:pPr>
              <w:widowControl/>
              <w:adjustRightInd w:val="0"/>
              <w:snapToGrid w:val="0"/>
              <w:jc w:val="center"/>
              <w:rPr>
                <w:rFonts w:hint="eastAsia" w:ascii="宋体" w:hAnsi="宋体" w:cs="宋体"/>
                <w:color w:val="000000"/>
                <w:kern w:val="0"/>
                <w:szCs w:val="21"/>
                <w:highlight w:val="none"/>
              </w:rPr>
            </w:pPr>
          </w:p>
        </w:tc>
        <w:tc>
          <w:tcPr>
            <w:tcW w:w="1156" w:type="dxa"/>
            <w:noWrap w:val="0"/>
            <w:vAlign w:val="center"/>
          </w:tcPr>
          <w:p w14:paraId="4F00B4A4">
            <w:pPr>
              <w:widowControl/>
              <w:adjustRightInd w:val="0"/>
              <w:snapToGrid w:val="0"/>
              <w:jc w:val="center"/>
              <w:rPr>
                <w:rFonts w:hint="eastAsia" w:ascii="宋体" w:hAnsi="宋体" w:cs="宋体"/>
                <w:color w:val="000000"/>
                <w:kern w:val="0"/>
                <w:szCs w:val="21"/>
                <w:highlight w:val="none"/>
              </w:rPr>
            </w:pPr>
          </w:p>
        </w:tc>
        <w:tc>
          <w:tcPr>
            <w:tcW w:w="1124" w:type="dxa"/>
            <w:noWrap w:val="0"/>
            <w:vAlign w:val="center"/>
          </w:tcPr>
          <w:p w14:paraId="519CE152">
            <w:pPr>
              <w:widowControl/>
              <w:adjustRightInd w:val="0"/>
              <w:snapToGrid w:val="0"/>
              <w:jc w:val="center"/>
              <w:rPr>
                <w:rFonts w:hint="eastAsia" w:ascii="宋体" w:hAnsi="宋体" w:cs="宋体"/>
                <w:color w:val="000000"/>
                <w:kern w:val="0"/>
                <w:szCs w:val="21"/>
                <w:highlight w:val="none"/>
              </w:rPr>
            </w:pPr>
          </w:p>
        </w:tc>
        <w:tc>
          <w:tcPr>
            <w:tcW w:w="567" w:type="dxa"/>
            <w:noWrap w:val="0"/>
            <w:vAlign w:val="center"/>
          </w:tcPr>
          <w:p w14:paraId="6C6914DB">
            <w:pPr>
              <w:widowControl/>
              <w:adjustRightInd w:val="0"/>
              <w:snapToGrid w:val="0"/>
              <w:jc w:val="center"/>
              <w:rPr>
                <w:rFonts w:hint="eastAsia" w:ascii="宋体" w:hAnsi="宋体" w:cs="宋体"/>
                <w:color w:val="000000"/>
                <w:kern w:val="0"/>
                <w:szCs w:val="21"/>
                <w:highlight w:val="none"/>
              </w:rPr>
            </w:pPr>
          </w:p>
        </w:tc>
        <w:tc>
          <w:tcPr>
            <w:tcW w:w="567" w:type="dxa"/>
            <w:noWrap w:val="0"/>
            <w:vAlign w:val="center"/>
          </w:tcPr>
          <w:p w14:paraId="79F97278">
            <w:pPr>
              <w:widowControl/>
              <w:adjustRightInd w:val="0"/>
              <w:snapToGrid w:val="0"/>
              <w:jc w:val="center"/>
              <w:rPr>
                <w:rFonts w:hint="eastAsia" w:ascii="宋体" w:hAnsi="宋体" w:cs="宋体"/>
                <w:color w:val="000000"/>
                <w:kern w:val="0"/>
                <w:szCs w:val="21"/>
                <w:highlight w:val="none"/>
              </w:rPr>
            </w:pPr>
          </w:p>
        </w:tc>
        <w:tc>
          <w:tcPr>
            <w:tcW w:w="1134" w:type="dxa"/>
            <w:noWrap w:val="0"/>
            <w:vAlign w:val="center"/>
          </w:tcPr>
          <w:p w14:paraId="4448E70D">
            <w:pPr>
              <w:widowControl/>
              <w:adjustRightInd w:val="0"/>
              <w:snapToGrid w:val="0"/>
              <w:jc w:val="center"/>
              <w:rPr>
                <w:rFonts w:hint="eastAsia" w:ascii="宋体" w:hAnsi="宋体" w:cs="宋体"/>
                <w:color w:val="000000"/>
                <w:kern w:val="0"/>
                <w:szCs w:val="21"/>
                <w:highlight w:val="none"/>
              </w:rPr>
            </w:pPr>
          </w:p>
        </w:tc>
        <w:tc>
          <w:tcPr>
            <w:tcW w:w="1050" w:type="dxa"/>
            <w:noWrap w:val="0"/>
            <w:vAlign w:val="center"/>
          </w:tcPr>
          <w:p w14:paraId="52D6B96C">
            <w:pPr>
              <w:widowControl/>
              <w:adjustRightInd w:val="0"/>
              <w:snapToGrid w:val="0"/>
              <w:jc w:val="center"/>
              <w:rPr>
                <w:rFonts w:hint="eastAsia" w:ascii="宋体" w:hAnsi="宋体" w:cs="宋体"/>
                <w:color w:val="000000"/>
                <w:kern w:val="0"/>
                <w:szCs w:val="21"/>
                <w:highlight w:val="none"/>
              </w:rPr>
            </w:pPr>
          </w:p>
        </w:tc>
        <w:tc>
          <w:tcPr>
            <w:tcW w:w="934" w:type="dxa"/>
            <w:noWrap w:val="0"/>
            <w:vAlign w:val="center"/>
          </w:tcPr>
          <w:p w14:paraId="139D5DA6">
            <w:pPr>
              <w:widowControl/>
              <w:adjustRightInd w:val="0"/>
              <w:snapToGrid w:val="0"/>
              <w:jc w:val="center"/>
              <w:rPr>
                <w:rFonts w:hint="eastAsia" w:ascii="宋体" w:hAnsi="宋体" w:cs="宋体"/>
                <w:color w:val="000000"/>
                <w:kern w:val="0"/>
                <w:szCs w:val="21"/>
                <w:highlight w:val="none"/>
              </w:rPr>
            </w:pPr>
          </w:p>
        </w:tc>
        <w:tc>
          <w:tcPr>
            <w:tcW w:w="1050" w:type="dxa"/>
            <w:noWrap w:val="0"/>
            <w:vAlign w:val="center"/>
          </w:tcPr>
          <w:p w14:paraId="48727602">
            <w:pPr>
              <w:widowControl/>
              <w:adjustRightInd w:val="0"/>
              <w:snapToGrid w:val="0"/>
              <w:jc w:val="center"/>
              <w:rPr>
                <w:rFonts w:hint="eastAsia" w:ascii="宋体" w:hAnsi="宋体" w:cs="宋体"/>
                <w:color w:val="000000"/>
                <w:kern w:val="0"/>
                <w:szCs w:val="21"/>
                <w:highlight w:val="none"/>
              </w:rPr>
            </w:pPr>
          </w:p>
        </w:tc>
        <w:tc>
          <w:tcPr>
            <w:tcW w:w="651" w:type="dxa"/>
            <w:noWrap w:val="0"/>
            <w:vAlign w:val="center"/>
          </w:tcPr>
          <w:p w14:paraId="455C13E4">
            <w:pPr>
              <w:widowControl/>
              <w:adjustRightInd w:val="0"/>
              <w:snapToGrid w:val="0"/>
              <w:jc w:val="center"/>
              <w:rPr>
                <w:rFonts w:hint="eastAsia" w:ascii="宋体" w:hAnsi="宋体" w:cs="宋体"/>
                <w:color w:val="000000"/>
                <w:kern w:val="0"/>
                <w:szCs w:val="21"/>
                <w:highlight w:val="none"/>
              </w:rPr>
            </w:pPr>
          </w:p>
        </w:tc>
        <w:tc>
          <w:tcPr>
            <w:tcW w:w="709" w:type="dxa"/>
            <w:noWrap w:val="0"/>
            <w:vAlign w:val="center"/>
          </w:tcPr>
          <w:p w14:paraId="42DEB672">
            <w:pPr>
              <w:widowControl/>
              <w:adjustRightInd w:val="0"/>
              <w:snapToGrid w:val="0"/>
              <w:jc w:val="center"/>
              <w:rPr>
                <w:rFonts w:hint="eastAsia" w:ascii="宋体" w:hAnsi="宋体" w:cs="宋体"/>
                <w:color w:val="000000"/>
                <w:kern w:val="0"/>
                <w:szCs w:val="21"/>
                <w:highlight w:val="none"/>
              </w:rPr>
            </w:pPr>
          </w:p>
        </w:tc>
        <w:tc>
          <w:tcPr>
            <w:tcW w:w="992" w:type="dxa"/>
            <w:noWrap w:val="0"/>
            <w:vAlign w:val="center"/>
          </w:tcPr>
          <w:p w14:paraId="562841A9">
            <w:pPr>
              <w:widowControl/>
              <w:adjustRightInd w:val="0"/>
              <w:snapToGrid w:val="0"/>
              <w:jc w:val="center"/>
              <w:rPr>
                <w:rFonts w:hint="eastAsia" w:ascii="宋体" w:hAnsi="宋体" w:cs="宋体"/>
                <w:color w:val="000000"/>
                <w:kern w:val="0"/>
                <w:szCs w:val="21"/>
                <w:highlight w:val="none"/>
              </w:rPr>
            </w:pPr>
          </w:p>
        </w:tc>
        <w:tc>
          <w:tcPr>
            <w:tcW w:w="993" w:type="dxa"/>
            <w:noWrap w:val="0"/>
            <w:vAlign w:val="center"/>
          </w:tcPr>
          <w:p w14:paraId="3E947128">
            <w:pPr>
              <w:widowControl/>
              <w:adjustRightInd w:val="0"/>
              <w:snapToGrid w:val="0"/>
              <w:jc w:val="center"/>
              <w:rPr>
                <w:rFonts w:hint="eastAsia" w:ascii="宋体" w:hAnsi="宋体" w:cs="宋体"/>
                <w:color w:val="000000"/>
                <w:kern w:val="0"/>
                <w:szCs w:val="21"/>
                <w:highlight w:val="none"/>
              </w:rPr>
            </w:pPr>
          </w:p>
        </w:tc>
        <w:tc>
          <w:tcPr>
            <w:tcW w:w="851" w:type="dxa"/>
            <w:noWrap w:val="0"/>
            <w:vAlign w:val="center"/>
          </w:tcPr>
          <w:p w14:paraId="25918A74">
            <w:pPr>
              <w:widowControl/>
              <w:adjustRightInd w:val="0"/>
              <w:snapToGrid w:val="0"/>
              <w:jc w:val="center"/>
              <w:rPr>
                <w:rFonts w:hint="eastAsia" w:ascii="宋体" w:hAnsi="宋体" w:cs="宋体"/>
                <w:color w:val="000000"/>
                <w:kern w:val="0"/>
                <w:szCs w:val="21"/>
                <w:highlight w:val="none"/>
              </w:rPr>
            </w:pPr>
          </w:p>
        </w:tc>
        <w:tc>
          <w:tcPr>
            <w:tcW w:w="850" w:type="dxa"/>
            <w:noWrap w:val="0"/>
            <w:vAlign w:val="center"/>
          </w:tcPr>
          <w:p w14:paraId="26C7305B">
            <w:pPr>
              <w:widowControl/>
              <w:adjustRightInd w:val="0"/>
              <w:snapToGrid w:val="0"/>
              <w:jc w:val="center"/>
              <w:rPr>
                <w:rFonts w:hint="eastAsia" w:ascii="宋体" w:hAnsi="宋体" w:cs="宋体"/>
                <w:color w:val="000000"/>
                <w:kern w:val="0"/>
                <w:szCs w:val="21"/>
                <w:highlight w:val="none"/>
              </w:rPr>
            </w:pPr>
          </w:p>
        </w:tc>
        <w:tc>
          <w:tcPr>
            <w:tcW w:w="850" w:type="dxa"/>
            <w:noWrap w:val="0"/>
            <w:vAlign w:val="center"/>
          </w:tcPr>
          <w:p w14:paraId="53AF3A60">
            <w:pPr>
              <w:widowControl/>
              <w:adjustRightInd w:val="0"/>
              <w:snapToGrid w:val="0"/>
              <w:jc w:val="center"/>
              <w:rPr>
                <w:rFonts w:hint="eastAsia" w:ascii="宋体" w:hAnsi="宋体" w:cs="宋体"/>
                <w:color w:val="000000"/>
                <w:kern w:val="0"/>
                <w:szCs w:val="21"/>
                <w:highlight w:val="none"/>
              </w:rPr>
            </w:pPr>
          </w:p>
        </w:tc>
      </w:tr>
      <w:tr w14:paraId="30411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05" w:hRule="atLeast"/>
        </w:trPr>
        <w:tc>
          <w:tcPr>
            <w:tcW w:w="738" w:type="dxa"/>
            <w:noWrap w:val="0"/>
            <w:vAlign w:val="center"/>
          </w:tcPr>
          <w:p w14:paraId="1CF1FB1A">
            <w:pPr>
              <w:widowControl/>
              <w:adjustRightInd w:val="0"/>
              <w:snapToGrid w:val="0"/>
              <w:jc w:val="center"/>
              <w:rPr>
                <w:rFonts w:hint="eastAsia" w:ascii="宋体" w:hAnsi="宋体" w:cs="宋体"/>
                <w:color w:val="000000"/>
                <w:kern w:val="0"/>
                <w:szCs w:val="21"/>
                <w:highlight w:val="none"/>
              </w:rPr>
            </w:pPr>
          </w:p>
        </w:tc>
        <w:tc>
          <w:tcPr>
            <w:tcW w:w="1156" w:type="dxa"/>
            <w:noWrap w:val="0"/>
            <w:vAlign w:val="center"/>
          </w:tcPr>
          <w:p w14:paraId="1C2FB2A8">
            <w:pPr>
              <w:widowControl/>
              <w:adjustRightInd w:val="0"/>
              <w:snapToGrid w:val="0"/>
              <w:jc w:val="center"/>
              <w:rPr>
                <w:rFonts w:hint="eastAsia" w:ascii="宋体" w:hAnsi="宋体" w:cs="宋体"/>
                <w:color w:val="000000"/>
                <w:kern w:val="0"/>
                <w:szCs w:val="21"/>
                <w:highlight w:val="none"/>
              </w:rPr>
            </w:pPr>
          </w:p>
        </w:tc>
        <w:tc>
          <w:tcPr>
            <w:tcW w:w="1124" w:type="dxa"/>
            <w:noWrap w:val="0"/>
            <w:vAlign w:val="center"/>
          </w:tcPr>
          <w:p w14:paraId="3BC1CE24">
            <w:pPr>
              <w:widowControl/>
              <w:adjustRightInd w:val="0"/>
              <w:snapToGrid w:val="0"/>
              <w:jc w:val="center"/>
              <w:rPr>
                <w:rFonts w:hint="eastAsia" w:ascii="宋体" w:hAnsi="宋体" w:cs="宋体"/>
                <w:color w:val="000000"/>
                <w:kern w:val="0"/>
                <w:szCs w:val="21"/>
                <w:highlight w:val="none"/>
              </w:rPr>
            </w:pPr>
          </w:p>
        </w:tc>
        <w:tc>
          <w:tcPr>
            <w:tcW w:w="567" w:type="dxa"/>
            <w:noWrap w:val="0"/>
            <w:vAlign w:val="center"/>
          </w:tcPr>
          <w:p w14:paraId="41A2BDAB">
            <w:pPr>
              <w:widowControl/>
              <w:adjustRightInd w:val="0"/>
              <w:snapToGrid w:val="0"/>
              <w:jc w:val="center"/>
              <w:rPr>
                <w:rFonts w:hint="eastAsia" w:ascii="宋体" w:hAnsi="宋体" w:cs="宋体"/>
                <w:color w:val="000000"/>
                <w:kern w:val="0"/>
                <w:szCs w:val="21"/>
                <w:highlight w:val="none"/>
              </w:rPr>
            </w:pPr>
          </w:p>
        </w:tc>
        <w:tc>
          <w:tcPr>
            <w:tcW w:w="567" w:type="dxa"/>
            <w:noWrap w:val="0"/>
            <w:vAlign w:val="center"/>
          </w:tcPr>
          <w:p w14:paraId="4C71E550">
            <w:pPr>
              <w:widowControl/>
              <w:adjustRightInd w:val="0"/>
              <w:snapToGrid w:val="0"/>
              <w:jc w:val="center"/>
              <w:rPr>
                <w:rFonts w:hint="eastAsia" w:ascii="宋体" w:hAnsi="宋体" w:cs="宋体"/>
                <w:color w:val="000000"/>
                <w:kern w:val="0"/>
                <w:szCs w:val="21"/>
                <w:highlight w:val="none"/>
              </w:rPr>
            </w:pPr>
          </w:p>
        </w:tc>
        <w:tc>
          <w:tcPr>
            <w:tcW w:w="1134" w:type="dxa"/>
            <w:noWrap w:val="0"/>
            <w:vAlign w:val="center"/>
          </w:tcPr>
          <w:p w14:paraId="2CFFFEE4">
            <w:pPr>
              <w:widowControl/>
              <w:adjustRightInd w:val="0"/>
              <w:snapToGrid w:val="0"/>
              <w:jc w:val="center"/>
              <w:rPr>
                <w:rFonts w:hint="eastAsia" w:ascii="宋体" w:hAnsi="宋体" w:cs="宋体"/>
                <w:color w:val="000000"/>
                <w:kern w:val="0"/>
                <w:szCs w:val="21"/>
                <w:highlight w:val="none"/>
              </w:rPr>
            </w:pPr>
          </w:p>
        </w:tc>
        <w:tc>
          <w:tcPr>
            <w:tcW w:w="1050" w:type="dxa"/>
            <w:noWrap w:val="0"/>
            <w:vAlign w:val="center"/>
          </w:tcPr>
          <w:p w14:paraId="1324A37F">
            <w:pPr>
              <w:widowControl/>
              <w:adjustRightInd w:val="0"/>
              <w:snapToGrid w:val="0"/>
              <w:jc w:val="center"/>
              <w:rPr>
                <w:rFonts w:hint="eastAsia" w:ascii="宋体" w:hAnsi="宋体" w:cs="宋体"/>
                <w:color w:val="000000"/>
                <w:kern w:val="0"/>
                <w:szCs w:val="21"/>
                <w:highlight w:val="none"/>
              </w:rPr>
            </w:pPr>
          </w:p>
        </w:tc>
        <w:tc>
          <w:tcPr>
            <w:tcW w:w="934" w:type="dxa"/>
            <w:noWrap w:val="0"/>
            <w:vAlign w:val="center"/>
          </w:tcPr>
          <w:p w14:paraId="71760A37">
            <w:pPr>
              <w:widowControl/>
              <w:adjustRightInd w:val="0"/>
              <w:snapToGrid w:val="0"/>
              <w:jc w:val="center"/>
              <w:rPr>
                <w:rFonts w:hint="eastAsia" w:ascii="宋体" w:hAnsi="宋体" w:cs="宋体"/>
                <w:color w:val="000000"/>
                <w:kern w:val="0"/>
                <w:szCs w:val="21"/>
                <w:highlight w:val="none"/>
              </w:rPr>
            </w:pPr>
          </w:p>
        </w:tc>
        <w:tc>
          <w:tcPr>
            <w:tcW w:w="1050" w:type="dxa"/>
            <w:noWrap w:val="0"/>
            <w:vAlign w:val="center"/>
          </w:tcPr>
          <w:p w14:paraId="759928D6">
            <w:pPr>
              <w:widowControl/>
              <w:adjustRightInd w:val="0"/>
              <w:snapToGrid w:val="0"/>
              <w:jc w:val="center"/>
              <w:rPr>
                <w:rFonts w:hint="eastAsia" w:ascii="宋体" w:hAnsi="宋体" w:cs="宋体"/>
                <w:color w:val="000000"/>
                <w:kern w:val="0"/>
                <w:szCs w:val="21"/>
                <w:highlight w:val="none"/>
              </w:rPr>
            </w:pPr>
          </w:p>
        </w:tc>
        <w:tc>
          <w:tcPr>
            <w:tcW w:w="651" w:type="dxa"/>
            <w:noWrap w:val="0"/>
            <w:vAlign w:val="center"/>
          </w:tcPr>
          <w:p w14:paraId="1F221E73">
            <w:pPr>
              <w:widowControl/>
              <w:adjustRightInd w:val="0"/>
              <w:snapToGrid w:val="0"/>
              <w:jc w:val="center"/>
              <w:rPr>
                <w:rFonts w:hint="eastAsia" w:ascii="宋体" w:hAnsi="宋体" w:cs="宋体"/>
                <w:color w:val="000000"/>
                <w:kern w:val="0"/>
                <w:szCs w:val="21"/>
                <w:highlight w:val="none"/>
              </w:rPr>
            </w:pPr>
          </w:p>
        </w:tc>
        <w:tc>
          <w:tcPr>
            <w:tcW w:w="709" w:type="dxa"/>
            <w:noWrap w:val="0"/>
            <w:vAlign w:val="center"/>
          </w:tcPr>
          <w:p w14:paraId="7C56CE4F">
            <w:pPr>
              <w:widowControl/>
              <w:adjustRightInd w:val="0"/>
              <w:snapToGrid w:val="0"/>
              <w:jc w:val="center"/>
              <w:rPr>
                <w:rFonts w:hint="eastAsia" w:ascii="宋体" w:hAnsi="宋体" w:cs="宋体"/>
                <w:color w:val="000000"/>
                <w:kern w:val="0"/>
                <w:szCs w:val="21"/>
                <w:highlight w:val="none"/>
              </w:rPr>
            </w:pPr>
          </w:p>
        </w:tc>
        <w:tc>
          <w:tcPr>
            <w:tcW w:w="992" w:type="dxa"/>
            <w:noWrap w:val="0"/>
            <w:vAlign w:val="center"/>
          </w:tcPr>
          <w:p w14:paraId="59FABECB">
            <w:pPr>
              <w:widowControl/>
              <w:adjustRightInd w:val="0"/>
              <w:snapToGrid w:val="0"/>
              <w:jc w:val="center"/>
              <w:rPr>
                <w:rFonts w:hint="eastAsia" w:ascii="宋体" w:hAnsi="宋体" w:cs="宋体"/>
                <w:color w:val="000000"/>
                <w:kern w:val="0"/>
                <w:szCs w:val="21"/>
                <w:highlight w:val="none"/>
              </w:rPr>
            </w:pPr>
          </w:p>
        </w:tc>
        <w:tc>
          <w:tcPr>
            <w:tcW w:w="993" w:type="dxa"/>
            <w:noWrap w:val="0"/>
            <w:vAlign w:val="center"/>
          </w:tcPr>
          <w:p w14:paraId="4E59B4D0">
            <w:pPr>
              <w:widowControl/>
              <w:adjustRightInd w:val="0"/>
              <w:snapToGrid w:val="0"/>
              <w:jc w:val="center"/>
              <w:rPr>
                <w:rFonts w:hint="eastAsia" w:ascii="宋体" w:hAnsi="宋体" w:cs="宋体"/>
                <w:color w:val="000000"/>
                <w:kern w:val="0"/>
                <w:szCs w:val="21"/>
                <w:highlight w:val="none"/>
              </w:rPr>
            </w:pPr>
          </w:p>
        </w:tc>
        <w:tc>
          <w:tcPr>
            <w:tcW w:w="851" w:type="dxa"/>
            <w:noWrap w:val="0"/>
            <w:vAlign w:val="center"/>
          </w:tcPr>
          <w:p w14:paraId="7ACF4153">
            <w:pPr>
              <w:widowControl/>
              <w:adjustRightInd w:val="0"/>
              <w:snapToGrid w:val="0"/>
              <w:jc w:val="center"/>
              <w:rPr>
                <w:rFonts w:hint="eastAsia" w:ascii="宋体" w:hAnsi="宋体" w:cs="宋体"/>
                <w:color w:val="000000"/>
                <w:kern w:val="0"/>
                <w:szCs w:val="21"/>
                <w:highlight w:val="none"/>
              </w:rPr>
            </w:pPr>
          </w:p>
        </w:tc>
        <w:tc>
          <w:tcPr>
            <w:tcW w:w="850" w:type="dxa"/>
            <w:noWrap w:val="0"/>
            <w:vAlign w:val="center"/>
          </w:tcPr>
          <w:p w14:paraId="6D8D4679">
            <w:pPr>
              <w:widowControl/>
              <w:adjustRightInd w:val="0"/>
              <w:snapToGrid w:val="0"/>
              <w:jc w:val="center"/>
              <w:rPr>
                <w:rFonts w:hint="eastAsia" w:ascii="宋体" w:hAnsi="宋体" w:cs="宋体"/>
                <w:color w:val="000000"/>
                <w:kern w:val="0"/>
                <w:szCs w:val="21"/>
                <w:highlight w:val="none"/>
              </w:rPr>
            </w:pPr>
          </w:p>
        </w:tc>
        <w:tc>
          <w:tcPr>
            <w:tcW w:w="850" w:type="dxa"/>
            <w:noWrap w:val="0"/>
            <w:vAlign w:val="center"/>
          </w:tcPr>
          <w:p w14:paraId="105D20B8">
            <w:pPr>
              <w:widowControl/>
              <w:adjustRightInd w:val="0"/>
              <w:snapToGrid w:val="0"/>
              <w:jc w:val="center"/>
              <w:rPr>
                <w:rFonts w:hint="eastAsia" w:ascii="宋体" w:hAnsi="宋体" w:cs="宋体"/>
                <w:color w:val="000000"/>
                <w:kern w:val="0"/>
                <w:szCs w:val="21"/>
                <w:highlight w:val="none"/>
              </w:rPr>
            </w:pPr>
          </w:p>
        </w:tc>
      </w:tr>
      <w:tr w14:paraId="58C596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05" w:hRule="atLeast"/>
        </w:trPr>
        <w:tc>
          <w:tcPr>
            <w:tcW w:w="9680" w:type="dxa"/>
            <w:gridSpan w:val="11"/>
            <w:noWrap w:val="0"/>
            <w:vAlign w:val="center"/>
          </w:tcPr>
          <w:p w14:paraId="61A6ABF8">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合计</w:t>
            </w:r>
          </w:p>
        </w:tc>
        <w:tc>
          <w:tcPr>
            <w:tcW w:w="992" w:type="dxa"/>
            <w:noWrap w:val="0"/>
            <w:vAlign w:val="center"/>
          </w:tcPr>
          <w:p w14:paraId="36C83828">
            <w:pPr>
              <w:widowControl/>
              <w:adjustRightInd w:val="0"/>
              <w:snapToGrid w:val="0"/>
              <w:jc w:val="center"/>
              <w:rPr>
                <w:rFonts w:hint="eastAsia" w:ascii="宋体" w:hAnsi="宋体" w:cs="宋体"/>
                <w:color w:val="000000"/>
                <w:kern w:val="0"/>
                <w:szCs w:val="21"/>
                <w:highlight w:val="none"/>
              </w:rPr>
            </w:pPr>
          </w:p>
        </w:tc>
        <w:tc>
          <w:tcPr>
            <w:tcW w:w="3544" w:type="dxa"/>
            <w:gridSpan w:val="4"/>
            <w:noWrap w:val="0"/>
            <w:vAlign w:val="center"/>
          </w:tcPr>
          <w:p w14:paraId="71B2705E">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w:t>
            </w:r>
          </w:p>
        </w:tc>
      </w:tr>
    </w:tbl>
    <w:p w14:paraId="194E189D">
      <w:pPr>
        <w:widowControl/>
        <w:spacing w:line="200" w:lineRule="atLeast"/>
        <w:rPr>
          <w:rFonts w:hint="eastAsia" w:ascii="宋体" w:hAnsi="宋体" w:cs="宋体"/>
          <w:color w:val="000000"/>
          <w:kern w:val="0"/>
          <w:szCs w:val="21"/>
          <w:highlight w:val="none"/>
        </w:rPr>
      </w:pPr>
      <w:r>
        <w:rPr>
          <w:rFonts w:hint="eastAsia" w:ascii="宋体" w:hAnsi="宋体" w:cs="宋体"/>
          <w:color w:val="000000"/>
          <w:kern w:val="0"/>
          <w:szCs w:val="21"/>
          <w:highlight w:val="none"/>
        </w:rPr>
        <w:t>注：</w:t>
      </w:r>
    </w:p>
    <w:p w14:paraId="0A66CD71">
      <w:pPr>
        <w:widowControl/>
        <w:spacing w:line="200" w:lineRule="atLeast"/>
        <w:rPr>
          <w:rFonts w:hint="eastAsia" w:ascii="宋体" w:hAnsi="宋体" w:cs="宋体"/>
          <w:color w:val="000000"/>
          <w:kern w:val="0"/>
          <w:szCs w:val="21"/>
          <w:highlight w:val="none"/>
        </w:rPr>
      </w:pPr>
      <w:r>
        <w:rPr>
          <w:rFonts w:hint="eastAsia" w:ascii="宋体" w:hAnsi="宋体" w:cs="宋体"/>
          <w:color w:val="000000"/>
          <w:kern w:val="0"/>
          <w:szCs w:val="21"/>
          <w:highlight w:val="none"/>
        </w:rPr>
        <w:t>1.“单价”系指货物</w:t>
      </w:r>
      <w:r>
        <w:rPr>
          <w:rFonts w:hint="eastAsia" w:ascii="宋体" w:hAnsi="宋体" w:cs="宋体"/>
          <w:color w:val="000000"/>
          <w:szCs w:val="21"/>
          <w:highlight w:val="none"/>
          <w:lang/>
        </w:rPr>
        <w:t>（服务）</w:t>
      </w:r>
      <w:r>
        <w:rPr>
          <w:rFonts w:hint="eastAsia" w:ascii="宋体" w:hAnsi="宋体" w:cs="宋体"/>
          <w:color w:val="000000"/>
          <w:kern w:val="0"/>
          <w:szCs w:val="21"/>
          <w:highlight w:val="none"/>
        </w:rPr>
        <w:t>生产、包装、运输、保险、装卸（至指定地点）、安装（招标文件要求报价）、调试、检验、试运行、技术服务、培训等所有应由投标人承担的各项费用及税金。</w:t>
      </w:r>
    </w:p>
    <w:p w14:paraId="72C788BA">
      <w:pPr>
        <w:widowControl/>
        <w:spacing w:line="200" w:lineRule="atLeast"/>
        <w:rPr>
          <w:rFonts w:hint="eastAsia" w:ascii="宋体" w:hAnsi="宋体" w:cs="宋体"/>
          <w:color w:val="000000"/>
          <w:kern w:val="0"/>
          <w:szCs w:val="21"/>
          <w:highlight w:val="none"/>
        </w:rPr>
      </w:pPr>
      <w:r>
        <w:rPr>
          <w:rFonts w:hint="eastAsia" w:ascii="宋体" w:hAnsi="宋体" w:cs="宋体"/>
          <w:color w:val="000000"/>
          <w:kern w:val="0"/>
          <w:szCs w:val="21"/>
          <w:highlight w:val="none"/>
        </w:rPr>
        <w:t>2.投标总价=分项报价表合计。</w:t>
      </w:r>
    </w:p>
    <w:p w14:paraId="6C4C0B3B">
      <w:pPr>
        <w:widowControl/>
        <w:spacing w:line="200" w:lineRule="atLeast"/>
        <w:rPr>
          <w:rFonts w:hint="eastAsia" w:ascii="宋体" w:hAnsi="宋体" w:cs="宋体"/>
          <w:color w:val="000000"/>
          <w:kern w:val="0"/>
          <w:sz w:val="20"/>
          <w:szCs w:val="20"/>
          <w:highlight w:val="none"/>
        </w:rPr>
      </w:pPr>
      <w:r>
        <w:rPr>
          <w:rFonts w:hint="eastAsia" w:ascii="宋体" w:hAnsi="宋体" w:cs="宋体"/>
          <w:color w:val="000000"/>
          <w:kern w:val="0"/>
          <w:sz w:val="20"/>
          <w:szCs w:val="20"/>
          <w:highlight w:val="none"/>
        </w:rPr>
        <w:t xml:space="preserve"> </w:t>
      </w:r>
    </w:p>
    <w:p w14:paraId="136DBE89">
      <w:pPr>
        <w:widowControl/>
        <w:spacing w:line="200" w:lineRule="atLeast"/>
        <w:rPr>
          <w:rFonts w:hint="eastAsia" w:ascii="宋体" w:hAnsi="宋体" w:cs="宋体"/>
          <w:color w:val="000000"/>
          <w:kern w:val="0"/>
          <w:sz w:val="20"/>
          <w:szCs w:val="20"/>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r>
        <w:rPr>
          <w:rFonts w:hint="eastAsia" w:ascii="宋体" w:hAnsi="宋体" w:cs="宋体"/>
          <w:color w:val="000000"/>
          <w:kern w:val="0"/>
          <w:sz w:val="20"/>
          <w:szCs w:val="20"/>
          <w:highlight w:val="none"/>
        </w:rPr>
        <w:t xml:space="preserve"> </w:t>
      </w:r>
    </w:p>
    <w:p w14:paraId="198A54D1">
      <w:pPr>
        <w:widowControl/>
        <w:ind w:left="1503" w:right="1683"/>
        <w:jc w:val="center"/>
        <w:rPr>
          <w:rFonts w:ascii="宋体" w:hAnsi="宋体" w:cs="宋体"/>
          <w:color w:val="000000"/>
          <w:spacing w:val="12"/>
          <w:kern w:val="0"/>
          <w:sz w:val="28"/>
          <w:szCs w:val="28"/>
          <w:highlight w:val="none"/>
        </w:rPr>
      </w:pPr>
    </w:p>
    <w:p w14:paraId="2F0BF3C8">
      <w:pPr>
        <w:widowControl/>
        <w:ind w:left="1503" w:right="1683"/>
        <w:jc w:val="center"/>
        <w:rPr>
          <w:rFonts w:hint="eastAsia" w:ascii="宋体" w:hAnsi="宋体" w:cs="宋体"/>
          <w:color w:val="000000"/>
          <w:kern w:val="0"/>
          <w:sz w:val="28"/>
          <w:szCs w:val="28"/>
          <w:highlight w:val="none"/>
        </w:rPr>
      </w:pPr>
      <w:r>
        <w:rPr>
          <w:rFonts w:hint="eastAsia" w:ascii="宋体" w:hAnsi="宋体" w:cs="宋体"/>
          <w:color w:val="000000"/>
          <w:spacing w:val="12"/>
          <w:kern w:val="0"/>
          <w:sz w:val="28"/>
          <w:szCs w:val="28"/>
          <w:highlight w:val="none"/>
        </w:rPr>
        <w:t>表3-</w:t>
      </w:r>
      <w:r>
        <w:rPr>
          <w:rFonts w:ascii="宋体" w:hAnsi="宋体" w:cs="宋体"/>
          <w:color w:val="000000"/>
          <w:spacing w:val="12"/>
          <w:kern w:val="0"/>
          <w:sz w:val="28"/>
          <w:szCs w:val="28"/>
          <w:highlight w:val="none"/>
        </w:rPr>
        <w:t>2</w:t>
      </w:r>
      <w:r>
        <w:rPr>
          <w:rFonts w:hint="eastAsia" w:ascii="宋体" w:hAnsi="宋体" w:cs="宋体"/>
          <w:color w:val="000000"/>
          <w:spacing w:val="12"/>
          <w:kern w:val="0"/>
          <w:sz w:val="28"/>
          <w:szCs w:val="28"/>
          <w:highlight w:val="none"/>
        </w:rPr>
        <w:t xml:space="preserve">  质保期外备件及易损件</w:t>
      </w:r>
      <w:r>
        <w:rPr>
          <w:rFonts w:hint="eastAsia" w:ascii="宋体" w:hAnsi="宋体" w:cs="宋体"/>
          <w:color w:val="000000"/>
          <w:kern w:val="0"/>
          <w:sz w:val="28"/>
          <w:szCs w:val="28"/>
          <w:highlight w:val="none"/>
        </w:rPr>
        <w:t>分项报价表</w:t>
      </w:r>
    </w:p>
    <w:p w14:paraId="01CA853A">
      <w:pPr>
        <w:widowControl/>
        <w:spacing w:line="333" w:lineRule="atLeast"/>
        <w:jc w:val="right"/>
        <w:rPr>
          <w:rFonts w:hint="eastAsia" w:ascii="宋体" w:hAnsi="宋体" w:cs="宋体"/>
          <w:color w:val="000000"/>
          <w:kern w:val="0"/>
          <w:szCs w:val="21"/>
          <w:highlight w:val="none"/>
        </w:rPr>
      </w:pPr>
      <w:r>
        <w:rPr>
          <w:rFonts w:hint="eastAsia" w:ascii="宋体" w:hAnsi="宋体" w:cs="宋体"/>
          <w:color w:val="000000"/>
          <w:kern w:val="0"/>
          <w:position w:val="-4"/>
          <w:szCs w:val="21"/>
          <w:highlight w:val="none"/>
        </w:rPr>
        <w:t>项目编号</w:t>
      </w:r>
      <w:r>
        <w:rPr>
          <w:rFonts w:hint="eastAsia" w:ascii="宋体" w:hAnsi="宋体" w:cs="宋体"/>
          <w:color w:val="000000"/>
          <w:spacing w:val="-24"/>
          <w:kern w:val="0"/>
          <w:position w:val="-4"/>
          <w:szCs w:val="21"/>
          <w:highlight w:val="none"/>
        </w:rPr>
        <w:t>：</w:t>
      </w:r>
      <w:r>
        <w:rPr>
          <w:rFonts w:hint="eastAsia" w:ascii="宋体" w:hAnsi="宋体" w:cs="宋体"/>
          <w:color w:val="000000"/>
          <w:spacing w:val="42"/>
          <w:kern w:val="0"/>
          <w:position w:val="-4"/>
          <w:szCs w:val="21"/>
          <w:highlight w:val="none"/>
          <w:u w:val="single"/>
        </w:rPr>
        <w:t xml:space="preserve">      </w:t>
      </w:r>
      <w:r>
        <w:rPr>
          <w:rFonts w:hint="eastAsia" w:ascii="宋体" w:hAnsi="宋体" w:cs="宋体"/>
          <w:color w:val="000000"/>
          <w:kern w:val="0"/>
          <w:position w:val="-4"/>
          <w:szCs w:val="21"/>
          <w:highlight w:val="none"/>
          <w:u w:val="single"/>
        </w:rPr>
        <w:t xml:space="preserve">   </w:t>
      </w:r>
      <w:r>
        <w:rPr>
          <w:rFonts w:hint="eastAsia" w:ascii="宋体" w:hAnsi="宋体" w:cs="宋体"/>
          <w:color w:val="000000"/>
          <w:kern w:val="0"/>
          <w:position w:val="-4"/>
          <w:szCs w:val="21"/>
          <w:highlight w:val="none"/>
        </w:rPr>
        <w:t>标包号</w:t>
      </w:r>
      <w:r>
        <w:rPr>
          <w:rFonts w:hint="eastAsia" w:ascii="宋体" w:hAnsi="宋体" w:cs="宋体"/>
          <w:color w:val="000000"/>
          <w:spacing w:val="-25"/>
          <w:kern w:val="0"/>
          <w:position w:val="-4"/>
          <w:szCs w:val="21"/>
          <w:highlight w:val="none"/>
        </w:rPr>
        <w:t>：</w:t>
      </w:r>
      <w:r>
        <w:rPr>
          <w:rFonts w:hint="eastAsia" w:ascii="宋体" w:hAnsi="宋体" w:cs="宋体"/>
          <w:color w:val="000000"/>
          <w:spacing w:val="42"/>
          <w:kern w:val="0"/>
          <w:position w:val="-4"/>
          <w:szCs w:val="21"/>
          <w:highlight w:val="none"/>
          <w:u w:val="single"/>
        </w:rPr>
        <w:t xml:space="preserve"> </w:t>
      </w:r>
      <w:r>
        <w:rPr>
          <w:rFonts w:hint="eastAsia" w:ascii="宋体" w:hAnsi="宋体" w:cs="宋体"/>
          <w:color w:val="000000"/>
          <w:kern w:val="0"/>
          <w:position w:val="-4"/>
          <w:szCs w:val="21"/>
          <w:highlight w:val="none"/>
          <w:u w:val="single"/>
        </w:rPr>
        <w:t xml:space="preserve">    </w:t>
      </w:r>
      <w:r>
        <w:rPr>
          <w:rFonts w:hint="eastAsia" w:ascii="宋体" w:hAnsi="宋体" w:cs="宋体"/>
          <w:color w:val="000000"/>
          <w:spacing w:val="-1"/>
          <w:kern w:val="0"/>
          <w:position w:val="-4"/>
          <w:szCs w:val="21"/>
          <w:highlight w:val="none"/>
        </w:rPr>
        <w:t>货</w:t>
      </w:r>
      <w:r>
        <w:rPr>
          <w:rFonts w:hint="eastAsia" w:ascii="宋体" w:hAnsi="宋体" w:cs="宋体"/>
          <w:color w:val="000000"/>
          <w:kern w:val="0"/>
          <w:position w:val="-4"/>
          <w:szCs w:val="21"/>
          <w:highlight w:val="none"/>
        </w:rPr>
        <w:t>币单位</w:t>
      </w:r>
      <w:r>
        <w:rPr>
          <w:rFonts w:hint="eastAsia" w:ascii="宋体" w:hAnsi="宋体" w:cs="宋体"/>
          <w:color w:val="000000"/>
          <w:spacing w:val="-24"/>
          <w:kern w:val="0"/>
          <w:position w:val="-4"/>
          <w:szCs w:val="21"/>
          <w:highlight w:val="none"/>
        </w:rPr>
        <w:t>：</w:t>
      </w:r>
      <w:r>
        <w:rPr>
          <w:rFonts w:hint="eastAsia" w:ascii="宋体" w:hAnsi="宋体" w:cs="宋体"/>
          <w:color w:val="000000"/>
          <w:kern w:val="0"/>
          <w:position w:val="-4"/>
          <w:szCs w:val="21"/>
          <w:highlight w:val="none"/>
        </w:rPr>
        <w:t>人民币</w:t>
      </w:r>
    </w:p>
    <w:tbl>
      <w:tblPr>
        <w:tblStyle w:val="47"/>
        <w:tblW w:w="14358" w:type="dxa"/>
        <w:tblInd w:w="209" w:type="dxa"/>
        <w:tblLayout w:type="fixed"/>
        <w:tblCellMar>
          <w:top w:w="0" w:type="dxa"/>
          <w:left w:w="108" w:type="dxa"/>
          <w:bottom w:w="0" w:type="dxa"/>
          <w:right w:w="108" w:type="dxa"/>
        </w:tblCellMar>
      </w:tblPr>
      <w:tblGrid>
        <w:gridCol w:w="738"/>
        <w:gridCol w:w="1156"/>
        <w:gridCol w:w="1124"/>
        <w:gridCol w:w="944"/>
        <w:gridCol w:w="736"/>
        <w:gridCol w:w="1574"/>
        <w:gridCol w:w="1050"/>
        <w:gridCol w:w="1508"/>
        <w:gridCol w:w="992"/>
        <w:gridCol w:w="1134"/>
        <w:gridCol w:w="1701"/>
        <w:gridCol w:w="1701"/>
      </w:tblGrid>
      <w:tr w14:paraId="579200D8">
        <w:tblPrEx>
          <w:tblCellMar>
            <w:top w:w="0" w:type="dxa"/>
            <w:left w:w="108" w:type="dxa"/>
            <w:bottom w:w="0" w:type="dxa"/>
            <w:right w:w="108" w:type="dxa"/>
          </w:tblCellMar>
        </w:tblPrEx>
        <w:trPr>
          <w:wBefore w:w="0" w:type="dxa"/>
          <w:wAfter w:w="0" w:type="dxa"/>
          <w:trHeight w:val="5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384629D0">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序号</w:t>
            </w:r>
          </w:p>
        </w:tc>
        <w:tc>
          <w:tcPr>
            <w:tcW w:w="1156" w:type="dxa"/>
            <w:tcBorders>
              <w:top w:val="single" w:color="000000" w:sz="4" w:space="0"/>
              <w:left w:val="nil"/>
              <w:bottom w:val="single" w:color="000000" w:sz="4" w:space="0"/>
              <w:right w:val="single" w:color="000000" w:sz="4" w:space="0"/>
            </w:tcBorders>
            <w:noWrap w:val="0"/>
            <w:vAlign w:val="center"/>
          </w:tcPr>
          <w:p w14:paraId="223279F8">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货物</w:t>
            </w:r>
            <w:r>
              <w:rPr>
                <w:rFonts w:hint="eastAsia" w:ascii="宋体" w:hAnsi="宋体" w:cs="宋体"/>
                <w:color w:val="000000"/>
                <w:szCs w:val="21"/>
                <w:highlight w:val="none"/>
                <w:lang/>
              </w:rPr>
              <w:t>（服务）</w:t>
            </w:r>
            <w:r>
              <w:rPr>
                <w:rFonts w:hint="eastAsia" w:ascii="宋体" w:hAnsi="宋体" w:cs="宋体"/>
                <w:color w:val="000000"/>
                <w:kern w:val="0"/>
                <w:szCs w:val="21"/>
                <w:highlight w:val="none"/>
              </w:rPr>
              <w:t>名称</w:t>
            </w:r>
          </w:p>
        </w:tc>
        <w:tc>
          <w:tcPr>
            <w:tcW w:w="1124" w:type="dxa"/>
            <w:tcBorders>
              <w:top w:val="single" w:color="000000" w:sz="4" w:space="0"/>
              <w:left w:val="nil"/>
              <w:bottom w:val="single" w:color="000000" w:sz="4" w:space="0"/>
              <w:right w:val="single" w:color="000000" w:sz="4" w:space="0"/>
            </w:tcBorders>
            <w:noWrap w:val="0"/>
            <w:vAlign w:val="center"/>
          </w:tcPr>
          <w:p w14:paraId="45F9421D">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规格型号</w:t>
            </w:r>
          </w:p>
        </w:tc>
        <w:tc>
          <w:tcPr>
            <w:tcW w:w="944" w:type="dxa"/>
            <w:tcBorders>
              <w:top w:val="single" w:color="000000" w:sz="4" w:space="0"/>
              <w:left w:val="nil"/>
              <w:bottom w:val="single" w:color="000000" w:sz="4" w:space="0"/>
              <w:right w:val="single" w:color="000000" w:sz="4" w:space="0"/>
            </w:tcBorders>
            <w:noWrap w:val="0"/>
            <w:vAlign w:val="center"/>
          </w:tcPr>
          <w:p w14:paraId="4E27B141">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数量</w:t>
            </w:r>
          </w:p>
        </w:tc>
        <w:tc>
          <w:tcPr>
            <w:tcW w:w="736" w:type="dxa"/>
            <w:tcBorders>
              <w:top w:val="single" w:color="000000" w:sz="4" w:space="0"/>
              <w:left w:val="nil"/>
              <w:bottom w:val="single" w:color="000000" w:sz="4" w:space="0"/>
              <w:right w:val="single" w:color="000000" w:sz="4" w:space="0"/>
            </w:tcBorders>
            <w:noWrap w:val="0"/>
            <w:vAlign w:val="center"/>
          </w:tcPr>
          <w:p w14:paraId="5EED6910">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单位</w:t>
            </w:r>
          </w:p>
        </w:tc>
        <w:tc>
          <w:tcPr>
            <w:tcW w:w="1574" w:type="dxa"/>
            <w:tcBorders>
              <w:top w:val="single" w:color="000000" w:sz="4" w:space="0"/>
              <w:left w:val="nil"/>
              <w:bottom w:val="single" w:color="000000" w:sz="4" w:space="0"/>
              <w:right w:val="single" w:color="000000" w:sz="4" w:space="0"/>
            </w:tcBorders>
            <w:noWrap w:val="0"/>
            <w:vAlign w:val="center"/>
          </w:tcPr>
          <w:p w14:paraId="0D7EEE0E">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单价</w:t>
            </w:r>
          </w:p>
        </w:tc>
        <w:tc>
          <w:tcPr>
            <w:tcW w:w="1050" w:type="dxa"/>
            <w:tcBorders>
              <w:top w:val="single" w:color="000000" w:sz="4" w:space="0"/>
              <w:left w:val="nil"/>
              <w:bottom w:val="single" w:color="000000" w:sz="4" w:space="0"/>
              <w:right w:val="single" w:color="000000" w:sz="4" w:space="0"/>
            </w:tcBorders>
            <w:noWrap w:val="0"/>
            <w:vAlign w:val="center"/>
          </w:tcPr>
          <w:p w14:paraId="6606E733">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合价</w:t>
            </w:r>
          </w:p>
        </w:tc>
        <w:tc>
          <w:tcPr>
            <w:tcW w:w="1508" w:type="dxa"/>
            <w:tcBorders>
              <w:top w:val="single" w:color="000000" w:sz="4" w:space="0"/>
              <w:left w:val="nil"/>
              <w:bottom w:val="single" w:color="000000" w:sz="4" w:space="0"/>
              <w:right w:val="single" w:color="000000" w:sz="4" w:space="0"/>
            </w:tcBorders>
            <w:noWrap w:val="0"/>
            <w:vAlign w:val="center"/>
          </w:tcPr>
          <w:p w14:paraId="6572B833">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制造商</w:t>
            </w:r>
          </w:p>
        </w:tc>
        <w:tc>
          <w:tcPr>
            <w:tcW w:w="992" w:type="dxa"/>
            <w:tcBorders>
              <w:top w:val="single" w:color="000000" w:sz="4" w:space="0"/>
              <w:left w:val="nil"/>
              <w:bottom w:val="single" w:color="000000" w:sz="4" w:space="0"/>
              <w:right w:val="single" w:color="000000" w:sz="4" w:space="0"/>
            </w:tcBorders>
            <w:noWrap w:val="0"/>
            <w:vAlign w:val="center"/>
          </w:tcPr>
          <w:p w14:paraId="40EF62FC">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品牌</w:t>
            </w:r>
          </w:p>
        </w:tc>
        <w:tc>
          <w:tcPr>
            <w:tcW w:w="1134" w:type="dxa"/>
            <w:tcBorders>
              <w:top w:val="single" w:color="000000" w:sz="4" w:space="0"/>
              <w:left w:val="nil"/>
              <w:bottom w:val="single" w:color="000000" w:sz="4" w:space="0"/>
              <w:right w:val="single" w:color="000000" w:sz="4" w:space="0"/>
            </w:tcBorders>
            <w:noWrap w:val="0"/>
            <w:vAlign w:val="center"/>
          </w:tcPr>
          <w:p w14:paraId="7AC46FAE">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产地</w:t>
            </w:r>
          </w:p>
        </w:tc>
        <w:tc>
          <w:tcPr>
            <w:tcW w:w="1701" w:type="dxa"/>
            <w:tcBorders>
              <w:top w:val="single" w:color="000000" w:sz="4" w:space="0"/>
              <w:left w:val="nil"/>
              <w:bottom w:val="single" w:color="000000" w:sz="4" w:space="0"/>
              <w:right w:val="single" w:color="000000" w:sz="4" w:space="0"/>
            </w:tcBorders>
            <w:noWrap w:val="0"/>
            <w:vAlign w:val="center"/>
          </w:tcPr>
          <w:p w14:paraId="1A3DD2F8">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发货地点</w:t>
            </w:r>
          </w:p>
        </w:tc>
        <w:tc>
          <w:tcPr>
            <w:tcW w:w="1701" w:type="dxa"/>
            <w:tcBorders>
              <w:top w:val="single" w:color="000000" w:sz="4" w:space="0"/>
              <w:left w:val="nil"/>
              <w:bottom w:val="single" w:color="000000" w:sz="4" w:space="0"/>
              <w:right w:val="single" w:color="000000" w:sz="4" w:space="0"/>
            </w:tcBorders>
            <w:noWrap w:val="0"/>
            <w:vAlign w:val="center"/>
          </w:tcPr>
          <w:p w14:paraId="11D269D7">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备注</w:t>
            </w:r>
          </w:p>
        </w:tc>
      </w:tr>
      <w:tr w14:paraId="55C55C08">
        <w:tblPrEx>
          <w:tblCellMar>
            <w:top w:w="0" w:type="dxa"/>
            <w:left w:w="108" w:type="dxa"/>
            <w:bottom w:w="0" w:type="dxa"/>
            <w:right w:w="108" w:type="dxa"/>
          </w:tblCellMar>
        </w:tblPrEx>
        <w:trPr>
          <w:wBefore w:w="0" w:type="dxa"/>
          <w:wAfter w:w="0" w:type="dxa"/>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36291FE">
            <w:pPr>
              <w:widowControl/>
              <w:adjustRightInd w:val="0"/>
              <w:snapToGrid w:val="0"/>
              <w:jc w:val="center"/>
              <w:rPr>
                <w:rFonts w:hint="eastAsia" w:ascii="宋体" w:hAnsi="宋体" w:cs="宋体"/>
                <w:color w:val="000000"/>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312C8AB1">
            <w:pPr>
              <w:widowControl/>
              <w:adjustRightInd w:val="0"/>
              <w:snapToGrid w:val="0"/>
              <w:jc w:val="center"/>
              <w:rPr>
                <w:rFonts w:hint="eastAsia" w:ascii="宋体" w:hAnsi="宋体" w:cs="宋体"/>
                <w:color w:val="000000"/>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50B57FEA">
            <w:pPr>
              <w:widowControl/>
              <w:adjustRightInd w:val="0"/>
              <w:snapToGrid w:val="0"/>
              <w:jc w:val="center"/>
              <w:rPr>
                <w:rFonts w:hint="eastAsia" w:ascii="宋体" w:hAnsi="宋体" w:cs="宋体"/>
                <w:color w:val="000000"/>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1AC5DA5D">
            <w:pPr>
              <w:widowControl/>
              <w:adjustRightInd w:val="0"/>
              <w:snapToGrid w:val="0"/>
              <w:jc w:val="center"/>
              <w:rPr>
                <w:rFonts w:hint="eastAsia" w:ascii="宋体" w:hAnsi="宋体" w:cs="宋体"/>
                <w:color w:val="000000"/>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12DE1196">
            <w:pPr>
              <w:widowControl/>
              <w:adjustRightInd w:val="0"/>
              <w:snapToGrid w:val="0"/>
              <w:jc w:val="center"/>
              <w:rPr>
                <w:rFonts w:hint="eastAsia" w:ascii="宋体" w:hAnsi="宋体" w:cs="宋体"/>
                <w:color w:val="000000"/>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1C80A244">
            <w:pPr>
              <w:widowControl/>
              <w:adjustRightInd w:val="0"/>
              <w:snapToGrid w:val="0"/>
              <w:jc w:val="center"/>
              <w:rPr>
                <w:rFonts w:hint="eastAsia" w:ascii="宋体" w:hAnsi="宋体" w:cs="宋体"/>
                <w:color w:val="000000"/>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433EB48C">
            <w:pPr>
              <w:widowControl/>
              <w:adjustRightInd w:val="0"/>
              <w:snapToGrid w:val="0"/>
              <w:jc w:val="center"/>
              <w:rPr>
                <w:rFonts w:hint="eastAsia" w:ascii="宋体" w:hAnsi="宋体" w:cs="宋体"/>
                <w:color w:val="000000"/>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2BA8A356">
            <w:pPr>
              <w:widowControl/>
              <w:adjustRightInd w:val="0"/>
              <w:snapToGrid w:val="0"/>
              <w:jc w:val="center"/>
              <w:rPr>
                <w:rFonts w:hint="eastAsia" w:ascii="宋体" w:hAnsi="宋体" w:cs="宋体"/>
                <w:color w:val="000000"/>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405442CE">
            <w:pPr>
              <w:widowControl/>
              <w:adjustRightInd w:val="0"/>
              <w:snapToGrid w:val="0"/>
              <w:jc w:val="center"/>
              <w:rPr>
                <w:rFonts w:hint="eastAsia" w:ascii="宋体" w:hAnsi="宋体" w:cs="宋体"/>
                <w:color w:val="000000"/>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0909F2A1">
            <w:pPr>
              <w:widowControl/>
              <w:adjustRightInd w:val="0"/>
              <w:snapToGrid w:val="0"/>
              <w:jc w:val="center"/>
              <w:rPr>
                <w:rFonts w:hint="eastAsia" w:ascii="宋体" w:hAnsi="宋体" w:cs="宋体"/>
                <w:color w:val="000000"/>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21297ACF">
            <w:pPr>
              <w:widowControl/>
              <w:adjustRightInd w:val="0"/>
              <w:snapToGrid w:val="0"/>
              <w:jc w:val="center"/>
              <w:rPr>
                <w:rFonts w:hint="eastAsia" w:ascii="宋体" w:hAnsi="宋体" w:cs="宋体"/>
                <w:color w:val="000000"/>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73D6136F">
            <w:pPr>
              <w:widowControl/>
              <w:adjustRightInd w:val="0"/>
              <w:snapToGrid w:val="0"/>
              <w:jc w:val="center"/>
              <w:rPr>
                <w:rFonts w:hint="eastAsia" w:ascii="宋体" w:hAnsi="宋体" w:cs="宋体"/>
                <w:color w:val="000000"/>
                <w:kern w:val="0"/>
                <w:szCs w:val="21"/>
                <w:highlight w:val="none"/>
              </w:rPr>
            </w:pPr>
          </w:p>
        </w:tc>
      </w:tr>
      <w:tr w14:paraId="20935DB4">
        <w:tblPrEx>
          <w:tblCellMar>
            <w:top w:w="0" w:type="dxa"/>
            <w:left w:w="108" w:type="dxa"/>
            <w:bottom w:w="0" w:type="dxa"/>
            <w:right w:w="108" w:type="dxa"/>
          </w:tblCellMar>
        </w:tblPrEx>
        <w:trPr>
          <w:wBefore w:w="0" w:type="dxa"/>
          <w:wAfter w:w="0" w:type="dxa"/>
          <w:trHeight w:val="50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49FEB699">
            <w:pPr>
              <w:widowControl/>
              <w:adjustRightInd w:val="0"/>
              <w:snapToGrid w:val="0"/>
              <w:jc w:val="center"/>
              <w:rPr>
                <w:rFonts w:hint="eastAsia" w:ascii="宋体" w:hAnsi="宋体" w:cs="宋体"/>
                <w:color w:val="000000"/>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0D37D6A3">
            <w:pPr>
              <w:widowControl/>
              <w:adjustRightInd w:val="0"/>
              <w:snapToGrid w:val="0"/>
              <w:jc w:val="center"/>
              <w:rPr>
                <w:rFonts w:hint="eastAsia" w:ascii="宋体" w:hAnsi="宋体" w:cs="宋体"/>
                <w:color w:val="000000"/>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792A1C73">
            <w:pPr>
              <w:widowControl/>
              <w:adjustRightInd w:val="0"/>
              <w:snapToGrid w:val="0"/>
              <w:jc w:val="center"/>
              <w:rPr>
                <w:rFonts w:hint="eastAsia" w:ascii="宋体" w:hAnsi="宋体" w:cs="宋体"/>
                <w:color w:val="000000"/>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0B51F560">
            <w:pPr>
              <w:widowControl/>
              <w:adjustRightInd w:val="0"/>
              <w:snapToGrid w:val="0"/>
              <w:jc w:val="center"/>
              <w:rPr>
                <w:rFonts w:hint="eastAsia" w:ascii="宋体" w:hAnsi="宋体" w:cs="宋体"/>
                <w:color w:val="000000"/>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77B217D0">
            <w:pPr>
              <w:widowControl/>
              <w:adjustRightInd w:val="0"/>
              <w:snapToGrid w:val="0"/>
              <w:jc w:val="center"/>
              <w:rPr>
                <w:rFonts w:hint="eastAsia" w:ascii="宋体" w:hAnsi="宋体" w:cs="宋体"/>
                <w:color w:val="000000"/>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2CA4E377">
            <w:pPr>
              <w:widowControl/>
              <w:adjustRightInd w:val="0"/>
              <w:snapToGrid w:val="0"/>
              <w:jc w:val="center"/>
              <w:rPr>
                <w:rFonts w:hint="eastAsia" w:ascii="宋体" w:hAnsi="宋体" w:cs="宋体"/>
                <w:color w:val="000000"/>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59591A7D">
            <w:pPr>
              <w:widowControl/>
              <w:adjustRightInd w:val="0"/>
              <w:snapToGrid w:val="0"/>
              <w:jc w:val="center"/>
              <w:rPr>
                <w:rFonts w:hint="eastAsia" w:ascii="宋体" w:hAnsi="宋体" w:cs="宋体"/>
                <w:color w:val="000000"/>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21590597">
            <w:pPr>
              <w:widowControl/>
              <w:adjustRightInd w:val="0"/>
              <w:snapToGrid w:val="0"/>
              <w:jc w:val="center"/>
              <w:rPr>
                <w:rFonts w:hint="eastAsia" w:ascii="宋体" w:hAnsi="宋体" w:cs="宋体"/>
                <w:color w:val="000000"/>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41D83632">
            <w:pPr>
              <w:widowControl/>
              <w:adjustRightInd w:val="0"/>
              <w:snapToGrid w:val="0"/>
              <w:jc w:val="center"/>
              <w:rPr>
                <w:rFonts w:hint="eastAsia" w:ascii="宋体" w:hAnsi="宋体" w:cs="宋体"/>
                <w:color w:val="000000"/>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5A78AF32">
            <w:pPr>
              <w:widowControl/>
              <w:adjustRightInd w:val="0"/>
              <w:snapToGrid w:val="0"/>
              <w:jc w:val="center"/>
              <w:rPr>
                <w:rFonts w:hint="eastAsia" w:ascii="宋体" w:hAnsi="宋体" w:cs="宋体"/>
                <w:color w:val="000000"/>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14CEF5C0">
            <w:pPr>
              <w:widowControl/>
              <w:adjustRightInd w:val="0"/>
              <w:snapToGrid w:val="0"/>
              <w:jc w:val="center"/>
              <w:rPr>
                <w:rFonts w:hint="eastAsia" w:ascii="宋体" w:hAnsi="宋体" w:cs="宋体"/>
                <w:color w:val="000000"/>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4BC3D186">
            <w:pPr>
              <w:widowControl/>
              <w:adjustRightInd w:val="0"/>
              <w:snapToGrid w:val="0"/>
              <w:jc w:val="center"/>
              <w:rPr>
                <w:rFonts w:hint="eastAsia" w:ascii="宋体" w:hAnsi="宋体" w:cs="宋体"/>
                <w:color w:val="000000"/>
                <w:kern w:val="0"/>
                <w:szCs w:val="21"/>
                <w:highlight w:val="none"/>
              </w:rPr>
            </w:pPr>
          </w:p>
        </w:tc>
      </w:tr>
      <w:tr w14:paraId="4E2B7280">
        <w:tblPrEx>
          <w:tblCellMar>
            <w:top w:w="0" w:type="dxa"/>
            <w:left w:w="108" w:type="dxa"/>
            <w:bottom w:w="0" w:type="dxa"/>
            <w:right w:w="108" w:type="dxa"/>
          </w:tblCellMar>
        </w:tblPrEx>
        <w:trPr>
          <w:wBefore w:w="0" w:type="dxa"/>
          <w:wAfter w:w="0" w:type="dxa"/>
          <w:trHeight w:val="505"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0A19460B">
            <w:pPr>
              <w:widowControl/>
              <w:adjustRightInd w:val="0"/>
              <w:snapToGrid w:val="0"/>
              <w:jc w:val="center"/>
              <w:rPr>
                <w:rFonts w:hint="eastAsia" w:ascii="宋体" w:hAnsi="宋体" w:cs="宋体"/>
                <w:color w:val="000000"/>
                <w:kern w:val="0"/>
                <w:szCs w:val="21"/>
                <w:highlight w:val="none"/>
              </w:rPr>
            </w:pPr>
          </w:p>
        </w:tc>
        <w:tc>
          <w:tcPr>
            <w:tcW w:w="1156" w:type="dxa"/>
            <w:tcBorders>
              <w:top w:val="single" w:color="000000" w:sz="4" w:space="0"/>
              <w:left w:val="nil"/>
              <w:bottom w:val="single" w:color="000000" w:sz="4" w:space="0"/>
              <w:right w:val="single" w:color="000000" w:sz="4" w:space="0"/>
            </w:tcBorders>
            <w:noWrap w:val="0"/>
            <w:vAlign w:val="center"/>
          </w:tcPr>
          <w:p w14:paraId="6339C7A2">
            <w:pPr>
              <w:widowControl/>
              <w:adjustRightInd w:val="0"/>
              <w:snapToGrid w:val="0"/>
              <w:jc w:val="center"/>
              <w:rPr>
                <w:rFonts w:hint="eastAsia" w:ascii="宋体" w:hAnsi="宋体" w:cs="宋体"/>
                <w:color w:val="000000"/>
                <w:kern w:val="0"/>
                <w:szCs w:val="21"/>
                <w:highlight w:val="none"/>
              </w:rPr>
            </w:pPr>
          </w:p>
        </w:tc>
        <w:tc>
          <w:tcPr>
            <w:tcW w:w="1124" w:type="dxa"/>
            <w:tcBorders>
              <w:top w:val="single" w:color="000000" w:sz="4" w:space="0"/>
              <w:left w:val="nil"/>
              <w:bottom w:val="single" w:color="000000" w:sz="4" w:space="0"/>
              <w:right w:val="single" w:color="000000" w:sz="4" w:space="0"/>
            </w:tcBorders>
            <w:noWrap w:val="0"/>
            <w:vAlign w:val="center"/>
          </w:tcPr>
          <w:p w14:paraId="0BC56E3C">
            <w:pPr>
              <w:widowControl/>
              <w:adjustRightInd w:val="0"/>
              <w:snapToGrid w:val="0"/>
              <w:jc w:val="center"/>
              <w:rPr>
                <w:rFonts w:hint="eastAsia" w:ascii="宋体" w:hAnsi="宋体" w:cs="宋体"/>
                <w:color w:val="000000"/>
                <w:kern w:val="0"/>
                <w:szCs w:val="21"/>
                <w:highlight w:val="none"/>
              </w:rPr>
            </w:pPr>
          </w:p>
        </w:tc>
        <w:tc>
          <w:tcPr>
            <w:tcW w:w="944" w:type="dxa"/>
            <w:tcBorders>
              <w:top w:val="single" w:color="000000" w:sz="4" w:space="0"/>
              <w:left w:val="nil"/>
              <w:bottom w:val="single" w:color="000000" w:sz="4" w:space="0"/>
              <w:right w:val="single" w:color="000000" w:sz="4" w:space="0"/>
            </w:tcBorders>
            <w:noWrap w:val="0"/>
            <w:vAlign w:val="center"/>
          </w:tcPr>
          <w:p w14:paraId="68F8EC26">
            <w:pPr>
              <w:widowControl/>
              <w:adjustRightInd w:val="0"/>
              <w:snapToGrid w:val="0"/>
              <w:jc w:val="center"/>
              <w:rPr>
                <w:rFonts w:hint="eastAsia" w:ascii="宋体" w:hAnsi="宋体" w:cs="宋体"/>
                <w:color w:val="000000"/>
                <w:kern w:val="0"/>
                <w:szCs w:val="21"/>
                <w:highlight w:val="none"/>
              </w:rPr>
            </w:pPr>
          </w:p>
        </w:tc>
        <w:tc>
          <w:tcPr>
            <w:tcW w:w="736" w:type="dxa"/>
            <w:tcBorders>
              <w:top w:val="single" w:color="000000" w:sz="4" w:space="0"/>
              <w:left w:val="nil"/>
              <w:bottom w:val="single" w:color="000000" w:sz="4" w:space="0"/>
              <w:right w:val="single" w:color="000000" w:sz="4" w:space="0"/>
            </w:tcBorders>
            <w:noWrap w:val="0"/>
            <w:vAlign w:val="center"/>
          </w:tcPr>
          <w:p w14:paraId="66412453">
            <w:pPr>
              <w:widowControl/>
              <w:adjustRightInd w:val="0"/>
              <w:snapToGrid w:val="0"/>
              <w:jc w:val="center"/>
              <w:rPr>
                <w:rFonts w:hint="eastAsia" w:ascii="宋体" w:hAnsi="宋体" w:cs="宋体"/>
                <w:color w:val="000000"/>
                <w:kern w:val="0"/>
                <w:szCs w:val="21"/>
                <w:highlight w:val="none"/>
              </w:rPr>
            </w:pPr>
          </w:p>
        </w:tc>
        <w:tc>
          <w:tcPr>
            <w:tcW w:w="1574" w:type="dxa"/>
            <w:tcBorders>
              <w:top w:val="single" w:color="000000" w:sz="4" w:space="0"/>
              <w:left w:val="nil"/>
              <w:bottom w:val="single" w:color="000000" w:sz="4" w:space="0"/>
              <w:right w:val="single" w:color="000000" w:sz="4" w:space="0"/>
            </w:tcBorders>
            <w:noWrap w:val="0"/>
            <w:vAlign w:val="center"/>
          </w:tcPr>
          <w:p w14:paraId="79913304">
            <w:pPr>
              <w:widowControl/>
              <w:adjustRightInd w:val="0"/>
              <w:snapToGrid w:val="0"/>
              <w:jc w:val="center"/>
              <w:rPr>
                <w:rFonts w:hint="eastAsia" w:ascii="宋体" w:hAnsi="宋体" w:cs="宋体"/>
                <w:color w:val="000000"/>
                <w:kern w:val="0"/>
                <w:szCs w:val="21"/>
                <w:highlight w:val="none"/>
              </w:rPr>
            </w:pPr>
          </w:p>
        </w:tc>
        <w:tc>
          <w:tcPr>
            <w:tcW w:w="1050" w:type="dxa"/>
            <w:tcBorders>
              <w:top w:val="single" w:color="000000" w:sz="4" w:space="0"/>
              <w:left w:val="nil"/>
              <w:bottom w:val="single" w:color="000000" w:sz="4" w:space="0"/>
              <w:right w:val="single" w:color="000000" w:sz="4" w:space="0"/>
            </w:tcBorders>
            <w:noWrap w:val="0"/>
            <w:vAlign w:val="center"/>
          </w:tcPr>
          <w:p w14:paraId="74BB8F57">
            <w:pPr>
              <w:widowControl/>
              <w:adjustRightInd w:val="0"/>
              <w:snapToGrid w:val="0"/>
              <w:jc w:val="center"/>
              <w:rPr>
                <w:rFonts w:hint="eastAsia" w:ascii="宋体" w:hAnsi="宋体" w:cs="宋体"/>
                <w:color w:val="000000"/>
                <w:kern w:val="0"/>
                <w:szCs w:val="21"/>
                <w:highlight w:val="none"/>
              </w:rPr>
            </w:pPr>
          </w:p>
        </w:tc>
        <w:tc>
          <w:tcPr>
            <w:tcW w:w="1508" w:type="dxa"/>
            <w:tcBorders>
              <w:top w:val="single" w:color="000000" w:sz="4" w:space="0"/>
              <w:left w:val="nil"/>
              <w:bottom w:val="single" w:color="000000" w:sz="4" w:space="0"/>
              <w:right w:val="single" w:color="000000" w:sz="4" w:space="0"/>
            </w:tcBorders>
            <w:noWrap w:val="0"/>
            <w:vAlign w:val="center"/>
          </w:tcPr>
          <w:p w14:paraId="4FD6EA60">
            <w:pPr>
              <w:widowControl/>
              <w:adjustRightInd w:val="0"/>
              <w:snapToGrid w:val="0"/>
              <w:jc w:val="center"/>
              <w:rPr>
                <w:rFonts w:hint="eastAsia" w:ascii="宋体" w:hAnsi="宋体" w:cs="宋体"/>
                <w:color w:val="000000"/>
                <w:kern w:val="0"/>
                <w:szCs w:val="21"/>
                <w:highlight w:val="none"/>
              </w:rPr>
            </w:pPr>
          </w:p>
        </w:tc>
        <w:tc>
          <w:tcPr>
            <w:tcW w:w="992" w:type="dxa"/>
            <w:tcBorders>
              <w:top w:val="single" w:color="000000" w:sz="4" w:space="0"/>
              <w:left w:val="nil"/>
              <w:bottom w:val="single" w:color="000000" w:sz="4" w:space="0"/>
              <w:right w:val="single" w:color="000000" w:sz="4" w:space="0"/>
            </w:tcBorders>
            <w:noWrap w:val="0"/>
            <w:vAlign w:val="center"/>
          </w:tcPr>
          <w:p w14:paraId="73859712">
            <w:pPr>
              <w:widowControl/>
              <w:adjustRightInd w:val="0"/>
              <w:snapToGrid w:val="0"/>
              <w:jc w:val="center"/>
              <w:rPr>
                <w:rFonts w:hint="eastAsia" w:ascii="宋体" w:hAnsi="宋体" w:cs="宋体"/>
                <w:color w:val="000000"/>
                <w:kern w:val="0"/>
                <w:szCs w:val="21"/>
                <w:highlight w:val="none"/>
              </w:rPr>
            </w:pPr>
          </w:p>
        </w:tc>
        <w:tc>
          <w:tcPr>
            <w:tcW w:w="1134" w:type="dxa"/>
            <w:tcBorders>
              <w:top w:val="single" w:color="000000" w:sz="4" w:space="0"/>
              <w:left w:val="nil"/>
              <w:bottom w:val="single" w:color="000000" w:sz="4" w:space="0"/>
              <w:right w:val="single" w:color="000000" w:sz="4" w:space="0"/>
            </w:tcBorders>
            <w:noWrap w:val="0"/>
            <w:vAlign w:val="center"/>
          </w:tcPr>
          <w:p w14:paraId="64E2029A">
            <w:pPr>
              <w:widowControl/>
              <w:adjustRightInd w:val="0"/>
              <w:snapToGrid w:val="0"/>
              <w:jc w:val="center"/>
              <w:rPr>
                <w:rFonts w:hint="eastAsia" w:ascii="宋体" w:hAnsi="宋体" w:cs="宋体"/>
                <w:color w:val="000000"/>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24D91C9C">
            <w:pPr>
              <w:widowControl/>
              <w:adjustRightInd w:val="0"/>
              <w:snapToGrid w:val="0"/>
              <w:jc w:val="center"/>
              <w:rPr>
                <w:rFonts w:hint="eastAsia" w:ascii="宋体" w:hAnsi="宋体" w:cs="宋体"/>
                <w:color w:val="000000"/>
                <w:kern w:val="0"/>
                <w:szCs w:val="21"/>
                <w:highlight w:val="none"/>
              </w:rPr>
            </w:pPr>
          </w:p>
        </w:tc>
        <w:tc>
          <w:tcPr>
            <w:tcW w:w="1701" w:type="dxa"/>
            <w:tcBorders>
              <w:top w:val="single" w:color="000000" w:sz="4" w:space="0"/>
              <w:left w:val="nil"/>
              <w:bottom w:val="single" w:color="000000" w:sz="4" w:space="0"/>
              <w:right w:val="single" w:color="000000" w:sz="4" w:space="0"/>
            </w:tcBorders>
            <w:noWrap w:val="0"/>
            <w:vAlign w:val="center"/>
          </w:tcPr>
          <w:p w14:paraId="3351E472">
            <w:pPr>
              <w:widowControl/>
              <w:adjustRightInd w:val="0"/>
              <w:snapToGrid w:val="0"/>
              <w:jc w:val="center"/>
              <w:rPr>
                <w:rFonts w:hint="eastAsia" w:ascii="宋体" w:hAnsi="宋体" w:cs="宋体"/>
                <w:color w:val="000000"/>
                <w:kern w:val="0"/>
                <w:szCs w:val="21"/>
                <w:highlight w:val="none"/>
              </w:rPr>
            </w:pPr>
          </w:p>
        </w:tc>
      </w:tr>
      <w:tr w14:paraId="1A54D91E">
        <w:tblPrEx>
          <w:tblCellMar>
            <w:top w:w="0" w:type="dxa"/>
            <w:left w:w="108" w:type="dxa"/>
            <w:bottom w:w="0" w:type="dxa"/>
            <w:right w:w="108" w:type="dxa"/>
          </w:tblCellMar>
        </w:tblPrEx>
        <w:trPr>
          <w:wBefore w:w="0" w:type="dxa"/>
          <w:wAfter w:w="0" w:type="dxa"/>
          <w:trHeight w:val="505" w:hRule="atLeast"/>
        </w:trPr>
        <w:tc>
          <w:tcPr>
            <w:tcW w:w="6272" w:type="dxa"/>
            <w:gridSpan w:val="6"/>
            <w:tcBorders>
              <w:top w:val="single" w:color="000000" w:sz="4" w:space="0"/>
              <w:left w:val="single" w:color="000000" w:sz="4" w:space="0"/>
              <w:bottom w:val="single" w:color="000000" w:sz="4" w:space="0"/>
              <w:right w:val="single" w:color="000000" w:sz="4" w:space="0"/>
            </w:tcBorders>
            <w:noWrap w:val="0"/>
            <w:vAlign w:val="center"/>
          </w:tcPr>
          <w:p w14:paraId="340CB83F">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合计（</w:t>
            </w:r>
            <w:r>
              <w:rPr>
                <w:rFonts w:hint="eastAsia" w:ascii="宋体" w:hAnsi="宋体" w:cs="宋体"/>
                <w:b/>
                <w:color w:val="000000"/>
                <w:kern w:val="0"/>
                <w:szCs w:val="21"/>
                <w:highlight w:val="none"/>
              </w:rPr>
              <w:t>此表价格不含在投标总价内</w:t>
            </w:r>
            <w:r>
              <w:rPr>
                <w:rFonts w:hint="eastAsia" w:ascii="宋体" w:hAnsi="宋体" w:cs="宋体"/>
                <w:color w:val="000000"/>
                <w:kern w:val="0"/>
                <w:szCs w:val="21"/>
                <w:highlight w:val="none"/>
              </w:rPr>
              <w:t>）</w:t>
            </w:r>
          </w:p>
        </w:tc>
        <w:tc>
          <w:tcPr>
            <w:tcW w:w="1050" w:type="dxa"/>
            <w:tcBorders>
              <w:top w:val="single" w:color="000000" w:sz="4" w:space="0"/>
              <w:left w:val="nil"/>
              <w:bottom w:val="single" w:color="000000" w:sz="4" w:space="0"/>
              <w:right w:val="single" w:color="000000" w:sz="4" w:space="0"/>
            </w:tcBorders>
            <w:noWrap w:val="0"/>
            <w:vAlign w:val="center"/>
          </w:tcPr>
          <w:p w14:paraId="283B8735">
            <w:pPr>
              <w:widowControl/>
              <w:adjustRightInd w:val="0"/>
              <w:snapToGrid w:val="0"/>
              <w:jc w:val="center"/>
              <w:rPr>
                <w:rFonts w:hint="eastAsia" w:ascii="宋体" w:hAnsi="宋体" w:cs="宋体"/>
                <w:color w:val="000000"/>
                <w:kern w:val="0"/>
                <w:szCs w:val="21"/>
                <w:highlight w:val="none"/>
              </w:rPr>
            </w:pPr>
          </w:p>
        </w:tc>
        <w:tc>
          <w:tcPr>
            <w:tcW w:w="7036" w:type="dxa"/>
            <w:gridSpan w:val="5"/>
            <w:tcBorders>
              <w:top w:val="single" w:color="000000" w:sz="4" w:space="0"/>
              <w:left w:val="nil"/>
              <w:bottom w:val="single" w:color="000000" w:sz="4" w:space="0"/>
              <w:right w:val="single" w:color="000000" w:sz="4" w:space="0"/>
            </w:tcBorders>
            <w:noWrap w:val="0"/>
            <w:vAlign w:val="center"/>
          </w:tcPr>
          <w:p w14:paraId="1F57F6CC">
            <w:pPr>
              <w:widowControl/>
              <w:adjustRightInd w:val="0"/>
              <w:snapToGrid w:val="0"/>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w:t>
            </w:r>
          </w:p>
        </w:tc>
      </w:tr>
    </w:tbl>
    <w:p w14:paraId="401DDEFD">
      <w:pPr>
        <w:widowControl/>
        <w:spacing w:line="272" w:lineRule="atLeast"/>
        <w:ind w:left="160" w:right="-20"/>
        <w:rPr>
          <w:rFonts w:hint="eastAsia" w:ascii="宋体" w:hAnsi="宋体" w:cs="宋体"/>
          <w:color w:val="000000"/>
          <w:kern w:val="0"/>
          <w:szCs w:val="21"/>
          <w:highlight w:val="none"/>
        </w:rPr>
      </w:pPr>
    </w:p>
    <w:p w14:paraId="011B2302">
      <w:pPr>
        <w:widowControl/>
        <w:spacing w:line="272" w:lineRule="atLeast"/>
        <w:ind w:left="160" w:right="-20"/>
        <w:rPr>
          <w:rFonts w:hint="eastAsia" w:ascii="宋体" w:hAnsi="宋体" w:cs="宋体"/>
          <w:color w:val="000000"/>
          <w:kern w:val="0"/>
          <w:szCs w:val="21"/>
          <w:highlight w:val="none"/>
        </w:rPr>
        <w:sectPr>
          <w:footnotePr>
            <w:numFmt w:val="decimalEnclosedCircleChinese"/>
            <w:numRestart w:val="eachPage"/>
          </w:footnotePr>
          <w:pgSz w:w="16838" w:h="11906" w:orient="landscape"/>
          <w:pgMar w:top="1134" w:right="1134" w:bottom="1134" w:left="1134" w:header="851" w:footer="851" w:gutter="0"/>
          <w:cols w:space="720" w:num="1"/>
          <w:docGrid w:linePitch="286" w:charSpace="0"/>
        </w:sectPr>
      </w:pPr>
    </w:p>
    <w:p w14:paraId="5C51F53A">
      <w:pPr>
        <w:pStyle w:val="3"/>
        <w:widowControl/>
        <w:wordWrap w:val="0"/>
        <w:spacing w:before="120" w:after="120" w:line="240" w:lineRule="auto"/>
        <w:jc w:val="center"/>
        <w:rPr>
          <w:rFonts w:hint="eastAsia" w:ascii="宋体" w:hAnsi="宋体" w:cs="宋体"/>
          <w:color w:val="000000"/>
          <w:kern w:val="0"/>
          <w:sz w:val="30"/>
          <w:szCs w:val="30"/>
          <w:highlight w:val="none"/>
        </w:rPr>
      </w:pPr>
      <w:bookmarkStart w:id="861" w:name="_Toc466024589"/>
      <w:r>
        <w:rPr>
          <w:rStyle w:val="106"/>
          <w:rFonts w:hint="eastAsia" w:ascii="宋体" w:hAnsi="宋体" w:eastAsia="宋体" w:cs="宋体"/>
          <w:b/>
          <w:color w:val="000000"/>
          <w:sz w:val="30"/>
          <w:szCs w:val="30"/>
          <w:highlight w:val="none"/>
        </w:rPr>
        <w:t>四、投标人综合情况简介</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1536"/>
        <w:gridCol w:w="2579"/>
        <w:gridCol w:w="1674"/>
        <w:gridCol w:w="2659"/>
      </w:tblGrid>
      <w:tr w14:paraId="03C5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4942BDF7">
            <w:pPr>
              <w:widowControl/>
              <w:wordWrap w:val="0"/>
              <w:adjustRightInd w:val="0"/>
              <w:snapToGrid w:val="0"/>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项目名称：</w:t>
            </w:r>
            <w:r>
              <w:rPr>
                <w:rFonts w:hint="eastAsia" w:ascii="宋体" w:hAnsi="宋体" w:cs="宋体"/>
                <w:color w:val="000000"/>
                <w:kern w:val="0"/>
                <w:szCs w:val="21"/>
                <w:highlight w:val="none"/>
                <w:lang w:eastAsia="zh-CN"/>
              </w:rPr>
              <w:t>安徽省疾控中心省结核病参比实验室耐药检测能力提升</w:t>
            </w:r>
          </w:p>
        </w:tc>
      </w:tr>
      <w:tr w14:paraId="150D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854" w:type="dxa"/>
            <w:gridSpan w:val="5"/>
            <w:noWrap w:val="0"/>
            <w:vAlign w:val="center"/>
          </w:tcPr>
          <w:p w14:paraId="6E8DD2F9">
            <w:pPr>
              <w:wordWrap w:val="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项目编号</w:t>
            </w:r>
            <w:r>
              <w:rPr>
                <w:rFonts w:hint="eastAsia" w:ascii="宋体" w:hAnsi="宋体" w:cs="宋体"/>
                <w:color w:val="000000"/>
                <w:kern w:val="0"/>
                <w:szCs w:val="21"/>
                <w:highlight w:val="none"/>
              </w:rPr>
              <w:t>：</w:t>
            </w:r>
            <w:r>
              <w:rPr>
                <w:rFonts w:hint="eastAsia" w:ascii="宋体" w:hAnsi="宋体" w:cs="宋体"/>
                <w:color w:val="000000"/>
                <w:szCs w:val="21"/>
                <w:highlight w:val="none"/>
                <w:lang w:eastAsia="zh-CN"/>
              </w:rPr>
              <w:t>ZF2025-36-1936</w:t>
            </w:r>
          </w:p>
        </w:tc>
      </w:tr>
      <w:tr w14:paraId="6249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restart"/>
            <w:noWrap w:val="0"/>
            <w:vAlign w:val="center"/>
          </w:tcPr>
          <w:p w14:paraId="5CCCB27A">
            <w:pPr>
              <w:wordWrap w:val="0"/>
              <w:spacing w:before="31" w:line="240" w:lineRule="exact"/>
              <w:jc w:val="center"/>
              <w:rPr>
                <w:rFonts w:hint="eastAsia" w:ascii="宋体" w:hAnsi="宋体" w:cs="宋体"/>
                <w:color w:val="000000"/>
                <w:szCs w:val="21"/>
                <w:highlight w:val="none"/>
              </w:rPr>
            </w:pPr>
            <w:r>
              <w:rPr>
                <w:rFonts w:hint="eastAsia" w:ascii="宋体" w:hAnsi="宋体" w:cs="宋体"/>
                <w:color w:val="000000"/>
                <w:kern w:val="0"/>
                <w:szCs w:val="21"/>
                <w:highlight w:val="none"/>
              </w:rPr>
              <w:t>投标人</w:t>
            </w:r>
            <w:r>
              <w:rPr>
                <w:rFonts w:hint="eastAsia" w:ascii="宋体" w:hAnsi="宋体" w:cs="宋体"/>
                <w:color w:val="000000"/>
                <w:kern w:val="0"/>
                <w:szCs w:val="21"/>
                <w:highlight w:val="none"/>
                <w:lang w:eastAsia="en-US"/>
              </w:rPr>
              <w:t>基本信息</w:t>
            </w:r>
          </w:p>
        </w:tc>
        <w:tc>
          <w:tcPr>
            <w:tcW w:w="1536" w:type="dxa"/>
            <w:noWrap w:val="0"/>
            <w:vAlign w:val="center"/>
          </w:tcPr>
          <w:p w14:paraId="1BDAE144">
            <w:pPr>
              <w:widowControl/>
              <w:wordWrap w:val="0"/>
              <w:spacing w:line="240" w:lineRule="exact"/>
              <w:jc w:val="center"/>
              <w:rPr>
                <w:rFonts w:hint="eastAsia" w:ascii="宋体" w:hAnsi="宋体" w:cs="宋体"/>
                <w:color w:val="000000"/>
                <w:szCs w:val="21"/>
                <w:highlight w:val="none"/>
                <w:lang w:eastAsia="en-US"/>
              </w:rPr>
            </w:pPr>
            <w:r>
              <w:rPr>
                <w:rFonts w:hint="eastAsia" w:ascii="宋体" w:hAnsi="宋体" w:cs="宋体"/>
                <w:color w:val="000000"/>
                <w:kern w:val="0"/>
                <w:szCs w:val="21"/>
                <w:highlight w:val="none"/>
              </w:rPr>
              <w:t>投标人</w:t>
            </w:r>
            <w:r>
              <w:rPr>
                <w:rFonts w:hint="eastAsia" w:ascii="宋体" w:hAnsi="宋体" w:cs="宋体"/>
                <w:color w:val="000000"/>
                <w:kern w:val="0"/>
                <w:szCs w:val="21"/>
                <w:highlight w:val="none"/>
                <w:lang w:eastAsia="en-US"/>
              </w:rPr>
              <w:t>全称</w:t>
            </w:r>
          </w:p>
        </w:tc>
        <w:tc>
          <w:tcPr>
            <w:tcW w:w="6912" w:type="dxa"/>
            <w:gridSpan w:val="3"/>
            <w:noWrap w:val="0"/>
            <w:vAlign w:val="center"/>
          </w:tcPr>
          <w:p w14:paraId="126CE998">
            <w:pPr>
              <w:keepNext/>
              <w:keepLines/>
              <w:widowControl/>
              <w:spacing w:before="120" w:after="120"/>
              <w:ind w:right="630"/>
              <w:jc w:val="left"/>
              <w:outlineLvl w:val="1"/>
              <w:rPr>
                <w:rFonts w:hint="eastAsia" w:ascii="宋体" w:hAnsi="宋体" w:cs="宋体"/>
                <w:b/>
                <w:bCs/>
                <w:color w:val="000000"/>
                <w:highlight w:val="none"/>
              </w:rPr>
            </w:pPr>
          </w:p>
        </w:tc>
      </w:tr>
      <w:tr w14:paraId="432A0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3B5B0CCB">
            <w:pPr>
              <w:wordWrap w:val="0"/>
              <w:spacing w:before="31" w:line="240" w:lineRule="exact"/>
              <w:jc w:val="center"/>
              <w:rPr>
                <w:rFonts w:hint="eastAsia" w:ascii="宋体" w:hAnsi="宋体" w:cs="宋体"/>
                <w:color w:val="000000"/>
                <w:szCs w:val="21"/>
                <w:highlight w:val="none"/>
              </w:rPr>
            </w:pPr>
          </w:p>
        </w:tc>
        <w:tc>
          <w:tcPr>
            <w:tcW w:w="1536" w:type="dxa"/>
            <w:noWrap w:val="0"/>
            <w:vAlign w:val="center"/>
          </w:tcPr>
          <w:p w14:paraId="642E7D8F">
            <w:pPr>
              <w:widowControl/>
              <w:wordWrap w:val="0"/>
              <w:spacing w:line="24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注册</w:t>
            </w:r>
            <w:r>
              <w:rPr>
                <w:rFonts w:hint="eastAsia" w:ascii="宋体" w:hAnsi="宋体" w:cs="宋体"/>
                <w:color w:val="000000"/>
                <w:kern w:val="0"/>
                <w:szCs w:val="21"/>
                <w:highlight w:val="none"/>
                <w:lang w:eastAsia="en-US"/>
              </w:rPr>
              <w:t>地址</w:t>
            </w:r>
          </w:p>
        </w:tc>
        <w:tc>
          <w:tcPr>
            <w:tcW w:w="6912" w:type="dxa"/>
            <w:gridSpan w:val="3"/>
            <w:noWrap w:val="0"/>
            <w:vAlign w:val="center"/>
          </w:tcPr>
          <w:p w14:paraId="4DC04426">
            <w:pPr>
              <w:widowControl/>
              <w:wordWrap w:val="0"/>
              <w:spacing w:line="240" w:lineRule="exact"/>
              <w:jc w:val="center"/>
              <w:rPr>
                <w:rFonts w:hint="eastAsia" w:ascii="宋体" w:hAnsi="宋体" w:cs="宋体"/>
                <w:color w:val="000000"/>
                <w:kern w:val="0"/>
                <w:szCs w:val="21"/>
                <w:highlight w:val="none"/>
              </w:rPr>
            </w:pPr>
          </w:p>
        </w:tc>
      </w:tr>
      <w:tr w14:paraId="5D113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06" w:type="dxa"/>
            <w:vMerge w:val="continue"/>
            <w:noWrap w:val="0"/>
            <w:vAlign w:val="center"/>
          </w:tcPr>
          <w:p w14:paraId="01661FE2">
            <w:pPr>
              <w:wordWrap w:val="0"/>
              <w:rPr>
                <w:rFonts w:hint="eastAsia" w:ascii="宋体" w:hAnsi="宋体" w:cs="宋体"/>
                <w:color w:val="000000"/>
                <w:szCs w:val="21"/>
                <w:highlight w:val="none"/>
              </w:rPr>
            </w:pPr>
          </w:p>
        </w:tc>
        <w:tc>
          <w:tcPr>
            <w:tcW w:w="1536" w:type="dxa"/>
            <w:noWrap w:val="0"/>
            <w:vAlign w:val="center"/>
          </w:tcPr>
          <w:p w14:paraId="74DDAA40">
            <w:pPr>
              <w:widowControl/>
              <w:wordWrap w:val="0"/>
              <w:spacing w:line="24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eastAsia="en-US"/>
              </w:rPr>
              <w:t>联系人</w:t>
            </w:r>
          </w:p>
        </w:tc>
        <w:tc>
          <w:tcPr>
            <w:tcW w:w="2579" w:type="dxa"/>
            <w:noWrap w:val="0"/>
            <w:vAlign w:val="center"/>
          </w:tcPr>
          <w:p w14:paraId="42846890">
            <w:pPr>
              <w:widowControl/>
              <w:wordWrap w:val="0"/>
              <w:spacing w:line="240" w:lineRule="exact"/>
              <w:jc w:val="center"/>
              <w:rPr>
                <w:rFonts w:hint="eastAsia" w:ascii="宋体" w:hAnsi="宋体" w:cs="宋体"/>
                <w:color w:val="000000"/>
                <w:kern w:val="0"/>
                <w:szCs w:val="21"/>
                <w:highlight w:val="none"/>
              </w:rPr>
            </w:pPr>
          </w:p>
        </w:tc>
        <w:tc>
          <w:tcPr>
            <w:tcW w:w="1674" w:type="dxa"/>
            <w:noWrap w:val="0"/>
            <w:vAlign w:val="center"/>
          </w:tcPr>
          <w:p w14:paraId="6600A82D">
            <w:pPr>
              <w:widowControl/>
              <w:wordWrap w:val="0"/>
              <w:spacing w:line="240" w:lineRule="exact"/>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lang w:eastAsia="en-US"/>
              </w:rPr>
              <w:t>联系电话</w:t>
            </w:r>
          </w:p>
        </w:tc>
        <w:tc>
          <w:tcPr>
            <w:tcW w:w="2659" w:type="dxa"/>
            <w:noWrap w:val="0"/>
            <w:vAlign w:val="center"/>
          </w:tcPr>
          <w:p w14:paraId="54915864">
            <w:pPr>
              <w:widowControl/>
              <w:wordWrap w:val="0"/>
              <w:spacing w:line="240" w:lineRule="exact"/>
              <w:jc w:val="center"/>
              <w:rPr>
                <w:rFonts w:hint="eastAsia" w:ascii="宋体" w:hAnsi="宋体" w:cs="宋体"/>
                <w:color w:val="000000"/>
                <w:kern w:val="0"/>
                <w:szCs w:val="21"/>
                <w:highlight w:val="none"/>
              </w:rPr>
            </w:pPr>
          </w:p>
        </w:tc>
      </w:tr>
      <w:tr w14:paraId="75B5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9" w:hRule="atLeast"/>
        </w:trPr>
        <w:tc>
          <w:tcPr>
            <w:tcW w:w="9854" w:type="dxa"/>
            <w:gridSpan w:val="5"/>
            <w:noWrap w:val="0"/>
            <w:vAlign w:val="center"/>
          </w:tcPr>
          <w:p w14:paraId="4DCFCFC3">
            <w:pPr>
              <w:wordWrap w:val="0"/>
              <w:spacing w:before="120" w:beforeLines="50" w:line="480" w:lineRule="auto"/>
              <w:rPr>
                <w:rFonts w:hint="eastAsia" w:ascii="宋体" w:hAnsi="宋体" w:cs="宋体"/>
                <w:color w:val="000000"/>
                <w:szCs w:val="21"/>
                <w:highlight w:val="none"/>
              </w:rPr>
            </w:pPr>
            <w:r>
              <w:rPr>
                <w:rFonts w:hint="eastAsia" w:ascii="宋体" w:hAnsi="宋体" w:cs="宋体"/>
                <w:color w:val="000000"/>
                <w:szCs w:val="21"/>
                <w:highlight w:val="none"/>
              </w:rPr>
              <w:t>投标人公章：</w:t>
            </w:r>
          </w:p>
          <w:p w14:paraId="5700A6F5">
            <w:pPr>
              <w:wordWrap w:val="0"/>
              <w:spacing w:line="480" w:lineRule="auto"/>
              <w:rPr>
                <w:rFonts w:hint="eastAsia" w:ascii="宋体" w:hAnsi="宋体" w:cs="宋体"/>
                <w:color w:val="000000"/>
                <w:szCs w:val="21"/>
                <w:highlight w:val="none"/>
              </w:rPr>
            </w:pPr>
            <w:r>
              <w:rPr>
                <w:rFonts w:hint="eastAsia" w:ascii="宋体" w:hAnsi="宋体" w:cs="宋体"/>
                <w:color w:val="000000"/>
                <w:szCs w:val="21"/>
                <w:highlight w:val="none"/>
              </w:rPr>
              <w:t>填表日期：</w:t>
            </w:r>
          </w:p>
        </w:tc>
      </w:tr>
      <w:tr w14:paraId="62A9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9854" w:type="dxa"/>
            <w:gridSpan w:val="5"/>
            <w:noWrap w:val="0"/>
            <w:vAlign w:val="center"/>
          </w:tcPr>
          <w:p w14:paraId="2C1DF94F">
            <w:pPr>
              <w:wordWrap w:val="0"/>
              <w:spacing w:before="120" w:beforeLines="50" w:line="360" w:lineRule="auto"/>
              <w:rPr>
                <w:rFonts w:hint="eastAsia" w:ascii="宋体" w:hAnsi="宋体" w:cs="宋体"/>
                <w:color w:val="000000"/>
                <w:highlight w:val="none"/>
              </w:rPr>
            </w:pPr>
            <w:r>
              <w:rPr>
                <w:rFonts w:hint="eastAsia" w:ascii="宋体" w:hAnsi="宋体" w:cs="宋体"/>
                <w:color w:val="000000"/>
                <w:highlight w:val="none"/>
              </w:rPr>
              <w:t>填表说明：</w:t>
            </w:r>
          </w:p>
          <w:p w14:paraId="5E0D3D9B">
            <w:pPr>
              <w:wordWrap w:val="0"/>
              <w:spacing w:line="360" w:lineRule="auto"/>
              <w:rPr>
                <w:rFonts w:hint="eastAsia" w:ascii="宋体" w:hAnsi="宋体" w:cs="宋体"/>
                <w:color w:val="000000"/>
                <w:kern w:val="0"/>
                <w:highlight w:val="none"/>
              </w:rPr>
            </w:pPr>
            <w:r>
              <w:rPr>
                <w:rFonts w:hint="eastAsia" w:ascii="宋体" w:hAnsi="宋体" w:cs="宋体"/>
                <w:color w:val="000000"/>
                <w:highlight w:val="none"/>
              </w:rPr>
              <w:t>请填表人认真、准确填写，并加盖单位公章，为便于成交后进行政府采购合同备案，请填写完整。</w:t>
            </w:r>
          </w:p>
        </w:tc>
      </w:tr>
    </w:tbl>
    <w:p w14:paraId="45C0618D">
      <w:pPr>
        <w:pStyle w:val="3"/>
        <w:widowControl/>
        <w:spacing w:before="120" w:after="120" w:line="240" w:lineRule="auto"/>
        <w:jc w:val="center"/>
        <w:rPr>
          <w:rStyle w:val="106"/>
          <w:rFonts w:hint="eastAsia" w:ascii="宋体" w:hAnsi="宋体" w:eastAsia="宋体" w:cs="宋体"/>
          <w:b/>
          <w:bCs/>
          <w:color w:val="000000"/>
          <w:sz w:val="30"/>
          <w:szCs w:val="30"/>
          <w:highlight w:val="none"/>
        </w:rPr>
      </w:pPr>
      <w:r>
        <w:rPr>
          <w:rFonts w:ascii="仿宋" w:hAnsi="仿宋" w:eastAsia="仿宋"/>
          <w:color w:val="000000"/>
          <w:kern w:val="0"/>
          <w:szCs w:val="21"/>
          <w:highlight w:val="none"/>
        </w:rPr>
        <w:br w:type="page"/>
      </w:r>
      <w:r>
        <w:rPr>
          <w:rStyle w:val="106"/>
          <w:rFonts w:hint="eastAsia" w:ascii="宋体" w:hAnsi="宋体" w:eastAsia="宋体" w:cs="宋体"/>
          <w:b/>
          <w:bCs/>
          <w:color w:val="000000"/>
          <w:sz w:val="30"/>
          <w:szCs w:val="30"/>
          <w:highlight w:val="none"/>
        </w:rPr>
        <w:t>五、</w:t>
      </w:r>
      <w:bookmarkEnd w:id="861"/>
      <w:r>
        <w:rPr>
          <w:rStyle w:val="106"/>
          <w:rFonts w:hint="eastAsia" w:ascii="宋体" w:hAnsi="宋体" w:eastAsia="宋体" w:cs="宋体"/>
          <w:b/>
          <w:bCs/>
          <w:color w:val="000000"/>
          <w:sz w:val="30"/>
          <w:szCs w:val="30"/>
          <w:highlight w:val="none"/>
        </w:rPr>
        <w:t>中小企业声明函（货物）</w:t>
      </w:r>
    </w:p>
    <w:p w14:paraId="5A0AEEF6">
      <w:pPr>
        <w:pStyle w:val="26"/>
        <w:spacing w:line="360" w:lineRule="auto"/>
        <w:jc w:val="center"/>
        <w:rPr>
          <w:rFonts w:hint="eastAsia" w:hAnsi="宋体" w:cs="宋体"/>
          <w:color w:val="000000"/>
          <w:highlight w:val="none"/>
        </w:rPr>
      </w:pPr>
      <w:r>
        <w:rPr>
          <w:rFonts w:hint="eastAsia" w:hAnsi="宋体" w:cs="宋体"/>
          <w:color w:val="000000"/>
          <w:highlight w:val="none"/>
        </w:rPr>
        <w:t>（不符合中小企业扶持政策的，无需提供）</w:t>
      </w:r>
    </w:p>
    <w:p w14:paraId="3CCA82C3">
      <w:pPr>
        <w:pStyle w:val="18"/>
        <w:snapToGrid w:val="0"/>
        <w:spacing w:line="360" w:lineRule="auto"/>
        <w:ind w:firstLine="420" w:firstLineChars="200"/>
        <w:rPr>
          <w:rFonts w:hint="eastAsia" w:ascii="宋体" w:hAnsi="宋体" w:eastAsia="宋体" w:cs="宋体"/>
          <w:color w:val="000000"/>
          <w:sz w:val="21"/>
          <w:szCs w:val="21"/>
          <w:highlight w:val="none"/>
        </w:rPr>
      </w:pPr>
    </w:p>
    <w:p w14:paraId="13E1F03C">
      <w:pPr>
        <w:pStyle w:val="41"/>
        <w:widowControl w:val="0"/>
        <w:autoSpaceDE w:val="0"/>
        <w:autoSpaceDN w:val="0"/>
        <w:snapToGrid w:val="0"/>
        <w:spacing w:before="0" w:beforeAutospacing="0" w:after="0" w:afterAutospacing="0" w:line="360" w:lineRule="auto"/>
        <w:ind w:left="220" w:right="405" w:firstLine="420" w:firstLineChars="200"/>
        <w:rPr>
          <w:rFonts w:hint="eastAsia" w:cs="宋体"/>
          <w:color w:val="000000"/>
          <w:kern w:val="2"/>
          <w:sz w:val="21"/>
          <w:szCs w:val="21"/>
          <w:highlight w:val="none"/>
        </w:rPr>
      </w:pPr>
      <w:r>
        <w:rPr>
          <w:rFonts w:hint="eastAsia" w:cs="宋体"/>
          <w:color w:val="000000"/>
          <w:kern w:val="2"/>
          <w:sz w:val="21"/>
          <w:szCs w:val="21"/>
          <w:highlight w:val="none"/>
        </w:rPr>
        <w:t>本公司（联合体）郑重声明，根据《政府采购促进中小企业发展管理办法》（财库﹝2020﹞46号）的规定，本公司（联合体）参加</w:t>
      </w:r>
      <w:r>
        <w:rPr>
          <w:rFonts w:hint="eastAsia" w:cs="宋体"/>
          <w:i/>
          <w:color w:val="000000"/>
          <w:sz w:val="21"/>
          <w:szCs w:val="21"/>
          <w:highlight w:val="none"/>
          <w:u w:val="single" w:color="000000"/>
          <w:lang w:bidi="ar"/>
        </w:rPr>
        <w:t>（单位名称）</w:t>
      </w:r>
      <w:r>
        <w:rPr>
          <w:rFonts w:hint="eastAsia" w:cs="宋体"/>
          <w:color w:val="000000"/>
          <w:kern w:val="2"/>
          <w:sz w:val="21"/>
          <w:szCs w:val="21"/>
          <w:highlight w:val="none"/>
        </w:rPr>
        <w:t>的</w:t>
      </w:r>
      <w:r>
        <w:rPr>
          <w:rFonts w:hint="eastAsia" w:cs="宋体"/>
          <w:i/>
          <w:color w:val="000000"/>
          <w:sz w:val="21"/>
          <w:szCs w:val="21"/>
          <w:highlight w:val="none"/>
          <w:u w:val="single" w:color="000000"/>
          <w:lang w:bidi="ar"/>
        </w:rPr>
        <w:t>（项目名称）</w:t>
      </w:r>
      <w:r>
        <w:rPr>
          <w:rFonts w:hint="eastAsia" w:cs="宋体"/>
          <w:color w:val="000000"/>
          <w:kern w:val="2"/>
          <w:sz w:val="21"/>
          <w:szCs w:val="21"/>
          <w:highlight w:val="none"/>
        </w:rPr>
        <w:t>采购活动，提供的货物全部由符合政策要求的中小企业制造。相关企业（含联合体中的中小企业、签订分包意向协议的中小企业）的具体情况如下：</w:t>
      </w:r>
    </w:p>
    <w:p w14:paraId="176B7483">
      <w:pPr>
        <w:pStyle w:val="41"/>
        <w:widowControl w:val="0"/>
        <w:autoSpaceDE w:val="0"/>
        <w:autoSpaceDN w:val="0"/>
        <w:snapToGrid w:val="0"/>
        <w:spacing w:before="0" w:beforeAutospacing="0" w:after="0" w:afterAutospacing="0" w:line="360" w:lineRule="auto"/>
        <w:ind w:left="220" w:right="405" w:firstLine="420" w:firstLineChars="200"/>
        <w:rPr>
          <w:rFonts w:hint="eastAsia" w:cs="宋体"/>
          <w:color w:val="000000"/>
          <w:kern w:val="2"/>
          <w:sz w:val="21"/>
          <w:szCs w:val="21"/>
          <w:highlight w:val="none"/>
        </w:rPr>
      </w:pPr>
      <w:r>
        <w:rPr>
          <w:rFonts w:hint="eastAsia" w:cs="宋体"/>
          <w:color w:val="000000"/>
          <w:kern w:val="2"/>
          <w:sz w:val="21"/>
          <w:szCs w:val="21"/>
          <w:highlight w:val="none"/>
        </w:rPr>
        <w:t>1.</w:t>
      </w:r>
      <w:r>
        <w:rPr>
          <w:rFonts w:hint="eastAsia" w:cs="宋体"/>
          <w:i/>
          <w:iCs/>
          <w:color w:val="000000"/>
          <w:kern w:val="2"/>
          <w:sz w:val="21"/>
          <w:szCs w:val="21"/>
          <w:highlight w:val="none"/>
          <w:u w:val="single"/>
        </w:rPr>
        <w:t xml:space="preserve"> （标的名称） </w:t>
      </w:r>
      <w:r>
        <w:rPr>
          <w:rFonts w:hint="eastAsia" w:cs="宋体"/>
          <w:color w:val="000000"/>
          <w:kern w:val="2"/>
          <w:sz w:val="21"/>
          <w:szCs w:val="21"/>
          <w:highlight w:val="none"/>
        </w:rPr>
        <w:t>，属于</w:t>
      </w:r>
      <w:r>
        <w:rPr>
          <w:rFonts w:hint="eastAsia" w:cs="宋体"/>
          <w:i/>
          <w:iCs/>
          <w:color w:val="000000"/>
          <w:kern w:val="2"/>
          <w:sz w:val="21"/>
          <w:szCs w:val="21"/>
          <w:highlight w:val="none"/>
          <w:u w:val="single"/>
        </w:rPr>
        <w:t>（采购文件中明确的所属行业）行业</w:t>
      </w:r>
      <w:r>
        <w:rPr>
          <w:rFonts w:hint="eastAsia" w:cs="宋体"/>
          <w:color w:val="000000"/>
          <w:kern w:val="2"/>
          <w:sz w:val="21"/>
          <w:szCs w:val="21"/>
          <w:highlight w:val="none"/>
        </w:rPr>
        <w:t>；制造商为</w:t>
      </w:r>
      <w:r>
        <w:rPr>
          <w:rFonts w:hint="eastAsia" w:cs="宋体"/>
          <w:i/>
          <w:iCs/>
          <w:color w:val="000000"/>
          <w:kern w:val="2"/>
          <w:sz w:val="21"/>
          <w:szCs w:val="21"/>
          <w:highlight w:val="none"/>
          <w:u w:val="single"/>
        </w:rPr>
        <w:t>（企业名称）</w:t>
      </w:r>
      <w:r>
        <w:rPr>
          <w:rFonts w:hint="eastAsia" w:cs="宋体"/>
          <w:color w:val="000000"/>
          <w:kern w:val="2"/>
          <w:sz w:val="21"/>
          <w:szCs w:val="21"/>
          <w:highlight w:val="none"/>
        </w:rPr>
        <w:t>，从业人员</w:t>
      </w:r>
      <w:r>
        <w:rPr>
          <w:rFonts w:hint="eastAsia" w:cs="宋体"/>
          <w:color w:val="000000"/>
          <w:kern w:val="2"/>
          <w:sz w:val="21"/>
          <w:szCs w:val="21"/>
          <w:highlight w:val="none"/>
          <w:u w:val="single"/>
        </w:rPr>
        <w:t xml:space="preserve">     </w:t>
      </w:r>
      <w:r>
        <w:rPr>
          <w:rFonts w:hint="eastAsia" w:cs="宋体"/>
          <w:color w:val="000000"/>
          <w:kern w:val="2"/>
          <w:sz w:val="21"/>
          <w:szCs w:val="21"/>
          <w:highlight w:val="none"/>
        </w:rPr>
        <w:t>人，营业收入为</w:t>
      </w:r>
      <w:r>
        <w:rPr>
          <w:rFonts w:hint="eastAsia" w:cs="宋体"/>
          <w:color w:val="000000"/>
          <w:kern w:val="2"/>
          <w:sz w:val="21"/>
          <w:szCs w:val="21"/>
          <w:highlight w:val="none"/>
          <w:u w:val="single"/>
        </w:rPr>
        <w:t xml:space="preserve">     </w:t>
      </w:r>
      <w:r>
        <w:rPr>
          <w:rFonts w:hint="eastAsia" w:cs="宋体"/>
          <w:color w:val="000000"/>
          <w:kern w:val="2"/>
          <w:sz w:val="21"/>
          <w:szCs w:val="21"/>
          <w:highlight w:val="none"/>
        </w:rPr>
        <w:t>万元，资产总额为</w:t>
      </w:r>
      <w:r>
        <w:rPr>
          <w:rFonts w:hint="eastAsia" w:cs="宋体"/>
          <w:color w:val="000000"/>
          <w:kern w:val="2"/>
          <w:sz w:val="21"/>
          <w:szCs w:val="21"/>
          <w:highlight w:val="none"/>
          <w:u w:val="single"/>
        </w:rPr>
        <w:t xml:space="preserve">     </w:t>
      </w:r>
      <w:r>
        <w:rPr>
          <w:rFonts w:hint="eastAsia" w:cs="宋体"/>
          <w:color w:val="000000"/>
          <w:kern w:val="2"/>
          <w:sz w:val="21"/>
          <w:szCs w:val="21"/>
          <w:highlight w:val="none"/>
        </w:rPr>
        <w:t>万元，属于</w:t>
      </w:r>
      <w:r>
        <w:rPr>
          <w:rFonts w:hint="eastAsia" w:cs="宋体"/>
          <w:i/>
          <w:iCs/>
          <w:color w:val="000000"/>
          <w:kern w:val="2"/>
          <w:sz w:val="21"/>
          <w:szCs w:val="21"/>
          <w:highlight w:val="none"/>
          <w:u w:val="single"/>
        </w:rPr>
        <w:t>（中型企业、小型企业、微型企业）</w:t>
      </w:r>
      <w:r>
        <w:rPr>
          <w:rFonts w:hint="eastAsia" w:cs="宋体"/>
          <w:color w:val="000000"/>
          <w:kern w:val="2"/>
          <w:sz w:val="21"/>
          <w:szCs w:val="21"/>
          <w:highlight w:val="none"/>
        </w:rPr>
        <w:t>；</w:t>
      </w:r>
    </w:p>
    <w:p w14:paraId="4CE3CD02">
      <w:pPr>
        <w:pStyle w:val="41"/>
        <w:widowControl w:val="0"/>
        <w:autoSpaceDE w:val="0"/>
        <w:autoSpaceDN w:val="0"/>
        <w:snapToGrid w:val="0"/>
        <w:spacing w:before="0" w:beforeAutospacing="0" w:after="0" w:afterAutospacing="0" w:line="360" w:lineRule="auto"/>
        <w:ind w:left="220" w:right="405" w:firstLine="420" w:firstLineChars="200"/>
        <w:rPr>
          <w:rFonts w:hint="eastAsia" w:cs="宋体"/>
          <w:color w:val="000000"/>
          <w:kern w:val="2"/>
          <w:sz w:val="21"/>
          <w:szCs w:val="21"/>
          <w:highlight w:val="none"/>
        </w:rPr>
      </w:pPr>
      <w:r>
        <w:rPr>
          <w:rFonts w:hint="eastAsia" w:cs="宋体"/>
          <w:color w:val="000000"/>
          <w:kern w:val="2"/>
          <w:sz w:val="21"/>
          <w:szCs w:val="21"/>
          <w:highlight w:val="none"/>
        </w:rPr>
        <w:t>2.</w:t>
      </w:r>
      <w:r>
        <w:rPr>
          <w:rFonts w:hint="eastAsia" w:cs="宋体"/>
          <w:i/>
          <w:iCs/>
          <w:color w:val="000000"/>
          <w:kern w:val="2"/>
          <w:sz w:val="21"/>
          <w:szCs w:val="21"/>
          <w:highlight w:val="none"/>
          <w:u w:val="single"/>
        </w:rPr>
        <w:t xml:space="preserve"> （标的名称） </w:t>
      </w:r>
      <w:r>
        <w:rPr>
          <w:rFonts w:hint="eastAsia" w:cs="宋体"/>
          <w:color w:val="000000"/>
          <w:kern w:val="2"/>
          <w:sz w:val="21"/>
          <w:szCs w:val="21"/>
          <w:highlight w:val="none"/>
        </w:rPr>
        <w:t>，属于</w:t>
      </w:r>
      <w:r>
        <w:rPr>
          <w:rFonts w:hint="eastAsia" w:cs="宋体"/>
          <w:i/>
          <w:iCs/>
          <w:color w:val="000000"/>
          <w:kern w:val="2"/>
          <w:sz w:val="21"/>
          <w:szCs w:val="21"/>
          <w:highlight w:val="none"/>
          <w:u w:val="single"/>
        </w:rPr>
        <w:t>（采购文件中明确的所属行业）行业</w:t>
      </w:r>
      <w:r>
        <w:rPr>
          <w:rFonts w:hint="eastAsia" w:cs="宋体"/>
          <w:color w:val="000000"/>
          <w:kern w:val="2"/>
          <w:sz w:val="21"/>
          <w:szCs w:val="21"/>
          <w:highlight w:val="none"/>
        </w:rPr>
        <w:t>；制造商为</w:t>
      </w:r>
      <w:r>
        <w:rPr>
          <w:rFonts w:hint="eastAsia" w:cs="宋体"/>
          <w:i/>
          <w:iCs/>
          <w:color w:val="000000"/>
          <w:kern w:val="2"/>
          <w:sz w:val="21"/>
          <w:szCs w:val="21"/>
          <w:highlight w:val="none"/>
          <w:u w:val="single"/>
        </w:rPr>
        <w:t>（企业名称）</w:t>
      </w:r>
      <w:r>
        <w:rPr>
          <w:rFonts w:hint="eastAsia" w:cs="宋体"/>
          <w:color w:val="000000"/>
          <w:kern w:val="2"/>
          <w:sz w:val="21"/>
          <w:szCs w:val="21"/>
          <w:highlight w:val="none"/>
        </w:rPr>
        <w:t>，从业人员</w:t>
      </w:r>
      <w:r>
        <w:rPr>
          <w:rFonts w:hint="eastAsia" w:cs="宋体"/>
          <w:color w:val="000000"/>
          <w:kern w:val="2"/>
          <w:sz w:val="21"/>
          <w:szCs w:val="21"/>
          <w:highlight w:val="none"/>
          <w:u w:val="single"/>
        </w:rPr>
        <w:t xml:space="preserve">     </w:t>
      </w:r>
      <w:r>
        <w:rPr>
          <w:rFonts w:hint="eastAsia" w:cs="宋体"/>
          <w:color w:val="000000"/>
          <w:kern w:val="2"/>
          <w:sz w:val="21"/>
          <w:szCs w:val="21"/>
          <w:highlight w:val="none"/>
        </w:rPr>
        <w:t>人，营业收入为</w:t>
      </w:r>
      <w:r>
        <w:rPr>
          <w:rFonts w:hint="eastAsia" w:cs="宋体"/>
          <w:color w:val="000000"/>
          <w:kern w:val="2"/>
          <w:sz w:val="21"/>
          <w:szCs w:val="21"/>
          <w:highlight w:val="none"/>
          <w:u w:val="single"/>
        </w:rPr>
        <w:t xml:space="preserve">     </w:t>
      </w:r>
      <w:r>
        <w:rPr>
          <w:rFonts w:hint="eastAsia" w:cs="宋体"/>
          <w:color w:val="000000"/>
          <w:kern w:val="2"/>
          <w:sz w:val="21"/>
          <w:szCs w:val="21"/>
          <w:highlight w:val="none"/>
        </w:rPr>
        <w:t>万元，资产总额为</w:t>
      </w:r>
      <w:r>
        <w:rPr>
          <w:rFonts w:hint="eastAsia" w:cs="宋体"/>
          <w:color w:val="000000"/>
          <w:kern w:val="2"/>
          <w:sz w:val="21"/>
          <w:szCs w:val="21"/>
          <w:highlight w:val="none"/>
          <w:u w:val="single"/>
        </w:rPr>
        <w:t xml:space="preserve">     </w:t>
      </w:r>
      <w:r>
        <w:rPr>
          <w:rFonts w:hint="eastAsia" w:cs="宋体"/>
          <w:color w:val="000000"/>
          <w:kern w:val="2"/>
          <w:sz w:val="21"/>
          <w:szCs w:val="21"/>
          <w:highlight w:val="none"/>
        </w:rPr>
        <w:t>万元，属于</w:t>
      </w:r>
      <w:r>
        <w:rPr>
          <w:rFonts w:hint="eastAsia" w:cs="宋体"/>
          <w:i/>
          <w:iCs/>
          <w:color w:val="000000"/>
          <w:kern w:val="2"/>
          <w:sz w:val="21"/>
          <w:szCs w:val="21"/>
          <w:highlight w:val="none"/>
          <w:u w:val="single"/>
        </w:rPr>
        <w:t>（中型企业、小型企业、微型企业）</w:t>
      </w:r>
      <w:r>
        <w:rPr>
          <w:rFonts w:hint="eastAsia" w:cs="宋体"/>
          <w:color w:val="000000"/>
          <w:kern w:val="2"/>
          <w:sz w:val="21"/>
          <w:szCs w:val="21"/>
          <w:highlight w:val="none"/>
        </w:rPr>
        <w:t>；</w:t>
      </w:r>
    </w:p>
    <w:p w14:paraId="62B1ADA0">
      <w:pPr>
        <w:pStyle w:val="41"/>
        <w:widowControl w:val="0"/>
        <w:autoSpaceDE w:val="0"/>
        <w:autoSpaceDN w:val="0"/>
        <w:snapToGrid w:val="0"/>
        <w:spacing w:before="0" w:beforeAutospacing="0" w:after="0" w:afterAutospacing="0" w:line="360" w:lineRule="auto"/>
        <w:ind w:left="220" w:right="405" w:firstLine="420" w:firstLineChars="200"/>
        <w:rPr>
          <w:rFonts w:hint="eastAsia" w:cs="宋体"/>
          <w:color w:val="000000"/>
          <w:kern w:val="2"/>
          <w:sz w:val="21"/>
          <w:szCs w:val="21"/>
          <w:highlight w:val="none"/>
        </w:rPr>
      </w:pPr>
      <w:r>
        <w:rPr>
          <w:rFonts w:hint="eastAsia" w:cs="宋体"/>
          <w:color w:val="000000"/>
          <w:kern w:val="2"/>
          <w:sz w:val="21"/>
          <w:szCs w:val="21"/>
          <w:highlight w:val="none"/>
        </w:rPr>
        <w:t>……</w:t>
      </w:r>
    </w:p>
    <w:p w14:paraId="76914ECC">
      <w:pPr>
        <w:pStyle w:val="41"/>
        <w:widowControl w:val="0"/>
        <w:autoSpaceDE w:val="0"/>
        <w:autoSpaceDN w:val="0"/>
        <w:snapToGrid w:val="0"/>
        <w:spacing w:before="0" w:beforeAutospacing="0" w:after="0" w:afterAutospacing="0" w:line="360" w:lineRule="auto"/>
        <w:ind w:right="397" w:rightChars="189" w:firstLine="420" w:firstLineChars="200"/>
        <w:rPr>
          <w:rFonts w:hint="eastAsia" w:cs="宋体"/>
          <w:snapToGrid w:val="0"/>
          <w:color w:val="000000"/>
          <w:sz w:val="21"/>
          <w:szCs w:val="21"/>
          <w:highlight w:val="none"/>
          <w:lang w:bidi="ar"/>
        </w:rPr>
      </w:pPr>
      <w:r>
        <w:rPr>
          <w:rFonts w:hint="eastAsia" w:cs="宋体"/>
          <w:snapToGrid w:val="0"/>
          <w:color w:val="000000"/>
          <w:sz w:val="21"/>
          <w:szCs w:val="21"/>
          <w:highlight w:val="none"/>
          <w:lang w:bidi="ar"/>
        </w:rPr>
        <w:t>以上企业，不属于大企业的分支机构，不存在控股股东为大企业的情形，也不存在与大企业的负责人为同一人的情形。</w:t>
      </w:r>
    </w:p>
    <w:p w14:paraId="0EE8E55E">
      <w:pPr>
        <w:pStyle w:val="41"/>
        <w:widowControl w:val="0"/>
        <w:autoSpaceDE w:val="0"/>
        <w:autoSpaceDN w:val="0"/>
        <w:snapToGrid w:val="0"/>
        <w:spacing w:before="0" w:beforeAutospacing="0" w:after="0" w:afterAutospacing="0" w:line="360" w:lineRule="auto"/>
        <w:ind w:firstLine="420" w:firstLineChars="200"/>
        <w:rPr>
          <w:rFonts w:hint="eastAsia" w:cs="宋体"/>
          <w:snapToGrid w:val="0"/>
          <w:color w:val="000000"/>
          <w:sz w:val="21"/>
          <w:szCs w:val="21"/>
          <w:highlight w:val="none"/>
        </w:rPr>
      </w:pPr>
      <w:r>
        <w:rPr>
          <w:rFonts w:hint="eastAsia" w:cs="宋体"/>
          <w:snapToGrid w:val="0"/>
          <w:color w:val="000000"/>
          <w:sz w:val="21"/>
          <w:szCs w:val="21"/>
          <w:highlight w:val="none"/>
          <w:lang w:bidi="ar"/>
        </w:rPr>
        <w:t>本企业对上述声明内容的真实性负责。如有虚假，将依法承担相应责任。</w:t>
      </w:r>
    </w:p>
    <w:p w14:paraId="7A05C05D">
      <w:pPr>
        <w:pStyle w:val="41"/>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000000"/>
          <w:sz w:val="21"/>
          <w:szCs w:val="21"/>
          <w:highlight w:val="none"/>
          <w:lang w:bidi="ar"/>
        </w:rPr>
      </w:pPr>
      <w:r>
        <w:rPr>
          <w:rFonts w:hint="eastAsia" w:cs="宋体"/>
          <w:snapToGrid w:val="0"/>
          <w:color w:val="000000"/>
          <w:sz w:val="21"/>
          <w:szCs w:val="21"/>
          <w:highlight w:val="none"/>
          <w:lang w:bidi="ar"/>
        </w:rPr>
        <w:t>企业名称（盖章）：</w:t>
      </w:r>
    </w:p>
    <w:p w14:paraId="1978C215">
      <w:pPr>
        <w:pStyle w:val="41"/>
        <w:widowControl w:val="0"/>
        <w:autoSpaceDE w:val="0"/>
        <w:autoSpaceDN w:val="0"/>
        <w:snapToGrid w:val="0"/>
        <w:spacing w:before="35" w:beforeAutospacing="0" w:after="0" w:afterAutospacing="0" w:line="360" w:lineRule="auto"/>
        <w:ind w:left="4060" w:right="2166" w:firstLine="420" w:firstLineChars="200"/>
        <w:rPr>
          <w:rFonts w:hint="eastAsia" w:cs="宋体"/>
          <w:snapToGrid w:val="0"/>
          <w:color w:val="000000"/>
          <w:sz w:val="21"/>
          <w:szCs w:val="21"/>
          <w:highlight w:val="none"/>
          <w:lang w:bidi="ar"/>
        </w:rPr>
      </w:pPr>
      <w:r>
        <w:rPr>
          <w:rFonts w:hint="eastAsia" w:cs="宋体"/>
          <w:snapToGrid w:val="0"/>
          <w:color w:val="000000"/>
          <w:sz w:val="21"/>
          <w:szCs w:val="21"/>
          <w:highlight w:val="none"/>
          <w:lang w:bidi="ar"/>
        </w:rPr>
        <w:t>日期：</w:t>
      </w:r>
    </w:p>
    <w:p w14:paraId="5ABC3E39">
      <w:pPr>
        <w:pStyle w:val="41"/>
        <w:widowControl w:val="0"/>
        <w:autoSpaceDE w:val="0"/>
        <w:autoSpaceDN w:val="0"/>
        <w:snapToGrid w:val="0"/>
        <w:spacing w:before="0" w:beforeAutospacing="0" w:after="0" w:afterAutospacing="0" w:line="360" w:lineRule="auto"/>
        <w:ind w:firstLine="420" w:firstLineChars="200"/>
        <w:rPr>
          <w:rFonts w:hint="eastAsia" w:cs="宋体"/>
          <w:snapToGrid w:val="0"/>
          <w:color w:val="000000"/>
          <w:sz w:val="21"/>
          <w:szCs w:val="21"/>
          <w:highlight w:val="none"/>
          <w:lang w:bidi="ar"/>
        </w:rPr>
      </w:pPr>
      <w:r>
        <w:rPr>
          <w:rFonts w:hint="eastAsia" w:cs="宋体"/>
          <w:snapToGrid w:val="0"/>
          <w:color w:val="000000"/>
          <w:sz w:val="21"/>
          <w:szCs w:val="21"/>
          <w:highlight w:val="none"/>
          <w:lang w:bidi="ar"/>
        </w:rPr>
        <w:t>注一：不符合中小企业扶持政策的，或所有标的信息不能填写全面的，无需提供；请投标人务必全面、准确了解相关政策、产品及制造商等相关信息后，谨慎提交。</w:t>
      </w:r>
    </w:p>
    <w:p w14:paraId="2D5BB83A">
      <w:pPr>
        <w:tabs>
          <w:tab w:val="left" w:pos="1183"/>
          <w:tab w:val="left" w:pos="1484"/>
          <w:tab w:val="left" w:pos="4662"/>
          <w:tab w:val="left" w:pos="6903"/>
        </w:tabs>
        <w:snapToGrid w:val="0"/>
        <w:spacing w:line="360" w:lineRule="auto"/>
        <w:ind w:firstLine="442" w:firstLineChars="200"/>
        <w:rPr>
          <w:rFonts w:ascii="宋体" w:hAnsi="宋体"/>
          <w:b/>
          <w:color w:val="000000"/>
          <w:sz w:val="22"/>
          <w:szCs w:val="21"/>
          <w:highlight w:val="none"/>
        </w:rPr>
      </w:pPr>
      <w:r>
        <w:rPr>
          <w:rFonts w:hint="eastAsia" w:ascii="宋体" w:hAnsi="宋体"/>
          <w:b/>
          <w:color w:val="000000"/>
          <w:sz w:val="22"/>
          <w:szCs w:val="21"/>
          <w:highlight w:val="none"/>
        </w:rPr>
        <w:t>投标人须</w:t>
      </w:r>
      <w:r>
        <w:rPr>
          <w:rFonts w:ascii="宋体" w:hAnsi="宋体"/>
          <w:b/>
          <w:color w:val="000000"/>
          <w:sz w:val="22"/>
          <w:szCs w:val="21"/>
          <w:highlight w:val="none"/>
        </w:rPr>
        <w:t>对</w:t>
      </w:r>
      <w:r>
        <w:rPr>
          <w:rFonts w:hint="eastAsia" w:ascii="宋体" w:hAnsi="宋体"/>
          <w:b/>
          <w:color w:val="000000"/>
          <w:sz w:val="22"/>
          <w:szCs w:val="21"/>
          <w:highlight w:val="none"/>
        </w:rPr>
        <w:t>《中小企业声明函》</w:t>
      </w:r>
      <w:r>
        <w:rPr>
          <w:rFonts w:ascii="宋体" w:hAnsi="宋体"/>
          <w:b/>
          <w:color w:val="000000"/>
          <w:sz w:val="22"/>
          <w:szCs w:val="21"/>
          <w:highlight w:val="none"/>
        </w:rPr>
        <w:t>的真实性负责。如有虚假，</w:t>
      </w:r>
      <w:r>
        <w:rPr>
          <w:rFonts w:ascii="宋体" w:hAnsi="宋体"/>
          <w:b/>
          <w:color w:val="000000"/>
          <w:sz w:val="22"/>
          <w:szCs w:val="21"/>
          <w:highlight w:val="none"/>
          <w:lang w:bidi="ar"/>
        </w:rPr>
        <w:t>属于提供虚假材料谋取中标，</w:t>
      </w:r>
      <w:r>
        <w:rPr>
          <w:rFonts w:ascii="宋体" w:hAnsi="宋体"/>
          <w:b/>
          <w:color w:val="000000"/>
          <w:sz w:val="22"/>
          <w:szCs w:val="21"/>
          <w:highlight w:val="none"/>
        </w:rPr>
        <w:t>将依法</w:t>
      </w:r>
      <w:r>
        <w:rPr>
          <w:rFonts w:hint="eastAsia" w:ascii="宋体" w:hAnsi="宋体"/>
          <w:b/>
          <w:color w:val="000000"/>
          <w:sz w:val="22"/>
          <w:szCs w:val="21"/>
          <w:highlight w:val="none"/>
        </w:rPr>
        <w:t>追究</w:t>
      </w:r>
      <w:r>
        <w:rPr>
          <w:rFonts w:ascii="宋体" w:hAnsi="宋体"/>
          <w:b/>
          <w:color w:val="000000"/>
          <w:sz w:val="22"/>
          <w:szCs w:val="21"/>
          <w:highlight w:val="none"/>
        </w:rPr>
        <w:t>相应责任。</w:t>
      </w:r>
      <w:r>
        <w:rPr>
          <w:rFonts w:hint="eastAsia" w:ascii="宋体" w:hAnsi="宋体"/>
          <w:b/>
          <w:color w:val="000000"/>
          <w:sz w:val="22"/>
          <w:szCs w:val="21"/>
          <w:highlight w:val="none"/>
        </w:rPr>
        <w:t>投标人可自行登录工业和信息化部官网进行中小企业规模类型自测（查询网址https://www.miit.gov.cn/）。</w:t>
      </w:r>
    </w:p>
    <w:p w14:paraId="6EC47235">
      <w:pPr>
        <w:autoSpaceDE w:val="0"/>
        <w:autoSpaceDN w:val="0"/>
        <w:snapToGrid w:val="0"/>
        <w:spacing w:line="360" w:lineRule="auto"/>
        <w:ind w:left="80" w:leftChars="38" w:right="40"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注二：1.监狱企业无需</w:t>
      </w:r>
      <w:r>
        <w:rPr>
          <w:rFonts w:hint="eastAsia" w:ascii="宋体" w:hAnsi="宋体" w:cs="宋体"/>
          <w:color w:val="000000"/>
          <w:spacing w:val="6"/>
          <w:sz w:val="22"/>
          <w:highlight w:val="none"/>
        </w:rPr>
        <w:t>提供</w:t>
      </w:r>
      <w:r>
        <w:rPr>
          <w:rFonts w:hint="eastAsia" w:ascii="宋体" w:hAnsi="宋体" w:cs="宋体"/>
          <w:color w:val="000000"/>
          <w:szCs w:val="21"/>
          <w:highlight w:val="none"/>
        </w:rPr>
        <w:t>《中小企业声明函》，需要提供由省级以上监狱管理局、戒毒管理局(含新疆生产建设兵团)出具的属于监狱企业的证明文件。</w:t>
      </w:r>
    </w:p>
    <w:p w14:paraId="143FDE0F">
      <w:pPr>
        <w:autoSpaceDE w:val="0"/>
        <w:autoSpaceDN w:val="0"/>
        <w:snapToGrid w:val="0"/>
        <w:spacing w:line="360" w:lineRule="auto"/>
        <w:ind w:left="80" w:leftChars="38" w:right="40"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2.残疾人福利性单位无需提供《中小企业声明函》，提供以下格式的《残疾人福利性单位声明函》。</w:t>
      </w:r>
    </w:p>
    <w:p w14:paraId="799E8BE1">
      <w:pPr>
        <w:spacing w:line="360" w:lineRule="auto"/>
        <w:rPr>
          <w:rFonts w:hint="eastAsia" w:ascii="宋体" w:hAnsi="宋体" w:cs="宋体"/>
          <w:color w:val="000000"/>
          <w:highlight w:val="none"/>
        </w:rPr>
      </w:pPr>
      <w:bookmarkStart w:id="862" w:name="OLE_LINK14"/>
      <w:bookmarkStart w:id="863" w:name="OLE_LINK13"/>
    </w:p>
    <w:p w14:paraId="0721E8F1">
      <w:pPr>
        <w:spacing w:line="360" w:lineRule="auto"/>
        <w:rPr>
          <w:rFonts w:hint="eastAsia" w:ascii="宋体" w:hAnsi="宋体" w:cs="宋体"/>
          <w:color w:val="000000"/>
          <w:highlight w:val="none"/>
        </w:rPr>
      </w:pPr>
    </w:p>
    <w:p w14:paraId="49E5B1A7">
      <w:pPr>
        <w:rPr>
          <w:rFonts w:hint="eastAsia" w:ascii="宋体" w:hAnsi="宋体" w:cs="宋体"/>
          <w:color w:val="000000"/>
          <w:highlight w:val="none"/>
        </w:rPr>
      </w:pPr>
    </w:p>
    <w:p w14:paraId="2BF055FF">
      <w:pPr>
        <w:pStyle w:val="26"/>
        <w:spacing w:line="360" w:lineRule="auto"/>
        <w:jc w:val="center"/>
        <w:rPr>
          <w:rFonts w:hint="eastAsia" w:hAnsi="宋体" w:cs="宋体"/>
          <w:b/>
          <w:color w:val="000000"/>
          <w:spacing w:val="6"/>
          <w:szCs w:val="24"/>
          <w:highlight w:val="none"/>
        </w:rPr>
      </w:pPr>
      <w:r>
        <w:rPr>
          <w:rFonts w:hint="eastAsia" w:hAnsi="宋体" w:cs="宋体"/>
          <w:b/>
          <w:color w:val="000000"/>
          <w:spacing w:val="6"/>
          <w:szCs w:val="24"/>
          <w:highlight w:val="none"/>
        </w:rPr>
        <w:t>残疾人福利性单位声明函</w:t>
      </w:r>
    </w:p>
    <w:bookmarkEnd w:id="862"/>
    <w:bookmarkEnd w:id="863"/>
    <w:p w14:paraId="58D243C9">
      <w:pPr>
        <w:autoSpaceDE w:val="0"/>
        <w:autoSpaceDN w:val="0"/>
        <w:snapToGrid w:val="0"/>
        <w:spacing w:line="360" w:lineRule="auto"/>
        <w:ind w:left="80" w:leftChars="38" w:right="40" w:firstLine="464" w:firstLineChars="200"/>
        <w:rPr>
          <w:rFonts w:hint="eastAsia" w:ascii="宋体" w:hAnsi="宋体" w:cs="宋体"/>
          <w:color w:val="000000"/>
          <w:spacing w:val="6"/>
          <w:sz w:val="22"/>
          <w:highlight w:val="none"/>
        </w:rPr>
      </w:pPr>
      <w:r>
        <w:rPr>
          <w:rFonts w:hint="eastAsia" w:ascii="宋体" w:hAnsi="宋体" w:cs="宋体"/>
          <w:color w:val="000000"/>
          <w:spacing w:val="6"/>
          <w:sz w:val="22"/>
          <w:highlight w:val="none"/>
        </w:rPr>
        <w:t>本单位郑重声明，根据</w:t>
      </w:r>
      <w:r>
        <w:rPr>
          <w:rFonts w:hint="eastAsia" w:ascii="宋体" w:hAnsi="宋体" w:cs="宋体"/>
          <w:color w:val="000000"/>
          <w:sz w:val="22"/>
          <w:highlight w:val="none"/>
          <w:lang w:val="zh-CN"/>
        </w:rPr>
        <w:t>《财政部 民政部 中国残疾人联合会关于促进残疾人就业政府采购政策的通知》</w:t>
      </w:r>
      <w:r>
        <w:rPr>
          <w:rFonts w:hint="eastAsia" w:ascii="宋体" w:hAnsi="宋体" w:cs="宋体"/>
          <w:color w:val="000000"/>
          <w:spacing w:val="6"/>
          <w:sz w:val="22"/>
          <w:highlight w:val="none"/>
        </w:rPr>
        <w:t>（财库</w:t>
      </w:r>
      <w:r>
        <w:rPr>
          <w:rFonts w:hint="eastAsia" w:ascii="宋体" w:hAnsi="宋体" w:cs="宋体"/>
          <w:color w:val="000000"/>
          <w:sz w:val="22"/>
          <w:highlight w:val="none"/>
        </w:rPr>
        <w:t>〔2017〕141</w:t>
      </w:r>
      <w:r>
        <w:rPr>
          <w:rFonts w:hint="eastAsia" w:ascii="宋体" w:hAnsi="宋体" w:cs="宋体"/>
          <w:color w:val="000000"/>
          <w:spacing w:val="6"/>
          <w:sz w:val="22"/>
          <w:highlight w:val="none"/>
        </w:rPr>
        <w:t>号）的规定，本单位为符合条件的残疾人福利性单位，且本单位参加</w:t>
      </w:r>
      <w:r>
        <w:rPr>
          <w:rFonts w:hint="eastAsia" w:ascii="宋体" w:hAnsi="宋体" w:cs="宋体"/>
          <w:color w:val="000000"/>
          <w:spacing w:val="6"/>
          <w:sz w:val="22"/>
          <w:highlight w:val="none"/>
          <w:u w:val="single"/>
        </w:rPr>
        <w:t>______</w:t>
      </w:r>
      <w:r>
        <w:rPr>
          <w:rFonts w:hint="eastAsia" w:ascii="宋体" w:hAnsi="宋体" w:cs="宋体"/>
          <w:color w:val="000000"/>
          <w:spacing w:val="6"/>
          <w:sz w:val="22"/>
          <w:highlight w:val="none"/>
        </w:rPr>
        <w:t>单位的</w:t>
      </w:r>
      <w:r>
        <w:rPr>
          <w:rFonts w:hint="eastAsia" w:ascii="宋体" w:hAnsi="宋体" w:cs="宋体"/>
          <w:color w:val="000000"/>
          <w:spacing w:val="6"/>
          <w:sz w:val="22"/>
          <w:highlight w:val="none"/>
          <w:u w:val="single"/>
        </w:rPr>
        <w:t>______</w:t>
      </w:r>
      <w:r>
        <w:rPr>
          <w:rFonts w:hint="eastAsia" w:ascii="宋体" w:hAnsi="宋体" w:cs="宋体"/>
          <w:color w:val="000000"/>
          <w:spacing w:val="6"/>
          <w:sz w:val="22"/>
          <w:highlight w:val="none"/>
        </w:rPr>
        <w:t>项目采购活动提供本单位制造的货物（由本单位承担工程/提供服务），或者提供其他残疾人福利性单位制造的货物（不包括使用非残疾人福利性单位注册商标的货物）。</w:t>
      </w:r>
    </w:p>
    <w:p w14:paraId="37CD74A4">
      <w:pPr>
        <w:autoSpaceDE w:val="0"/>
        <w:autoSpaceDN w:val="0"/>
        <w:snapToGrid w:val="0"/>
        <w:spacing w:line="360" w:lineRule="auto"/>
        <w:ind w:left="80" w:leftChars="38" w:right="40" w:firstLine="464" w:firstLineChars="200"/>
        <w:rPr>
          <w:rFonts w:hint="eastAsia" w:ascii="宋体" w:hAnsi="宋体" w:cs="宋体"/>
          <w:color w:val="000000"/>
          <w:spacing w:val="6"/>
          <w:sz w:val="22"/>
          <w:highlight w:val="none"/>
        </w:rPr>
      </w:pPr>
      <w:r>
        <w:rPr>
          <w:rFonts w:hint="eastAsia" w:ascii="宋体" w:hAnsi="宋体" w:cs="宋体"/>
          <w:color w:val="000000"/>
          <w:spacing w:val="6"/>
          <w:sz w:val="22"/>
          <w:highlight w:val="none"/>
        </w:rPr>
        <w:t>本单位对上述声明的真实性负责。如有虚假，将依法承担相应责任。</w:t>
      </w:r>
    </w:p>
    <w:p w14:paraId="16E4542A">
      <w:pPr>
        <w:autoSpaceDE w:val="0"/>
        <w:autoSpaceDN w:val="0"/>
        <w:snapToGrid w:val="0"/>
        <w:spacing w:line="360" w:lineRule="auto"/>
        <w:ind w:left="80" w:leftChars="38" w:right="40" w:firstLine="464" w:firstLineChars="200"/>
        <w:rPr>
          <w:rFonts w:hint="eastAsia" w:ascii="宋体" w:hAnsi="宋体" w:cs="宋体"/>
          <w:color w:val="000000"/>
          <w:spacing w:val="6"/>
          <w:sz w:val="22"/>
          <w:highlight w:val="none"/>
        </w:rPr>
      </w:pPr>
      <w:r>
        <w:rPr>
          <w:rFonts w:hint="eastAsia" w:ascii="宋体" w:hAnsi="宋体" w:cs="宋体"/>
          <w:color w:val="000000"/>
          <w:spacing w:val="6"/>
          <w:sz w:val="22"/>
          <w:highlight w:val="none"/>
        </w:rPr>
        <w:t xml:space="preserve">               单位名称：</w:t>
      </w:r>
      <w:r>
        <w:rPr>
          <w:rFonts w:hint="eastAsia" w:ascii="宋体" w:hAnsi="宋体" w:cs="宋体"/>
          <w:color w:val="000000"/>
          <w:spacing w:val="6"/>
          <w:sz w:val="22"/>
          <w:highlight w:val="none"/>
          <w:u w:val="single"/>
        </w:rPr>
        <w:t xml:space="preserve">          </w:t>
      </w:r>
      <w:r>
        <w:rPr>
          <w:rFonts w:hint="eastAsia" w:ascii="宋体" w:hAnsi="宋体" w:cs="宋体"/>
          <w:color w:val="000000"/>
          <w:spacing w:val="6"/>
          <w:sz w:val="22"/>
          <w:highlight w:val="none"/>
        </w:rPr>
        <w:t>（盖单位章）</w:t>
      </w:r>
    </w:p>
    <w:p w14:paraId="307DF176">
      <w:pPr>
        <w:autoSpaceDE w:val="0"/>
        <w:autoSpaceDN w:val="0"/>
        <w:snapToGrid w:val="0"/>
        <w:spacing w:line="360" w:lineRule="auto"/>
        <w:ind w:left="80" w:leftChars="38" w:right="40" w:firstLine="464" w:firstLineChars="200"/>
        <w:rPr>
          <w:rFonts w:hint="eastAsia" w:ascii="宋体" w:hAnsi="宋体" w:cs="宋体"/>
          <w:color w:val="000000"/>
          <w:sz w:val="24"/>
          <w:highlight w:val="none"/>
        </w:rPr>
      </w:pPr>
      <w:r>
        <w:rPr>
          <w:rFonts w:hint="eastAsia" w:ascii="宋体" w:hAnsi="宋体" w:cs="宋体"/>
          <w:color w:val="000000"/>
          <w:spacing w:val="6"/>
          <w:sz w:val="22"/>
          <w:highlight w:val="none"/>
        </w:rPr>
        <w:t xml:space="preserve">               日  期：</w:t>
      </w:r>
      <w:r>
        <w:rPr>
          <w:rFonts w:hint="eastAsia" w:ascii="宋体" w:hAnsi="宋体" w:cs="宋体"/>
          <w:color w:val="000000"/>
          <w:spacing w:val="6"/>
          <w:sz w:val="22"/>
          <w:highlight w:val="none"/>
          <w:u w:val="single"/>
        </w:rPr>
        <w:t xml:space="preserve">                   </w:t>
      </w:r>
      <w:r>
        <w:rPr>
          <w:rFonts w:hint="eastAsia" w:ascii="宋体" w:hAnsi="宋体" w:cs="宋体"/>
          <w:color w:val="000000"/>
          <w:spacing w:val="6"/>
          <w:sz w:val="22"/>
          <w:highlight w:val="none"/>
          <w:u w:val="single"/>
        </w:rPr>
        <w:br w:type="page"/>
      </w:r>
      <w:r>
        <w:rPr>
          <w:rFonts w:hint="eastAsia" w:ascii="宋体" w:hAnsi="宋体" w:cs="宋体"/>
          <w:color w:val="000000"/>
          <w:sz w:val="24"/>
          <w:highlight w:val="none"/>
        </w:rPr>
        <w:t>附：</w:t>
      </w:r>
    </w:p>
    <w:p w14:paraId="0CE7044C">
      <w:pPr>
        <w:widowControl/>
        <w:jc w:val="center"/>
        <w:rPr>
          <w:rFonts w:hint="eastAsia" w:ascii="宋体" w:hAnsi="宋体" w:cs="宋体"/>
          <w:b/>
          <w:color w:val="000000"/>
          <w:sz w:val="24"/>
          <w:szCs w:val="21"/>
          <w:highlight w:val="none"/>
        </w:rPr>
      </w:pPr>
      <w:r>
        <w:rPr>
          <w:rFonts w:hint="eastAsia" w:ascii="宋体" w:hAnsi="宋体" w:cs="宋体"/>
          <w:b/>
          <w:color w:val="000000"/>
          <w:sz w:val="24"/>
          <w:szCs w:val="21"/>
          <w:highlight w:val="none"/>
        </w:rPr>
        <w:t>工业和信息化部、国家统计局、国家发展和改革委员会、财政部关于印发中小企业划型标准规定的通知</w:t>
      </w:r>
    </w:p>
    <w:p w14:paraId="40103982">
      <w:pPr>
        <w:widowControl/>
        <w:jc w:val="center"/>
        <w:rPr>
          <w:rFonts w:hint="eastAsia" w:ascii="宋体" w:hAnsi="宋体" w:cs="宋体"/>
          <w:b/>
          <w:color w:val="000000"/>
          <w:sz w:val="24"/>
          <w:szCs w:val="21"/>
          <w:highlight w:val="none"/>
        </w:rPr>
      </w:pPr>
      <w:r>
        <w:rPr>
          <w:rFonts w:hint="eastAsia" w:ascii="宋体" w:hAnsi="宋体" w:cs="宋体"/>
          <w:b/>
          <w:color w:val="000000"/>
          <w:sz w:val="24"/>
          <w:szCs w:val="21"/>
          <w:highlight w:val="none"/>
        </w:rPr>
        <w:t>（工信部联企业〔2011〕300号）</w:t>
      </w:r>
    </w:p>
    <w:p w14:paraId="100462FA">
      <w:pPr>
        <w:widowControl/>
        <w:adjustRightInd w:val="0"/>
        <w:snapToGrid w:val="0"/>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各省、自治区、直辖市人民政府，国务院各部委、各直属机构及有关单位：</w:t>
      </w:r>
    </w:p>
    <w:p w14:paraId="760AC5E9">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59027B96">
      <w:pPr>
        <w:widowControl/>
        <w:jc w:val="right"/>
        <w:rPr>
          <w:rFonts w:hint="eastAsia" w:ascii="宋体" w:hAnsi="宋体" w:cs="宋体"/>
          <w:color w:val="000000"/>
          <w:szCs w:val="21"/>
          <w:highlight w:val="none"/>
        </w:rPr>
      </w:pPr>
      <w:r>
        <w:rPr>
          <w:rFonts w:hint="eastAsia" w:ascii="宋体" w:hAnsi="宋体" w:cs="宋体"/>
          <w:color w:val="000000"/>
          <w:szCs w:val="21"/>
          <w:highlight w:val="none"/>
        </w:rPr>
        <w:t>工业和信息化部</w:t>
      </w:r>
    </w:p>
    <w:p w14:paraId="4FA67BD9">
      <w:pPr>
        <w:widowControl/>
        <w:jc w:val="right"/>
        <w:rPr>
          <w:rFonts w:hint="eastAsia" w:ascii="宋体" w:hAnsi="宋体" w:cs="宋体"/>
          <w:color w:val="000000"/>
          <w:szCs w:val="21"/>
          <w:highlight w:val="none"/>
        </w:rPr>
      </w:pPr>
      <w:r>
        <w:rPr>
          <w:rFonts w:hint="eastAsia" w:ascii="宋体" w:hAnsi="宋体" w:cs="宋体"/>
          <w:color w:val="000000"/>
          <w:szCs w:val="21"/>
          <w:highlight w:val="none"/>
        </w:rPr>
        <w:t>国家统计局</w:t>
      </w:r>
    </w:p>
    <w:p w14:paraId="4A6E0A5B">
      <w:pPr>
        <w:widowControl/>
        <w:jc w:val="right"/>
        <w:rPr>
          <w:rFonts w:hint="eastAsia" w:ascii="宋体" w:hAnsi="宋体" w:cs="宋体"/>
          <w:color w:val="000000"/>
          <w:szCs w:val="21"/>
          <w:highlight w:val="none"/>
        </w:rPr>
      </w:pPr>
      <w:r>
        <w:rPr>
          <w:rFonts w:hint="eastAsia" w:ascii="宋体" w:hAnsi="宋体" w:cs="宋体"/>
          <w:color w:val="000000"/>
          <w:szCs w:val="21"/>
          <w:highlight w:val="none"/>
        </w:rPr>
        <w:t>国家发展和改革委员会</w:t>
      </w:r>
    </w:p>
    <w:p w14:paraId="20D6AC1A">
      <w:pPr>
        <w:widowControl/>
        <w:jc w:val="right"/>
        <w:rPr>
          <w:rFonts w:hint="eastAsia" w:ascii="宋体" w:hAnsi="宋体" w:cs="宋体"/>
          <w:color w:val="000000"/>
          <w:szCs w:val="21"/>
          <w:highlight w:val="none"/>
        </w:rPr>
      </w:pPr>
      <w:r>
        <w:rPr>
          <w:rFonts w:hint="eastAsia" w:ascii="宋体" w:hAnsi="宋体" w:cs="宋体"/>
          <w:color w:val="000000"/>
          <w:szCs w:val="21"/>
          <w:highlight w:val="none"/>
        </w:rPr>
        <w:t>财政部</w:t>
      </w:r>
    </w:p>
    <w:p w14:paraId="0AFAD24C">
      <w:pPr>
        <w:widowControl/>
        <w:jc w:val="right"/>
        <w:rPr>
          <w:rFonts w:hint="eastAsia" w:ascii="宋体" w:hAnsi="宋体" w:cs="宋体"/>
          <w:color w:val="000000"/>
          <w:szCs w:val="21"/>
          <w:highlight w:val="none"/>
        </w:rPr>
      </w:pPr>
      <w:r>
        <w:rPr>
          <w:rFonts w:hint="eastAsia" w:ascii="宋体" w:hAnsi="宋体" w:cs="宋体"/>
          <w:color w:val="000000"/>
          <w:szCs w:val="21"/>
          <w:highlight w:val="none"/>
        </w:rPr>
        <w:t>二○一一年六月十八日</w:t>
      </w:r>
    </w:p>
    <w:p w14:paraId="59532716">
      <w:pPr>
        <w:widowControl/>
        <w:spacing w:line="360" w:lineRule="auto"/>
        <w:jc w:val="center"/>
        <w:rPr>
          <w:rFonts w:hint="eastAsia" w:ascii="宋体" w:hAnsi="宋体" w:cs="宋体"/>
          <w:b/>
          <w:color w:val="000000"/>
          <w:szCs w:val="21"/>
          <w:highlight w:val="none"/>
        </w:rPr>
      </w:pPr>
      <w:r>
        <w:rPr>
          <w:rFonts w:hint="eastAsia" w:ascii="宋体" w:hAnsi="宋体" w:cs="宋体"/>
          <w:b/>
          <w:color w:val="000000"/>
          <w:szCs w:val="21"/>
          <w:highlight w:val="none"/>
        </w:rPr>
        <w:t>中小企业划型标准规定</w:t>
      </w:r>
    </w:p>
    <w:p w14:paraId="52BDB7AC">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一、根据《中华人民共和国中小企业促进法》和《国务院关于进一步促进中小企业发展的若干意见》（国发〔2009〕36号），制定本规定。</w:t>
      </w:r>
    </w:p>
    <w:p w14:paraId="1DDB5F45">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二、中小企业划分为中型、小型、微型三种类型，具体标准根据企业从业人员、营业收入、资产总额等指标，结合行业特点制定。</w:t>
      </w:r>
    </w:p>
    <w:p w14:paraId="087B9ABA">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CF2E47A">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四、各行业划型标准为：</w:t>
      </w:r>
    </w:p>
    <w:p w14:paraId="4DC3F932">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（一）农、林、牧、渔业。营业收入20000万元以下的为中小微型企业。其中，营业收入500万元及以上的为中型企业，营业收入50万元及以上的为小型企业，营业收入50万元以下的为微型企业。</w:t>
      </w:r>
    </w:p>
    <w:p w14:paraId="715B2434">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EA2E05A">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37C94DD">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BE3CC68">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EF491B8">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FA018AB">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7E01163">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3870182">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C67527">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A3B62AF">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23863D6">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9BF1970">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E508E83">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BB56230">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1B7CB5E">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（十六）其他未列明行业。从业人员300人以下的为中小微型企业。其中，从业人员100人及以上的为中型企业；从业人员10人及以上的为小型企业；从业人员10人以下的为微型企业。</w:t>
      </w:r>
    </w:p>
    <w:p w14:paraId="44AB3FD1">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五、企业类型的划分以统计部门的统计数据为依据。</w:t>
      </w:r>
    </w:p>
    <w:p w14:paraId="5595696F">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六、本规定适用于在中华人民共和国境内依法设立的各类所有制和各种组织形式的企业。个体工商户和本规定以外的行业，参照本规定进行划型。</w:t>
      </w:r>
    </w:p>
    <w:p w14:paraId="49787A79">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2477F1B5">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八、本规定由工业和信息化部、国家统计局会同有关部门根据《国民经济行业分类》修订情况和企业发展变化情况适时修订。</w:t>
      </w:r>
    </w:p>
    <w:p w14:paraId="4BD4F8D2">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九、本规定由工业和信息化部、国家统计局会同有关部门负责解释。</w:t>
      </w:r>
    </w:p>
    <w:p w14:paraId="736F866B">
      <w:pPr>
        <w:widowControl/>
        <w:adjustRightInd w:val="0"/>
        <w:snapToGrid w:val="0"/>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十、本规定自发布之日起执行，原国家经贸委、原国家计委、财政部和国家统计局2003年颁布的《中小企业标准暂行规定》同时废止。</w:t>
      </w:r>
    </w:p>
    <w:p w14:paraId="2F53808C">
      <w:pPr>
        <w:widowControl/>
        <w:spacing w:line="200" w:lineRule="atLeast"/>
        <w:rPr>
          <w:rFonts w:hint="eastAsia" w:ascii="宋体" w:hAnsi="宋体" w:cs="宋体"/>
          <w:color w:val="000000"/>
          <w:kern w:val="0"/>
          <w:sz w:val="20"/>
          <w:szCs w:val="20"/>
          <w:highlight w:val="none"/>
        </w:rPr>
        <w:sectPr>
          <w:footnotePr>
            <w:numRestart w:val="eachPage"/>
          </w:footnotePr>
          <w:pgSz w:w="11906" w:h="16838"/>
          <w:pgMar w:top="1134" w:right="1134" w:bottom="1134" w:left="1134" w:header="851" w:footer="851" w:gutter="0"/>
          <w:cols w:space="720" w:num="1"/>
          <w:docGrid w:linePitch="312" w:charSpace="0"/>
        </w:sectPr>
      </w:pPr>
    </w:p>
    <w:p w14:paraId="6B2D02F9">
      <w:pPr>
        <w:pStyle w:val="3"/>
        <w:widowControl/>
        <w:spacing w:before="120" w:after="120" w:line="240" w:lineRule="auto"/>
        <w:jc w:val="center"/>
        <w:rPr>
          <w:rFonts w:hint="eastAsia" w:ascii="宋体" w:hAnsi="宋体" w:cs="宋体"/>
          <w:color w:val="000000"/>
          <w:kern w:val="0"/>
          <w:sz w:val="28"/>
          <w:szCs w:val="28"/>
          <w:highlight w:val="none"/>
        </w:rPr>
      </w:pPr>
      <w:r>
        <w:rPr>
          <w:rFonts w:hint="eastAsia" w:ascii="宋体" w:hAnsi="宋体" w:cs="宋体"/>
          <w:bCs w:val="0"/>
          <w:color w:val="000000"/>
          <w:kern w:val="0"/>
          <w:sz w:val="28"/>
          <w:szCs w:val="28"/>
          <w:highlight w:val="none"/>
        </w:rPr>
        <w:t>六、</w:t>
      </w:r>
      <w:r>
        <w:rPr>
          <w:rFonts w:hint="eastAsia" w:ascii="宋体" w:hAnsi="宋体" w:cs="宋体"/>
          <w:color w:val="000000"/>
          <w:kern w:val="0"/>
          <w:sz w:val="28"/>
          <w:szCs w:val="28"/>
          <w:highlight w:val="none"/>
        </w:rPr>
        <w:t>法定代表人（单位负责人）身份证明或授权委托书</w:t>
      </w:r>
    </w:p>
    <w:p w14:paraId="6252291C">
      <w:pPr>
        <w:jc w:val="center"/>
        <w:rPr>
          <w:rFonts w:hint="eastAsia" w:ascii="宋体" w:hAnsi="宋体" w:cs="宋体"/>
          <w:b/>
          <w:color w:val="000000"/>
          <w:highlight w:val="none"/>
        </w:rPr>
      </w:pPr>
      <w:r>
        <w:rPr>
          <w:rFonts w:hint="eastAsia" w:ascii="宋体" w:hAnsi="宋体" w:cs="宋体"/>
          <w:b/>
          <w:color w:val="000000"/>
          <w:kern w:val="0"/>
          <w:sz w:val="28"/>
          <w:szCs w:val="28"/>
          <w:highlight w:val="none"/>
        </w:rPr>
        <w:t>法定代表人（单位负责人）身份证明</w:t>
      </w:r>
    </w:p>
    <w:p w14:paraId="2F805FE6">
      <w:pPr>
        <w:widowControl/>
        <w:spacing w:line="360" w:lineRule="auto"/>
        <w:rPr>
          <w:rFonts w:hint="eastAsia" w:ascii="宋体" w:hAnsi="宋体" w:cs="宋体"/>
          <w:color w:val="000000"/>
          <w:spacing w:val="3"/>
          <w:kern w:val="0"/>
          <w:highlight w:val="none"/>
        </w:rPr>
      </w:pPr>
      <w:r>
        <w:rPr>
          <w:rFonts w:hint="eastAsia" w:ascii="宋体" w:hAnsi="宋体" w:cs="宋体"/>
          <w:color w:val="000000"/>
          <w:kern w:val="0"/>
          <w:highlight w:val="none"/>
        </w:rPr>
        <w:t>投标人名称：</w:t>
      </w:r>
      <w:r>
        <w:rPr>
          <w:rFonts w:hint="eastAsia" w:ascii="宋体" w:hAnsi="宋体" w:cs="宋体"/>
          <w:color w:val="000000"/>
          <w:kern w:val="0"/>
          <w:highlight w:val="none"/>
          <w:u w:val="single"/>
        </w:rPr>
        <w:t xml:space="preserve">                                                      </w:t>
      </w:r>
      <w:r>
        <w:rPr>
          <w:rFonts w:hint="eastAsia" w:ascii="宋体" w:hAnsi="宋体" w:cs="宋体"/>
          <w:color w:val="000000"/>
          <w:spacing w:val="3"/>
          <w:kern w:val="0"/>
          <w:highlight w:val="none"/>
          <w:u w:val="single"/>
        </w:rPr>
        <w:t xml:space="preserve"> </w:t>
      </w:r>
      <w:r>
        <w:rPr>
          <w:rFonts w:hint="eastAsia" w:ascii="宋体" w:hAnsi="宋体" w:cs="宋体"/>
          <w:color w:val="000000"/>
          <w:spacing w:val="3"/>
          <w:kern w:val="0"/>
          <w:highlight w:val="none"/>
        </w:rPr>
        <w:t xml:space="preserve"> </w:t>
      </w:r>
    </w:p>
    <w:p w14:paraId="2A33EC86">
      <w:pPr>
        <w:widowControl/>
        <w:spacing w:line="360" w:lineRule="auto"/>
        <w:rPr>
          <w:rFonts w:hint="eastAsia" w:ascii="宋体" w:hAnsi="宋体" w:cs="宋体"/>
          <w:color w:val="000000"/>
          <w:spacing w:val="26"/>
          <w:kern w:val="0"/>
          <w:highlight w:val="none"/>
        </w:rPr>
      </w:pPr>
      <w:r>
        <w:rPr>
          <w:rFonts w:hint="eastAsia" w:ascii="宋体" w:hAnsi="宋体" w:cs="宋体"/>
          <w:color w:val="000000"/>
          <w:kern w:val="0"/>
          <w:highlight w:val="none"/>
        </w:rPr>
        <w:t>单位</w:t>
      </w:r>
      <w:r>
        <w:rPr>
          <w:rFonts w:hint="eastAsia" w:ascii="宋体" w:hAnsi="宋体" w:cs="宋体"/>
          <w:color w:val="000000"/>
          <w:spacing w:val="-1"/>
          <w:kern w:val="0"/>
          <w:highlight w:val="none"/>
        </w:rPr>
        <w:t>性</w:t>
      </w:r>
      <w:r>
        <w:rPr>
          <w:rFonts w:hint="eastAsia" w:ascii="宋体" w:hAnsi="宋体" w:cs="宋体"/>
          <w:color w:val="000000"/>
          <w:kern w:val="0"/>
          <w:highlight w:val="none"/>
        </w:rPr>
        <w:t>质：</w:t>
      </w:r>
      <w:r>
        <w:rPr>
          <w:rFonts w:hint="eastAsia" w:ascii="宋体" w:hAnsi="宋体" w:cs="宋体"/>
          <w:color w:val="000000"/>
          <w:kern w:val="0"/>
          <w:highlight w:val="none"/>
          <w:u w:val="single"/>
        </w:rPr>
        <w:t xml:space="preserve">                                                       </w:t>
      </w:r>
      <w:r>
        <w:rPr>
          <w:rFonts w:hint="eastAsia" w:ascii="宋体" w:hAnsi="宋体" w:cs="宋体"/>
          <w:color w:val="000000"/>
          <w:spacing w:val="26"/>
          <w:kern w:val="0"/>
          <w:highlight w:val="none"/>
          <w:u w:val="single"/>
        </w:rPr>
        <w:t xml:space="preserve"> </w:t>
      </w:r>
      <w:r>
        <w:rPr>
          <w:rFonts w:hint="eastAsia" w:ascii="宋体" w:hAnsi="宋体" w:cs="宋体"/>
          <w:color w:val="000000"/>
          <w:spacing w:val="26"/>
          <w:kern w:val="0"/>
          <w:highlight w:val="none"/>
        </w:rPr>
        <w:t xml:space="preserve"> </w:t>
      </w:r>
    </w:p>
    <w:p w14:paraId="20943A8C">
      <w:pPr>
        <w:widowControl/>
        <w:spacing w:line="360" w:lineRule="auto"/>
        <w:rPr>
          <w:rFonts w:hint="eastAsia" w:ascii="宋体" w:hAnsi="宋体" w:cs="宋体"/>
          <w:color w:val="000000"/>
          <w:spacing w:val="10"/>
          <w:kern w:val="0"/>
          <w:highlight w:val="none"/>
        </w:rPr>
      </w:pPr>
      <w:r>
        <w:rPr>
          <w:rFonts w:hint="eastAsia" w:ascii="宋体" w:hAnsi="宋体" w:cs="宋体"/>
          <w:color w:val="000000"/>
          <w:kern w:val="0"/>
          <w:highlight w:val="none"/>
        </w:rPr>
        <w:t>地    址</w:t>
      </w:r>
      <w:r>
        <w:rPr>
          <w:rFonts w:hint="eastAsia" w:ascii="宋体" w:hAnsi="宋体" w:cs="宋体"/>
          <w:color w:val="000000"/>
          <w:spacing w:val="-1"/>
          <w:kern w:val="0"/>
          <w:highlight w:val="none"/>
        </w:rPr>
        <w:t>：</w:t>
      </w:r>
      <w:r>
        <w:rPr>
          <w:rFonts w:hint="eastAsia" w:ascii="宋体" w:hAnsi="宋体" w:cs="宋体"/>
          <w:color w:val="000000"/>
          <w:kern w:val="0"/>
          <w:highlight w:val="none"/>
          <w:u w:val="single"/>
        </w:rPr>
        <w:t xml:space="preserve">                                                       </w:t>
      </w:r>
      <w:r>
        <w:rPr>
          <w:rFonts w:hint="eastAsia" w:ascii="宋体" w:hAnsi="宋体" w:cs="宋体"/>
          <w:color w:val="000000"/>
          <w:spacing w:val="10"/>
          <w:kern w:val="0"/>
          <w:highlight w:val="none"/>
          <w:u w:val="single"/>
        </w:rPr>
        <w:t xml:space="preserve"> </w:t>
      </w:r>
      <w:r>
        <w:rPr>
          <w:rFonts w:hint="eastAsia" w:ascii="宋体" w:hAnsi="宋体" w:cs="宋体"/>
          <w:color w:val="000000"/>
          <w:spacing w:val="10"/>
          <w:kern w:val="0"/>
          <w:highlight w:val="none"/>
        </w:rPr>
        <w:t xml:space="preserve"> </w:t>
      </w:r>
    </w:p>
    <w:p w14:paraId="0B21BDAB">
      <w:pPr>
        <w:widowControl/>
        <w:spacing w:line="360" w:lineRule="auto"/>
        <w:rPr>
          <w:rFonts w:hint="eastAsia" w:ascii="宋体" w:hAnsi="宋体" w:cs="宋体"/>
          <w:color w:val="000000"/>
          <w:kern w:val="0"/>
          <w:highlight w:val="none"/>
        </w:rPr>
      </w:pPr>
      <w:r>
        <w:rPr>
          <w:rFonts w:hint="eastAsia" w:ascii="宋体" w:hAnsi="宋体" w:cs="宋体"/>
          <w:color w:val="000000"/>
          <w:kern w:val="0"/>
          <w:highlight w:val="none"/>
        </w:rPr>
        <w:t>成立</w:t>
      </w:r>
      <w:r>
        <w:rPr>
          <w:rFonts w:hint="eastAsia" w:ascii="宋体" w:hAnsi="宋体" w:cs="宋体"/>
          <w:color w:val="000000"/>
          <w:spacing w:val="-1"/>
          <w:kern w:val="0"/>
          <w:highlight w:val="none"/>
        </w:rPr>
        <w:t>时</w:t>
      </w:r>
      <w:r>
        <w:rPr>
          <w:rFonts w:hint="eastAsia" w:ascii="宋体" w:hAnsi="宋体" w:cs="宋体"/>
          <w:color w:val="000000"/>
          <w:kern w:val="0"/>
          <w:highlight w:val="none"/>
        </w:rPr>
        <w:t>间：</w:t>
      </w:r>
      <w:r>
        <w:rPr>
          <w:rFonts w:hint="eastAsia" w:ascii="宋体" w:hAnsi="宋体" w:cs="宋体"/>
          <w:color w:val="000000"/>
          <w:kern w:val="0"/>
          <w:highlight w:val="none"/>
          <w:u w:val="single"/>
        </w:rPr>
        <w:t xml:space="preserve">      </w:t>
      </w:r>
      <w:r>
        <w:rPr>
          <w:rFonts w:hint="eastAsia" w:ascii="宋体" w:hAnsi="宋体" w:cs="宋体"/>
          <w:color w:val="000000"/>
          <w:spacing w:val="-6"/>
          <w:kern w:val="0"/>
          <w:highlight w:val="none"/>
          <w:u w:val="single"/>
        </w:rPr>
        <w:t xml:space="preserve"> </w:t>
      </w:r>
      <w:r>
        <w:rPr>
          <w:rFonts w:hint="eastAsia" w:ascii="宋体" w:hAnsi="宋体" w:cs="宋体"/>
          <w:color w:val="000000"/>
          <w:spacing w:val="-1"/>
          <w:kern w:val="0"/>
          <w:highlight w:val="none"/>
        </w:rPr>
        <w:t>年</w:t>
      </w:r>
      <w:r>
        <w:rPr>
          <w:rFonts w:hint="eastAsia" w:ascii="宋体" w:hAnsi="宋体" w:cs="宋体"/>
          <w:color w:val="000000"/>
          <w:kern w:val="0"/>
          <w:highlight w:val="none"/>
          <w:u w:val="single"/>
        </w:rPr>
        <w:t xml:space="preserve">  </w:t>
      </w:r>
      <w:r>
        <w:rPr>
          <w:rFonts w:hint="eastAsia" w:ascii="宋体" w:hAnsi="宋体" w:cs="宋体"/>
          <w:color w:val="000000"/>
          <w:spacing w:val="42"/>
          <w:kern w:val="0"/>
          <w:highlight w:val="none"/>
          <w:u w:val="single"/>
        </w:rPr>
        <w:t xml:space="preserve"> </w:t>
      </w:r>
      <w:r>
        <w:rPr>
          <w:rFonts w:hint="eastAsia" w:ascii="宋体" w:hAnsi="宋体" w:cs="宋体"/>
          <w:color w:val="000000"/>
          <w:kern w:val="0"/>
          <w:highlight w:val="none"/>
        </w:rPr>
        <w:t>月</w:t>
      </w:r>
      <w:r>
        <w:rPr>
          <w:rFonts w:hint="eastAsia" w:ascii="宋体" w:hAnsi="宋体" w:cs="宋体"/>
          <w:color w:val="000000"/>
          <w:kern w:val="0"/>
          <w:highlight w:val="none"/>
          <w:u w:val="single"/>
        </w:rPr>
        <w:t xml:space="preserve">   </w:t>
      </w:r>
      <w:r>
        <w:rPr>
          <w:rFonts w:hint="eastAsia" w:ascii="宋体" w:hAnsi="宋体" w:cs="宋体"/>
          <w:color w:val="000000"/>
          <w:spacing w:val="-49"/>
          <w:kern w:val="0"/>
          <w:highlight w:val="none"/>
        </w:rPr>
        <w:t xml:space="preserve"> </w:t>
      </w:r>
      <w:r>
        <w:rPr>
          <w:rFonts w:hint="eastAsia" w:ascii="宋体" w:hAnsi="宋体" w:cs="宋体"/>
          <w:color w:val="000000"/>
          <w:kern w:val="0"/>
          <w:highlight w:val="none"/>
        </w:rPr>
        <w:t xml:space="preserve">日 </w:t>
      </w:r>
    </w:p>
    <w:p w14:paraId="01DCA952">
      <w:pPr>
        <w:widowControl/>
        <w:spacing w:line="360" w:lineRule="auto"/>
        <w:rPr>
          <w:rFonts w:hint="eastAsia" w:ascii="宋体" w:hAnsi="宋体" w:cs="宋体"/>
          <w:color w:val="000000"/>
          <w:kern w:val="0"/>
          <w:highlight w:val="none"/>
        </w:rPr>
      </w:pPr>
      <w:r>
        <w:rPr>
          <w:rFonts w:hint="eastAsia" w:ascii="宋体" w:hAnsi="宋体" w:cs="宋体"/>
          <w:color w:val="000000"/>
          <w:kern w:val="0"/>
          <w:highlight w:val="none"/>
        </w:rPr>
        <w:t>经营</w:t>
      </w:r>
      <w:r>
        <w:rPr>
          <w:rFonts w:hint="eastAsia" w:ascii="宋体" w:hAnsi="宋体" w:cs="宋体"/>
          <w:color w:val="000000"/>
          <w:spacing w:val="-1"/>
          <w:kern w:val="0"/>
          <w:highlight w:val="none"/>
        </w:rPr>
        <w:t>期</w:t>
      </w:r>
      <w:r>
        <w:rPr>
          <w:rFonts w:hint="eastAsia" w:ascii="宋体" w:hAnsi="宋体" w:cs="宋体"/>
          <w:color w:val="000000"/>
          <w:kern w:val="0"/>
          <w:highlight w:val="none"/>
        </w:rPr>
        <w:t>限：</w:t>
      </w:r>
      <w:r>
        <w:rPr>
          <w:rFonts w:hint="eastAsia" w:ascii="宋体" w:hAnsi="宋体" w:cs="宋体"/>
          <w:color w:val="000000"/>
          <w:kern w:val="0"/>
          <w:highlight w:val="none"/>
          <w:u w:val="single"/>
        </w:rPr>
        <w:t xml:space="preserve">                                                         </w:t>
      </w:r>
      <w:r>
        <w:rPr>
          <w:rFonts w:hint="eastAsia" w:ascii="宋体" w:hAnsi="宋体" w:cs="宋体"/>
          <w:color w:val="000000"/>
          <w:spacing w:val="26"/>
          <w:kern w:val="0"/>
          <w:highlight w:val="none"/>
          <w:u w:val="single"/>
        </w:rPr>
        <w:t xml:space="preserve"> </w:t>
      </w:r>
    </w:p>
    <w:p w14:paraId="3C718443">
      <w:pPr>
        <w:widowControl/>
        <w:spacing w:line="360" w:lineRule="auto"/>
        <w:rPr>
          <w:rFonts w:hint="eastAsia" w:ascii="宋体" w:hAnsi="宋体" w:cs="宋体"/>
          <w:color w:val="000000"/>
          <w:kern w:val="0"/>
          <w:highlight w:val="none"/>
        </w:rPr>
      </w:pPr>
      <w:r>
        <w:rPr>
          <w:rFonts w:hint="eastAsia" w:ascii="宋体" w:hAnsi="宋体" w:cs="宋体"/>
          <w:color w:val="000000"/>
          <w:kern w:val="0"/>
          <w:highlight w:val="none"/>
        </w:rPr>
        <w:t>姓名：</w:t>
      </w:r>
      <w:r>
        <w:rPr>
          <w:rFonts w:hint="eastAsia" w:ascii="宋体" w:hAnsi="宋体" w:cs="宋体"/>
          <w:color w:val="000000"/>
          <w:spacing w:val="42"/>
          <w:kern w:val="0"/>
          <w:highlight w:val="none"/>
          <w:u w:val="single"/>
        </w:rPr>
        <w:t xml:space="preserve"> </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rPr>
        <w:t>性别：</w:t>
      </w:r>
      <w:r>
        <w:rPr>
          <w:rFonts w:hint="eastAsia" w:ascii="宋体" w:hAnsi="宋体" w:cs="宋体"/>
          <w:color w:val="000000"/>
          <w:spacing w:val="42"/>
          <w:kern w:val="0"/>
          <w:highlight w:val="none"/>
          <w:u w:val="single"/>
        </w:rPr>
        <w:t xml:space="preserve">    </w:t>
      </w:r>
      <w:r>
        <w:rPr>
          <w:rFonts w:hint="eastAsia" w:ascii="宋体" w:hAnsi="宋体" w:cs="宋体"/>
          <w:color w:val="000000"/>
          <w:kern w:val="0"/>
          <w:highlight w:val="none"/>
        </w:rPr>
        <w:t>年</w:t>
      </w:r>
      <w:r>
        <w:rPr>
          <w:rFonts w:hint="eastAsia" w:ascii="宋体" w:hAnsi="宋体" w:cs="宋体"/>
          <w:color w:val="000000"/>
          <w:spacing w:val="-1"/>
          <w:kern w:val="0"/>
          <w:highlight w:val="none"/>
        </w:rPr>
        <w:t>龄</w:t>
      </w:r>
      <w:r>
        <w:rPr>
          <w:rFonts w:hint="eastAsia" w:ascii="宋体" w:hAnsi="宋体" w:cs="宋体"/>
          <w:color w:val="000000"/>
          <w:kern w:val="0"/>
          <w:highlight w:val="none"/>
        </w:rPr>
        <w:t>：</w:t>
      </w:r>
      <w:r>
        <w:rPr>
          <w:rFonts w:hint="eastAsia" w:ascii="宋体" w:hAnsi="宋体" w:cs="宋体"/>
          <w:color w:val="000000"/>
          <w:spacing w:val="42"/>
          <w:kern w:val="0"/>
          <w:highlight w:val="none"/>
          <w:u w:val="single"/>
        </w:rPr>
        <w:t xml:space="preserve">   </w:t>
      </w:r>
      <w:r>
        <w:rPr>
          <w:rFonts w:hint="eastAsia" w:ascii="宋体" w:hAnsi="宋体" w:cs="宋体"/>
          <w:color w:val="000000"/>
          <w:kern w:val="0"/>
          <w:highlight w:val="none"/>
        </w:rPr>
        <w:t>职务</w:t>
      </w:r>
      <w:r>
        <w:rPr>
          <w:rFonts w:hint="eastAsia" w:ascii="宋体" w:hAnsi="宋体" w:cs="宋体"/>
          <w:color w:val="000000"/>
          <w:spacing w:val="-1"/>
          <w:kern w:val="0"/>
          <w:highlight w:val="none"/>
        </w:rPr>
        <w:t>：</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rPr>
        <w:t xml:space="preserve"> </w:t>
      </w:r>
    </w:p>
    <w:p w14:paraId="1E891FDE">
      <w:pPr>
        <w:widowControl/>
        <w:spacing w:line="360" w:lineRule="auto"/>
        <w:rPr>
          <w:rFonts w:hint="eastAsia" w:ascii="宋体" w:hAnsi="宋体" w:cs="宋体"/>
          <w:color w:val="000000"/>
          <w:kern w:val="0"/>
          <w:highlight w:val="none"/>
        </w:rPr>
      </w:pPr>
      <w:r>
        <w:rPr>
          <w:rFonts w:hint="eastAsia" w:ascii="宋体" w:hAnsi="宋体" w:cs="宋体"/>
          <w:color w:val="000000"/>
          <w:kern w:val="0"/>
          <w:highlight w:val="none"/>
        </w:rPr>
        <w:t>系</w:t>
      </w:r>
      <w:r>
        <w:rPr>
          <w:rFonts w:hint="eastAsia" w:ascii="宋体" w:hAnsi="宋体" w:cs="宋体"/>
          <w:color w:val="000000"/>
          <w:kern w:val="0"/>
          <w:highlight w:val="none"/>
          <w:u w:val="single"/>
        </w:rPr>
        <w:t xml:space="preserve">                                      </w:t>
      </w:r>
      <w:r>
        <w:rPr>
          <w:rFonts w:hint="eastAsia" w:ascii="宋体" w:hAnsi="宋体" w:cs="宋体"/>
          <w:color w:val="000000"/>
          <w:spacing w:val="-1"/>
          <w:kern w:val="0"/>
          <w:highlight w:val="none"/>
        </w:rPr>
        <w:t>（</w:t>
      </w:r>
      <w:r>
        <w:rPr>
          <w:rFonts w:hint="eastAsia" w:ascii="宋体" w:hAnsi="宋体" w:cs="宋体"/>
          <w:color w:val="000000"/>
          <w:kern w:val="0"/>
          <w:highlight w:val="none"/>
        </w:rPr>
        <w:t>投标人名称）的法定代表人（单位负责人）。</w:t>
      </w:r>
    </w:p>
    <w:p w14:paraId="286522E7">
      <w:pPr>
        <w:widowControl/>
        <w:spacing w:line="360" w:lineRule="auto"/>
        <w:ind w:right="6463"/>
        <w:rPr>
          <w:rFonts w:hint="eastAsia" w:ascii="宋体" w:hAnsi="宋体" w:cs="宋体"/>
          <w:color w:val="000000"/>
          <w:kern w:val="0"/>
          <w:highlight w:val="none"/>
        </w:rPr>
      </w:pPr>
      <w:r>
        <w:rPr>
          <w:rFonts w:hint="eastAsia" w:ascii="宋体" w:hAnsi="宋体" w:cs="宋体"/>
          <w:color w:val="000000"/>
          <w:kern w:val="0"/>
          <w:highlight w:val="none"/>
        </w:rPr>
        <w:t>特此证明。</w:t>
      </w:r>
    </w:p>
    <w:p w14:paraId="4C2ED0BC">
      <w:pPr>
        <w:widowControl/>
        <w:spacing w:before="12" w:line="360" w:lineRule="auto"/>
        <w:rPr>
          <w:rFonts w:hint="eastAsia" w:ascii="宋体" w:hAnsi="宋体" w:cs="宋体"/>
          <w:color w:val="000000"/>
          <w:kern w:val="0"/>
          <w:highlight w:val="none"/>
        </w:rPr>
      </w:pPr>
      <w:r>
        <w:rPr>
          <w:rFonts w:hint="eastAsia" w:ascii="宋体" w:hAnsi="宋体" w:cs="宋体"/>
          <w:color w:val="000000"/>
          <w:kern w:val="0"/>
          <w:highlight w:val="none"/>
        </w:rPr>
        <w:t>附：法定代表人（单位负责人）身份证扫描件。</w:t>
      </w:r>
    </w:p>
    <w:tbl>
      <w:tblPr>
        <w:tblStyle w:val="47"/>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71802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68491637">
            <w:pPr>
              <w:adjustRightInd w:val="0"/>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法定代表人</w:t>
            </w:r>
            <w:r>
              <w:rPr>
                <w:rFonts w:hint="eastAsia" w:ascii="宋体" w:hAnsi="宋体" w:cs="宋体"/>
                <w:color w:val="000000"/>
                <w:kern w:val="0"/>
                <w:highlight w:val="none"/>
              </w:rPr>
              <w:t>（单位负责人）</w:t>
            </w:r>
            <w:r>
              <w:rPr>
                <w:rFonts w:hint="eastAsia" w:ascii="宋体" w:hAnsi="宋体"/>
                <w:color w:val="000000"/>
                <w:szCs w:val="21"/>
                <w:highlight w:val="none"/>
              </w:rPr>
              <w:t>身份证（正面）</w:t>
            </w:r>
          </w:p>
        </w:tc>
        <w:tc>
          <w:tcPr>
            <w:tcW w:w="3899" w:type="dxa"/>
            <w:noWrap w:val="0"/>
            <w:vAlign w:val="center"/>
          </w:tcPr>
          <w:p w14:paraId="319ED549">
            <w:pPr>
              <w:adjustRightInd w:val="0"/>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法定代表人</w:t>
            </w:r>
            <w:r>
              <w:rPr>
                <w:rFonts w:hint="eastAsia" w:ascii="宋体" w:hAnsi="宋体" w:cs="宋体"/>
                <w:color w:val="000000"/>
                <w:kern w:val="0"/>
                <w:highlight w:val="none"/>
              </w:rPr>
              <w:t>（单位负责人）</w:t>
            </w:r>
            <w:r>
              <w:rPr>
                <w:rFonts w:hint="eastAsia" w:ascii="宋体" w:hAnsi="宋体"/>
                <w:color w:val="000000"/>
                <w:szCs w:val="21"/>
                <w:highlight w:val="none"/>
              </w:rPr>
              <w:t>身份证（反面）</w:t>
            </w:r>
          </w:p>
        </w:tc>
      </w:tr>
    </w:tbl>
    <w:p w14:paraId="45BE1A3B">
      <w:pPr>
        <w:widowControl/>
        <w:spacing w:before="12" w:line="360" w:lineRule="auto"/>
        <w:rPr>
          <w:rFonts w:hint="eastAsia" w:ascii="宋体" w:hAnsi="宋体" w:cs="宋体"/>
          <w:color w:val="000000"/>
          <w:kern w:val="0"/>
          <w:highlight w:val="none"/>
        </w:rPr>
      </w:pPr>
    </w:p>
    <w:p w14:paraId="3E909B1F">
      <w:pPr>
        <w:widowControl/>
        <w:spacing w:before="12" w:line="360" w:lineRule="auto"/>
        <w:rPr>
          <w:rFonts w:hint="eastAsia" w:ascii="宋体" w:hAnsi="宋体" w:cs="宋体"/>
          <w:color w:val="000000"/>
          <w:kern w:val="0"/>
          <w:highlight w:val="none"/>
        </w:rPr>
      </w:pPr>
    </w:p>
    <w:p w14:paraId="38A03526">
      <w:pPr>
        <w:widowControl/>
        <w:spacing w:line="360" w:lineRule="auto"/>
        <w:ind w:left="5068" w:right="-20"/>
        <w:rPr>
          <w:rFonts w:hint="eastAsia" w:ascii="宋体" w:hAnsi="宋体" w:cs="宋体"/>
          <w:color w:val="000000"/>
          <w:kern w:val="0"/>
          <w:highlight w:val="none"/>
        </w:rPr>
      </w:pPr>
      <w:r>
        <w:rPr>
          <w:rFonts w:hint="eastAsia" w:ascii="宋体" w:hAnsi="宋体" w:cs="宋体"/>
          <w:color w:val="000000"/>
          <w:kern w:val="0"/>
          <w:position w:val="-4"/>
          <w:highlight w:val="none"/>
        </w:rPr>
        <w:t>投标人：</w:t>
      </w:r>
      <w:r>
        <w:rPr>
          <w:rFonts w:hint="eastAsia" w:ascii="宋体" w:hAnsi="宋体" w:cs="宋体"/>
          <w:color w:val="000000"/>
          <w:spacing w:val="42"/>
          <w:kern w:val="0"/>
          <w:position w:val="-4"/>
          <w:highlight w:val="none"/>
          <w:u w:val="single"/>
        </w:rPr>
        <w:t xml:space="preserve"> </w:t>
      </w:r>
      <w:r>
        <w:rPr>
          <w:rFonts w:hint="eastAsia" w:ascii="宋体" w:hAnsi="宋体" w:cs="宋体"/>
          <w:color w:val="000000"/>
          <w:kern w:val="0"/>
          <w:position w:val="-4"/>
          <w:highlight w:val="none"/>
          <w:u w:val="single"/>
        </w:rPr>
        <w:t xml:space="preserve">          </w:t>
      </w:r>
      <w:r>
        <w:rPr>
          <w:rFonts w:hint="eastAsia" w:ascii="宋体" w:hAnsi="宋体" w:cs="宋体"/>
          <w:color w:val="000000"/>
          <w:spacing w:val="-1"/>
          <w:kern w:val="0"/>
          <w:position w:val="-4"/>
          <w:highlight w:val="none"/>
        </w:rPr>
        <w:t>（</w:t>
      </w:r>
      <w:r>
        <w:rPr>
          <w:rFonts w:hint="eastAsia" w:ascii="宋体" w:hAnsi="宋体" w:cs="宋体"/>
          <w:color w:val="000000"/>
          <w:kern w:val="0"/>
          <w:position w:val="-4"/>
          <w:highlight w:val="none"/>
        </w:rPr>
        <w:t>盖单位章）</w:t>
      </w:r>
    </w:p>
    <w:p w14:paraId="3DBA1063">
      <w:pPr>
        <w:widowControl/>
        <w:spacing w:line="360" w:lineRule="auto"/>
        <w:ind w:right="98"/>
        <w:jc w:val="right"/>
        <w:rPr>
          <w:rFonts w:hint="eastAsia" w:ascii="宋体" w:hAnsi="宋体" w:cs="宋体"/>
          <w:color w:val="000000"/>
          <w:kern w:val="0"/>
          <w:highlight w:val="none"/>
        </w:rPr>
      </w:pPr>
      <w:r>
        <w:rPr>
          <w:rFonts w:hint="eastAsia" w:ascii="宋体" w:hAnsi="宋体" w:cs="宋体"/>
          <w:color w:val="000000"/>
          <w:kern w:val="0"/>
          <w:position w:val="-2"/>
          <w:highlight w:val="none"/>
          <w:u w:val="single"/>
        </w:rPr>
        <w:t xml:space="preserve">       </w:t>
      </w:r>
      <w:r>
        <w:rPr>
          <w:rFonts w:hint="eastAsia" w:ascii="宋体" w:hAnsi="宋体" w:cs="宋体"/>
          <w:color w:val="000000"/>
          <w:spacing w:val="-1"/>
          <w:kern w:val="0"/>
          <w:position w:val="-2"/>
          <w:highlight w:val="none"/>
        </w:rPr>
        <w:t>年</w:t>
      </w:r>
      <w:r>
        <w:rPr>
          <w:rFonts w:hint="eastAsia" w:ascii="宋体" w:hAnsi="宋体" w:cs="宋体"/>
          <w:color w:val="000000"/>
          <w:spacing w:val="42"/>
          <w:kern w:val="0"/>
          <w:position w:val="-2"/>
          <w:highlight w:val="none"/>
          <w:u w:val="single"/>
        </w:rPr>
        <w:t xml:space="preserve"> </w:t>
      </w:r>
      <w:r>
        <w:rPr>
          <w:rFonts w:hint="eastAsia" w:ascii="宋体" w:hAnsi="宋体" w:cs="宋体"/>
          <w:color w:val="000000"/>
          <w:kern w:val="0"/>
          <w:position w:val="-2"/>
          <w:highlight w:val="none"/>
          <w:u w:val="single"/>
        </w:rPr>
        <w:t xml:space="preserve">  </w:t>
      </w:r>
      <w:r>
        <w:rPr>
          <w:rFonts w:hint="eastAsia" w:ascii="宋体" w:hAnsi="宋体" w:cs="宋体"/>
          <w:color w:val="000000"/>
          <w:kern w:val="0"/>
          <w:position w:val="-2"/>
          <w:highlight w:val="none"/>
        </w:rPr>
        <w:t>月</w:t>
      </w:r>
      <w:r>
        <w:rPr>
          <w:rFonts w:hint="eastAsia" w:ascii="宋体" w:hAnsi="宋体" w:cs="宋体"/>
          <w:color w:val="000000"/>
          <w:spacing w:val="42"/>
          <w:kern w:val="0"/>
          <w:position w:val="-2"/>
          <w:highlight w:val="none"/>
          <w:u w:val="single"/>
        </w:rPr>
        <w:t xml:space="preserve"> </w:t>
      </w:r>
      <w:r>
        <w:rPr>
          <w:rFonts w:hint="eastAsia" w:ascii="宋体" w:hAnsi="宋体" w:cs="宋体"/>
          <w:color w:val="000000"/>
          <w:kern w:val="0"/>
          <w:position w:val="-2"/>
          <w:highlight w:val="none"/>
          <w:u w:val="single"/>
        </w:rPr>
        <w:t xml:space="preserve">   </w:t>
      </w:r>
      <w:r>
        <w:rPr>
          <w:rFonts w:hint="eastAsia" w:ascii="宋体" w:hAnsi="宋体" w:cs="宋体"/>
          <w:color w:val="000000"/>
          <w:kern w:val="0"/>
          <w:position w:val="-2"/>
          <w:highlight w:val="none"/>
        </w:rPr>
        <w:t>日</w:t>
      </w:r>
    </w:p>
    <w:p w14:paraId="5700A930">
      <w:pPr>
        <w:widowControl/>
        <w:ind w:left="2874" w:right="-20"/>
        <w:rPr>
          <w:rFonts w:hint="eastAsia" w:ascii="宋体" w:hAnsi="宋体" w:cs="宋体"/>
          <w:color w:val="000000"/>
          <w:kern w:val="0"/>
          <w:sz w:val="28"/>
          <w:szCs w:val="28"/>
          <w:highlight w:val="none"/>
        </w:rPr>
      </w:pPr>
    </w:p>
    <w:p w14:paraId="1C60AF3E">
      <w:pPr>
        <w:widowControl/>
        <w:ind w:left="2874" w:right="-20"/>
        <w:rPr>
          <w:rFonts w:hint="eastAsia" w:ascii="宋体" w:hAnsi="宋体" w:cs="宋体"/>
          <w:b/>
          <w:color w:val="000000"/>
          <w:kern w:val="0"/>
          <w:sz w:val="28"/>
          <w:szCs w:val="28"/>
          <w:highlight w:val="none"/>
        </w:rPr>
      </w:pPr>
      <w:r>
        <w:rPr>
          <w:rFonts w:hint="eastAsia" w:ascii="宋体" w:hAnsi="宋体" w:cs="宋体"/>
          <w:b/>
          <w:color w:val="000000"/>
          <w:kern w:val="0"/>
          <w:sz w:val="28"/>
          <w:szCs w:val="28"/>
          <w:highlight w:val="none"/>
        </w:rPr>
        <w:t>法定代表人（单位负责人）授权委托书</w:t>
      </w:r>
    </w:p>
    <w:p w14:paraId="74E9BCC8">
      <w:pPr>
        <w:widowControl/>
        <w:spacing w:before="3" w:line="260" w:lineRule="atLeast"/>
        <w:rPr>
          <w:rFonts w:hint="eastAsia" w:ascii="宋体" w:hAnsi="宋体" w:cs="宋体"/>
          <w:color w:val="000000"/>
          <w:kern w:val="0"/>
          <w:sz w:val="26"/>
          <w:szCs w:val="26"/>
          <w:highlight w:val="none"/>
        </w:rPr>
      </w:pPr>
    </w:p>
    <w:p w14:paraId="18C9143B">
      <w:pPr>
        <w:widowControl/>
        <w:spacing w:line="360" w:lineRule="auto"/>
        <w:ind w:left="120" w:right="31" w:firstLine="421"/>
        <w:rPr>
          <w:rFonts w:hint="eastAsia" w:ascii="宋体" w:hAnsi="宋体" w:cs="宋体"/>
          <w:color w:val="000000"/>
          <w:kern w:val="0"/>
          <w:highlight w:val="none"/>
        </w:rPr>
      </w:pPr>
      <w:r>
        <w:rPr>
          <w:rFonts w:hint="eastAsia" w:ascii="宋体" w:hAnsi="宋体" w:cs="宋体"/>
          <w:color w:val="000000"/>
          <w:kern w:val="0"/>
          <w:highlight w:val="none"/>
        </w:rPr>
        <w:t>本人</w:t>
      </w:r>
      <w:r>
        <w:rPr>
          <w:rFonts w:hint="eastAsia" w:ascii="宋体" w:hAnsi="宋体" w:cs="宋体"/>
          <w:color w:val="000000"/>
          <w:spacing w:val="42"/>
          <w:kern w:val="0"/>
          <w:highlight w:val="none"/>
          <w:u w:val="single"/>
        </w:rPr>
        <w:t xml:space="preserve"> </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rPr>
        <w:t>（</w:t>
      </w:r>
      <w:r>
        <w:rPr>
          <w:rFonts w:hint="eastAsia" w:ascii="宋体" w:hAnsi="宋体" w:cs="宋体"/>
          <w:color w:val="000000"/>
          <w:spacing w:val="-1"/>
          <w:kern w:val="0"/>
          <w:highlight w:val="none"/>
        </w:rPr>
        <w:t>姓</w:t>
      </w:r>
      <w:r>
        <w:rPr>
          <w:rFonts w:hint="eastAsia" w:ascii="宋体" w:hAnsi="宋体" w:cs="宋体"/>
          <w:color w:val="000000"/>
          <w:kern w:val="0"/>
          <w:highlight w:val="none"/>
        </w:rPr>
        <w:t>名）系</w:t>
      </w:r>
      <w:r>
        <w:rPr>
          <w:rFonts w:hint="eastAsia" w:ascii="宋体" w:hAnsi="宋体" w:cs="宋体"/>
          <w:color w:val="000000"/>
          <w:spacing w:val="42"/>
          <w:kern w:val="0"/>
          <w:highlight w:val="none"/>
          <w:u w:val="single"/>
        </w:rPr>
        <w:t xml:space="preserve">   </w:t>
      </w:r>
      <w:r>
        <w:rPr>
          <w:rFonts w:hint="eastAsia" w:ascii="宋体" w:hAnsi="宋体" w:cs="宋体"/>
          <w:color w:val="000000"/>
          <w:kern w:val="0"/>
          <w:highlight w:val="none"/>
        </w:rPr>
        <w:t>（投标人名称）</w:t>
      </w:r>
      <w:r>
        <w:rPr>
          <w:rFonts w:hint="eastAsia" w:ascii="宋体" w:hAnsi="宋体" w:cs="宋体"/>
          <w:color w:val="000000"/>
          <w:spacing w:val="1"/>
          <w:kern w:val="0"/>
          <w:highlight w:val="none"/>
        </w:rPr>
        <w:t>的</w:t>
      </w:r>
      <w:r>
        <w:rPr>
          <w:rFonts w:hint="eastAsia" w:ascii="宋体" w:hAnsi="宋体" w:cs="宋体"/>
          <w:color w:val="000000"/>
          <w:kern w:val="0"/>
          <w:highlight w:val="none"/>
        </w:rPr>
        <w:t>法定代表</w:t>
      </w:r>
      <w:r>
        <w:rPr>
          <w:rFonts w:hint="eastAsia" w:ascii="宋体" w:hAnsi="宋体" w:cs="宋体"/>
          <w:color w:val="000000"/>
          <w:spacing w:val="1"/>
          <w:kern w:val="0"/>
          <w:highlight w:val="none"/>
        </w:rPr>
        <w:t>人（单位负责人）</w:t>
      </w:r>
      <w:r>
        <w:rPr>
          <w:rFonts w:hint="eastAsia" w:ascii="宋体" w:hAnsi="宋体" w:cs="宋体"/>
          <w:color w:val="000000"/>
          <w:kern w:val="0"/>
          <w:highlight w:val="none"/>
        </w:rPr>
        <w:t>，</w:t>
      </w:r>
      <w:r>
        <w:rPr>
          <w:rFonts w:hint="eastAsia" w:ascii="宋体" w:hAnsi="宋体" w:cs="宋体"/>
          <w:color w:val="000000"/>
          <w:spacing w:val="1"/>
          <w:kern w:val="0"/>
          <w:highlight w:val="none"/>
        </w:rPr>
        <w:t>现</w:t>
      </w:r>
      <w:r>
        <w:rPr>
          <w:rFonts w:hint="eastAsia" w:ascii="宋体" w:hAnsi="宋体" w:cs="宋体"/>
          <w:color w:val="000000"/>
          <w:kern w:val="0"/>
          <w:highlight w:val="none"/>
        </w:rPr>
        <w:t>委托</w:t>
      </w:r>
      <w:r>
        <w:rPr>
          <w:rFonts w:hint="eastAsia" w:ascii="宋体" w:hAnsi="宋体" w:cs="宋体"/>
          <w:color w:val="000000"/>
          <w:spacing w:val="42"/>
          <w:kern w:val="0"/>
          <w:highlight w:val="none"/>
          <w:u w:val="single"/>
        </w:rPr>
        <w:t xml:space="preserve">     </w:t>
      </w:r>
      <w:r>
        <w:rPr>
          <w:rFonts w:hint="eastAsia" w:ascii="宋体" w:hAnsi="宋体" w:cs="宋体"/>
          <w:color w:val="000000"/>
          <w:spacing w:val="-1"/>
          <w:kern w:val="0"/>
          <w:highlight w:val="none"/>
        </w:rPr>
        <w:t>（</w:t>
      </w:r>
      <w:r>
        <w:rPr>
          <w:rFonts w:hint="eastAsia" w:ascii="宋体" w:hAnsi="宋体" w:cs="宋体"/>
          <w:color w:val="000000"/>
          <w:kern w:val="0"/>
          <w:highlight w:val="none"/>
        </w:rPr>
        <w:t>姓名）为我方代理人。代理人根据授权，以我方名义签署、澄清、说明、补正、递交</w:t>
      </w:r>
      <w:r>
        <w:rPr>
          <w:rFonts w:hint="eastAsia" w:ascii="宋体" w:hAnsi="宋体" w:cs="宋体"/>
          <w:color w:val="000000"/>
          <w:spacing w:val="-13"/>
          <w:kern w:val="0"/>
          <w:highlight w:val="none"/>
        </w:rPr>
        <w:t>、</w:t>
      </w:r>
      <w:r>
        <w:rPr>
          <w:rFonts w:hint="eastAsia" w:ascii="宋体" w:hAnsi="宋体" w:cs="宋体"/>
          <w:color w:val="000000"/>
          <w:kern w:val="0"/>
          <w:highlight w:val="none"/>
        </w:rPr>
        <w:t>撤回</w:t>
      </w:r>
      <w:r>
        <w:rPr>
          <w:rFonts w:hint="eastAsia" w:ascii="宋体" w:hAnsi="宋体" w:cs="宋体"/>
          <w:color w:val="000000"/>
          <w:spacing w:val="-13"/>
          <w:kern w:val="0"/>
          <w:highlight w:val="none"/>
        </w:rPr>
        <w:t>、</w:t>
      </w:r>
      <w:r>
        <w:rPr>
          <w:rFonts w:hint="eastAsia" w:ascii="宋体" w:hAnsi="宋体" w:cs="宋体"/>
          <w:color w:val="000000"/>
          <w:kern w:val="0"/>
          <w:highlight w:val="none"/>
        </w:rPr>
        <w:t>修改</w:t>
      </w:r>
      <w:r>
        <w:rPr>
          <w:rFonts w:hint="eastAsia" w:ascii="宋体" w:hAnsi="宋体" w:cs="宋体"/>
          <w:color w:val="000000"/>
          <w:spacing w:val="42"/>
          <w:kern w:val="0"/>
          <w:highlight w:val="none"/>
          <w:u w:val="single"/>
        </w:rPr>
        <w:t xml:space="preserve"> </w:t>
      </w:r>
      <w:r>
        <w:rPr>
          <w:rFonts w:hint="eastAsia" w:ascii="宋体" w:hAnsi="宋体" w:cs="宋体"/>
          <w:color w:val="000000"/>
          <w:kern w:val="0"/>
          <w:highlight w:val="none"/>
          <w:u w:val="single"/>
        </w:rPr>
        <w:t xml:space="preserve">  </w:t>
      </w:r>
      <w:r>
        <w:rPr>
          <w:rFonts w:hint="eastAsia" w:ascii="宋体" w:hAnsi="宋体" w:cs="宋体"/>
          <w:color w:val="000000"/>
          <w:kern w:val="0"/>
          <w:highlight w:val="none"/>
        </w:rPr>
        <w:t>（项目名</w:t>
      </w:r>
      <w:r>
        <w:rPr>
          <w:rFonts w:hint="eastAsia" w:ascii="宋体" w:hAnsi="宋体" w:cs="宋体"/>
          <w:color w:val="000000"/>
          <w:spacing w:val="-1"/>
          <w:kern w:val="0"/>
          <w:highlight w:val="none"/>
        </w:rPr>
        <w:t>称</w:t>
      </w:r>
      <w:r>
        <w:rPr>
          <w:rFonts w:hint="eastAsia" w:ascii="宋体" w:hAnsi="宋体" w:cs="宋体"/>
          <w:color w:val="000000"/>
          <w:spacing w:val="-13"/>
          <w:kern w:val="0"/>
          <w:highlight w:val="none"/>
        </w:rPr>
        <w:t>）</w:t>
      </w:r>
      <w:r>
        <w:rPr>
          <w:rFonts w:hint="eastAsia" w:ascii="宋体" w:hAnsi="宋体" w:cs="宋体"/>
          <w:color w:val="000000"/>
          <w:spacing w:val="42"/>
          <w:kern w:val="0"/>
          <w:highlight w:val="none"/>
          <w:u w:val="single"/>
        </w:rPr>
        <w:t xml:space="preserve"> </w:t>
      </w:r>
      <w:r>
        <w:rPr>
          <w:rFonts w:hint="eastAsia" w:ascii="宋体" w:hAnsi="宋体" w:cs="宋体"/>
          <w:color w:val="000000"/>
          <w:kern w:val="0"/>
          <w:highlight w:val="none"/>
          <w:u w:val="single"/>
        </w:rPr>
        <w:t xml:space="preserve">   </w:t>
      </w:r>
      <w:r>
        <w:rPr>
          <w:rFonts w:hint="eastAsia" w:ascii="宋体" w:hAnsi="宋体" w:cs="宋体"/>
          <w:color w:val="000000"/>
          <w:spacing w:val="-1"/>
          <w:kern w:val="0"/>
          <w:highlight w:val="none"/>
        </w:rPr>
        <w:t>（</w:t>
      </w:r>
      <w:r>
        <w:rPr>
          <w:rFonts w:hint="eastAsia" w:ascii="宋体" w:hAnsi="宋体" w:cs="宋体"/>
          <w:color w:val="000000"/>
          <w:kern w:val="0"/>
          <w:highlight w:val="none"/>
        </w:rPr>
        <w:t>标包号。未分包的，此处不填写</w:t>
      </w:r>
      <w:r>
        <w:rPr>
          <w:rFonts w:hint="eastAsia" w:ascii="宋体" w:hAnsi="宋体" w:cs="宋体"/>
          <w:color w:val="000000"/>
          <w:spacing w:val="-13"/>
          <w:kern w:val="0"/>
          <w:highlight w:val="none"/>
        </w:rPr>
        <w:t>）</w:t>
      </w:r>
      <w:r>
        <w:rPr>
          <w:rFonts w:hint="eastAsia" w:ascii="宋体" w:hAnsi="宋体" w:cs="宋体"/>
          <w:color w:val="000000"/>
          <w:kern w:val="0"/>
          <w:highlight w:val="none"/>
        </w:rPr>
        <w:t>投标文件</w:t>
      </w:r>
      <w:r>
        <w:rPr>
          <w:rFonts w:hint="eastAsia" w:ascii="宋体" w:hAnsi="宋体" w:cs="宋体"/>
          <w:color w:val="000000"/>
          <w:spacing w:val="-13"/>
          <w:kern w:val="0"/>
          <w:highlight w:val="none"/>
        </w:rPr>
        <w:t>、</w:t>
      </w:r>
      <w:r>
        <w:rPr>
          <w:rFonts w:hint="eastAsia" w:ascii="宋体" w:hAnsi="宋体" w:cs="宋体"/>
          <w:color w:val="000000"/>
          <w:kern w:val="0"/>
          <w:highlight w:val="none"/>
        </w:rPr>
        <w:t>签订合同和处理有关事宜，其法律后果由我方承担。</w:t>
      </w:r>
    </w:p>
    <w:p w14:paraId="64CED7CB">
      <w:pPr>
        <w:widowControl/>
        <w:spacing w:before="12" w:line="360" w:lineRule="auto"/>
        <w:ind w:left="556" w:right="5491" w:hanging="14"/>
        <w:rPr>
          <w:rFonts w:hint="eastAsia" w:ascii="宋体" w:hAnsi="宋体" w:cs="宋体"/>
          <w:color w:val="000000"/>
          <w:kern w:val="0"/>
          <w:highlight w:val="none"/>
        </w:rPr>
      </w:pPr>
      <w:r>
        <w:rPr>
          <w:rFonts w:hint="eastAsia" w:ascii="宋体" w:hAnsi="宋体" w:cs="宋体"/>
          <w:color w:val="000000"/>
          <w:kern w:val="0"/>
          <w:highlight w:val="none"/>
        </w:rPr>
        <w:t>代理人无转委托权。</w:t>
      </w:r>
    </w:p>
    <w:tbl>
      <w:tblPr>
        <w:tblStyle w:val="47"/>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51724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trPr>
        <w:tc>
          <w:tcPr>
            <w:tcW w:w="3898" w:type="dxa"/>
            <w:noWrap w:val="0"/>
            <w:vAlign w:val="center"/>
          </w:tcPr>
          <w:p w14:paraId="5F6DAA72">
            <w:pPr>
              <w:adjustRightInd w:val="0"/>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代理人身份证（正面）</w:t>
            </w:r>
          </w:p>
        </w:tc>
        <w:tc>
          <w:tcPr>
            <w:tcW w:w="3899" w:type="dxa"/>
            <w:noWrap w:val="0"/>
            <w:vAlign w:val="center"/>
          </w:tcPr>
          <w:p w14:paraId="6FC1BE6F">
            <w:pPr>
              <w:adjustRightInd w:val="0"/>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代理人身份证（反面）</w:t>
            </w:r>
          </w:p>
        </w:tc>
      </w:tr>
      <w:tr w14:paraId="20911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3898" w:type="dxa"/>
            <w:noWrap w:val="0"/>
            <w:vAlign w:val="center"/>
          </w:tcPr>
          <w:p w14:paraId="5D1F7FF1">
            <w:pPr>
              <w:adjustRightInd w:val="0"/>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法定代表人</w:t>
            </w:r>
            <w:r>
              <w:rPr>
                <w:rFonts w:hint="eastAsia" w:ascii="宋体" w:hAnsi="宋体" w:cs="宋体"/>
                <w:color w:val="000000"/>
                <w:kern w:val="0"/>
                <w:highlight w:val="none"/>
              </w:rPr>
              <w:t>（单位负责人）</w:t>
            </w:r>
            <w:r>
              <w:rPr>
                <w:rFonts w:hint="eastAsia" w:ascii="宋体" w:hAnsi="宋体"/>
                <w:color w:val="000000"/>
                <w:szCs w:val="21"/>
                <w:highlight w:val="none"/>
              </w:rPr>
              <w:t>身份证（正面）</w:t>
            </w:r>
          </w:p>
        </w:tc>
        <w:tc>
          <w:tcPr>
            <w:tcW w:w="3899" w:type="dxa"/>
            <w:noWrap w:val="0"/>
            <w:vAlign w:val="center"/>
          </w:tcPr>
          <w:p w14:paraId="7BD8A938">
            <w:pPr>
              <w:adjustRightInd w:val="0"/>
              <w:snapToGrid w:val="0"/>
              <w:spacing w:line="360" w:lineRule="auto"/>
              <w:jc w:val="center"/>
              <w:rPr>
                <w:rFonts w:ascii="宋体" w:hAnsi="宋体"/>
                <w:color w:val="000000"/>
                <w:szCs w:val="21"/>
                <w:highlight w:val="none"/>
              </w:rPr>
            </w:pPr>
            <w:r>
              <w:rPr>
                <w:rFonts w:hint="eastAsia" w:ascii="宋体" w:hAnsi="宋体"/>
                <w:color w:val="000000"/>
                <w:szCs w:val="21"/>
                <w:highlight w:val="none"/>
              </w:rPr>
              <w:t>法定代表人</w:t>
            </w:r>
            <w:r>
              <w:rPr>
                <w:rFonts w:hint="eastAsia" w:ascii="宋体" w:hAnsi="宋体" w:cs="宋体"/>
                <w:color w:val="000000"/>
                <w:kern w:val="0"/>
                <w:highlight w:val="none"/>
              </w:rPr>
              <w:t>（单位负责人）</w:t>
            </w:r>
            <w:r>
              <w:rPr>
                <w:rFonts w:hint="eastAsia" w:ascii="宋体" w:hAnsi="宋体"/>
                <w:color w:val="000000"/>
                <w:szCs w:val="21"/>
                <w:highlight w:val="none"/>
              </w:rPr>
              <w:t>身份证（反面）</w:t>
            </w:r>
          </w:p>
        </w:tc>
      </w:tr>
    </w:tbl>
    <w:p w14:paraId="3B3A9BDD">
      <w:pPr>
        <w:widowControl/>
        <w:spacing w:line="360" w:lineRule="auto"/>
        <w:rPr>
          <w:rFonts w:hint="eastAsia" w:ascii="宋体" w:hAnsi="宋体" w:cs="宋体"/>
          <w:color w:val="000000"/>
          <w:kern w:val="0"/>
          <w:highlight w:val="none"/>
        </w:rPr>
      </w:pPr>
    </w:p>
    <w:p w14:paraId="771E7079">
      <w:pPr>
        <w:pStyle w:val="155"/>
        <w:spacing w:line="360" w:lineRule="auto"/>
        <w:ind w:firstLine="2604" w:firstLineChars="1240"/>
        <w:rPr>
          <w:rFonts w:hint="eastAsia" w:ascii="宋体" w:hAnsi="宋体" w:cs="宋体"/>
          <w:color w:val="000000"/>
          <w:szCs w:val="24"/>
          <w:highlight w:val="none"/>
          <w:u w:val="single"/>
        </w:rPr>
      </w:pPr>
      <w:r>
        <w:rPr>
          <w:rFonts w:hint="eastAsia" w:ascii="宋体" w:hAnsi="宋体" w:cs="宋体"/>
          <w:color w:val="000000"/>
          <w:szCs w:val="24"/>
          <w:highlight w:val="none"/>
        </w:rPr>
        <w:t>代理人：</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性别：</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年龄：</w:t>
      </w:r>
      <w:r>
        <w:rPr>
          <w:rFonts w:hint="eastAsia" w:ascii="宋体" w:hAnsi="宋体" w:cs="宋体"/>
          <w:color w:val="000000"/>
          <w:szCs w:val="24"/>
          <w:highlight w:val="none"/>
          <w:u w:val="single"/>
        </w:rPr>
        <w:t xml:space="preserve">     </w:t>
      </w:r>
    </w:p>
    <w:p w14:paraId="6DB83AF5">
      <w:pPr>
        <w:pStyle w:val="155"/>
        <w:spacing w:line="360" w:lineRule="auto"/>
        <w:ind w:firstLine="2604" w:firstLineChars="1240"/>
        <w:rPr>
          <w:rFonts w:hint="eastAsia" w:ascii="宋体" w:hAnsi="宋体" w:cs="宋体"/>
          <w:color w:val="000000"/>
          <w:szCs w:val="24"/>
          <w:highlight w:val="none"/>
          <w:u w:val="single"/>
        </w:rPr>
      </w:pPr>
      <w:r>
        <w:rPr>
          <w:rFonts w:hint="eastAsia" w:ascii="宋体" w:hAnsi="宋体" w:cs="宋体"/>
          <w:color w:val="000000"/>
          <w:szCs w:val="24"/>
          <w:highlight w:val="none"/>
        </w:rPr>
        <w:t>身份证号码：</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 xml:space="preserve"> 职务：</w:t>
      </w:r>
      <w:r>
        <w:rPr>
          <w:rFonts w:hint="eastAsia" w:ascii="宋体" w:hAnsi="宋体" w:cs="宋体"/>
          <w:color w:val="000000"/>
          <w:szCs w:val="24"/>
          <w:highlight w:val="none"/>
          <w:u w:val="single"/>
        </w:rPr>
        <w:t xml:space="preserve">      </w:t>
      </w:r>
    </w:p>
    <w:p w14:paraId="02FF2520">
      <w:pPr>
        <w:pStyle w:val="155"/>
        <w:spacing w:line="360" w:lineRule="auto"/>
        <w:ind w:firstLine="2604" w:firstLineChars="1240"/>
        <w:rPr>
          <w:rFonts w:hint="eastAsia" w:ascii="宋体" w:hAnsi="宋体" w:cs="宋体"/>
          <w:color w:val="000000"/>
          <w:szCs w:val="24"/>
          <w:highlight w:val="none"/>
          <w:u w:val="single"/>
        </w:rPr>
      </w:pPr>
      <w:r>
        <w:rPr>
          <w:rFonts w:hint="eastAsia" w:ascii="宋体" w:hAnsi="宋体" w:cs="宋体"/>
          <w:color w:val="000000"/>
          <w:szCs w:val="24"/>
          <w:highlight w:val="none"/>
        </w:rPr>
        <w:t>投标人：</w:t>
      </w:r>
      <w:r>
        <w:rPr>
          <w:rFonts w:hint="eastAsia" w:ascii="宋体" w:hAnsi="宋体" w:cs="宋体"/>
          <w:color w:val="000000"/>
          <w:szCs w:val="24"/>
          <w:highlight w:val="none"/>
          <w:u w:val="single"/>
        </w:rPr>
        <w:t xml:space="preserve">                            （盖单位章）</w:t>
      </w:r>
    </w:p>
    <w:p w14:paraId="5AC98A28">
      <w:pPr>
        <w:pStyle w:val="155"/>
        <w:spacing w:line="360" w:lineRule="auto"/>
        <w:ind w:firstLine="2604" w:firstLineChars="1240"/>
        <w:rPr>
          <w:rFonts w:hint="eastAsia" w:ascii="宋体" w:hAnsi="宋体" w:cs="宋体"/>
          <w:color w:val="000000"/>
          <w:szCs w:val="24"/>
          <w:highlight w:val="none"/>
          <w:u w:val="single"/>
        </w:rPr>
      </w:pPr>
      <w:r>
        <w:rPr>
          <w:rFonts w:hint="eastAsia" w:ascii="宋体" w:hAnsi="宋体" w:cs="宋体"/>
          <w:color w:val="000000"/>
          <w:szCs w:val="24"/>
          <w:highlight w:val="none"/>
        </w:rPr>
        <w:t>法定代表人（单位负责人）：</w:t>
      </w:r>
      <w:r>
        <w:rPr>
          <w:rFonts w:hint="eastAsia" w:ascii="宋体" w:hAnsi="宋体" w:cs="宋体"/>
          <w:color w:val="000000"/>
          <w:szCs w:val="24"/>
          <w:highlight w:val="none"/>
          <w:u w:val="single"/>
        </w:rPr>
        <w:t xml:space="preserve">                   （签字或盖章）</w:t>
      </w:r>
    </w:p>
    <w:p w14:paraId="589B1872">
      <w:pPr>
        <w:pStyle w:val="155"/>
        <w:spacing w:line="360" w:lineRule="auto"/>
        <w:ind w:firstLine="2604" w:firstLineChars="1240"/>
        <w:rPr>
          <w:rFonts w:hint="eastAsia" w:ascii="宋体" w:hAnsi="宋体" w:cs="宋体"/>
          <w:color w:val="000000"/>
          <w:szCs w:val="24"/>
          <w:highlight w:val="none"/>
        </w:rPr>
      </w:pPr>
      <w:r>
        <w:rPr>
          <w:rFonts w:hint="eastAsia" w:ascii="宋体" w:hAnsi="宋体" w:cs="宋体"/>
          <w:color w:val="000000"/>
          <w:szCs w:val="24"/>
          <w:highlight w:val="none"/>
        </w:rPr>
        <w:t>授权委托日期：</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年</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月</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日</w:t>
      </w:r>
    </w:p>
    <w:p w14:paraId="704EB37F">
      <w:pPr>
        <w:widowControl/>
        <w:spacing w:line="295" w:lineRule="atLeast"/>
        <w:ind w:left="556" w:right="-20"/>
        <w:rPr>
          <w:rFonts w:hint="eastAsia" w:ascii="宋体" w:hAnsi="宋体" w:cs="宋体"/>
          <w:color w:val="000000"/>
          <w:kern w:val="0"/>
          <w:szCs w:val="21"/>
          <w:highlight w:val="none"/>
        </w:rPr>
      </w:pPr>
    </w:p>
    <w:p w14:paraId="1F5CE435">
      <w:pPr>
        <w:widowControl/>
        <w:jc w:val="left"/>
        <w:rPr>
          <w:rFonts w:hint="eastAsia" w:ascii="宋体" w:hAnsi="宋体" w:cs="宋体"/>
          <w:color w:val="000000"/>
          <w:spacing w:val="12"/>
          <w:kern w:val="0"/>
          <w:position w:val="-3"/>
          <w:sz w:val="24"/>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1A6527E3">
      <w:pPr>
        <w:pStyle w:val="3"/>
        <w:widowControl/>
        <w:spacing w:before="120" w:after="120" w:line="240" w:lineRule="auto"/>
        <w:jc w:val="center"/>
        <w:rPr>
          <w:rFonts w:hint="eastAsia" w:ascii="宋体" w:hAnsi="宋体" w:cs="宋体"/>
          <w:color w:val="000000"/>
          <w:kern w:val="0"/>
          <w:sz w:val="28"/>
          <w:szCs w:val="28"/>
          <w:highlight w:val="none"/>
        </w:rPr>
      </w:pPr>
      <w:r>
        <w:rPr>
          <w:rFonts w:hint="eastAsia" w:ascii="宋体" w:hAnsi="宋体" w:cs="宋体"/>
          <w:color w:val="000000"/>
          <w:kern w:val="0"/>
          <w:sz w:val="28"/>
          <w:szCs w:val="28"/>
          <w:highlight w:val="none"/>
        </w:rPr>
        <w:t>七、联合体协议书（如有）</w:t>
      </w:r>
    </w:p>
    <w:p w14:paraId="34941C65">
      <w:pPr>
        <w:widowControl/>
        <w:spacing w:before="7" w:line="110" w:lineRule="atLeast"/>
        <w:rPr>
          <w:rFonts w:hint="eastAsia" w:ascii="宋体" w:hAnsi="宋体" w:cs="宋体"/>
          <w:color w:val="000000"/>
          <w:kern w:val="0"/>
          <w:sz w:val="11"/>
          <w:szCs w:val="11"/>
          <w:highlight w:val="none"/>
        </w:rPr>
      </w:pPr>
      <w:r>
        <w:rPr>
          <w:rFonts w:hint="eastAsia" w:ascii="宋体" w:hAnsi="宋体" w:cs="宋体"/>
          <w:color w:val="000000"/>
          <w:kern w:val="0"/>
          <w:sz w:val="11"/>
          <w:szCs w:val="11"/>
          <w:highlight w:val="none"/>
        </w:rPr>
        <w:t xml:space="preserve"> </w:t>
      </w:r>
    </w:p>
    <w:p w14:paraId="1F4864AA">
      <w:pPr>
        <w:pStyle w:val="155"/>
        <w:topLinePunct/>
        <w:spacing w:line="440" w:lineRule="atLeast"/>
        <w:ind w:firstLine="420"/>
        <w:rPr>
          <w:rFonts w:hint="eastAsia" w:ascii="宋体" w:hAnsi="宋体" w:cs="宋体"/>
          <w:color w:val="000000"/>
          <w:szCs w:val="24"/>
          <w:highlight w:val="none"/>
        </w:rPr>
      </w:pP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（所有成员单位名称）自愿组成联合体，共同参加</w:t>
      </w:r>
      <w:r>
        <w:rPr>
          <w:rFonts w:hint="eastAsia" w:ascii="宋体" w:hAnsi="宋体" w:cs="宋体"/>
          <w:color w:val="000000"/>
          <w:szCs w:val="24"/>
          <w:highlight w:val="none"/>
          <w:lang w:eastAsia="zh-CN"/>
        </w:rPr>
        <w:t>安徽省疾控中心省结核病参比实验室耐药检测能力提升</w:t>
      </w:r>
      <w:r>
        <w:rPr>
          <w:rFonts w:hint="eastAsia" w:ascii="宋体" w:hAnsi="宋体" w:cs="宋体"/>
          <w:color w:val="000000"/>
          <w:szCs w:val="24"/>
          <w:highlight w:val="none"/>
        </w:rPr>
        <w:t>的采购活动。现就联合体投标事宜订立如下协议。</w:t>
      </w:r>
    </w:p>
    <w:p w14:paraId="23974857">
      <w:pPr>
        <w:pStyle w:val="155"/>
        <w:topLinePunct/>
        <w:spacing w:line="440" w:lineRule="atLeast"/>
        <w:ind w:firstLine="420"/>
        <w:rPr>
          <w:rFonts w:hint="eastAsia" w:ascii="宋体" w:hAnsi="宋体" w:cs="宋体"/>
          <w:color w:val="000000"/>
          <w:szCs w:val="24"/>
          <w:highlight w:val="none"/>
        </w:rPr>
      </w:pPr>
      <w:r>
        <w:rPr>
          <w:rFonts w:hint="eastAsia" w:ascii="宋体" w:hAnsi="宋体" w:cs="宋体"/>
          <w:color w:val="000000"/>
          <w:szCs w:val="24"/>
          <w:highlight w:val="none"/>
        </w:rPr>
        <w:t>1、</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（某成员单位名称）为牵头人。</w:t>
      </w:r>
    </w:p>
    <w:p w14:paraId="38DFBA58">
      <w:pPr>
        <w:pStyle w:val="155"/>
        <w:topLinePunct/>
        <w:spacing w:line="440" w:lineRule="atLeast"/>
        <w:ind w:firstLine="420"/>
        <w:rPr>
          <w:rFonts w:hint="eastAsia" w:ascii="宋体" w:hAnsi="宋体" w:cs="宋体"/>
          <w:color w:val="000000"/>
          <w:szCs w:val="24"/>
          <w:highlight w:val="none"/>
        </w:rPr>
      </w:pPr>
      <w:r>
        <w:rPr>
          <w:rFonts w:hint="eastAsia" w:ascii="宋体" w:hAnsi="宋体" w:cs="宋体"/>
          <w:color w:val="000000"/>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CE97312">
      <w:pPr>
        <w:pStyle w:val="155"/>
        <w:topLinePunct/>
        <w:spacing w:line="440" w:lineRule="atLeast"/>
        <w:ind w:firstLine="420"/>
        <w:rPr>
          <w:rFonts w:hint="eastAsia" w:ascii="宋体" w:hAnsi="宋体" w:cs="宋体"/>
          <w:color w:val="000000"/>
          <w:szCs w:val="24"/>
          <w:highlight w:val="none"/>
        </w:rPr>
      </w:pPr>
      <w:r>
        <w:rPr>
          <w:rFonts w:hint="eastAsia" w:ascii="宋体" w:hAnsi="宋体" w:cs="宋体"/>
          <w:color w:val="000000"/>
          <w:szCs w:val="24"/>
          <w:highlight w:val="none"/>
        </w:rPr>
        <w:t>3、联合体将严格按照招标文件的各项要求，递交投标文件，履行合同，并对外承担连带责任。</w:t>
      </w:r>
    </w:p>
    <w:p w14:paraId="018AE0FC">
      <w:pPr>
        <w:pStyle w:val="155"/>
        <w:topLinePunct/>
        <w:spacing w:line="440" w:lineRule="atLeast"/>
        <w:ind w:firstLine="420"/>
        <w:rPr>
          <w:rFonts w:hint="eastAsia" w:ascii="宋体" w:hAnsi="宋体" w:cs="宋体"/>
          <w:color w:val="000000"/>
          <w:szCs w:val="24"/>
          <w:highlight w:val="none"/>
        </w:rPr>
      </w:pPr>
      <w:r>
        <w:rPr>
          <w:rFonts w:hint="eastAsia" w:ascii="宋体" w:hAnsi="宋体" w:cs="宋体"/>
          <w:color w:val="000000"/>
          <w:szCs w:val="24"/>
          <w:highlight w:val="none"/>
        </w:rPr>
        <w:t>4、联合体各成员单位内部的职责分工如下：</w:t>
      </w:r>
    </w:p>
    <w:p w14:paraId="755C236F">
      <w:pPr>
        <w:pStyle w:val="155"/>
        <w:topLinePunct/>
        <w:spacing w:line="440" w:lineRule="atLeast"/>
        <w:ind w:firstLine="420"/>
        <w:rPr>
          <w:rFonts w:hint="eastAsia" w:ascii="宋体" w:hAnsi="宋体" w:cs="宋体"/>
          <w:color w:val="000000"/>
          <w:szCs w:val="24"/>
          <w:highlight w:val="none"/>
          <w:u w:val="single"/>
        </w:rPr>
      </w:pPr>
      <w:r>
        <w:rPr>
          <w:rFonts w:hint="eastAsia" w:ascii="宋体" w:hAnsi="宋体" w:cs="宋体"/>
          <w:color w:val="000000"/>
          <w:szCs w:val="24"/>
          <w:highlight w:val="none"/>
        </w:rPr>
        <w:t>（1）牵头人单位：</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分工：</w:t>
      </w:r>
      <w:r>
        <w:rPr>
          <w:rFonts w:hint="eastAsia" w:ascii="宋体" w:hAnsi="宋体" w:cs="宋体"/>
          <w:color w:val="000000"/>
          <w:szCs w:val="24"/>
          <w:highlight w:val="none"/>
          <w:u w:val="single"/>
        </w:rPr>
        <w:t xml:space="preserve">               ，承揽合同份额占合同金额的    %</w:t>
      </w:r>
    </w:p>
    <w:p w14:paraId="01D6803A">
      <w:pPr>
        <w:pStyle w:val="155"/>
        <w:topLinePunct/>
        <w:spacing w:line="440" w:lineRule="atLeast"/>
        <w:ind w:firstLine="420"/>
        <w:rPr>
          <w:rFonts w:hint="eastAsia" w:ascii="宋体" w:hAnsi="宋体" w:cs="宋体"/>
          <w:color w:val="000000"/>
          <w:szCs w:val="24"/>
          <w:highlight w:val="none"/>
          <w:u w:val="single"/>
        </w:rPr>
      </w:pPr>
      <w:r>
        <w:rPr>
          <w:rFonts w:hint="eastAsia" w:ascii="宋体" w:hAnsi="宋体" w:cs="宋体"/>
          <w:color w:val="000000"/>
          <w:szCs w:val="24"/>
          <w:highlight w:val="none"/>
        </w:rPr>
        <w:t>（2）成员单位一：</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分工：</w:t>
      </w:r>
      <w:r>
        <w:rPr>
          <w:rFonts w:hint="eastAsia" w:ascii="宋体" w:hAnsi="宋体" w:cs="宋体"/>
          <w:color w:val="000000"/>
          <w:szCs w:val="24"/>
          <w:highlight w:val="none"/>
          <w:u w:val="single"/>
        </w:rPr>
        <w:t xml:space="preserve">               ，承揽合同份额占合同金额的    %</w:t>
      </w:r>
    </w:p>
    <w:p w14:paraId="4CDEE11F">
      <w:pPr>
        <w:pStyle w:val="155"/>
        <w:topLinePunct/>
        <w:spacing w:line="440" w:lineRule="atLeast"/>
        <w:ind w:firstLine="420"/>
        <w:rPr>
          <w:rFonts w:hint="eastAsia" w:ascii="宋体" w:hAnsi="宋体" w:cs="宋体"/>
          <w:color w:val="000000"/>
          <w:szCs w:val="24"/>
          <w:highlight w:val="none"/>
          <w:u w:val="single"/>
        </w:rPr>
      </w:pPr>
      <w:r>
        <w:rPr>
          <w:rFonts w:hint="eastAsia" w:ascii="宋体" w:hAnsi="宋体" w:cs="宋体"/>
          <w:color w:val="000000"/>
          <w:szCs w:val="24"/>
          <w:highlight w:val="none"/>
        </w:rPr>
        <w:t>（2）成员单位二：</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分工：</w:t>
      </w:r>
      <w:r>
        <w:rPr>
          <w:rFonts w:hint="eastAsia" w:ascii="宋体" w:hAnsi="宋体" w:cs="宋体"/>
          <w:color w:val="000000"/>
          <w:szCs w:val="24"/>
          <w:highlight w:val="none"/>
          <w:u w:val="single"/>
        </w:rPr>
        <w:t xml:space="preserve">               ，承揽合同份额占合同金额的    %</w:t>
      </w:r>
    </w:p>
    <w:p w14:paraId="2E0C8951">
      <w:pPr>
        <w:pStyle w:val="155"/>
        <w:topLinePunct/>
        <w:spacing w:line="440" w:lineRule="atLeast"/>
        <w:ind w:firstLine="420"/>
        <w:rPr>
          <w:rFonts w:hint="eastAsia" w:ascii="宋体" w:hAnsi="宋体" w:cs="宋体"/>
          <w:color w:val="000000"/>
          <w:szCs w:val="24"/>
          <w:highlight w:val="none"/>
        </w:rPr>
      </w:pPr>
      <w:r>
        <w:rPr>
          <w:rFonts w:hint="eastAsia" w:ascii="宋体" w:hAnsi="宋体" w:cs="宋体"/>
          <w:color w:val="000000"/>
          <w:szCs w:val="24"/>
          <w:highlight w:val="none"/>
        </w:rPr>
        <w:t>…</w:t>
      </w:r>
    </w:p>
    <w:p w14:paraId="3ED52703">
      <w:pPr>
        <w:pStyle w:val="155"/>
        <w:topLinePunct/>
        <w:spacing w:line="440" w:lineRule="atLeast"/>
        <w:ind w:firstLine="420"/>
        <w:rPr>
          <w:rFonts w:hint="eastAsia" w:ascii="宋体" w:hAnsi="宋体" w:cs="宋体"/>
          <w:color w:val="000000"/>
          <w:szCs w:val="24"/>
          <w:highlight w:val="none"/>
        </w:rPr>
      </w:pPr>
      <w:r>
        <w:rPr>
          <w:rFonts w:hint="eastAsia" w:ascii="宋体" w:hAnsi="宋体" w:cs="宋体"/>
          <w:color w:val="000000"/>
          <w:szCs w:val="24"/>
          <w:highlight w:val="none"/>
        </w:rPr>
        <w:t xml:space="preserve">5、本协议书自签署之日起生效，合同履行完毕后自动失效。 </w:t>
      </w:r>
    </w:p>
    <w:p w14:paraId="15826698">
      <w:pPr>
        <w:pStyle w:val="155"/>
        <w:topLinePunct/>
        <w:spacing w:line="440" w:lineRule="atLeast"/>
        <w:ind w:firstLine="420"/>
        <w:rPr>
          <w:rFonts w:hint="eastAsia" w:ascii="宋体" w:hAnsi="宋体" w:cs="宋体"/>
          <w:color w:val="000000"/>
          <w:szCs w:val="24"/>
          <w:highlight w:val="none"/>
        </w:rPr>
      </w:pPr>
      <w:r>
        <w:rPr>
          <w:rFonts w:hint="eastAsia" w:ascii="宋体" w:hAnsi="宋体" w:cs="宋体"/>
          <w:color w:val="000000"/>
          <w:szCs w:val="24"/>
          <w:highlight w:val="none"/>
        </w:rPr>
        <w:t>6、本协议书一式</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份，联合体牵头人、成员和采购人各执一份。</w:t>
      </w:r>
    </w:p>
    <w:p w14:paraId="439FE340">
      <w:pPr>
        <w:pStyle w:val="155"/>
        <w:topLinePunct/>
        <w:spacing w:line="440" w:lineRule="atLeast"/>
        <w:rPr>
          <w:rFonts w:hint="eastAsia" w:ascii="宋体" w:hAnsi="宋体" w:cs="宋体"/>
          <w:color w:val="000000"/>
          <w:szCs w:val="24"/>
          <w:highlight w:val="none"/>
        </w:rPr>
      </w:pPr>
    </w:p>
    <w:p w14:paraId="23892386">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牵头人名称：</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（盖单位章）</w:t>
      </w:r>
    </w:p>
    <w:p w14:paraId="5DE1E8CE">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法定代表人（单位负责人）：</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（签字或盖章）</w:t>
      </w:r>
    </w:p>
    <w:p w14:paraId="74EB7D14">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 xml:space="preserve"> </w:t>
      </w:r>
    </w:p>
    <w:p w14:paraId="35134F37">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成员一名称：</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（盖单位章）</w:t>
      </w:r>
    </w:p>
    <w:p w14:paraId="0B5A6EDE">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法定代表人（单位负责人）：</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（签字或盖章）</w:t>
      </w:r>
    </w:p>
    <w:p w14:paraId="5D7FE43F">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 xml:space="preserve"> </w:t>
      </w:r>
    </w:p>
    <w:p w14:paraId="165976BA">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成员二名称：</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（盖单位章）</w:t>
      </w:r>
    </w:p>
    <w:p w14:paraId="5C2D64E8">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法定代表人（单位负责人）：</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（签字或盖章）</w:t>
      </w:r>
    </w:p>
    <w:p w14:paraId="74009273">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w:t>
      </w:r>
    </w:p>
    <w:p w14:paraId="4A144C5C">
      <w:pPr>
        <w:pStyle w:val="155"/>
        <w:ind w:firstLine="2879"/>
        <w:rPr>
          <w:rFonts w:hint="eastAsia" w:ascii="宋体" w:hAnsi="宋体" w:cs="宋体"/>
          <w:color w:val="000000"/>
          <w:szCs w:val="24"/>
          <w:highlight w:val="none"/>
        </w:rPr>
      </w:pP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年</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月</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日</w:t>
      </w:r>
    </w:p>
    <w:p w14:paraId="3451D69B">
      <w:pPr>
        <w:widowControl/>
        <w:spacing w:line="200" w:lineRule="atLeast"/>
        <w:rPr>
          <w:rFonts w:hint="eastAsia" w:ascii="宋体" w:hAnsi="宋体" w:cs="宋体"/>
          <w:color w:val="000000"/>
          <w:kern w:val="0"/>
          <w:sz w:val="24"/>
          <w:highlight w:val="none"/>
        </w:rPr>
      </w:pPr>
    </w:p>
    <w:p w14:paraId="237105CB">
      <w:pPr>
        <w:widowControl/>
        <w:rPr>
          <w:rFonts w:hint="eastAsia" w:ascii="宋体" w:hAnsi="宋体" w:cs="宋体"/>
          <w:color w:val="000000"/>
          <w:highlight w:val="none"/>
        </w:rPr>
      </w:pPr>
    </w:p>
    <w:p w14:paraId="5F9023E0">
      <w:pPr>
        <w:widowControl/>
        <w:rPr>
          <w:rFonts w:hint="eastAsia" w:ascii="宋体" w:hAnsi="宋体" w:cs="宋体"/>
          <w:color w:val="000000"/>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3533BC70">
      <w:pPr>
        <w:pStyle w:val="3"/>
        <w:widowControl/>
        <w:spacing w:before="120" w:after="120" w:line="240" w:lineRule="auto"/>
        <w:jc w:val="center"/>
        <w:rPr>
          <w:rFonts w:hint="eastAsia" w:ascii="宋体" w:hAnsi="宋体" w:cs="宋体"/>
          <w:color w:val="000000"/>
          <w:kern w:val="0"/>
          <w:sz w:val="28"/>
          <w:szCs w:val="28"/>
          <w:highlight w:val="none"/>
        </w:rPr>
      </w:pPr>
      <w:r>
        <w:rPr>
          <w:rFonts w:hint="eastAsia" w:ascii="宋体" w:hAnsi="宋体" w:cs="宋体"/>
          <w:color w:val="000000"/>
          <w:kern w:val="0"/>
          <w:sz w:val="28"/>
          <w:szCs w:val="28"/>
          <w:highlight w:val="none"/>
        </w:rPr>
        <w:t>八、分包意向协议书（如有）</w:t>
      </w:r>
    </w:p>
    <w:p w14:paraId="57CABFBC">
      <w:pPr>
        <w:pStyle w:val="155"/>
        <w:topLinePunct/>
        <w:spacing w:line="440" w:lineRule="atLeast"/>
        <w:ind w:firstLine="420"/>
        <w:rPr>
          <w:rFonts w:hint="eastAsia" w:ascii="宋体" w:hAnsi="宋体" w:cs="宋体"/>
          <w:color w:val="000000"/>
          <w:szCs w:val="24"/>
          <w:highlight w:val="none"/>
        </w:rPr>
      </w:pPr>
      <w:r>
        <w:rPr>
          <w:rFonts w:hint="eastAsia" w:ascii="宋体" w:hAnsi="宋体" w:cs="宋体"/>
          <w:color w:val="000000"/>
          <w:szCs w:val="24"/>
          <w:highlight w:val="none"/>
        </w:rPr>
        <w:t>我方承诺一旦在</w:t>
      </w:r>
      <w:r>
        <w:rPr>
          <w:rFonts w:hint="eastAsia" w:ascii="宋体" w:hAnsi="宋体" w:cs="宋体"/>
          <w:color w:val="000000"/>
          <w:szCs w:val="24"/>
          <w:highlight w:val="none"/>
          <w:lang w:eastAsia="zh-CN"/>
        </w:rPr>
        <w:t>安徽省疾控中心省结核病参比实验室耐药检测能力提升</w:t>
      </w:r>
      <w:r>
        <w:rPr>
          <w:rFonts w:hint="eastAsia" w:ascii="宋体" w:hAnsi="宋体" w:cs="宋体"/>
          <w:color w:val="000000"/>
          <w:szCs w:val="24"/>
          <w:highlight w:val="none"/>
        </w:rPr>
        <w:t>中获得采购合同，拟按下表进行分包。在本项目中签署的一切文件和处理的一切事宜，我方及分包单位均予以承认。分包单位将严格按照招标文件、投标文件的各项要求履行合同，且不再次分包，我方对外承担连带责任。</w:t>
      </w:r>
    </w:p>
    <w:p w14:paraId="3DD0333B">
      <w:pPr>
        <w:pStyle w:val="155"/>
        <w:topLinePunct/>
        <w:spacing w:line="440" w:lineRule="atLeast"/>
        <w:ind w:firstLine="420"/>
        <w:rPr>
          <w:rFonts w:hint="eastAsia" w:ascii="宋体" w:hAnsi="宋体" w:cs="宋体"/>
          <w:color w:val="000000"/>
          <w:szCs w:val="24"/>
          <w:highlight w:val="none"/>
        </w:rPr>
      </w:pPr>
    </w:p>
    <w:tbl>
      <w:tblPr>
        <w:tblStyle w:val="4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2300"/>
        <w:gridCol w:w="1266"/>
        <w:gridCol w:w="1322"/>
        <w:gridCol w:w="2389"/>
      </w:tblGrid>
      <w:tr w14:paraId="5981D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center"/>
          </w:tcPr>
          <w:p w14:paraId="6786C591">
            <w:pPr>
              <w:pStyle w:val="155"/>
              <w:topLinePunct/>
              <w:jc w:val="center"/>
              <w:rPr>
                <w:rFonts w:hint="eastAsia" w:ascii="宋体" w:hAnsi="宋体" w:cs="宋体"/>
                <w:b/>
                <w:bCs/>
                <w:color w:val="000000"/>
                <w:szCs w:val="24"/>
                <w:highlight w:val="none"/>
              </w:rPr>
            </w:pPr>
            <w:r>
              <w:rPr>
                <w:rFonts w:hint="eastAsia" w:ascii="宋体" w:hAnsi="宋体" w:cs="宋体"/>
                <w:b/>
                <w:bCs/>
                <w:color w:val="000000"/>
                <w:szCs w:val="24"/>
                <w:highlight w:val="none"/>
              </w:rPr>
              <w:t>序号</w:t>
            </w:r>
          </w:p>
        </w:tc>
        <w:tc>
          <w:tcPr>
            <w:tcW w:w="2300" w:type="dxa"/>
            <w:noWrap w:val="0"/>
            <w:vAlign w:val="center"/>
          </w:tcPr>
          <w:p w14:paraId="672A0ECD">
            <w:pPr>
              <w:pStyle w:val="155"/>
              <w:topLinePunct/>
              <w:jc w:val="center"/>
              <w:rPr>
                <w:rFonts w:hint="eastAsia" w:ascii="宋体" w:hAnsi="宋体" w:cs="宋体"/>
                <w:b/>
                <w:bCs/>
                <w:color w:val="000000"/>
                <w:szCs w:val="24"/>
                <w:highlight w:val="none"/>
              </w:rPr>
            </w:pPr>
            <w:r>
              <w:rPr>
                <w:rFonts w:hint="eastAsia" w:ascii="宋体" w:hAnsi="宋体" w:cs="宋体"/>
                <w:b/>
                <w:bCs/>
                <w:color w:val="000000"/>
                <w:szCs w:val="24"/>
                <w:highlight w:val="none"/>
              </w:rPr>
              <w:t>单位名称</w:t>
            </w:r>
          </w:p>
          <w:p w14:paraId="5412C9C7">
            <w:pPr>
              <w:pStyle w:val="155"/>
              <w:topLinePunct/>
              <w:jc w:val="center"/>
              <w:rPr>
                <w:rFonts w:ascii="宋体" w:hAnsi="宋体" w:cs="宋体"/>
                <w:b/>
                <w:bCs/>
                <w:color w:val="000000"/>
                <w:szCs w:val="24"/>
                <w:highlight w:val="none"/>
              </w:rPr>
            </w:pPr>
            <w:r>
              <w:rPr>
                <w:rFonts w:hint="eastAsia" w:ascii="宋体" w:hAnsi="宋体" w:cs="宋体"/>
                <w:b/>
                <w:bCs/>
                <w:color w:val="000000"/>
                <w:szCs w:val="24"/>
                <w:highlight w:val="none"/>
              </w:rPr>
              <w:t>（分包单位）</w:t>
            </w:r>
          </w:p>
        </w:tc>
        <w:tc>
          <w:tcPr>
            <w:tcW w:w="1266" w:type="dxa"/>
            <w:noWrap w:val="0"/>
            <w:vAlign w:val="center"/>
          </w:tcPr>
          <w:p w14:paraId="67CA4A5B">
            <w:pPr>
              <w:pStyle w:val="155"/>
              <w:topLinePunct/>
              <w:jc w:val="center"/>
              <w:rPr>
                <w:rFonts w:hint="eastAsia" w:ascii="宋体" w:hAnsi="宋体" w:cs="宋体"/>
                <w:b/>
                <w:bCs/>
                <w:color w:val="000000"/>
                <w:szCs w:val="24"/>
                <w:highlight w:val="none"/>
              </w:rPr>
            </w:pPr>
            <w:r>
              <w:rPr>
                <w:rFonts w:hint="eastAsia" w:ascii="宋体" w:hAnsi="宋体" w:cs="宋体"/>
                <w:b/>
                <w:bCs/>
                <w:color w:val="000000"/>
                <w:szCs w:val="24"/>
                <w:highlight w:val="none"/>
              </w:rPr>
              <w:t>资质</w:t>
            </w:r>
          </w:p>
          <w:p w14:paraId="5D9873EC">
            <w:pPr>
              <w:pStyle w:val="155"/>
              <w:topLinePunct/>
              <w:jc w:val="center"/>
              <w:rPr>
                <w:rFonts w:hint="eastAsia" w:ascii="宋体" w:hAnsi="宋体" w:cs="宋体"/>
                <w:b/>
                <w:bCs/>
                <w:color w:val="000000"/>
                <w:szCs w:val="24"/>
                <w:highlight w:val="none"/>
              </w:rPr>
            </w:pPr>
            <w:r>
              <w:rPr>
                <w:rFonts w:hint="eastAsia" w:ascii="宋体" w:hAnsi="宋体" w:cs="宋体"/>
                <w:b/>
                <w:bCs/>
                <w:color w:val="000000"/>
                <w:szCs w:val="24"/>
                <w:highlight w:val="none"/>
              </w:rPr>
              <w:t>（如有）</w:t>
            </w:r>
          </w:p>
        </w:tc>
        <w:tc>
          <w:tcPr>
            <w:tcW w:w="1322" w:type="dxa"/>
            <w:noWrap w:val="0"/>
            <w:vAlign w:val="center"/>
          </w:tcPr>
          <w:p w14:paraId="7D00C8B7">
            <w:pPr>
              <w:pStyle w:val="155"/>
              <w:topLinePunct/>
              <w:jc w:val="center"/>
              <w:rPr>
                <w:rFonts w:ascii="宋体" w:hAnsi="宋体" w:cs="宋体"/>
                <w:b/>
                <w:bCs/>
                <w:color w:val="000000"/>
                <w:szCs w:val="24"/>
                <w:highlight w:val="none"/>
              </w:rPr>
            </w:pPr>
            <w:r>
              <w:rPr>
                <w:rFonts w:hint="eastAsia" w:ascii="宋体" w:hAnsi="宋体" w:cs="宋体"/>
                <w:b/>
                <w:bCs/>
                <w:color w:val="000000"/>
                <w:szCs w:val="24"/>
                <w:highlight w:val="none"/>
              </w:rPr>
              <w:t>拟分包内容</w:t>
            </w:r>
          </w:p>
        </w:tc>
        <w:tc>
          <w:tcPr>
            <w:tcW w:w="2389" w:type="dxa"/>
            <w:noWrap w:val="0"/>
            <w:vAlign w:val="center"/>
          </w:tcPr>
          <w:p w14:paraId="05B109E9">
            <w:pPr>
              <w:pStyle w:val="155"/>
              <w:topLinePunct/>
              <w:jc w:val="center"/>
              <w:rPr>
                <w:rFonts w:ascii="宋体" w:hAnsi="宋体" w:cs="宋体"/>
                <w:b/>
                <w:bCs/>
                <w:color w:val="000000"/>
                <w:szCs w:val="24"/>
                <w:highlight w:val="none"/>
              </w:rPr>
            </w:pPr>
            <w:r>
              <w:rPr>
                <w:rFonts w:hint="eastAsia" w:ascii="宋体" w:hAnsi="宋体" w:cs="宋体"/>
                <w:b/>
                <w:bCs/>
                <w:color w:val="000000"/>
                <w:szCs w:val="24"/>
                <w:highlight w:val="none"/>
              </w:rPr>
              <w:t>拟分包合同金额占合同金额的比例</w:t>
            </w:r>
          </w:p>
        </w:tc>
      </w:tr>
      <w:tr w14:paraId="78B4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39248EF4">
            <w:pPr>
              <w:pStyle w:val="155"/>
              <w:topLinePunct/>
              <w:jc w:val="left"/>
              <w:rPr>
                <w:rFonts w:hint="eastAsia" w:ascii="宋体" w:hAnsi="宋体" w:cs="宋体"/>
                <w:color w:val="000000"/>
                <w:szCs w:val="24"/>
                <w:highlight w:val="none"/>
              </w:rPr>
            </w:pPr>
            <w:r>
              <w:rPr>
                <w:rFonts w:hint="eastAsia" w:ascii="宋体" w:hAnsi="宋体" w:cs="宋体"/>
                <w:color w:val="000000"/>
                <w:szCs w:val="24"/>
                <w:highlight w:val="none"/>
              </w:rPr>
              <w:t>1</w:t>
            </w:r>
          </w:p>
        </w:tc>
        <w:tc>
          <w:tcPr>
            <w:tcW w:w="2300" w:type="dxa"/>
            <w:noWrap w:val="0"/>
            <w:vAlign w:val="top"/>
          </w:tcPr>
          <w:p w14:paraId="497ABF9D">
            <w:pPr>
              <w:pStyle w:val="155"/>
              <w:topLinePunct/>
              <w:jc w:val="left"/>
              <w:rPr>
                <w:rFonts w:hint="eastAsia" w:ascii="宋体" w:hAnsi="宋体" w:cs="宋体"/>
                <w:color w:val="000000"/>
                <w:szCs w:val="24"/>
                <w:highlight w:val="none"/>
              </w:rPr>
            </w:pPr>
          </w:p>
        </w:tc>
        <w:tc>
          <w:tcPr>
            <w:tcW w:w="1266" w:type="dxa"/>
            <w:noWrap w:val="0"/>
            <w:vAlign w:val="top"/>
          </w:tcPr>
          <w:p w14:paraId="00A76239">
            <w:pPr>
              <w:pStyle w:val="155"/>
              <w:topLinePunct/>
              <w:jc w:val="left"/>
              <w:rPr>
                <w:rFonts w:hint="eastAsia" w:ascii="宋体" w:hAnsi="宋体" w:cs="宋体"/>
                <w:color w:val="000000"/>
                <w:szCs w:val="24"/>
                <w:highlight w:val="none"/>
              </w:rPr>
            </w:pPr>
          </w:p>
        </w:tc>
        <w:tc>
          <w:tcPr>
            <w:tcW w:w="1322" w:type="dxa"/>
            <w:noWrap w:val="0"/>
            <w:vAlign w:val="top"/>
          </w:tcPr>
          <w:p w14:paraId="28C28FEF">
            <w:pPr>
              <w:pStyle w:val="155"/>
              <w:topLinePunct/>
              <w:jc w:val="left"/>
              <w:rPr>
                <w:rFonts w:hint="eastAsia" w:ascii="宋体" w:hAnsi="宋体" w:cs="宋体"/>
                <w:color w:val="000000"/>
                <w:szCs w:val="24"/>
                <w:highlight w:val="none"/>
              </w:rPr>
            </w:pPr>
          </w:p>
        </w:tc>
        <w:tc>
          <w:tcPr>
            <w:tcW w:w="2389" w:type="dxa"/>
            <w:noWrap w:val="0"/>
            <w:vAlign w:val="top"/>
          </w:tcPr>
          <w:p w14:paraId="17D839AB">
            <w:pPr>
              <w:pStyle w:val="155"/>
              <w:topLinePunct/>
              <w:jc w:val="left"/>
              <w:rPr>
                <w:rFonts w:hint="eastAsia" w:ascii="宋体" w:hAnsi="宋体" w:cs="宋体"/>
                <w:color w:val="000000"/>
                <w:szCs w:val="24"/>
                <w:highlight w:val="none"/>
              </w:rPr>
            </w:pPr>
          </w:p>
        </w:tc>
      </w:tr>
      <w:tr w14:paraId="3ED3C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7066A2E7">
            <w:pPr>
              <w:pStyle w:val="155"/>
              <w:topLinePunct/>
              <w:jc w:val="left"/>
              <w:rPr>
                <w:rFonts w:hint="eastAsia" w:ascii="宋体" w:hAnsi="宋体" w:cs="宋体"/>
                <w:color w:val="000000"/>
                <w:szCs w:val="24"/>
                <w:highlight w:val="none"/>
              </w:rPr>
            </w:pPr>
            <w:r>
              <w:rPr>
                <w:rFonts w:hint="eastAsia" w:ascii="宋体" w:hAnsi="宋体" w:cs="宋体"/>
                <w:color w:val="000000"/>
                <w:szCs w:val="24"/>
                <w:highlight w:val="none"/>
              </w:rPr>
              <w:t>2</w:t>
            </w:r>
          </w:p>
        </w:tc>
        <w:tc>
          <w:tcPr>
            <w:tcW w:w="2300" w:type="dxa"/>
            <w:noWrap w:val="0"/>
            <w:vAlign w:val="top"/>
          </w:tcPr>
          <w:p w14:paraId="4A16FA35">
            <w:pPr>
              <w:pStyle w:val="155"/>
              <w:topLinePunct/>
              <w:jc w:val="left"/>
              <w:rPr>
                <w:rFonts w:hint="eastAsia" w:ascii="宋体" w:hAnsi="宋体" w:cs="宋体"/>
                <w:color w:val="000000"/>
                <w:szCs w:val="24"/>
                <w:highlight w:val="none"/>
              </w:rPr>
            </w:pPr>
          </w:p>
        </w:tc>
        <w:tc>
          <w:tcPr>
            <w:tcW w:w="1266" w:type="dxa"/>
            <w:noWrap w:val="0"/>
            <w:vAlign w:val="top"/>
          </w:tcPr>
          <w:p w14:paraId="184C201D">
            <w:pPr>
              <w:pStyle w:val="155"/>
              <w:topLinePunct/>
              <w:jc w:val="left"/>
              <w:rPr>
                <w:rFonts w:hint="eastAsia" w:ascii="宋体" w:hAnsi="宋体" w:cs="宋体"/>
                <w:color w:val="000000"/>
                <w:szCs w:val="24"/>
                <w:highlight w:val="none"/>
              </w:rPr>
            </w:pPr>
          </w:p>
        </w:tc>
        <w:tc>
          <w:tcPr>
            <w:tcW w:w="1322" w:type="dxa"/>
            <w:noWrap w:val="0"/>
            <w:vAlign w:val="top"/>
          </w:tcPr>
          <w:p w14:paraId="0A3B7E0E">
            <w:pPr>
              <w:pStyle w:val="155"/>
              <w:topLinePunct/>
              <w:jc w:val="left"/>
              <w:rPr>
                <w:rFonts w:hint="eastAsia" w:ascii="宋体" w:hAnsi="宋体" w:cs="宋体"/>
                <w:color w:val="000000"/>
                <w:szCs w:val="24"/>
                <w:highlight w:val="none"/>
              </w:rPr>
            </w:pPr>
          </w:p>
        </w:tc>
        <w:tc>
          <w:tcPr>
            <w:tcW w:w="2389" w:type="dxa"/>
            <w:noWrap w:val="0"/>
            <w:vAlign w:val="top"/>
          </w:tcPr>
          <w:p w14:paraId="406B03C3">
            <w:pPr>
              <w:pStyle w:val="155"/>
              <w:topLinePunct/>
              <w:jc w:val="left"/>
              <w:rPr>
                <w:rFonts w:hint="eastAsia" w:ascii="宋体" w:hAnsi="宋体" w:cs="宋体"/>
                <w:color w:val="000000"/>
                <w:szCs w:val="24"/>
                <w:highlight w:val="none"/>
              </w:rPr>
            </w:pPr>
          </w:p>
        </w:tc>
      </w:tr>
      <w:tr w14:paraId="2995E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dxa"/>
            <w:noWrap w:val="0"/>
            <w:vAlign w:val="top"/>
          </w:tcPr>
          <w:p w14:paraId="720B94FC">
            <w:pPr>
              <w:pStyle w:val="155"/>
              <w:topLinePunct/>
              <w:jc w:val="left"/>
              <w:rPr>
                <w:rFonts w:ascii="宋体" w:hAnsi="宋体" w:cs="宋体"/>
                <w:color w:val="000000"/>
                <w:szCs w:val="24"/>
                <w:highlight w:val="none"/>
              </w:rPr>
            </w:pPr>
            <w:r>
              <w:rPr>
                <w:rFonts w:hint="eastAsia" w:ascii="宋体" w:hAnsi="宋体" w:cs="宋体"/>
                <w:color w:val="000000"/>
                <w:szCs w:val="24"/>
                <w:highlight w:val="none"/>
              </w:rPr>
              <w:t>...</w:t>
            </w:r>
          </w:p>
        </w:tc>
        <w:tc>
          <w:tcPr>
            <w:tcW w:w="2300" w:type="dxa"/>
            <w:noWrap w:val="0"/>
            <w:vAlign w:val="top"/>
          </w:tcPr>
          <w:p w14:paraId="0406E36A">
            <w:pPr>
              <w:pStyle w:val="155"/>
              <w:topLinePunct/>
              <w:jc w:val="left"/>
              <w:rPr>
                <w:rFonts w:hint="eastAsia" w:ascii="宋体" w:hAnsi="宋体" w:cs="宋体"/>
                <w:color w:val="000000"/>
                <w:szCs w:val="24"/>
                <w:highlight w:val="none"/>
              </w:rPr>
            </w:pPr>
          </w:p>
        </w:tc>
        <w:tc>
          <w:tcPr>
            <w:tcW w:w="1266" w:type="dxa"/>
            <w:noWrap w:val="0"/>
            <w:vAlign w:val="top"/>
          </w:tcPr>
          <w:p w14:paraId="4572DAF7">
            <w:pPr>
              <w:pStyle w:val="155"/>
              <w:topLinePunct/>
              <w:jc w:val="left"/>
              <w:rPr>
                <w:rFonts w:hint="eastAsia" w:ascii="宋体" w:hAnsi="宋体" w:cs="宋体"/>
                <w:color w:val="000000"/>
                <w:szCs w:val="24"/>
                <w:highlight w:val="none"/>
              </w:rPr>
            </w:pPr>
          </w:p>
        </w:tc>
        <w:tc>
          <w:tcPr>
            <w:tcW w:w="1322" w:type="dxa"/>
            <w:noWrap w:val="0"/>
            <w:vAlign w:val="top"/>
          </w:tcPr>
          <w:p w14:paraId="11855976">
            <w:pPr>
              <w:pStyle w:val="155"/>
              <w:topLinePunct/>
              <w:jc w:val="left"/>
              <w:rPr>
                <w:rFonts w:hint="eastAsia" w:ascii="宋体" w:hAnsi="宋体" w:cs="宋体"/>
                <w:color w:val="000000"/>
                <w:szCs w:val="24"/>
                <w:highlight w:val="none"/>
              </w:rPr>
            </w:pPr>
          </w:p>
        </w:tc>
        <w:tc>
          <w:tcPr>
            <w:tcW w:w="2389" w:type="dxa"/>
            <w:noWrap w:val="0"/>
            <w:vAlign w:val="top"/>
          </w:tcPr>
          <w:p w14:paraId="3872432D">
            <w:pPr>
              <w:pStyle w:val="155"/>
              <w:topLinePunct/>
              <w:jc w:val="left"/>
              <w:rPr>
                <w:rFonts w:hint="eastAsia" w:ascii="宋体" w:hAnsi="宋体" w:cs="宋体"/>
                <w:color w:val="000000"/>
                <w:szCs w:val="24"/>
                <w:highlight w:val="none"/>
              </w:rPr>
            </w:pPr>
          </w:p>
        </w:tc>
      </w:tr>
    </w:tbl>
    <w:p w14:paraId="56A6A00B">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注：</w:t>
      </w:r>
    </w:p>
    <w:p w14:paraId="68F32DF2">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1.如本项目允许分包，且投标人拟进行分包时，必须提供；如未提供，或提供了但未填写拟签订分包合同的单位名称、拟分包合同金额占合同总金额的比例，投标无效。</w:t>
      </w:r>
    </w:p>
    <w:p w14:paraId="58CAC18E">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2.如招标公告载明的资格要求与拟分包内容相关，则投标人须在本表中列明分包单位的相应资质，并附资质证书的扫描件或电子证书，否则投标无效。</w:t>
      </w:r>
    </w:p>
    <w:p w14:paraId="3C812EB0">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3.投标人为享受政府采购支持中小企业发展政策而向中小微企业分包时，须同时提供分包单位的中小企业声明函，分包单位的企业划型以中小企业声明函作为判断依据。</w:t>
      </w:r>
    </w:p>
    <w:p w14:paraId="50730E44">
      <w:pPr>
        <w:pStyle w:val="155"/>
        <w:topLinePunct/>
        <w:spacing w:line="440" w:lineRule="atLeast"/>
        <w:jc w:val="right"/>
        <w:rPr>
          <w:rFonts w:hint="eastAsia" w:ascii="宋体" w:hAnsi="宋体" w:cs="宋体"/>
          <w:color w:val="000000"/>
          <w:szCs w:val="24"/>
          <w:highlight w:val="none"/>
        </w:rPr>
      </w:pPr>
    </w:p>
    <w:p w14:paraId="3D2F417A">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投标人名称：</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（盖单位章）</w:t>
      </w:r>
    </w:p>
    <w:p w14:paraId="09FC555A">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法定代表人（单位负责人）：</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（签字或盖章）</w:t>
      </w:r>
    </w:p>
    <w:p w14:paraId="73104612">
      <w:pPr>
        <w:pStyle w:val="155"/>
        <w:topLinePunct/>
        <w:spacing w:line="440" w:lineRule="atLeast"/>
        <w:rPr>
          <w:rFonts w:hint="eastAsia" w:ascii="宋体" w:hAnsi="宋体" w:cs="宋体"/>
          <w:color w:val="000000"/>
          <w:szCs w:val="24"/>
          <w:highlight w:val="none"/>
        </w:rPr>
      </w:pPr>
    </w:p>
    <w:p w14:paraId="73CF275B">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分包单位一名称：</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（盖单位章）</w:t>
      </w:r>
    </w:p>
    <w:p w14:paraId="7E0EDEE7">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法定代表人（单位负责人）：</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（签字或盖章）</w:t>
      </w:r>
    </w:p>
    <w:p w14:paraId="41DE860E">
      <w:pPr>
        <w:pStyle w:val="155"/>
        <w:topLinePunct/>
        <w:spacing w:line="440" w:lineRule="atLeast"/>
        <w:rPr>
          <w:rFonts w:hint="eastAsia" w:ascii="宋体" w:hAnsi="宋体" w:cs="宋体"/>
          <w:color w:val="000000"/>
          <w:szCs w:val="24"/>
          <w:highlight w:val="none"/>
        </w:rPr>
      </w:pPr>
    </w:p>
    <w:p w14:paraId="01043F5D">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分包单位二名称：</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（盖单位章）</w:t>
      </w:r>
    </w:p>
    <w:p w14:paraId="2256247C">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法定代表人（单位负责人）：</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（签字或盖章）</w:t>
      </w:r>
    </w:p>
    <w:p w14:paraId="4DE5CE0C">
      <w:pPr>
        <w:pStyle w:val="155"/>
        <w:topLinePunct/>
        <w:spacing w:line="440" w:lineRule="atLeast"/>
        <w:rPr>
          <w:rFonts w:hint="eastAsia" w:ascii="宋体" w:hAnsi="宋体" w:cs="宋体"/>
          <w:color w:val="000000"/>
          <w:szCs w:val="24"/>
          <w:highlight w:val="none"/>
        </w:rPr>
      </w:pPr>
      <w:r>
        <w:rPr>
          <w:rFonts w:hint="eastAsia" w:ascii="宋体" w:hAnsi="宋体" w:cs="宋体"/>
          <w:color w:val="000000"/>
          <w:szCs w:val="24"/>
          <w:highlight w:val="none"/>
        </w:rPr>
        <w:t>……</w:t>
      </w:r>
    </w:p>
    <w:p w14:paraId="05A05E74">
      <w:pPr>
        <w:pStyle w:val="155"/>
        <w:ind w:firstLine="2879"/>
        <w:rPr>
          <w:rFonts w:hint="eastAsia" w:ascii="宋体" w:hAnsi="宋体" w:cs="宋体"/>
          <w:color w:val="000000"/>
          <w:szCs w:val="24"/>
          <w:highlight w:val="none"/>
        </w:rPr>
      </w:pP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年</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月</w:t>
      </w:r>
      <w:r>
        <w:rPr>
          <w:rFonts w:hint="eastAsia" w:ascii="宋体" w:hAnsi="宋体" w:cs="宋体"/>
          <w:color w:val="000000"/>
          <w:szCs w:val="24"/>
          <w:highlight w:val="none"/>
          <w:u w:val="single"/>
        </w:rPr>
        <w:t xml:space="preserve">       </w:t>
      </w:r>
      <w:r>
        <w:rPr>
          <w:rFonts w:hint="eastAsia" w:ascii="宋体" w:hAnsi="宋体" w:cs="宋体"/>
          <w:color w:val="000000"/>
          <w:szCs w:val="24"/>
          <w:highlight w:val="none"/>
        </w:rPr>
        <w:t>日</w:t>
      </w:r>
    </w:p>
    <w:p w14:paraId="474EC936">
      <w:pPr>
        <w:spacing w:line="440" w:lineRule="exact"/>
        <w:rPr>
          <w:rFonts w:hint="eastAsia" w:ascii="宋体" w:hAnsi="宋体" w:cs="宋体"/>
          <w:color w:val="000000"/>
          <w:szCs w:val="21"/>
          <w:highlight w:val="none"/>
        </w:rPr>
      </w:pPr>
    </w:p>
    <w:p w14:paraId="3BBBB72C">
      <w:pPr>
        <w:widowControl/>
        <w:rPr>
          <w:rFonts w:hint="eastAsia" w:ascii="宋体" w:hAnsi="宋体" w:cs="宋体"/>
          <w:color w:val="000000"/>
          <w:highlight w:val="none"/>
        </w:rPr>
        <w:sectPr>
          <w:footnotePr>
            <w:numFmt w:val="decimalEnclosedCircleChinese"/>
            <w:numRestart w:val="eachPage"/>
          </w:footnotePr>
          <w:pgSz w:w="11906" w:h="16838"/>
          <w:pgMar w:top="1134" w:right="1134" w:bottom="1134" w:left="1134" w:header="851" w:footer="851" w:gutter="0"/>
          <w:cols w:space="720" w:num="1"/>
          <w:docGrid w:linePitch="286" w:charSpace="0"/>
        </w:sectPr>
      </w:pPr>
    </w:p>
    <w:p w14:paraId="6038AFCE">
      <w:pPr>
        <w:pStyle w:val="3"/>
        <w:widowControl/>
        <w:spacing w:before="120" w:after="120" w:line="240" w:lineRule="auto"/>
        <w:jc w:val="center"/>
        <w:rPr>
          <w:rStyle w:val="106"/>
          <w:rFonts w:hint="eastAsia" w:ascii="宋体" w:hAnsi="宋体" w:eastAsia="宋体" w:cs="宋体"/>
          <w:b/>
          <w:color w:val="000000"/>
          <w:sz w:val="30"/>
          <w:szCs w:val="30"/>
          <w:highlight w:val="none"/>
        </w:rPr>
      </w:pPr>
      <w:r>
        <w:rPr>
          <w:rStyle w:val="106"/>
          <w:rFonts w:hint="eastAsia" w:ascii="宋体" w:hAnsi="宋体" w:eastAsia="宋体" w:cs="宋体"/>
          <w:b/>
          <w:color w:val="000000"/>
          <w:sz w:val="30"/>
          <w:szCs w:val="30"/>
          <w:highlight w:val="none"/>
        </w:rPr>
        <w:t>九、资格审查材料</w:t>
      </w:r>
    </w:p>
    <w:p w14:paraId="62474A87">
      <w:pPr>
        <w:widowControl/>
        <w:tabs>
          <w:tab w:val="left" w:pos="5580"/>
        </w:tabs>
        <w:wordWrap w:val="0"/>
        <w:adjustRightInd w:val="0"/>
        <w:snapToGrid w:val="0"/>
        <w:spacing w:line="400" w:lineRule="exact"/>
        <w:rPr>
          <w:rFonts w:hint="eastAsia" w:ascii="宋体" w:hAnsi="宋体" w:cs="宋体"/>
          <w:b/>
          <w:color w:val="000000"/>
          <w:szCs w:val="21"/>
          <w:highlight w:val="none"/>
        </w:rPr>
      </w:pPr>
      <w:r>
        <w:rPr>
          <w:rFonts w:hint="eastAsia" w:ascii="宋体" w:hAnsi="宋体" w:cs="宋体"/>
          <w:b/>
          <w:color w:val="000000"/>
          <w:szCs w:val="21"/>
          <w:highlight w:val="none"/>
        </w:rPr>
        <w:t>特别提醒：</w:t>
      </w:r>
    </w:p>
    <w:p w14:paraId="3098CB8F">
      <w:pPr>
        <w:widowControl/>
        <w:tabs>
          <w:tab w:val="left" w:pos="5580"/>
        </w:tabs>
        <w:wordWrap w:val="0"/>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1．提供证明材料</w:t>
      </w:r>
      <w:r>
        <w:rPr>
          <w:rFonts w:hint="eastAsia" w:ascii="宋体" w:hAnsi="宋体" w:cs="宋体"/>
          <w:b/>
          <w:color w:val="000000"/>
          <w:szCs w:val="21"/>
          <w:highlight w:val="none"/>
        </w:rPr>
        <w:t>扫描件或电子证照</w:t>
      </w:r>
      <w:r>
        <w:rPr>
          <w:rFonts w:hint="eastAsia" w:ascii="宋体" w:hAnsi="宋体" w:cs="宋体"/>
          <w:color w:val="000000"/>
          <w:szCs w:val="21"/>
          <w:highlight w:val="none"/>
        </w:rPr>
        <w:t>；</w:t>
      </w:r>
    </w:p>
    <w:p w14:paraId="5761E331">
      <w:pPr>
        <w:widowControl/>
        <w:tabs>
          <w:tab w:val="left" w:pos="5580"/>
        </w:tabs>
        <w:wordWrap w:val="0"/>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2．建议设置审查索引，以便资格审查小组顺利开展审查工作；</w:t>
      </w:r>
    </w:p>
    <w:p w14:paraId="4568B5BD">
      <w:pPr>
        <w:widowControl/>
        <w:tabs>
          <w:tab w:val="left" w:pos="5580"/>
        </w:tabs>
        <w:wordWrap w:val="0"/>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3．内容须清晰、明确，若提供相关资料内容模糊不清或无法辨认，资格审查小组有权不予认可。</w:t>
      </w:r>
    </w:p>
    <w:p w14:paraId="4EDC7F02">
      <w:pPr>
        <w:tabs>
          <w:tab w:val="left" w:pos="1260"/>
        </w:tabs>
        <w:jc w:val="center"/>
        <w:rPr>
          <w:rFonts w:hint="eastAsia" w:cs="宋体"/>
          <w:bCs/>
          <w:color w:val="000000"/>
          <w:sz w:val="24"/>
          <w:highlight w:val="none"/>
        </w:rPr>
      </w:pPr>
    </w:p>
    <w:p w14:paraId="3DE41D5F">
      <w:pPr>
        <w:pStyle w:val="4"/>
        <w:keepNext w:val="0"/>
        <w:tabs>
          <w:tab w:val="left" w:pos="1260"/>
        </w:tabs>
        <w:jc w:val="center"/>
        <w:rPr>
          <w:rFonts w:hint="eastAsia" w:cs="宋体"/>
          <w:color w:val="000000"/>
          <w:sz w:val="24"/>
          <w:highlight w:val="none"/>
          <w:lang w:eastAsia="zh-CN"/>
        </w:rPr>
      </w:pPr>
      <w:r>
        <w:rPr>
          <w:rFonts w:hint="eastAsia" w:cs="宋体"/>
          <w:bCs w:val="0"/>
          <w:color w:val="000000"/>
          <w:sz w:val="24"/>
          <w:highlight w:val="none"/>
          <w:lang w:eastAsia="zh-CN"/>
        </w:rPr>
        <w:t>（一）招标文件要求的相关资格证明</w:t>
      </w:r>
    </w:p>
    <w:p w14:paraId="684EECC5">
      <w:pPr>
        <w:rPr>
          <w:rFonts w:hint="eastAsia" w:ascii="宋体" w:hAnsi="宋体" w:cs="宋体"/>
          <w:b/>
          <w:color w:val="000000"/>
          <w:highlight w:val="none"/>
        </w:rPr>
      </w:pPr>
      <w:r>
        <w:rPr>
          <w:rFonts w:hint="eastAsia" w:ascii="宋体" w:hAnsi="宋体" w:cs="宋体"/>
          <w:b/>
          <w:color w:val="000000"/>
          <w:highlight w:val="none"/>
        </w:rPr>
        <w:t>1-1营业执照等证明材料扫描件或电子证照</w:t>
      </w:r>
    </w:p>
    <w:p w14:paraId="060307A2">
      <w:pPr>
        <w:rPr>
          <w:rFonts w:hint="eastAsia" w:ascii="宋体" w:hAnsi="宋体" w:cs="宋体"/>
          <w:color w:val="000000"/>
          <w:sz w:val="18"/>
          <w:szCs w:val="18"/>
          <w:highlight w:val="none"/>
        </w:rPr>
      </w:pPr>
      <w:r>
        <w:rPr>
          <w:rFonts w:hint="eastAsia" w:ascii="宋体" w:hAnsi="宋体" w:cs="宋体"/>
          <w:color w:val="000000"/>
          <w:sz w:val="18"/>
          <w:szCs w:val="18"/>
          <w:highlight w:val="none"/>
        </w:rPr>
        <w:t>投标人为企业（包括公司、合伙企业、个人独资企业）的，提供有效的营业执照；</w:t>
      </w:r>
    </w:p>
    <w:p w14:paraId="512A22F2">
      <w:pPr>
        <w:rPr>
          <w:rFonts w:hint="eastAsia" w:ascii="宋体" w:hAnsi="宋体" w:cs="宋体"/>
          <w:color w:val="000000"/>
          <w:sz w:val="18"/>
          <w:szCs w:val="18"/>
          <w:highlight w:val="none"/>
        </w:rPr>
      </w:pPr>
      <w:r>
        <w:rPr>
          <w:rFonts w:hint="eastAsia" w:ascii="宋体" w:hAnsi="宋体" w:cs="宋体"/>
          <w:color w:val="000000"/>
          <w:sz w:val="18"/>
          <w:szCs w:val="18"/>
          <w:highlight w:val="none"/>
        </w:rPr>
        <w:t>投标人为事业单位的，提供有效的事业单位法人证书；</w:t>
      </w:r>
    </w:p>
    <w:p w14:paraId="017ABEEA">
      <w:pPr>
        <w:rPr>
          <w:rFonts w:hint="eastAsia" w:ascii="宋体" w:hAnsi="宋体" w:cs="宋体"/>
          <w:color w:val="000000"/>
          <w:sz w:val="18"/>
          <w:szCs w:val="18"/>
          <w:highlight w:val="none"/>
        </w:rPr>
      </w:pPr>
      <w:r>
        <w:rPr>
          <w:rFonts w:hint="eastAsia" w:ascii="宋体" w:hAnsi="宋体" w:cs="宋体"/>
          <w:color w:val="000000"/>
          <w:sz w:val="18"/>
          <w:szCs w:val="18"/>
          <w:highlight w:val="none"/>
        </w:rPr>
        <w:t>投标人为社会团体的，提供有效的社会团体法人登记证书；</w:t>
      </w:r>
    </w:p>
    <w:p w14:paraId="085B0D47">
      <w:pPr>
        <w:rPr>
          <w:rFonts w:hint="eastAsia" w:ascii="宋体" w:hAnsi="宋体" w:cs="宋体"/>
          <w:color w:val="000000"/>
          <w:sz w:val="18"/>
          <w:szCs w:val="18"/>
          <w:highlight w:val="none"/>
        </w:rPr>
      </w:pPr>
      <w:r>
        <w:rPr>
          <w:rFonts w:hint="eastAsia" w:ascii="宋体" w:hAnsi="宋体" w:cs="宋体"/>
          <w:color w:val="000000"/>
          <w:sz w:val="18"/>
          <w:szCs w:val="18"/>
          <w:highlight w:val="none"/>
        </w:rPr>
        <w:t>投标人为个体工商户的，提供有效的营业执照；</w:t>
      </w:r>
    </w:p>
    <w:p w14:paraId="21BC1950">
      <w:pPr>
        <w:rPr>
          <w:rFonts w:hint="eastAsia" w:ascii="宋体" w:hAnsi="宋体" w:cs="宋体"/>
          <w:color w:val="000000"/>
          <w:sz w:val="18"/>
          <w:szCs w:val="18"/>
          <w:highlight w:val="none"/>
        </w:rPr>
      </w:pPr>
      <w:r>
        <w:rPr>
          <w:rFonts w:hint="eastAsia" w:ascii="宋体" w:hAnsi="宋体" w:cs="宋体"/>
          <w:color w:val="000000"/>
          <w:sz w:val="18"/>
          <w:szCs w:val="18"/>
          <w:highlight w:val="none"/>
        </w:rPr>
        <w:t>投标人为不具法人资格的专业服务机构的，提供有效的执业许可证等证明材料；</w:t>
      </w:r>
    </w:p>
    <w:p w14:paraId="597CC9D2">
      <w:pPr>
        <w:rPr>
          <w:rFonts w:hint="eastAsia" w:ascii="宋体" w:hAnsi="宋体" w:cs="宋体"/>
          <w:color w:val="000000"/>
          <w:sz w:val="18"/>
          <w:szCs w:val="18"/>
          <w:highlight w:val="none"/>
        </w:rPr>
      </w:pPr>
      <w:r>
        <w:rPr>
          <w:rFonts w:hint="eastAsia" w:ascii="宋体" w:hAnsi="宋体" w:cs="宋体"/>
          <w:color w:val="000000"/>
          <w:sz w:val="18"/>
          <w:szCs w:val="18"/>
          <w:highlight w:val="none"/>
        </w:rPr>
        <w:t>投标人为自然人的，提供有效的自然人身份证明；</w:t>
      </w:r>
    </w:p>
    <w:p w14:paraId="53D80975">
      <w:pPr>
        <w:rPr>
          <w:rFonts w:hint="eastAsia" w:ascii="宋体" w:hAnsi="宋体" w:cs="宋体"/>
          <w:color w:val="000000"/>
          <w:sz w:val="18"/>
          <w:szCs w:val="18"/>
          <w:highlight w:val="none"/>
        </w:rPr>
      </w:pPr>
      <w:r>
        <w:rPr>
          <w:rFonts w:hint="eastAsia" w:ascii="宋体" w:hAnsi="宋体" w:cs="宋体"/>
          <w:color w:val="000000"/>
          <w:sz w:val="18"/>
          <w:szCs w:val="18"/>
          <w:highlight w:val="none"/>
        </w:rPr>
        <w:t>其他投标人应按照有关法律、法规和规章规定，提供有效的相应证明材料。</w:t>
      </w:r>
    </w:p>
    <w:p w14:paraId="4511EF0B">
      <w:pPr>
        <w:rPr>
          <w:rFonts w:hint="eastAsia" w:ascii="宋体" w:hAnsi="宋体" w:cs="宋体"/>
          <w:color w:val="000000"/>
          <w:sz w:val="18"/>
          <w:szCs w:val="18"/>
          <w:highlight w:val="none"/>
        </w:rPr>
      </w:pPr>
      <w:r>
        <w:rPr>
          <w:rFonts w:hint="eastAsia" w:ascii="宋体" w:hAnsi="宋体" w:cs="宋体"/>
          <w:color w:val="000000"/>
          <w:sz w:val="18"/>
          <w:szCs w:val="18"/>
          <w:highlight w:val="none"/>
        </w:rPr>
        <w:t>注：</w:t>
      </w:r>
    </w:p>
    <w:p w14:paraId="2E1A4DB7">
      <w:pPr>
        <w:rPr>
          <w:rFonts w:hint="eastAsia" w:ascii="宋体" w:hAnsi="宋体" w:cs="宋体"/>
          <w:color w:val="000000"/>
          <w:sz w:val="18"/>
          <w:szCs w:val="18"/>
          <w:highlight w:val="none"/>
        </w:rPr>
      </w:pPr>
      <w:r>
        <w:rPr>
          <w:rFonts w:hint="eastAsia" w:ascii="宋体" w:hAnsi="宋体" w:cs="宋体"/>
          <w:color w:val="000000"/>
          <w:sz w:val="18"/>
          <w:szCs w:val="18"/>
          <w:highlight w:val="none"/>
        </w:rPr>
        <w:t>1.联合体投标的联合体各方均须提供。</w:t>
      </w:r>
    </w:p>
    <w:p w14:paraId="69A0FF12">
      <w:pPr>
        <w:rPr>
          <w:rFonts w:hint="eastAsia" w:ascii="宋体" w:hAnsi="宋体" w:cs="宋体"/>
          <w:color w:val="000000"/>
          <w:sz w:val="18"/>
          <w:szCs w:val="18"/>
          <w:highlight w:val="none"/>
        </w:rPr>
      </w:pPr>
      <w:r>
        <w:rPr>
          <w:rFonts w:hint="eastAsia" w:ascii="宋体" w:hAnsi="宋体" w:cs="宋体"/>
          <w:color w:val="000000"/>
          <w:sz w:val="18"/>
          <w:szCs w:val="18"/>
          <w:highlight w:val="none"/>
        </w:rPr>
        <w:t>2.分支机构以分支机构名义参加投标的，应提供该分支机构的上述证明文件；同时还应提供其所属法人/其他组织出具的授权书（格式自拟，须加盖其所属法人/其他组织的公章）；</w:t>
      </w:r>
    </w:p>
    <w:p w14:paraId="6F6B119B">
      <w:pPr>
        <w:rPr>
          <w:rFonts w:hint="eastAsia" w:ascii="宋体" w:hAnsi="宋体" w:cs="宋体"/>
          <w:color w:val="000000"/>
          <w:sz w:val="18"/>
          <w:szCs w:val="18"/>
          <w:highlight w:val="none"/>
        </w:rPr>
      </w:pPr>
      <w:r>
        <w:rPr>
          <w:rFonts w:hint="eastAsia" w:ascii="宋体" w:hAnsi="宋体" w:cs="宋体"/>
          <w:color w:val="000000"/>
          <w:sz w:val="18"/>
          <w:szCs w:val="18"/>
          <w:highlight w:val="none"/>
        </w:rPr>
        <w:t>3.分支机构以其所属法人/其他组织名义参加投标的，应提供其所属法人/其他组织的上述证明文件；同时还应提供其所属法人/其他组织出具的授权书（格式自拟，须加盖其所属法人/其他组织的公章）；</w:t>
      </w:r>
    </w:p>
    <w:p w14:paraId="5592F20C">
      <w:pPr>
        <w:rPr>
          <w:rFonts w:hint="eastAsia" w:ascii="宋体" w:hAnsi="宋体" w:cs="宋体"/>
          <w:color w:val="000000"/>
          <w:szCs w:val="21"/>
          <w:highlight w:val="none"/>
        </w:rPr>
      </w:pPr>
      <w:r>
        <w:rPr>
          <w:rFonts w:hint="eastAsia" w:ascii="宋体" w:hAnsi="宋体" w:cs="宋体"/>
          <w:color w:val="000000"/>
          <w:sz w:val="18"/>
          <w:szCs w:val="18"/>
          <w:highlight w:val="none"/>
        </w:rPr>
        <w:t>4.对于银行、保险、石油石化、电力、电信、邮政、铁路等行业的分支机构，可以提供其所属法人/其他组织出具的授权书，也可以提供其所属法人/其他组织的有关文件或制度等能够证明授权其独立开展业务的证明材料。</w:t>
      </w:r>
    </w:p>
    <w:p w14:paraId="71E4F7C5">
      <w:pPr>
        <w:pStyle w:val="92"/>
        <w:rPr>
          <w:rFonts w:hint="eastAsia"/>
          <w:color w:val="000000"/>
          <w:highlight w:val="none"/>
        </w:rPr>
      </w:pPr>
    </w:p>
    <w:p w14:paraId="7E3B4C5C">
      <w:pPr>
        <w:rPr>
          <w:rFonts w:hint="eastAsia" w:ascii="宋体" w:hAnsi="宋体" w:cs="宋体"/>
          <w:b/>
          <w:color w:val="000000"/>
          <w:highlight w:val="none"/>
        </w:rPr>
      </w:pPr>
      <w:r>
        <w:rPr>
          <w:rFonts w:hint="eastAsia" w:ascii="宋体" w:hAnsi="宋体" w:cs="宋体"/>
          <w:b/>
          <w:color w:val="000000"/>
          <w:highlight w:val="none"/>
        </w:rPr>
        <w:t>1-2资质证书（如有）</w:t>
      </w:r>
    </w:p>
    <w:p w14:paraId="6D949651">
      <w:pPr>
        <w:rPr>
          <w:rFonts w:hint="eastAsia" w:ascii="宋体" w:hAnsi="宋体" w:cs="宋体"/>
          <w:snapToGrid w:val="0"/>
          <w:color w:val="000000"/>
          <w:sz w:val="18"/>
          <w:szCs w:val="18"/>
          <w:highlight w:val="none"/>
        </w:rPr>
      </w:pPr>
      <w:r>
        <w:rPr>
          <w:rFonts w:hint="eastAsia" w:ascii="宋体" w:hAnsi="宋体" w:cs="宋体"/>
          <w:color w:val="000000"/>
          <w:sz w:val="18"/>
          <w:szCs w:val="18"/>
          <w:highlight w:val="none"/>
        </w:rPr>
        <w:t>注：</w:t>
      </w:r>
      <w:r>
        <w:rPr>
          <w:rFonts w:hint="eastAsia" w:ascii="宋体" w:hAnsi="宋体" w:cs="宋体"/>
          <w:snapToGrid w:val="0"/>
          <w:color w:val="000000"/>
          <w:sz w:val="18"/>
          <w:szCs w:val="18"/>
          <w:highlight w:val="none"/>
        </w:rPr>
        <w:t>资质证书包括但不限于投标货物生产（制造）、销售、服务（安装、改造、维修、保养）许可证及有关投标货物（产品）有效鉴定证明等材料。</w:t>
      </w:r>
    </w:p>
    <w:p w14:paraId="2DD2B9A1">
      <w:pPr>
        <w:rPr>
          <w:rFonts w:hint="eastAsia" w:ascii="宋体" w:hAnsi="宋体" w:cs="宋体"/>
          <w:color w:val="000000"/>
          <w:szCs w:val="21"/>
          <w:highlight w:val="none"/>
        </w:rPr>
      </w:pPr>
    </w:p>
    <w:p w14:paraId="25D233B5">
      <w:pPr>
        <w:rPr>
          <w:rFonts w:hint="eastAsia" w:ascii="宋体" w:hAnsi="宋体" w:cs="宋体"/>
          <w:b/>
          <w:color w:val="000000"/>
          <w:highlight w:val="none"/>
        </w:rPr>
      </w:pPr>
      <w:r>
        <w:rPr>
          <w:rFonts w:hint="eastAsia" w:ascii="宋体" w:hAnsi="宋体" w:cs="宋体"/>
          <w:b/>
          <w:color w:val="000000"/>
          <w:highlight w:val="none"/>
        </w:rPr>
        <w:t>1-3制造商的相关资质证明（如有）</w:t>
      </w:r>
    </w:p>
    <w:p w14:paraId="7448ED96">
      <w:pPr>
        <w:rPr>
          <w:rFonts w:hint="eastAsia" w:ascii="宋体" w:hAnsi="宋体" w:cs="宋体"/>
          <w:b/>
          <w:color w:val="000000"/>
          <w:highlight w:val="none"/>
        </w:rPr>
      </w:pPr>
    </w:p>
    <w:p w14:paraId="0753CC44">
      <w:pPr>
        <w:rPr>
          <w:rFonts w:hint="eastAsia" w:ascii="宋体" w:hAnsi="宋体" w:cs="宋体"/>
          <w:b/>
          <w:color w:val="000000"/>
          <w:highlight w:val="none"/>
        </w:rPr>
      </w:pPr>
      <w:r>
        <w:rPr>
          <w:rFonts w:hint="eastAsia" w:ascii="宋体" w:hAnsi="宋体" w:cs="宋体"/>
          <w:b/>
          <w:color w:val="000000"/>
          <w:highlight w:val="none"/>
        </w:rPr>
        <w:t>1-4产品的相关资质证明文件（如有）</w:t>
      </w:r>
    </w:p>
    <w:p w14:paraId="1D6C4200">
      <w:pPr>
        <w:rPr>
          <w:rFonts w:hint="eastAsia" w:ascii="宋体" w:hAnsi="宋体" w:cs="宋体"/>
          <w:b/>
          <w:color w:val="000000"/>
          <w:highlight w:val="none"/>
        </w:rPr>
      </w:pPr>
    </w:p>
    <w:p w14:paraId="187115EF">
      <w:pPr>
        <w:rPr>
          <w:rFonts w:hint="eastAsia" w:ascii="宋体" w:hAnsi="宋体" w:cs="宋体"/>
          <w:b/>
          <w:color w:val="000000"/>
          <w:highlight w:val="none"/>
        </w:rPr>
      </w:pPr>
      <w:r>
        <w:rPr>
          <w:rFonts w:hint="eastAsia" w:ascii="宋体" w:hAnsi="宋体" w:cs="宋体"/>
          <w:b/>
          <w:color w:val="000000"/>
          <w:highlight w:val="none"/>
        </w:rPr>
        <w:t>1-5其他要求的相关</w:t>
      </w:r>
      <w:r>
        <w:rPr>
          <w:rFonts w:hint="eastAsia" w:ascii="宋体" w:hAnsi="宋体" w:cs="宋体"/>
          <w:b/>
          <w:color w:val="000000"/>
          <w:szCs w:val="21"/>
          <w:highlight w:val="none"/>
        </w:rPr>
        <w:t>资格证明材料</w:t>
      </w:r>
      <w:r>
        <w:rPr>
          <w:rFonts w:hint="eastAsia" w:ascii="宋体" w:hAnsi="宋体" w:cs="宋体"/>
          <w:b/>
          <w:color w:val="000000"/>
          <w:highlight w:val="none"/>
        </w:rPr>
        <w:t>（如有）</w:t>
      </w:r>
    </w:p>
    <w:p w14:paraId="1B28C2ED">
      <w:pPr>
        <w:widowControl/>
        <w:tabs>
          <w:tab w:val="left" w:pos="5580"/>
        </w:tabs>
        <w:spacing w:line="360" w:lineRule="auto"/>
        <w:rPr>
          <w:rFonts w:hint="eastAsia" w:ascii="宋体" w:hAnsi="宋体" w:cs="宋体"/>
          <w:color w:val="000000"/>
          <w:szCs w:val="21"/>
          <w:highlight w:val="none"/>
        </w:rPr>
      </w:pPr>
    </w:p>
    <w:p w14:paraId="3E69318B">
      <w:pPr>
        <w:widowControl/>
        <w:tabs>
          <w:tab w:val="left" w:pos="5580"/>
        </w:tabs>
        <w:spacing w:line="360" w:lineRule="auto"/>
        <w:rPr>
          <w:rFonts w:hint="eastAsia" w:ascii="宋体" w:hAnsi="宋体" w:cs="宋体"/>
          <w:b/>
          <w:color w:val="000000"/>
          <w:szCs w:val="21"/>
          <w:highlight w:val="none"/>
        </w:rPr>
      </w:pPr>
      <w:r>
        <w:rPr>
          <w:rFonts w:hint="eastAsia" w:ascii="宋体" w:hAnsi="宋体" w:cs="宋体"/>
          <w:b/>
          <w:color w:val="000000"/>
          <w:szCs w:val="21"/>
          <w:highlight w:val="none"/>
        </w:rPr>
        <w:t>注意对照招标公告及第四章规定，提供各类资格证明材料</w:t>
      </w:r>
    </w:p>
    <w:p w14:paraId="03E08A19">
      <w:pPr>
        <w:widowControl/>
        <w:tabs>
          <w:tab w:val="left" w:pos="5580"/>
        </w:tabs>
        <w:spacing w:line="360" w:lineRule="auto"/>
        <w:jc w:val="center"/>
        <w:outlineLvl w:val="2"/>
        <w:rPr>
          <w:rFonts w:hint="eastAsia" w:ascii="宋体" w:hAnsi="宋体" w:cs="宋体"/>
          <w:b/>
          <w:color w:val="000000"/>
          <w:sz w:val="24"/>
          <w:highlight w:val="none"/>
        </w:rPr>
      </w:pPr>
      <w:r>
        <w:rPr>
          <w:rFonts w:hint="eastAsia" w:ascii="宋体" w:hAnsi="宋体" w:cs="宋体"/>
          <w:b/>
          <w:color w:val="000000"/>
          <w:szCs w:val="21"/>
          <w:highlight w:val="none"/>
        </w:rPr>
        <w:br w:type="page"/>
      </w:r>
      <w:r>
        <w:rPr>
          <w:rFonts w:hint="eastAsia" w:ascii="宋体" w:hAnsi="宋体" w:cs="宋体"/>
          <w:b/>
          <w:bCs/>
          <w:color w:val="000000"/>
          <w:kern w:val="0"/>
          <w:sz w:val="24"/>
          <w:highlight w:val="none"/>
          <w:lang w:bidi="en-US"/>
        </w:rPr>
        <w:t>（二）政府采购供应商资格承诺函</w:t>
      </w:r>
    </w:p>
    <w:p w14:paraId="7B47F57F">
      <w:pPr>
        <w:snapToGrid w:val="0"/>
        <w:spacing w:line="360" w:lineRule="auto"/>
        <w:rPr>
          <w:rFonts w:hint="eastAsia" w:ascii="宋体" w:hAnsi="宋体" w:cs="宋体"/>
          <w:color w:val="000000"/>
          <w:highlight w:val="none"/>
          <w:u w:val="single"/>
          <w:lang w:bidi="en-US"/>
        </w:rPr>
      </w:pPr>
      <w:r>
        <w:rPr>
          <w:rFonts w:hint="eastAsia" w:ascii="宋体" w:hAnsi="宋体" w:cs="宋体"/>
          <w:color w:val="000000"/>
          <w:highlight w:val="none"/>
          <w:lang w:bidi="en-US"/>
        </w:rPr>
        <w:t>致：安徽省疾病预防控制中心</w:t>
      </w:r>
    </w:p>
    <w:p w14:paraId="33FAB000">
      <w:pPr>
        <w:snapToGrid w:val="0"/>
        <w:spacing w:line="360" w:lineRule="auto"/>
        <w:rPr>
          <w:rFonts w:hint="eastAsia" w:ascii="宋体" w:hAnsi="宋体" w:cs="宋体"/>
          <w:color w:val="000000"/>
          <w:highlight w:val="none"/>
          <w:lang w:bidi="en-US"/>
        </w:rPr>
      </w:pPr>
      <w:r>
        <w:rPr>
          <w:rFonts w:hint="eastAsia" w:ascii="宋体" w:hAnsi="宋体" w:cs="宋体"/>
          <w:color w:val="000000"/>
          <w:highlight w:val="none"/>
          <w:lang w:bidi="en-US"/>
        </w:rPr>
        <w:t xml:space="preserve">    安徽省招标集团股份有限公司</w:t>
      </w:r>
    </w:p>
    <w:p w14:paraId="5B67586B">
      <w:pPr>
        <w:widowControl/>
        <w:tabs>
          <w:tab w:val="left" w:pos="5580"/>
        </w:tabs>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我方</w:t>
      </w:r>
      <w:r>
        <w:rPr>
          <w:rFonts w:hint="eastAsia" w:ascii="宋体" w:hAnsi="宋体" w:cs="宋体"/>
          <w:color w:val="000000"/>
          <w:highlight w:val="none"/>
          <w:lang w:bidi="en-US"/>
        </w:rPr>
        <w:t>郑重承诺，根据《中华人民共和国政府采购法》及《中华人民共和国政府采购法实施条例》的规定，</w:t>
      </w:r>
      <w:r>
        <w:rPr>
          <w:rFonts w:hint="eastAsia" w:ascii="宋体" w:hAnsi="宋体" w:cs="宋体"/>
          <w:color w:val="000000"/>
          <w:szCs w:val="21"/>
          <w:highlight w:val="none"/>
        </w:rPr>
        <w:t>我方具有独立承担民事责任的能力、具有良好的商业信誉和健全的财务会计制度、依法缴纳税收和社会保障资金,在前三年的经营活动中无重大违法记录,未列入严重失信行为名单,符合政府采购供应商的基本资格要求。</w:t>
      </w:r>
    </w:p>
    <w:p w14:paraId="094976F1">
      <w:pPr>
        <w:widowControl/>
        <w:tabs>
          <w:tab w:val="left" w:pos="5580"/>
        </w:tabs>
        <w:spacing w:line="360" w:lineRule="auto"/>
        <w:ind w:firstLine="420" w:firstLineChars="200"/>
        <w:jc w:val="left"/>
        <w:rPr>
          <w:rFonts w:hint="eastAsia" w:ascii="宋体" w:hAnsi="宋体" w:cs="宋体"/>
          <w:bCs/>
          <w:color w:val="000000"/>
          <w:szCs w:val="21"/>
          <w:highlight w:val="none"/>
        </w:rPr>
      </w:pPr>
      <w:r>
        <w:rPr>
          <w:rFonts w:hint="eastAsia" w:ascii="宋体" w:hAnsi="宋体" w:cs="宋体"/>
          <w:bCs/>
          <w:color w:val="000000"/>
          <w:szCs w:val="21"/>
          <w:highlight w:val="none"/>
        </w:rPr>
        <w:t>（一）具有独立承担民事责任的能力。</w:t>
      </w:r>
    </w:p>
    <w:p w14:paraId="270EBFB9">
      <w:pPr>
        <w:widowControl/>
        <w:tabs>
          <w:tab w:val="left" w:pos="5580"/>
        </w:tabs>
        <w:spacing w:line="360" w:lineRule="auto"/>
        <w:ind w:firstLine="420" w:firstLineChars="200"/>
        <w:jc w:val="left"/>
        <w:rPr>
          <w:rFonts w:hint="eastAsia" w:ascii="宋体" w:hAnsi="宋体" w:cs="宋体"/>
          <w:bCs/>
          <w:color w:val="000000"/>
          <w:szCs w:val="21"/>
          <w:highlight w:val="none"/>
        </w:rPr>
      </w:pPr>
      <w:r>
        <w:rPr>
          <w:rFonts w:hint="eastAsia" w:ascii="宋体" w:hAnsi="宋体" w:cs="宋体"/>
          <w:bCs/>
          <w:color w:val="000000"/>
          <w:szCs w:val="21"/>
          <w:highlight w:val="none"/>
        </w:rPr>
        <w:t>（二）具有良好的商业信誉和健全的财务会计制度。</w:t>
      </w:r>
    </w:p>
    <w:p w14:paraId="4146585B">
      <w:pPr>
        <w:widowControl/>
        <w:tabs>
          <w:tab w:val="left" w:pos="5580"/>
        </w:tabs>
        <w:spacing w:line="360" w:lineRule="auto"/>
        <w:ind w:firstLine="420" w:firstLineChars="200"/>
        <w:jc w:val="left"/>
        <w:rPr>
          <w:rFonts w:hint="eastAsia" w:ascii="宋体" w:hAnsi="宋体" w:cs="宋体"/>
          <w:bCs/>
          <w:color w:val="000000"/>
          <w:szCs w:val="21"/>
          <w:highlight w:val="none"/>
        </w:rPr>
      </w:pPr>
      <w:r>
        <w:rPr>
          <w:rFonts w:hint="eastAsia" w:ascii="宋体" w:hAnsi="宋体" w:cs="宋体"/>
          <w:bCs/>
          <w:color w:val="000000"/>
          <w:szCs w:val="21"/>
          <w:highlight w:val="none"/>
        </w:rPr>
        <w:t>（三）具有履行合同所必需的设备和专业技术能力。</w:t>
      </w:r>
    </w:p>
    <w:p w14:paraId="3EFF91A5">
      <w:pPr>
        <w:widowControl/>
        <w:tabs>
          <w:tab w:val="left" w:pos="5580"/>
        </w:tabs>
        <w:spacing w:line="360" w:lineRule="auto"/>
        <w:ind w:firstLine="420" w:firstLineChars="200"/>
        <w:jc w:val="left"/>
        <w:rPr>
          <w:rFonts w:hint="eastAsia" w:ascii="宋体" w:hAnsi="宋体" w:cs="宋体"/>
          <w:bCs/>
          <w:color w:val="000000"/>
          <w:szCs w:val="21"/>
          <w:highlight w:val="none"/>
        </w:rPr>
      </w:pPr>
      <w:r>
        <w:rPr>
          <w:rFonts w:hint="eastAsia" w:ascii="宋体" w:hAnsi="宋体" w:cs="宋体"/>
          <w:bCs/>
          <w:color w:val="000000"/>
          <w:szCs w:val="21"/>
          <w:highlight w:val="none"/>
        </w:rPr>
        <w:t>（四）有依法缴纳税收和社会保障资金的良好记录。</w:t>
      </w:r>
    </w:p>
    <w:p w14:paraId="5A2CC98D">
      <w:pPr>
        <w:widowControl/>
        <w:tabs>
          <w:tab w:val="left" w:pos="5580"/>
        </w:tabs>
        <w:spacing w:line="360" w:lineRule="auto"/>
        <w:ind w:firstLine="420" w:firstLineChars="200"/>
        <w:jc w:val="left"/>
        <w:rPr>
          <w:rFonts w:hint="eastAsia" w:ascii="宋体" w:hAnsi="宋体" w:cs="宋体"/>
          <w:bCs/>
          <w:color w:val="000000"/>
          <w:szCs w:val="21"/>
          <w:highlight w:val="none"/>
        </w:rPr>
      </w:pPr>
      <w:r>
        <w:rPr>
          <w:rFonts w:hint="eastAsia" w:ascii="宋体" w:hAnsi="宋体" w:cs="宋体"/>
          <w:bCs/>
          <w:color w:val="000000"/>
          <w:szCs w:val="21"/>
          <w:highlight w:val="none"/>
        </w:rPr>
        <w:t>（五）参加本次政府采购活动前三年内，我方在经营活动中没有重大违法记录，没有因违法经营受到刑事处罚或者责令停产停业、吊销许可证或者执照、较大数额罚款等行政处罚，且未在被禁止参加政府采购活动的处罚期限内。</w:t>
      </w:r>
    </w:p>
    <w:p w14:paraId="547A34BA">
      <w:pPr>
        <w:widowControl/>
        <w:tabs>
          <w:tab w:val="left" w:pos="5580"/>
        </w:tabs>
        <w:spacing w:line="360" w:lineRule="auto"/>
        <w:ind w:firstLine="420" w:firstLineChars="200"/>
        <w:jc w:val="left"/>
        <w:rPr>
          <w:rFonts w:hint="eastAsia" w:ascii="宋体" w:hAnsi="宋体" w:cs="宋体"/>
          <w:bCs/>
          <w:color w:val="000000"/>
          <w:szCs w:val="21"/>
          <w:highlight w:val="none"/>
        </w:rPr>
      </w:pPr>
      <w:r>
        <w:rPr>
          <w:rFonts w:hint="eastAsia" w:ascii="宋体" w:hAnsi="宋体" w:cs="宋体"/>
          <w:bCs/>
          <w:color w:val="000000"/>
          <w:szCs w:val="21"/>
          <w:highlight w:val="none"/>
        </w:rPr>
        <w:t>（六）我方不存在违反《中华人民共和国政府采购法实施条例》第十八条“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规定的情形。</w:t>
      </w:r>
    </w:p>
    <w:p w14:paraId="54FACD26">
      <w:pPr>
        <w:widowControl/>
        <w:tabs>
          <w:tab w:val="left" w:pos="5580"/>
        </w:tabs>
        <w:spacing w:line="360" w:lineRule="auto"/>
        <w:ind w:firstLine="420" w:firstLineChars="200"/>
        <w:jc w:val="left"/>
        <w:rPr>
          <w:rFonts w:hint="eastAsia" w:ascii="宋体" w:hAnsi="宋体" w:cs="宋体"/>
          <w:bCs/>
          <w:color w:val="000000"/>
          <w:szCs w:val="21"/>
          <w:highlight w:val="none"/>
        </w:rPr>
      </w:pPr>
      <w:r>
        <w:rPr>
          <w:rFonts w:hint="eastAsia" w:ascii="宋体" w:hAnsi="宋体" w:cs="宋体"/>
          <w:bCs/>
          <w:color w:val="000000"/>
          <w:szCs w:val="21"/>
          <w:highlight w:val="none"/>
        </w:rPr>
        <w:t>（七）符合其他法律法规规定的政府采购供应商条件。</w:t>
      </w:r>
    </w:p>
    <w:p w14:paraId="012D5953">
      <w:pPr>
        <w:widowControl/>
        <w:tabs>
          <w:tab w:val="left" w:pos="5580"/>
        </w:tabs>
        <w:spacing w:line="360" w:lineRule="auto"/>
        <w:ind w:firstLine="420" w:firstLineChars="200"/>
        <w:jc w:val="left"/>
        <w:rPr>
          <w:rFonts w:hint="eastAsia" w:ascii="宋体" w:hAnsi="宋体" w:cs="宋体"/>
          <w:bCs/>
          <w:color w:val="000000"/>
          <w:szCs w:val="21"/>
          <w:highlight w:val="none"/>
        </w:rPr>
      </w:pPr>
    </w:p>
    <w:p w14:paraId="072ADDFE">
      <w:pPr>
        <w:widowControl/>
        <w:tabs>
          <w:tab w:val="left" w:pos="5580"/>
        </w:tabs>
        <w:spacing w:line="360" w:lineRule="auto"/>
        <w:ind w:firstLine="420" w:firstLineChars="200"/>
        <w:jc w:val="left"/>
        <w:rPr>
          <w:rFonts w:hint="eastAsia" w:ascii="宋体" w:hAnsi="宋体" w:cs="宋体"/>
          <w:bCs/>
          <w:color w:val="000000"/>
          <w:szCs w:val="21"/>
          <w:highlight w:val="none"/>
        </w:rPr>
      </w:pPr>
      <w:r>
        <w:rPr>
          <w:rFonts w:hint="eastAsia" w:ascii="宋体" w:hAnsi="宋体" w:cs="宋体"/>
          <w:bCs/>
          <w:color w:val="000000"/>
          <w:szCs w:val="21"/>
          <w:highlight w:val="none"/>
        </w:rPr>
        <w:t>我方对上述承诺事项的真实性负责，授权并配合采购人所在同级财政部门及其委托机构，对上述承诺事项进行查证。</w:t>
      </w:r>
    </w:p>
    <w:p w14:paraId="480EC8DA">
      <w:pPr>
        <w:widowControl/>
        <w:tabs>
          <w:tab w:val="left" w:pos="5580"/>
        </w:tabs>
        <w:spacing w:line="360" w:lineRule="auto"/>
        <w:ind w:firstLine="420" w:firstLineChars="200"/>
        <w:jc w:val="left"/>
        <w:rPr>
          <w:rFonts w:hint="eastAsia" w:ascii="宋体" w:hAnsi="宋体" w:cs="宋体"/>
          <w:b/>
          <w:color w:val="000000"/>
          <w:szCs w:val="21"/>
          <w:highlight w:val="none"/>
        </w:rPr>
      </w:pPr>
      <w:r>
        <w:rPr>
          <w:rFonts w:hint="eastAsia" w:ascii="宋体" w:hAnsi="宋体" w:cs="宋体"/>
          <w:bCs/>
          <w:color w:val="000000"/>
          <w:szCs w:val="21"/>
          <w:highlight w:val="none"/>
        </w:rPr>
        <w:t>如不属实，属于供应商提供虚假材料谋取中标、成交的情形，按照《中华人民共和国政府采购法》第七十七条第一款的规定，接受采购金额千分之五以上千分之十以下的罚款，列入不良行为记录名单，在一至三年内禁止参加政府采购活动等行政处罚。有违法所得的，并处没收违法所得，情节严重的，由市场监督管理部门吊销营业执照；构成犯罪的，依法追究刑事责任。</w:t>
      </w:r>
    </w:p>
    <w:p w14:paraId="60FFD40C">
      <w:pPr>
        <w:jc w:val="right"/>
        <w:rPr>
          <w:rFonts w:hint="eastAsia" w:ascii="宋体" w:hAnsi="宋体" w:cs="宋体"/>
          <w:color w:val="000000"/>
          <w:highlight w:val="none"/>
          <w:u w:val="single"/>
          <w:lang w:bidi="en-US"/>
        </w:rPr>
      </w:pPr>
      <w:r>
        <w:rPr>
          <w:rFonts w:hint="eastAsia" w:ascii="宋体" w:hAnsi="宋体" w:cs="宋体"/>
          <w:color w:val="000000"/>
          <w:highlight w:val="none"/>
          <w:lang w:bidi="en-US"/>
        </w:rPr>
        <w:t>投标人：</w:t>
      </w:r>
      <w:r>
        <w:rPr>
          <w:rFonts w:hint="eastAsia" w:ascii="宋体" w:hAnsi="宋体" w:cs="宋体"/>
          <w:color w:val="000000"/>
          <w:highlight w:val="none"/>
          <w:u w:val="single"/>
          <w:lang w:bidi="en-US"/>
        </w:rPr>
        <w:t xml:space="preserve">       （盖单位章）</w:t>
      </w:r>
    </w:p>
    <w:p w14:paraId="20894926">
      <w:pPr>
        <w:bidi/>
        <w:ind w:left="0" w:right="0"/>
        <w:jc w:val="left"/>
        <w:rPr>
          <w:rFonts w:hint="eastAsia" w:ascii="仿宋" w:hAnsi="仿宋" w:eastAsia="仿宋" w:cs="仿宋"/>
          <w:color w:val="000000"/>
          <w:highlight w:val="none"/>
          <w:lang w:bidi="en-US"/>
        </w:rPr>
      </w:pPr>
      <w:r>
        <w:rPr>
          <w:rFonts w:hint="eastAsia" w:ascii="宋体" w:hAnsi="宋体" w:cs="宋体"/>
          <w:color w:val="000000"/>
          <w:highlight w:val="none"/>
          <w:lang w:bidi="en-US"/>
        </w:rPr>
        <w:t>日  期：</w:t>
      </w:r>
      <w:r>
        <w:rPr>
          <w:rFonts w:hint="eastAsia" w:ascii="宋体" w:hAnsi="宋体" w:cs="宋体"/>
          <w:color w:val="000000"/>
          <w:highlight w:val="none"/>
          <w:u w:val="single"/>
          <w:lang w:bidi="en-US"/>
        </w:rPr>
        <w:t xml:space="preserve">                   </w:t>
      </w:r>
    </w:p>
    <w:p w14:paraId="67153E04">
      <w:pPr>
        <w:widowControl/>
        <w:tabs>
          <w:tab w:val="left" w:pos="5580"/>
        </w:tabs>
        <w:spacing w:line="360" w:lineRule="auto"/>
        <w:jc w:val="center"/>
        <w:outlineLvl w:val="2"/>
        <w:rPr>
          <w:rFonts w:hint="eastAsia" w:ascii="宋体" w:hAnsi="宋体" w:cs="宋体"/>
          <w:b/>
          <w:bCs/>
          <w:color w:val="000000"/>
          <w:kern w:val="0"/>
          <w:sz w:val="24"/>
          <w:highlight w:val="none"/>
          <w:lang w:bidi="en-US"/>
        </w:rPr>
      </w:pPr>
      <w:r>
        <w:rPr>
          <w:rFonts w:hint="eastAsia" w:ascii="宋体" w:hAnsi="宋体" w:cs="宋体"/>
          <w:color w:val="000000"/>
          <w:szCs w:val="21"/>
          <w:highlight w:val="none"/>
        </w:rPr>
        <w:br w:type="page"/>
      </w:r>
      <w:r>
        <w:rPr>
          <w:rFonts w:hint="eastAsia" w:ascii="宋体" w:hAnsi="宋体" w:cs="宋体"/>
          <w:b/>
          <w:bCs/>
          <w:color w:val="000000"/>
          <w:kern w:val="0"/>
          <w:sz w:val="24"/>
          <w:highlight w:val="none"/>
          <w:lang w:bidi="en-US"/>
        </w:rPr>
        <w:t>（三）制造商授权书</w:t>
      </w:r>
    </w:p>
    <w:p w14:paraId="06E68AA7">
      <w:pPr>
        <w:jc w:val="center"/>
        <w:rPr>
          <w:b/>
          <w:bCs/>
          <w:color w:val="000000"/>
          <w:highlight w:val="none"/>
        </w:rPr>
      </w:pPr>
      <w:r>
        <w:rPr>
          <w:rFonts w:hint="eastAsia"/>
          <w:b/>
          <w:bCs/>
          <w:color w:val="000000"/>
          <w:highlight w:val="none"/>
        </w:rPr>
        <w:t>注：非进口产品无需提供制造商授权书</w:t>
      </w:r>
    </w:p>
    <w:p w14:paraId="14F8346F">
      <w:pPr>
        <w:tabs>
          <w:tab w:val="left" w:pos="0"/>
        </w:tabs>
        <w:spacing w:line="440" w:lineRule="exact"/>
        <w:rPr>
          <w:rFonts w:hint="eastAsia" w:ascii="宋体" w:hAnsi="宋体" w:cs="宋体"/>
          <w:color w:val="000000"/>
          <w:szCs w:val="21"/>
          <w:highlight w:val="none"/>
        </w:rPr>
      </w:pPr>
      <w:r>
        <w:rPr>
          <w:rFonts w:hint="eastAsia" w:ascii="宋体" w:hAnsi="宋体" w:cs="宋体"/>
          <w:color w:val="000000"/>
          <w:szCs w:val="21"/>
          <w:highlight w:val="none"/>
        </w:rPr>
        <w:t>致：</w:t>
      </w:r>
      <w:r>
        <w:rPr>
          <w:rFonts w:hint="eastAsia" w:ascii="宋体" w:hAnsi="宋体" w:cs="宋体"/>
          <w:color w:val="000000"/>
          <w:highlight w:val="none"/>
          <w:lang w:bidi="en-US"/>
        </w:rPr>
        <w:t>安徽省疾病预防控制中心</w:t>
      </w:r>
    </w:p>
    <w:p w14:paraId="3D11DE17">
      <w:pPr>
        <w:tabs>
          <w:tab w:val="left" w:pos="0"/>
        </w:tabs>
        <w:spacing w:line="440" w:lineRule="exact"/>
        <w:ind w:left="105" w:leftChars="50"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我单位</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（制造商名称）是按</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（国家/地区名称）法律成立的制造商，主要营业地点设在</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（制造商地址）。兹指派按中华人民共和国的法律正式成立的，主要营业地点设在</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（投标人地址）的</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（投标人名称）进行</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（项目名称）投标活动。我单位同意按照成交合同供货，并对产品质量承担责任。</w:t>
      </w:r>
    </w:p>
    <w:p w14:paraId="5DD749D8">
      <w:pPr>
        <w:tabs>
          <w:tab w:val="left" w:pos="0"/>
        </w:tabs>
        <w:spacing w:after="120" w:line="440" w:lineRule="exact"/>
        <w:ind w:left="105" w:leftChars="50" w:right="105" w:rightChars="50" w:firstLine="420" w:firstLineChars="200"/>
        <w:rPr>
          <w:rFonts w:hint="eastAsia" w:ascii="宋体" w:hAnsi="宋体" w:cs="宋体"/>
          <w:color w:val="000000"/>
          <w:szCs w:val="21"/>
          <w:highlight w:val="none"/>
        </w:rPr>
      </w:pPr>
    </w:p>
    <w:p w14:paraId="5A504281">
      <w:pPr>
        <w:tabs>
          <w:tab w:val="left" w:pos="0"/>
        </w:tabs>
        <w:spacing w:after="120" w:line="440" w:lineRule="exact"/>
        <w:ind w:left="105" w:leftChars="50" w:right="105" w:rightChars="50"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投标人名称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（盖单位章）  制造商名称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（盖单位章）</w:t>
      </w:r>
    </w:p>
    <w:p w14:paraId="29E12554">
      <w:pPr>
        <w:tabs>
          <w:tab w:val="left" w:pos="0"/>
        </w:tabs>
        <w:spacing w:after="120" w:line="440" w:lineRule="exact"/>
        <w:ind w:left="105" w:leftChars="50" w:right="105" w:rightChars="50"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签字人职务</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签字人职务</w:t>
      </w:r>
      <w:r>
        <w:rPr>
          <w:rFonts w:hint="eastAsia" w:ascii="宋体" w:hAnsi="宋体" w:cs="宋体"/>
          <w:color w:val="000000"/>
          <w:szCs w:val="21"/>
          <w:highlight w:val="none"/>
          <w:u w:val="single"/>
        </w:rPr>
        <w:t xml:space="preserve">                             </w:t>
      </w:r>
    </w:p>
    <w:p w14:paraId="792A1F90">
      <w:pPr>
        <w:tabs>
          <w:tab w:val="left" w:pos="0"/>
        </w:tabs>
        <w:spacing w:after="120" w:line="440" w:lineRule="exact"/>
        <w:ind w:left="105" w:leftChars="50" w:right="105" w:rightChars="50"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签字人姓名</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签字人姓名</w:t>
      </w:r>
      <w:r>
        <w:rPr>
          <w:rFonts w:hint="eastAsia" w:ascii="宋体" w:hAnsi="宋体" w:cs="宋体"/>
          <w:color w:val="000000"/>
          <w:szCs w:val="21"/>
          <w:highlight w:val="none"/>
          <w:u w:val="single"/>
        </w:rPr>
        <w:t xml:space="preserve">                             </w:t>
      </w:r>
    </w:p>
    <w:p w14:paraId="179A89B2">
      <w:pPr>
        <w:tabs>
          <w:tab w:val="left" w:pos="0"/>
        </w:tabs>
        <w:spacing w:after="120" w:line="440" w:lineRule="exact"/>
        <w:ind w:left="105" w:leftChars="50" w:right="105" w:rightChars="50"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签字人签名</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签字人签名</w:t>
      </w:r>
      <w:r>
        <w:rPr>
          <w:rFonts w:hint="eastAsia" w:ascii="宋体" w:hAnsi="宋体" w:cs="宋体"/>
          <w:color w:val="000000"/>
          <w:szCs w:val="21"/>
          <w:highlight w:val="none"/>
          <w:u w:val="single"/>
        </w:rPr>
        <w:t xml:space="preserve">                             </w:t>
      </w:r>
    </w:p>
    <w:p w14:paraId="7B0D0054">
      <w:pPr>
        <w:widowControl/>
        <w:spacing w:before="5" w:line="200" w:lineRule="atLeast"/>
        <w:rPr>
          <w:rFonts w:hint="eastAsia" w:ascii="宋体" w:hAnsi="宋体" w:cs="宋体"/>
          <w:color w:val="000000"/>
          <w:kern w:val="0"/>
          <w:sz w:val="20"/>
          <w:szCs w:val="20"/>
          <w:highlight w:val="none"/>
        </w:rPr>
      </w:pPr>
    </w:p>
    <w:p w14:paraId="13F54C8E">
      <w:pPr>
        <w:widowControl/>
        <w:spacing w:line="200" w:lineRule="atLeast"/>
        <w:rPr>
          <w:rFonts w:hint="eastAsia" w:ascii="宋体" w:hAnsi="宋体" w:cs="宋体"/>
          <w:color w:val="000000"/>
          <w:kern w:val="0"/>
          <w:sz w:val="20"/>
          <w:szCs w:val="20"/>
          <w:highlight w:val="none"/>
        </w:rPr>
      </w:pPr>
    </w:p>
    <w:p w14:paraId="786BB3F2">
      <w:pPr>
        <w:widowControl/>
        <w:numPr>
          <w:ilvl w:val="0"/>
          <w:numId w:val="10"/>
        </w:numPr>
        <w:tabs>
          <w:tab w:val="left" w:pos="5580"/>
        </w:tabs>
        <w:spacing w:line="360" w:lineRule="auto"/>
        <w:jc w:val="center"/>
        <w:outlineLvl w:val="2"/>
        <w:rPr>
          <w:rFonts w:hint="eastAsia" w:ascii="宋体" w:hAnsi="宋体" w:cs="宋体"/>
          <w:b/>
          <w:bCs/>
          <w:color w:val="000000"/>
          <w:kern w:val="0"/>
          <w:sz w:val="24"/>
          <w:highlight w:val="none"/>
          <w:lang w:val="en-US" w:eastAsia="zh-CN" w:bidi="en-US"/>
        </w:rPr>
      </w:pPr>
      <w:r>
        <w:rPr>
          <w:rFonts w:hint="eastAsia" w:ascii="宋体" w:hAnsi="宋体" w:cs="宋体"/>
          <w:color w:val="000000"/>
          <w:kern w:val="0"/>
          <w:sz w:val="22"/>
          <w:highlight w:val="none"/>
        </w:rPr>
        <w:br w:type="page"/>
      </w:r>
      <w:r>
        <w:rPr>
          <w:rFonts w:hint="eastAsia" w:ascii="宋体" w:hAnsi="宋体" w:cs="宋体"/>
          <w:b/>
          <w:bCs/>
          <w:color w:val="000000"/>
          <w:kern w:val="0"/>
          <w:sz w:val="24"/>
          <w:highlight w:val="none"/>
          <w:lang w:val="en-US" w:eastAsia="zh-CN" w:bidi="en-US"/>
        </w:rPr>
        <w:t>搬迁相关要求承诺函</w:t>
      </w:r>
    </w:p>
    <w:p w14:paraId="4C34DEB3">
      <w:pPr>
        <w:widowControl/>
        <w:numPr>
          <w:ilvl w:val="0"/>
          <w:numId w:val="0"/>
        </w:numPr>
        <w:tabs>
          <w:tab w:val="left" w:pos="5580"/>
        </w:tabs>
        <w:spacing w:line="360" w:lineRule="auto"/>
        <w:jc w:val="center"/>
        <w:outlineLvl w:val="2"/>
        <w:rPr>
          <w:rFonts w:hint="default" w:ascii="宋体" w:hAnsi="宋体" w:cs="宋体"/>
          <w:b/>
          <w:bCs/>
          <w:color w:val="000000"/>
          <w:kern w:val="0"/>
          <w:sz w:val="24"/>
          <w:highlight w:val="none"/>
          <w:lang w:val="en-US" w:eastAsia="zh-CN" w:bidi="en-US"/>
        </w:rPr>
      </w:pPr>
    </w:p>
    <w:p w14:paraId="345F6686">
      <w:pPr>
        <w:snapToGrid w:val="0"/>
        <w:spacing w:line="360" w:lineRule="auto"/>
        <w:rPr>
          <w:rFonts w:hint="eastAsia" w:ascii="宋体" w:hAnsi="宋体" w:cs="宋体"/>
          <w:color w:val="000000"/>
          <w:highlight w:val="none"/>
          <w:u w:val="single"/>
          <w:lang w:bidi="en-US"/>
        </w:rPr>
      </w:pPr>
      <w:r>
        <w:rPr>
          <w:rFonts w:hint="eastAsia" w:ascii="宋体" w:hAnsi="宋体" w:cs="宋体"/>
          <w:color w:val="000000"/>
          <w:highlight w:val="none"/>
          <w:lang w:bidi="en-US"/>
        </w:rPr>
        <w:t>致：安徽省疾病预防控制中心</w:t>
      </w:r>
    </w:p>
    <w:p w14:paraId="283D6B76">
      <w:pPr>
        <w:snapToGrid w:val="0"/>
        <w:spacing w:line="360" w:lineRule="auto"/>
        <w:ind w:firstLine="420"/>
        <w:rPr>
          <w:rFonts w:hint="eastAsia" w:ascii="宋体" w:hAnsi="宋体" w:cs="宋体"/>
          <w:color w:val="000000"/>
          <w:szCs w:val="21"/>
          <w:highlight w:val="none"/>
        </w:rPr>
      </w:pPr>
      <w:r>
        <w:rPr>
          <w:rFonts w:hint="eastAsia" w:ascii="宋体" w:hAnsi="宋体" w:cs="宋体"/>
          <w:color w:val="000000"/>
          <w:szCs w:val="21"/>
          <w:highlight w:val="none"/>
        </w:rPr>
        <w:t>我方</w:t>
      </w:r>
      <w:r>
        <w:rPr>
          <w:rFonts w:hint="eastAsia" w:ascii="宋体" w:hAnsi="宋体" w:cs="宋体"/>
          <w:color w:val="000000"/>
          <w:highlight w:val="none"/>
          <w:lang w:bidi="en-US"/>
        </w:rPr>
        <w:t>郑重承诺，中标后如</w:t>
      </w:r>
      <w:r>
        <w:rPr>
          <w:rFonts w:hint="eastAsia" w:ascii="宋体" w:hAnsi="宋体" w:cs="宋体"/>
          <w:color w:val="000000"/>
          <w:highlight w:val="none"/>
          <w:lang w:val="en-US" w:eastAsia="zh-CN" w:bidi="en-US"/>
        </w:rPr>
        <w:t>贵</w:t>
      </w:r>
      <w:r>
        <w:rPr>
          <w:rFonts w:hint="eastAsia" w:ascii="宋体" w:hAnsi="宋体" w:cs="宋体"/>
          <w:color w:val="000000"/>
          <w:highlight w:val="none"/>
          <w:lang w:bidi="en-US"/>
        </w:rPr>
        <w:t>单位实验室搬迁至新址，将免费提供仪器制造商的拆机并打包仪器服务一次、运输仪器服务一次和新址实验室仪器安装调试服务一次</w:t>
      </w:r>
      <w:r>
        <w:rPr>
          <w:rFonts w:hint="eastAsia" w:ascii="宋体" w:hAnsi="宋体" w:cs="宋体"/>
          <w:color w:val="000000"/>
          <w:highlight w:val="none"/>
          <w:lang w:eastAsia="zh-CN" w:bidi="en-US"/>
        </w:rPr>
        <w:t>（没有时间限制）</w:t>
      </w:r>
      <w:r>
        <w:rPr>
          <w:rFonts w:hint="eastAsia" w:ascii="宋体" w:hAnsi="宋体" w:cs="宋体"/>
          <w:color w:val="000000"/>
          <w:szCs w:val="21"/>
          <w:highlight w:val="none"/>
        </w:rPr>
        <w:t>。</w:t>
      </w:r>
    </w:p>
    <w:p w14:paraId="73C5BA12">
      <w:pPr>
        <w:snapToGrid w:val="0"/>
        <w:spacing w:line="360" w:lineRule="auto"/>
        <w:ind w:firstLine="420"/>
        <w:rPr>
          <w:rFonts w:hint="eastAsia" w:ascii="宋体" w:hAnsi="宋体" w:cs="宋体"/>
          <w:color w:val="000000"/>
          <w:szCs w:val="21"/>
          <w:highlight w:val="none"/>
        </w:rPr>
      </w:pPr>
    </w:p>
    <w:p w14:paraId="09F392B2">
      <w:pPr>
        <w:snapToGrid w:val="0"/>
        <w:spacing w:line="360" w:lineRule="auto"/>
        <w:ind w:firstLine="420"/>
        <w:rPr>
          <w:rFonts w:hint="eastAsia" w:ascii="宋体" w:hAnsi="宋体" w:cs="宋体"/>
          <w:color w:val="000000"/>
          <w:szCs w:val="21"/>
          <w:highlight w:val="none"/>
        </w:rPr>
      </w:pPr>
    </w:p>
    <w:p w14:paraId="70BCD47A">
      <w:pPr>
        <w:jc w:val="right"/>
        <w:rPr>
          <w:rFonts w:hint="eastAsia" w:ascii="宋体" w:hAnsi="宋体" w:cs="宋体"/>
          <w:color w:val="000000"/>
          <w:highlight w:val="none"/>
          <w:u w:val="single"/>
          <w:lang w:bidi="en-US"/>
        </w:rPr>
      </w:pPr>
      <w:r>
        <w:rPr>
          <w:rFonts w:hint="eastAsia" w:ascii="宋体" w:hAnsi="宋体" w:cs="宋体"/>
          <w:color w:val="000000"/>
          <w:highlight w:val="none"/>
          <w:lang w:bidi="en-US"/>
        </w:rPr>
        <w:t>投标人：</w:t>
      </w:r>
      <w:r>
        <w:rPr>
          <w:rFonts w:hint="eastAsia" w:ascii="宋体" w:hAnsi="宋体" w:cs="宋体"/>
          <w:color w:val="000000"/>
          <w:highlight w:val="none"/>
          <w:u w:val="single"/>
          <w:lang w:bidi="en-US"/>
        </w:rPr>
        <w:t xml:space="preserve">       （盖单位章）</w:t>
      </w:r>
    </w:p>
    <w:p w14:paraId="26D26855">
      <w:pPr>
        <w:widowControl/>
        <w:numPr>
          <w:ilvl w:val="0"/>
          <w:numId w:val="0"/>
        </w:numPr>
        <w:tabs>
          <w:tab w:val="left" w:pos="5580"/>
        </w:tabs>
        <w:spacing w:line="360" w:lineRule="auto"/>
        <w:jc w:val="center"/>
        <w:outlineLvl w:val="2"/>
        <w:rPr>
          <w:rFonts w:hint="default" w:ascii="宋体" w:hAnsi="宋体" w:cs="宋体"/>
          <w:b/>
          <w:bCs/>
          <w:color w:val="000000"/>
          <w:kern w:val="0"/>
          <w:sz w:val="24"/>
          <w:highlight w:val="none"/>
          <w:lang w:val="en-US" w:eastAsia="zh-CN" w:bidi="en-US"/>
        </w:rPr>
      </w:pPr>
      <w:r>
        <w:rPr>
          <w:rFonts w:hint="eastAsia" w:ascii="宋体" w:hAnsi="宋体" w:cs="宋体"/>
          <w:color w:val="000000"/>
          <w:highlight w:val="none"/>
          <w:lang w:val="en-US" w:eastAsia="zh-CN" w:bidi="en-US"/>
        </w:rPr>
        <w:t xml:space="preserve">                                             </w:t>
      </w:r>
      <w:r>
        <w:rPr>
          <w:rFonts w:hint="eastAsia" w:ascii="宋体" w:hAnsi="宋体" w:cs="宋体"/>
          <w:color w:val="000000"/>
          <w:highlight w:val="none"/>
          <w:lang w:bidi="en-US"/>
        </w:rPr>
        <w:t>日  期：</w:t>
      </w:r>
      <w:r>
        <w:rPr>
          <w:rFonts w:hint="eastAsia" w:ascii="宋体" w:hAnsi="宋体" w:cs="宋体"/>
          <w:color w:val="000000"/>
          <w:highlight w:val="none"/>
          <w:u w:val="single"/>
          <w:lang w:bidi="en-US"/>
        </w:rPr>
        <w:t xml:space="preserve">                    </w:t>
      </w:r>
    </w:p>
    <w:p w14:paraId="1CDCB740">
      <w:pPr>
        <w:widowControl/>
        <w:spacing w:line="200" w:lineRule="atLeast"/>
        <w:rPr>
          <w:rFonts w:hint="eastAsia" w:ascii="宋体" w:hAnsi="宋体" w:cs="宋体"/>
          <w:color w:val="000000"/>
          <w:kern w:val="0"/>
          <w:sz w:val="22"/>
          <w:highlight w:val="none"/>
        </w:rPr>
      </w:pPr>
    </w:p>
    <w:p w14:paraId="5D481FB9">
      <w:pPr>
        <w:widowControl/>
        <w:spacing w:line="261" w:lineRule="auto"/>
        <w:ind w:left="120" w:right="40"/>
        <w:rPr>
          <w:rFonts w:hint="eastAsia" w:ascii="宋体" w:hAnsi="宋体" w:cs="宋体"/>
          <w:color w:val="000000"/>
          <w:kern w:val="0"/>
          <w:szCs w:val="21"/>
          <w:highlight w:val="none"/>
        </w:rPr>
      </w:pPr>
      <w:r>
        <w:rPr>
          <w:rFonts w:hint="eastAsia" w:ascii="宋体" w:hAnsi="宋体" w:cs="宋体"/>
          <w:color w:val="000000"/>
          <w:kern w:val="0"/>
          <w:szCs w:val="21"/>
          <w:highlight w:val="none"/>
        </w:rPr>
        <w:br w:type="page"/>
      </w:r>
    </w:p>
    <w:p w14:paraId="1597626B">
      <w:pPr>
        <w:pStyle w:val="3"/>
        <w:widowControl/>
        <w:spacing w:before="120" w:after="120" w:line="240" w:lineRule="auto"/>
        <w:jc w:val="center"/>
        <w:rPr>
          <w:rStyle w:val="106"/>
          <w:rFonts w:hint="eastAsia" w:ascii="宋体" w:hAnsi="宋体" w:eastAsia="宋体" w:cs="宋体"/>
          <w:b/>
          <w:bCs/>
          <w:color w:val="000000"/>
          <w:sz w:val="30"/>
          <w:szCs w:val="30"/>
          <w:highlight w:val="none"/>
        </w:rPr>
      </w:pPr>
      <w:r>
        <w:rPr>
          <w:rStyle w:val="106"/>
          <w:rFonts w:hint="eastAsia" w:ascii="宋体" w:hAnsi="宋体" w:eastAsia="宋体" w:cs="宋体"/>
          <w:b/>
          <w:color w:val="000000"/>
          <w:sz w:val="30"/>
          <w:szCs w:val="30"/>
          <w:highlight w:val="none"/>
        </w:rPr>
        <w:t>十</w:t>
      </w:r>
      <w:r>
        <w:rPr>
          <w:rStyle w:val="106"/>
          <w:rFonts w:hint="eastAsia" w:ascii="宋体" w:hAnsi="宋体" w:eastAsia="宋体" w:cs="宋体"/>
          <w:b/>
          <w:bCs/>
          <w:color w:val="000000"/>
          <w:sz w:val="30"/>
          <w:szCs w:val="30"/>
          <w:highlight w:val="none"/>
        </w:rPr>
        <w:t>、符合性审查与详细评审材料</w:t>
      </w:r>
    </w:p>
    <w:p w14:paraId="46929931">
      <w:pPr>
        <w:widowControl/>
        <w:tabs>
          <w:tab w:val="left" w:pos="5580"/>
        </w:tabs>
        <w:wordWrap w:val="0"/>
        <w:adjustRightInd w:val="0"/>
        <w:snapToGrid w:val="0"/>
        <w:spacing w:line="400" w:lineRule="exact"/>
        <w:rPr>
          <w:rFonts w:hint="eastAsia" w:ascii="宋体" w:hAnsi="宋体" w:cs="宋体"/>
          <w:b/>
          <w:color w:val="000000"/>
          <w:szCs w:val="21"/>
          <w:highlight w:val="none"/>
        </w:rPr>
      </w:pPr>
      <w:r>
        <w:rPr>
          <w:rFonts w:hint="eastAsia" w:ascii="宋体" w:hAnsi="宋体" w:cs="宋体"/>
          <w:b/>
          <w:color w:val="000000"/>
          <w:szCs w:val="21"/>
          <w:highlight w:val="none"/>
        </w:rPr>
        <w:t>特别提醒：</w:t>
      </w:r>
    </w:p>
    <w:p w14:paraId="2AD50DD5">
      <w:pPr>
        <w:widowControl/>
        <w:tabs>
          <w:tab w:val="left" w:pos="5580"/>
        </w:tabs>
        <w:wordWrap w:val="0"/>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1．提供证明材料</w:t>
      </w:r>
      <w:r>
        <w:rPr>
          <w:rFonts w:hint="eastAsia" w:ascii="宋体" w:hAnsi="宋体" w:cs="宋体"/>
          <w:b/>
          <w:color w:val="000000"/>
          <w:szCs w:val="21"/>
          <w:highlight w:val="none"/>
        </w:rPr>
        <w:t>扫描件或电子证照</w:t>
      </w:r>
      <w:r>
        <w:rPr>
          <w:rFonts w:hint="eastAsia" w:ascii="宋体" w:hAnsi="宋体" w:cs="宋体"/>
          <w:color w:val="000000"/>
          <w:szCs w:val="21"/>
          <w:highlight w:val="none"/>
        </w:rPr>
        <w:t>；</w:t>
      </w:r>
    </w:p>
    <w:p w14:paraId="2D335901">
      <w:pPr>
        <w:widowControl/>
        <w:tabs>
          <w:tab w:val="left" w:pos="5580"/>
        </w:tabs>
        <w:wordWrap w:val="0"/>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2．建议设置评审索引，以便评标委员会顺利开展评审工作；</w:t>
      </w:r>
    </w:p>
    <w:p w14:paraId="73F8E382">
      <w:pPr>
        <w:widowControl/>
        <w:tabs>
          <w:tab w:val="left" w:pos="5580"/>
        </w:tabs>
        <w:wordWrap w:val="0"/>
        <w:adjustRightInd w:val="0"/>
        <w:snapToGrid w:val="0"/>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3．内容须清晰、明确，若提供相关资料内容模糊不清或无法辨认，评标委员会有权不予认可。</w:t>
      </w:r>
    </w:p>
    <w:p w14:paraId="4CE26D45">
      <w:pPr>
        <w:pStyle w:val="4"/>
        <w:spacing w:before="120" w:after="120" w:line="240" w:lineRule="auto"/>
        <w:jc w:val="center"/>
        <w:rPr>
          <w:rStyle w:val="106"/>
          <w:rFonts w:hint="eastAsia" w:ascii="宋体" w:hAnsi="宋体" w:eastAsia="宋体" w:cs="宋体"/>
          <w:b/>
          <w:bCs/>
          <w:color w:val="000000"/>
          <w:sz w:val="24"/>
          <w:szCs w:val="24"/>
          <w:highlight w:val="none"/>
        </w:rPr>
      </w:pPr>
      <w:r>
        <w:rPr>
          <w:rFonts w:hint="eastAsia" w:cs="宋体"/>
          <w:color w:val="000000"/>
          <w:sz w:val="24"/>
          <w:highlight w:val="none"/>
          <w:lang w:eastAsia="zh-CN"/>
        </w:rPr>
        <w:t>（一）商务要求偏离表</w:t>
      </w:r>
    </w:p>
    <w:tbl>
      <w:tblPr>
        <w:tblStyle w:val="47"/>
        <w:tblW w:w="9978" w:type="dxa"/>
        <w:tblInd w:w="0" w:type="dxa"/>
        <w:tblLayout w:type="fixed"/>
        <w:tblCellMar>
          <w:top w:w="0" w:type="dxa"/>
          <w:left w:w="108" w:type="dxa"/>
          <w:bottom w:w="0" w:type="dxa"/>
          <w:right w:w="108" w:type="dxa"/>
        </w:tblCellMar>
      </w:tblPr>
      <w:tblGrid>
        <w:gridCol w:w="738"/>
        <w:gridCol w:w="1370"/>
        <w:gridCol w:w="2382"/>
        <w:gridCol w:w="2553"/>
        <w:gridCol w:w="1570"/>
        <w:gridCol w:w="1365"/>
      </w:tblGrid>
      <w:tr w14:paraId="32948D14">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5046F436">
            <w:pPr>
              <w:widowControl/>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序号</w:t>
            </w:r>
          </w:p>
        </w:tc>
        <w:tc>
          <w:tcPr>
            <w:tcW w:w="1370" w:type="dxa"/>
            <w:tcBorders>
              <w:top w:val="single" w:color="000000" w:sz="4" w:space="0"/>
              <w:left w:val="nil"/>
              <w:bottom w:val="single" w:color="000000" w:sz="4" w:space="0"/>
              <w:right w:val="single" w:color="000000" w:sz="4" w:space="0"/>
            </w:tcBorders>
            <w:noWrap w:val="0"/>
            <w:vAlign w:val="center"/>
          </w:tcPr>
          <w:p w14:paraId="4989AB29">
            <w:pPr>
              <w:widowControl/>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商务要求项</w:t>
            </w:r>
          </w:p>
        </w:tc>
        <w:tc>
          <w:tcPr>
            <w:tcW w:w="2382" w:type="dxa"/>
            <w:tcBorders>
              <w:top w:val="single" w:color="000000" w:sz="4" w:space="0"/>
              <w:left w:val="nil"/>
              <w:bottom w:val="single" w:color="000000" w:sz="4" w:space="0"/>
              <w:right w:val="single" w:color="000000" w:sz="4" w:space="0"/>
            </w:tcBorders>
            <w:noWrap w:val="0"/>
            <w:vAlign w:val="center"/>
          </w:tcPr>
          <w:p w14:paraId="683F931E">
            <w:pPr>
              <w:widowControl/>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招标文件的条款</w:t>
            </w:r>
          </w:p>
        </w:tc>
        <w:tc>
          <w:tcPr>
            <w:tcW w:w="2553" w:type="dxa"/>
            <w:tcBorders>
              <w:top w:val="single" w:color="000000" w:sz="4" w:space="0"/>
              <w:left w:val="nil"/>
              <w:bottom w:val="single" w:color="000000" w:sz="4" w:space="0"/>
              <w:right w:val="single" w:color="000000" w:sz="4" w:space="0"/>
            </w:tcBorders>
            <w:noWrap w:val="0"/>
            <w:vAlign w:val="center"/>
          </w:tcPr>
          <w:p w14:paraId="2529F6A1">
            <w:pPr>
              <w:widowControl/>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投标文件的条款</w:t>
            </w:r>
          </w:p>
        </w:tc>
        <w:tc>
          <w:tcPr>
            <w:tcW w:w="1570" w:type="dxa"/>
            <w:tcBorders>
              <w:top w:val="single" w:color="000000" w:sz="4" w:space="0"/>
              <w:left w:val="nil"/>
              <w:bottom w:val="single" w:color="000000" w:sz="4" w:space="0"/>
              <w:right w:val="single" w:color="000000" w:sz="4" w:space="0"/>
            </w:tcBorders>
            <w:noWrap w:val="0"/>
            <w:vAlign w:val="center"/>
          </w:tcPr>
          <w:p w14:paraId="53C91F6C">
            <w:pPr>
              <w:widowControl/>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偏离说明</w:t>
            </w:r>
          </w:p>
        </w:tc>
        <w:tc>
          <w:tcPr>
            <w:tcW w:w="1365" w:type="dxa"/>
            <w:tcBorders>
              <w:top w:val="single" w:color="000000" w:sz="4" w:space="0"/>
              <w:left w:val="nil"/>
              <w:bottom w:val="single" w:color="000000" w:sz="4" w:space="0"/>
              <w:right w:val="single" w:color="000000" w:sz="4" w:space="0"/>
            </w:tcBorders>
            <w:noWrap w:val="0"/>
            <w:vAlign w:val="center"/>
          </w:tcPr>
          <w:p w14:paraId="179CC3EF">
            <w:pPr>
              <w:widowControl/>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备注</w:t>
            </w:r>
          </w:p>
        </w:tc>
      </w:tr>
      <w:tr w14:paraId="601CEA42">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36BD8CC">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1</w:t>
            </w:r>
          </w:p>
        </w:tc>
        <w:tc>
          <w:tcPr>
            <w:tcW w:w="1370" w:type="dxa"/>
            <w:tcBorders>
              <w:top w:val="single" w:color="000000" w:sz="4" w:space="0"/>
              <w:left w:val="nil"/>
              <w:bottom w:val="single" w:color="000000" w:sz="4" w:space="0"/>
              <w:right w:val="single" w:color="000000" w:sz="4" w:space="0"/>
            </w:tcBorders>
            <w:noWrap w:val="0"/>
            <w:vAlign w:val="center"/>
          </w:tcPr>
          <w:p w14:paraId="4F9916A0">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交付（实施）的时间（期限）</w:t>
            </w:r>
          </w:p>
        </w:tc>
        <w:tc>
          <w:tcPr>
            <w:tcW w:w="2382" w:type="dxa"/>
            <w:tcBorders>
              <w:top w:val="single" w:color="000000" w:sz="4" w:space="0"/>
              <w:left w:val="nil"/>
              <w:bottom w:val="single" w:color="000000" w:sz="4" w:space="0"/>
              <w:right w:val="single" w:color="000000" w:sz="4" w:space="0"/>
            </w:tcBorders>
            <w:noWrap w:val="0"/>
            <w:vAlign w:val="center"/>
          </w:tcPr>
          <w:p w14:paraId="6D5C75A5">
            <w:pPr>
              <w:widowControl/>
              <w:jc w:val="center"/>
              <w:rPr>
                <w:rFonts w:hint="eastAsia" w:ascii="宋体" w:hAnsi="宋体" w:cs="宋体"/>
                <w:color w:val="000000"/>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1DD5B2F3">
            <w:pPr>
              <w:widowControl/>
              <w:jc w:val="center"/>
              <w:rPr>
                <w:rFonts w:hint="eastAsia" w:ascii="宋体" w:hAnsi="宋体" w:cs="宋体"/>
                <w:color w:val="000000"/>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491D67DC">
            <w:pPr>
              <w:widowControl/>
              <w:jc w:val="center"/>
              <w:rPr>
                <w:rFonts w:hint="eastAsia" w:ascii="宋体" w:hAnsi="宋体" w:cs="宋体"/>
                <w:color w:val="000000"/>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2CEC0B4D">
            <w:pPr>
              <w:widowControl/>
              <w:jc w:val="center"/>
              <w:rPr>
                <w:rFonts w:hint="eastAsia" w:ascii="宋体" w:hAnsi="宋体" w:cs="宋体"/>
                <w:color w:val="000000"/>
                <w:kern w:val="0"/>
                <w:szCs w:val="21"/>
                <w:highlight w:val="none"/>
              </w:rPr>
            </w:pPr>
          </w:p>
        </w:tc>
      </w:tr>
      <w:tr w14:paraId="1DC8A851">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2047F36D">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2</w:t>
            </w:r>
          </w:p>
        </w:tc>
        <w:tc>
          <w:tcPr>
            <w:tcW w:w="1370" w:type="dxa"/>
            <w:tcBorders>
              <w:top w:val="single" w:color="000000" w:sz="4" w:space="0"/>
              <w:left w:val="nil"/>
              <w:bottom w:val="single" w:color="000000" w:sz="4" w:space="0"/>
              <w:right w:val="single" w:color="000000" w:sz="4" w:space="0"/>
            </w:tcBorders>
            <w:noWrap w:val="0"/>
            <w:vAlign w:val="center"/>
          </w:tcPr>
          <w:p w14:paraId="7CE2F3A1">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交付（实施）的地点（范围）</w:t>
            </w:r>
          </w:p>
        </w:tc>
        <w:tc>
          <w:tcPr>
            <w:tcW w:w="2382" w:type="dxa"/>
            <w:tcBorders>
              <w:top w:val="single" w:color="000000" w:sz="4" w:space="0"/>
              <w:left w:val="nil"/>
              <w:bottom w:val="single" w:color="000000" w:sz="4" w:space="0"/>
              <w:right w:val="single" w:color="000000" w:sz="4" w:space="0"/>
            </w:tcBorders>
            <w:noWrap w:val="0"/>
            <w:vAlign w:val="center"/>
          </w:tcPr>
          <w:p w14:paraId="36B9D42E">
            <w:pPr>
              <w:widowControl/>
              <w:jc w:val="center"/>
              <w:rPr>
                <w:rFonts w:hint="eastAsia" w:ascii="宋体" w:hAnsi="宋体" w:cs="宋体"/>
                <w:color w:val="000000"/>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376A7ABB">
            <w:pPr>
              <w:widowControl/>
              <w:jc w:val="center"/>
              <w:rPr>
                <w:rFonts w:hint="eastAsia" w:ascii="宋体" w:hAnsi="宋体" w:cs="宋体"/>
                <w:color w:val="000000"/>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6A0D9442">
            <w:pPr>
              <w:widowControl/>
              <w:jc w:val="center"/>
              <w:rPr>
                <w:rFonts w:hint="eastAsia" w:ascii="宋体" w:hAnsi="宋体" w:cs="宋体"/>
                <w:color w:val="000000"/>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2DA3450B">
            <w:pPr>
              <w:widowControl/>
              <w:jc w:val="center"/>
              <w:rPr>
                <w:rFonts w:hint="eastAsia" w:ascii="宋体" w:hAnsi="宋体" w:cs="宋体"/>
                <w:color w:val="000000"/>
                <w:kern w:val="0"/>
                <w:szCs w:val="21"/>
                <w:highlight w:val="none"/>
              </w:rPr>
            </w:pPr>
          </w:p>
        </w:tc>
      </w:tr>
      <w:tr w14:paraId="40D5048B">
        <w:tblPrEx>
          <w:tblCellMar>
            <w:top w:w="0" w:type="dxa"/>
            <w:left w:w="108" w:type="dxa"/>
            <w:bottom w:w="0" w:type="dxa"/>
            <w:right w:w="108" w:type="dxa"/>
          </w:tblCellMar>
        </w:tblPrEx>
        <w:trPr>
          <w:trHeight w:val="406"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1289F49">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3</w:t>
            </w:r>
          </w:p>
        </w:tc>
        <w:tc>
          <w:tcPr>
            <w:tcW w:w="1370" w:type="dxa"/>
            <w:tcBorders>
              <w:top w:val="single" w:color="000000" w:sz="4" w:space="0"/>
              <w:left w:val="nil"/>
              <w:bottom w:val="single" w:color="000000" w:sz="4" w:space="0"/>
              <w:right w:val="single" w:color="000000" w:sz="4" w:space="0"/>
            </w:tcBorders>
            <w:noWrap w:val="0"/>
            <w:vAlign w:val="center"/>
          </w:tcPr>
          <w:p w14:paraId="4ABA47D2">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付款方式</w:t>
            </w:r>
          </w:p>
        </w:tc>
        <w:tc>
          <w:tcPr>
            <w:tcW w:w="2382" w:type="dxa"/>
            <w:tcBorders>
              <w:top w:val="single" w:color="000000" w:sz="4" w:space="0"/>
              <w:left w:val="nil"/>
              <w:bottom w:val="single" w:color="000000" w:sz="4" w:space="0"/>
              <w:right w:val="single" w:color="000000" w:sz="4" w:space="0"/>
            </w:tcBorders>
            <w:noWrap w:val="0"/>
            <w:vAlign w:val="center"/>
          </w:tcPr>
          <w:p w14:paraId="6D11EB8A">
            <w:pPr>
              <w:widowControl/>
              <w:jc w:val="center"/>
              <w:rPr>
                <w:rFonts w:hint="eastAsia" w:ascii="宋体" w:hAnsi="宋体" w:cs="宋体"/>
                <w:color w:val="000000"/>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057A9AA8">
            <w:pPr>
              <w:widowControl/>
              <w:jc w:val="center"/>
              <w:rPr>
                <w:rFonts w:hint="eastAsia" w:ascii="宋体" w:hAnsi="宋体" w:cs="宋体"/>
                <w:color w:val="000000"/>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07EE07D5">
            <w:pPr>
              <w:widowControl/>
              <w:jc w:val="center"/>
              <w:rPr>
                <w:rFonts w:hint="eastAsia" w:ascii="宋体" w:hAnsi="宋体" w:cs="宋体"/>
                <w:color w:val="000000"/>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1945E60B">
            <w:pPr>
              <w:widowControl/>
              <w:jc w:val="center"/>
              <w:rPr>
                <w:rFonts w:hint="eastAsia" w:ascii="宋体" w:hAnsi="宋体" w:cs="宋体"/>
                <w:color w:val="000000"/>
                <w:kern w:val="0"/>
                <w:szCs w:val="21"/>
                <w:highlight w:val="none"/>
              </w:rPr>
            </w:pPr>
          </w:p>
        </w:tc>
      </w:tr>
      <w:tr w14:paraId="24FDF028">
        <w:tblPrEx>
          <w:tblCellMar>
            <w:top w:w="0" w:type="dxa"/>
            <w:left w:w="108" w:type="dxa"/>
            <w:bottom w:w="0" w:type="dxa"/>
            <w:right w:w="108" w:type="dxa"/>
          </w:tblCellMar>
        </w:tblPrEx>
        <w:trPr>
          <w:trHeight w:val="662"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0BBA6ED2">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4</w:t>
            </w:r>
          </w:p>
        </w:tc>
        <w:tc>
          <w:tcPr>
            <w:tcW w:w="1370" w:type="dxa"/>
            <w:tcBorders>
              <w:top w:val="single" w:color="000000" w:sz="4" w:space="0"/>
              <w:left w:val="nil"/>
              <w:bottom w:val="single" w:color="000000" w:sz="4" w:space="0"/>
              <w:right w:val="single" w:color="000000" w:sz="4" w:space="0"/>
            </w:tcBorders>
            <w:noWrap w:val="0"/>
            <w:vAlign w:val="center"/>
          </w:tcPr>
          <w:p w14:paraId="38126556">
            <w:pPr>
              <w:widowControl/>
              <w:jc w:val="center"/>
              <w:rPr>
                <w:rFonts w:hint="eastAsia" w:ascii="宋体" w:hAnsi="宋体" w:cs="宋体"/>
                <w:color w:val="000000"/>
                <w:kern w:val="0"/>
                <w:szCs w:val="21"/>
                <w:highlight w:val="none"/>
              </w:rPr>
            </w:pPr>
            <w:r>
              <w:rPr>
                <w:rFonts w:hint="eastAsia" w:ascii="宋体" w:hAnsi="宋体" w:cs="宋体"/>
                <w:color w:val="000000"/>
                <w:kern w:val="0"/>
                <w:szCs w:val="21"/>
                <w:highlight w:val="none"/>
              </w:rPr>
              <w:t>质量保证期</w:t>
            </w:r>
          </w:p>
        </w:tc>
        <w:tc>
          <w:tcPr>
            <w:tcW w:w="2382" w:type="dxa"/>
            <w:tcBorders>
              <w:top w:val="single" w:color="000000" w:sz="4" w:space="0"/>
              <w:left w:val="nil"/>
              <w:bottom w:val="single" w:color="000000" w:sz="4" w:space="0"/>
              <w:right w:val="single" w:color="000000" w:sz="4" w:space="0"/>
            </w:tcBorders>
            <w:noWrap w:val="0"/>
            <w:vAlign w:val="center"/>
          </w:tcPr>
          <w:p w14:paraId="05AD0669">
            <w:pPr>
              <w:widowControl/>
              <w:jc w:val="center"/>
              <w:rPr>
                <w:rFonts w:hint="eastAsia" w:ascii="宋体" w:hAnsi="宋体" w:cs="宋体"/>
                <w:color w:val="000000"/>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2692915C">
            <w:pPr>
              <w:widowControl/>
              <w:jc w:val="center"/>
              <w:rPr>
                <w:rFonts w:hint="eastAsia" w:ascii="宋体" w:hAnsi="宋体" w:cs="宋体"/>
                <w:color w:val="000000"/>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252D9532">
            <w:pPr>
              <w:widowControl/>
              <w:jc w:val="center"/>
              <w:rPr>
                <w:rFonts w:hint="eastAsia" w:ascii="宋体" w:hAnsi="宋体" w:cs="宋体"/>
                <w:color w:val="000000"/>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0AA17B32">
            <w:pPr>
              <w:widowControl/>
              <w:jc w:val="center"/>
              <w:rPr>
                <w:rFonts w:hint="eastAsia" w:ascii="宋体" w:hAnsi="宋体" w:cs="宋体"/>
                <w:color w:val="000000"/>
                <w:kern w:val="0"/>
                <w:szCs w:val="21"/>
                <w:highlight w:val="none"/>
              </w:rPr>
            </w:pPr>
          </w:p>
        </w:tc>
      </w:tr>
      <w:tr w14:paraId="3F7A739D">
        <w:tblPrEx>
          <w:tblCellMar>
            <w:top w:w="0" w:type="dxa"/>
            <w:left w:w="108" w:type="dxa"/>
            <w:bottom w:w="0" w:type="dxa"/>
            <w:right w:w="108" w:type="dxa"/>
          </w:tblCellMar>
        </w:tblPrEx>
        <w:trPr>
          <w:trHeight w:val="454" w:hRule="atLeast"/>
        </w:trPr>
        <w:tc>
          <w:tcPr>
            <w:tcW w:w="738" w:type="dxa"/>
            <w:tcBorders>
              <w:top w:val="single" w:color="000000" w:sz="4" w:space="0"/>
              <w:left w:val="single" w:color="000000" w:sz="4" w:space="0"/>
              <w:bottom w:val="single" w:color="000000" w:sz="4" w:space="0"/>
              <w:right w:val="single" w:color="000000" w:sz="4" w:space="0"/>
            </w:tcBorders>
            <w:noWrap w:val="0"/>
            <w:vAlign w:val="center"/>
          </w:tcPr>
          <w:p w14:paraId="7ABBE2FB">
            <w:pPr>
              <w:widowControl/>
              <w:jc w:val="center"/>
              <w:rPr>
                <w:rFonts w:hint="eastAsia" w:ascii="宋体" w:hAnsi="宋体" w:cs="宋体"/>
                <w:color w:val="000000"/>
                <w:kern w:val="0"/>
                <w:szCs w:val="21"/>
                <w:highlight w:val="none"/>
              </w:rPr>
            </w:pPr>
          </w:p>
        </w:tc>
        <w:tc>
          <w:tcPr>
            <w:tcW w:w="1370" w:type="dxa"/>
            <w:tcBorders>
              <w:top w:val="single" w:color="000000" w:sz="4" w:space="0"/>
              <w:left w:val="nil"/>
              <w:bottom w:val="single" w:color="000000" w:sz="4" w:space="0"/>
              <w:right w:val="single" w:color="000000" w:sz="4" w:space="0"/>
            </w:tcBorders>
            <w:noWrap w:val="0"/>
            <w:vAlign w:val="center"/>
          </w:tcPr>
          <w:p w14:paraId="691F9357">
            <w:pPr>
              <w:widowControl/>
              <w:jc w:val="center"/>
              <w:rPr>
                <w:rFonts w:hint="eastAsia" w:ascii="宋体" w:hAnsi="宋体" w:cs="宋体"/>
                <w:color w:val="000000"/>
                <w:kern w:val="0"/>
                <w:szCs w:val="21"/>
                <w:highlight w:val="none"/>
              </w:rPr>
            </w:pPr>
          </w:p>
        </w:tc>
        <w:tc>
          <w:tcPr>
            <w:tcW w:w="2382" w:type="dxa"/>
            <w:tcBorders>
              <w:top w:val="single" w:color="000000" w:sz="4" w:space="0"/>
              <w:left w:val="nil"/>
              <w:bottom w:val="single" w:color="000000" w:sz="4" w:space="0"/>
              <w:right w:val="single" w:color="000000" w:sz="4" w:space="0"/>
            </w:tcBorders>
            <w:noWrap w:val="0"/>
            <w:vAlign w:val="center"/>
          </w:tcPr>
          <w:p w14:paraId="0BD38C9E">
            <w:pPr>
              <w:widowControl/>
              <w:jc w:val="center"/>
              <w:rPr>
                <w:rFonts w:hint="eastAsia" w:ascii="宋体" w:hAnsi="宋体" w:cs="宋体"/>
                <w:color w:val="000000"/>
                <w:kern w:val="0"/>
                <w:szCs w:val="21"/>
                <w:highlight w:val="none"/>
              </w:rPr>
            </w:pPr>
          </w:p>
        </w:tc>
        <w:tc>
          <w:tcPr>
            <w:tcW w:w="2553" w:type="dxa"/>
            <w:tcBorders>
              <w:top w:val="single" w:color="000000" w:sz="4" w:space="0"/>
              <w:left w:val="nil"/>
              <w:bottom w:val="single" w:color="000000" w:sz="4" w:space="0"/>
              <w:right w:val="single" w:color="000000" w:sz="4" w:space="0"/>
            </w:tcBorders>
            <w:noWrap w:val="0"/>
            <w:vAlign w:val="center"/>
          </w:tcPr>
          <w:p w14:paraId="2FAE2785">
            <w:pPr>
              <w:widowControl/>
              <w:jc w:val="center"/>
              <w:rPr>
                <w:rFonts w:hint="eastAsia" w:ascii="宋体" w:hAnsi="宋体" w:cs="宋体"/>
                <w:color w:val="000000"/>
                <w:kern w:val="0"/>
                <w:szCs w:val="21"/>
                <w:highlight w:val="none"/>
              </w:rPr>
            </w:pPr>
          </w:p>
        </w:tc>
        <w:tc>
          <w:tcPr>
            <w:tcW w:w="1570" w:type="dxa"/>
            <w:tcBorders>
              <w:top w:val="single" w:color="000000" w:sz="4" w:space="0"/>
              <w:left w:val="nil"/>
              <w:bottom w:val="single" w:color="000000" w:sz="4" w:space="0"/>
              <w:right w:val="single" w:color="000000" w:sz="4" w:space="0"/>
            </w:tcBorders>
            <w:noWrap w:val="0"/>
            <w:vAlign w:val="center"/>
          </w:tcPr>
          <w:p w14:paraId="4661AFFE">
            <w:pPr>
              <w:widowControl/>
              <w:jc w:val="center"/>
              <w:rPr>
                <w:rFonts w:hint="eastAsia" w:ascii="宋体" w:hAnsi="宋体" w:cs="宋体"/>
                <w:color w:val="000000"/>
                <w:kern w:val="0"/>
                <w:szCs w:val="21"/>
                <w:highlight w:val="none"/>
              </w:rPr>
            </w:pPr>
          </w:p>
        </w:tc>
        <w:tc>
          <w:tcPr>
            <w:tcW w:w="1365" w:type="dxa"/>
            <w:tcBorders>
              <w:top w:val="single" w:color="000000" w:sz="4" w:space="0"/>
              <w:left w:val="nil"/>
              <w:bottom w:val="single" w:color="000000" w:sz="4" w:space="0"/>
              <w:right w:val="single" w:color="000000" w:sz="4" w:space="0"/>
            </w:tcBorders>
            <w:noWrap w:val="0"/>
            <w:vAlign w:val="center"/>
          </w:tcPr>
          <w:p w14:paraId="4D69B168">
            <w:pPr>
              <w:widowControl/>
              <w:jc w:val="center"/>
              <w:rPr>
                <w:rFonts w:hint="eastAsia" w:ascii="宋体" w:hAnsi="宋体" w:cs="宋体"/>
                <w:color w:val="000000"/>
                <w:kern w:val="0"/>
                <w:szCs w:val="21"/>
                <w:highlight w:val="none"/>
              </w:rPr>
            </w:pPr>
          </w:p>
        </w:tc>
      </w:tr>
    </w:tbl>
    <w:p w14:paraId="1191388A">
      <w:pPr>
        <w:rPr>
          <w:rFonts w:hint="eastAsia" w:ascii="宋体" w:hAnsi="宋体" w:cs="宋体"/>
          <w:color w:val="000000"/>
          <w:szCs w:val="21"/>
          <w:highlight w:val="none"/>
        </w:rPr>
      </w:pPr>
      <w:r>
        <w:rPr>
          <w:rFonts w:hint="eastAsia" w:ascii="宋体" w:hAnsi="宋体" w:cs="宋体"/>
          <w:color w:val="000000"/>
          <w:szCs w:val="21"/>
          <w:highlight w:val="none"/>
        </w:rPr>
        <w:t>投标人保证：投标人须逐条响应招标文件第三章采购需求3.商务要求的全部要求。</w:t>
      </w:r>
    </w:p>
    <w:p w14:paraId="4415D888">
      <w:pPr>
        <w:widowControl/>
        <w:spacing w:line="360" w:lineRule="exact"/>
        <w:ind w:firstLine="411" w:firstLineChars="196"/>
        <w:rPr>
          <w:rFonts w:hint="eastAsia" w:ascii="宋体" w:hAnsi="宋体" w:cs="宋体"/>
          <w:color w:val="000000"/>
          <w:highlight w:val="none"/>
        </w:rPr>
      </w:pPr>
    </w:p>
    <w:p w14:paraId="5D4E1851">
      <w:pPr>
        <w:pStyle w:val="4"/>
        <w:spacing w:before="120" w:after="120" w:line="240" w:lineRule="auto"/>
        <w:jc w:val="center"/>
        <w:rPr>
          <w:rFonts w:hint="eastAsia" w:cs="宋体"/>
          <w:color w:val="000000"/>
          <w:sz w:val="24"/>
          <w:highlight w:val="none"/>
          <w:lang w:eastAsia="zh-CN"/>
        </w:rPr>
      </w:pPr>
      <w:r>
        <w:rPr>
          <w:rFonts w:hint="eastAsia" w:cs="宋体"/>
          <w:color w:val="000000"/>
          <w:sz w:val="24"/>
          <w:highlight w:val="none"/>
          <w:lang w:eastAsia="zh-CN"/>
        </w:rPr>
        <w:t>（二）技术要求偏离表</w:t>
      </w:r>
    </w:p>
    <w:tbl>
      <w:tblPr>
        <w:tblStyle w:val="47"/>
        <w:tblW w:w="9938" w:type="dxa"/>
        <w:tblInd w:w="93" w:type="dxa"/>
        <w:tblLayout w:type="fixed"/>
        <w:tblCellMar>
          <w:top w:w="0" w:type="dxa"/>
          <w:left w:w="108" w:type="dxa"/>
          <w:bottom w:w="0" w:type="dxa"/>
          <w:right w:w="108" w:type="dxa"/>
        </w:tblCellMar>
      </w:tblPr>
      <w:tblGrid>
        <w:gridCol w:w="1023"/>
        <w:gridCol w:w="1372"/>
        <w:gridCol w:w="2173"/>
        <w:gridCol w:w="2107"/>
        <w:gridCol w:w="1845"/>
        <w:gridCol w:w="1418"/>
      </w:tblGrid>
      <w:tr w14:paraId="0ED50E3C">
        <w:tblPrEx>
          <w:tblCellMar>
            <w:top w:w="0" w:type="dxa"/>
            <w:left w:w="108" w:type="dxa"/>
            <w:bottom w:w="0" w:type="dxa"/>
            <w:right w:w="108" w:type="dxa"/>
          </w:tblCellMar>
        </w:tblPrEx>
        <w:trPr>
          <w:wBefore w:w="0" w:type="auto"/>
          <w:wAfter w:w="0" w:type="auto"/>
          <w:trHeight w:val="340" w:hRule="atLeast"/>
        </w:trPr>
        <w:tc>
          <w:tcPr>
            <w:tcW w:w="1023" w:type="dxa"/>
            <w:tcBorders>
              <w:top w:val="single" w:color="000000" w:sz="4" w:space="0"/>
              <w:left w:val="single" w:color="000000" w:sz="4" w:space="0"/>
              <w:bottom w:val="single" w:color="auto" w:sz="4" w:space="0"/>
              <w:right w:val="single" w:color="000000" w:sz="4" w:space="0"/>
            </w:tcBorders>
            <w:noWrap w:val="0"/>
            <w:vAlign w:val="center"/>
          </w:tcPr>
          <w:p w14:paraId="7B147463">
            <w:pPr>
              <w:widowControl/>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序号</w:t>
            </w:r>
          </w:p>
        </w:tc>
        <w:tc>
          <w:tcPr>
            <w:tcW w:w="1372" w:type="dxa"/>
            <w:tcBorders>
              <w:top w:val="single" w:color="000000" w:sz="4" w:space="0"/>
              <w:left w:val="nil"/>
              <w:bottom w:val="single" w:color="auto" w:sz="4" w:space="0"/>
              <w:right w:val="single" w:color="000000" w:sz="4" w:space="0"/>
            </w:tcBorders>
            <w:noWrap w:val="0"/>
            <w:vAlign w:val="center"/>
          </w:tcPr>
          <w:p w14:paraId="1A3480D9">
            <w:pPr>
              <w:widowControl/>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技术要求项</w:t>
            </w:r>
          </w:p>
          <w:p w14:paraId="26BA0CFF">
            <w:pPr>
              <w:widowControl/>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条款号</w:t>
            </w:r>
          </w:p>
        </w:tc>
        <w:tc>
          <w:tcPr>
            <w:tcW w:w="2173" w:type="dxa"/>
            <w:tcBorders>
              <w:top w:val="single" w:color="000000" w:sz="4" w:space="0"/>
              <w:left w:val="nil"/>
              <w:bottom w:val="single" w:color="000000" w:sz="4" w:space="0"/>
              <w:right w:val="single" w:color="000000" w:sz="4" w:space="0"/>
            </w:tcBorders>
            <w:noWrap w:val="0"/>
            <w:vAlign w:val="center"/>
          </w:tcPr>
          <w:p w14:paraId="2256E1C8">
            <w:pPr>
              <w:widowControl/>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招标文件的条款</w:t>
            </w:r>
          </w:p>
        </w:tc>
        <w:tc>
          <w:tcPr>
            <w:tcW w:w="2107" w:type="dxa"/>
            <w:tcBorders>
              <w:top w:val="single" w:color="000000" w:sz="4" w:space="0"/>
              <w:left w:val="nil"/>
              <w:bottom w:val="single" w:color="000000" w:sz="4" w:space="0"/>
              <w:right w:val="single" w:color="000000" w:sz="4" w:space="0"/>
            </w:tcBorders>
            <w:noWrap w:val="0"/>
            <w:vAlign w:val="center"/>
          </w:tcPr>
          <w:p w14:paraId="05A574A4">
            <w:pPr>
              <w:widowControl/>
              <w:jc w:val="center"/>
              <w:rPr>
                <w:rFonts w:ascii="宋体" w:hAnsi="宋体" w:cs="宋体"/>
                <w:b/>
                <w:color w:val="000000"/>
                <w:kern w:val="0"/>
                <w:szCs w:val="21"/>
                <w:highlight w:val="none"/>
              </w:rPr>
            </w:pPr>
            <w:r>
              <w:rPr>
                <w:rFonts w:hint="eastAsia" w:ascii="宋体" w:hAnsi="宋体" w:cs="宋体"/>
                <w:b/>
                <w:color w:val="000000"/>
                <w:kern w:val="0"/>
                <w:szCs w:val="21"/>
                <w:highlight w:val="none"/>
              </w:rPr>
              <w:t>投标文件的条款</w:t>
            </w:r>
          </w:p>
        </w:tc>
        <w:tc>
          <w:tcPr>
            <w:tcW w:w="1845" w:type="dxa"/>
            <w:tcBorders>
              <w:top w:val="single" w:color="000000" w:sz="4" w:space="0"/>
              <w:left w:val="nil"/>
              <w:bottom w:val="single" w:color="000000" w:sz="4" w:space="0"/>
              <w:right w:val="single" w:color="000000" w:sz="4" w:space="0"/>
            </w:tcBorders>
            <w:noWrap w:val="0"/>
            <w:vAlign w:val="center"/>
          </w:tcPr>
          <w:p w14:paraId="3D3AA0EC">
            <w:pPr>
              <w:widowControl/>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偏离说明</w:t>
            </w:r>
          </w:p>
        </w:tc>
        <w:tc>
          <w:tcPr>
            <w:tcW w:w="1418" w:type="dxa"/>
            <w:tcBorders>
              <w:top w:val="single" w:color="000000" w:sz="4" w:space="0"/>
              <w:left w:val="nil"/>
              <w:bottom w:val="single" w:color="000000" w:sz="4" w:space="0"/>
              <w:right w:val="single" w:color="000000" w:sz="4" w:space="0"/>
            </w:tcBorders>
            <w:noWrap w:val="0"/>
            <w:vAlign w:val="center"/>
          </w:tcPr>
          <w:p w14:paraId="50B66AA7">
            <w:pPr>
              <w:widowControl/>
              <w:jc w:val="center"/>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备注</w:t>
            </w:r>
          </w:p>
        </w:tc>
      </w:tr>
      <w:tr w14:paraId="4A6A94EA">
        <w:tblPrEx>
          <w:tblCellMar>
            <w:top w:w="0" w:type="dxa"/>
            <w:left w:w="108" w:type="dxa"/>
            <w:bottom w:w="0" w:type="dxa"/>
            <w:right w:w="108" w:type="dxa"/>
          </w:tblCellMar>
        </w:tblPrEx>
        <w:trPr>
          <w:wBefore w:w="0" w:type="auto"/>
          <w:wAfter w:w="0" w:type="auto"/>
          <w:trHeight w:val="340" w:hRule="atLeast"/>
        </w:trPr>
        <w:tc>
          <w:tcPr>
            <w:tcW w:w="1023" w:type="dxa"/>
            <w:vMerge w:val="restart"/>
            <w:tcBorders>
              <w:top w:val="single" w:color="auto" w:sz="4" w:space="0"/>
              <w:left w:val="single" w:color="000000" w:sz="4" w:space="0"/>
              <w:bottom w:val="single" w:color="000000" w:sz="4" w:space="0"/>
              <w:right w:val="single" w:color="000000" w:sz="4" w:space="0"/>
            </w:tcBorders>
            <w:noWrap w:val="0"/>
            <w:vAlign w:val="center"/>
          </w:tcPr>
          <w:p w14:paraId="0251C2FB">
            <w:pPr>
              <w:widowControl/>
              <w:rPr>
                <w:rFonts w:hint="eastAsia" w:ascii="宋体" w:hAnsi="宋体" w:cs="宋体"/>
                <w:bCs/>
                <w:color w:val="000000"/>
                <w:kern w:val="0"/>
                <w:szCs w:val="21"/>
                <w:highlight w:val="none"/>
              </w:rPr>
            </w:pPr>
          </w:p>
        </w:tc>
        <w:tc>
          <w:tcPr>
            <w:tcW w:w="1372" w:type="dxa"/>
            <w:vMerge w:val="restart"/>
            <w:tcBorders>
              <w:top w:val="single" w:color="auto" w:sz="4" w:space="0"/>
              <w:left w:val="nil"/>
              <w:bottom w:val="single" w:color="000000" w:sz="4" w:space="0"/>
              <w:right w:val="single" w:color="000000" w:sz="4" w:space="0"/>
            </w:tcBorders>
            <w:noWrap w:val="0"/>
            <w:vAlign w:val="center"/>
          </w:tcPr>
          <w:p w14:paraId="0902B622">
            <w:pPr>
              <w:widowControl/>
              <w:rPr>
                <w:rFonts w:hint="eastAsia" w:ascii="宋体" w:hAnsi="宋体" w:cs="宋体"/>
                <w:color w:val="000000"/>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6EE315FF">
            <w:pPr>
              <w:widowControl/>
              <w:rPr>
                <w:rFonts w:hint="eastAsia" w:ascii="宋体" w:hAnsi="宋体" w:cs="宋体"/>
                <w:color w:val="000000"/>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center"/>
          </w:tcPr>
          <w:p w14:paraId="0425CDEE">
            <w:pPr>
              <w:widowControl/>
              <w:jc w:val="center"/>
              <w:rPr>
                <w:rFonts w:hint="eastAsia" w:ascii="宋体" w:hAnsi="宋体" w:cs="宋体"/>
                <w:color w:val="000000"/>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715927B5">
            <w:pPr>
              <w:widowControl/>
              <w:jc w:val="center"/>
              <w:rPr>
                <w:rFonts w:hint="eastAsia" w:ascii="宋体" w:hAnsi="宋体" w:cs="宋体"/>
                <w:color w:val="000000"/>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3DEAD741">
            <w:pPr>
              <w:widowControl/>
              <w:jc w:val="center"/>
              <w:rPr>
                <w:rFonts w:hint="eastAsia" w:ascii="宋体" w:hAnsi="宋体" w:cs="宋体"/>
                <w:color w:val="000000"/>
                <w:kern w:val="0"/>
                <w:szCs w:val="21"/>
                <w:highlight w:val="none"/>
              </w:rPr>
            </w:pPr>
          </w:p>
        </w:tc>
      </w:tr>
      <w:tr w14:paraId="7E5B8404">
        <w:tblPrEx>
          <w:tblCellMar>
            <w:top w:w="0" w:type="dxa"/>
            <w:left w:w="108" w:type="dxa"/>
            <w:bottom w:w="0" w:type="dxa"/>
            <w:right w:w="108" w:type="dxa"/>
          </w:tblCellMar>
        </w:tblPrEx>
        <w:trPr>
          <w:wBefore w:w="0" w:type="auto"/>
          <w:wAfter w:w="0" w:type="auto"/>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69B24E2A">
            <w:pPr>
              <w:widowControl/>
              <w:jc w:val="left"/>
              <w:rPr>
                <w:rFonts w:hint="eastAsia" w:ascii="宋体" w:hAnsi="宋体" w:cs="宋体"/>
                <w:bCs/>
                <w:color w:val="000000"/>
                <w:kern w:val="0"/>
                <w:szCs w:val="21"/>
                <w:highlight w:val="none"/>
              </w:rPr>
            </w:pPr>
          </w:p>
        </w:tc>
        <w:tc>
          <w:tcPr>
            <w:tcW w:w="1372" w:type="dxa"/>
            <w:vMerge w:val="continue"/>
            <w:tcBorders>
              <w:top w:val="nil"/>
              <w:left w:val="nil"/>
              <w:bottom w:val="single" w:color="000000" w:sz="4" w:space="0"/>
              <w:right w:val="single" w:color="000000" w:sz="4" w:space="0"/>
            </w:tcBorders>
            <w:noWrap w:val="0"/>
            <w:vAlign w:val="center"/>
          </w:tcPr>
          <w:p w14:paraId="6E278753">
            <w:pPr>
              <w:widowControl/>
              <w:jc w:val="left"/>
              <w:rPr>
                <w:rFonts w:hint="eastAsia" w:ascii="宋体" w:hAnsi="宋体" w:cs="宋体"/>
                <w:color w:val="000000"/>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1D093819">
            <w:pPr>
              <w:widowControl/>
              <w:jc w:val="left"/>
              <w:rPr>
                <w:rFonts w:hint="eastAsia" w:ascii="宋体" w:hAnsi="宋体" w:cs="宋体"/>
                <w:color w:val="000000"/>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226B74CB">
            <w:pPr>
              <w:widowControl/>
              <w:jc w:val="center"/>
              <w:rPr>
                <w:rFonts w:hint="eastAsia" w:ascii="宋体" w:hAnsi="宋体" w:cs="宋体"/>
                <w:color w:val="000000"/>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096084B0">
            <w:pPr>
              <w:widowControl/>
              <w:jc w:val="center"/>
              <w:rPr>
                <w:rFonts w:hint="eastAsia" w:ascii="宋体" w:hAnsi="宋体" w:cs="宋体"/>
                <w:color w:val="000000"/>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1C78CE36">
            <w:pPr>
              <w:widowControl/>
              <w:jc w:val="center"/>
              <w:rPr>
                <w:rFonts w:hint="eastAsia" w:ascii="宋体" w:hAnsi="宋体" w:cs="宋体"/>
                <w:color w:val="000000"/>
                <w:kern w:val="0"/>
                <w:szCs w:val="21"/>
                <w:highlight w:val="none"/>
              </w:rPr>
            </w:pPr>
          </w:p>
        </w:tc>
      </w:tr>
      <w:tr w14:paraId="1F4BD945">
        <w:tblPrEx>
          <w:tblCellMar>
            <w:top w:w="0" w:type="dxa"/>
            <w:left w:w="108" w:type="dxa"/>
            <w:bottom w:w="0" w:type="dxa"/>
            <w:right w:w="108" w:type="dxa"/>
          </w:tblCellMar>
        </w:tblPrEx>
        <w:trPr>
          <w:wBefore w:w="0" w:type="auto"/>
          <w:wAfter w:w="0" w:type="auto"/>
          <w:trHeight w:val="340" w:hRule="atLeast"/>
        </w:trPr>
        <w:tc>
          <w:tcPr>
            <w:tcW w:w="1023" w:type="dxa"/>
            <w:vMerge w:val="continue"/>
            <w:tcBorders>
              <w:top w:val="nil"/>
              <w:left w:val="single" w:color="000000" w:sz="4" w:space="0"/>
              <w:bottom w:val="single" w:color="auto" w:sz="4" w:space="0"/>
              <w:right w:val="single" w:color="000000" w:sz="4" w:space="0"/>
            </w:tcBorders>
            <w:noWrap w:val="0"/>
            <w:vAlign w:val="center"/>
          </w:tcPr>
          <w:p w14:paraId="08A48061">
            <w:pPr>
              <w:widowControl/>
              <w:jc w:val="left"/>
              <w:rPr>
                <w:rFonts w:hint="eastAsia" w:ascii="宋体" w:hAnsi="宋体" w:cs="宋体"/>
                <w:bCs/>
                <w:color w:val="000000"/>
                <w:kern w:val="0"/>
                <w:szCs w:val="21"/>
                <w:highlight w:val="none"/>
              </w:rPr>
            </w:pPr>
          </w:p>
        </w:tc>
        <w:tc>
          <w:tcPr>
            <w:tcW w:w="1372" w:type="dxa"/>
            <w:vMerge w:val="continue"/>
            <w:tcBorders>
              <w:top w:val="nil"/>
              <w:left w:val="nil"/>
              <w:bottom w:val="single" w:color="auto" w:sz="4" w:space="0"/>
              <w:right w:val="single" w:color="000000" w:sz="4" w:space="0"/>
            </w:tcBorders>
            <w:noWrap w:val="0"/>
            <w:vAlign w:val="center"/>
          </w:tcPr>
          <w:p w14:paraId="18A5BFD7">
            <w:pPr>
              <w:widowControl/>
              <w:jc w:val="left"/>
              <w:rPr>
                <w:rFonts w:hint="eastAsia" w:ascii="宋体" w:hAnsi="宋体" w:cs="宋体"/>
                <w:color w:val="000000"/>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1A5AD439">
            <w:pPr>
              <w:widowControl/>
              <w:jc w:val="left"/>
              <w:rPr>
                <w:rFonts w:hint="eastAsia" w:ascii="宋体" w:hAnsi="宋体" w:cs="宋体"/>
                <w:color w:val="000000"/>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6098A35A">
            <w:pPr>
              <w:widowControl/>
              <w:jc w:val="center"/>
              <w:rPr>
                <w:rFonts w:hint="eastAsia" w:ascii="宋体" w:hAnsi="宋体" w:cs="宋体"/>
                <w:color w:val="000000"/>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23F67658">
            <w:pPr>
              <w:widowControl/>
              <w:jc w:val="center"/>
              <w:rPr>
                <w:rFonts w:hint="eastAsia" w:ascii="宋体" w:hAnsi="宋体" w:cs="宋体"/>
                <w:color w:val="000000"/>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76C9E464">
            <w:pPr>
              <w:widowControl/>
              <w:jc w:val="center"/>
              <w:rPr>
                <w:rFonts w:hint="eastAsia" w:ascii="宋体" w:hAnsi="宋体" w:cs="宋体"/>
                <w:color w:val="000000"/>
                <w:kern w:val="0"/>
                <w:szCs w:val="21"/>
                <w:highlight w:val="none"/>
              </w:rPr>
            </w:pPr>
          </w:p>
        </w:tc>
      </w:tr>
      <w:tr w14:paraId="0031F4C6">
        <w:tblPrEx>
          <w:tblCellMar>
            <w:top w:w="0" w:type="dxa"/>
            <w:left w:w="108" w:type="dxa"/>
            <w:bottom w:w="0" w:type="dxa"/>
            <w:right w:w="108" w:type="dxa"/>
          </w:tblCellMar>
        </w:tblPrEx>
        <w:trPr>
          <w:wBefore w:w="0" w:type="auto"/>
          <w:wAfter w:w="0" w:type="auto"/>
          <w:trHeight w:val="340" w:hRule="atLeast"/>
        </w:trPr>
        <w:tc>
          <w:tcPr>
            <w:tcW w:w="1023" w:type="dxa"/>
            <w:vMerge w:val="restart"/>
            <w:tcBorders>
              <w:top w:val="single" w:color="auto" w:sz="4" w:space="0"/>
              <w:left w:val="single" w:color="000000" w:sz="4" w:space="0"/>
              <w:bottom w:val="single" w:color="000000" w:sz="4" w:space="0"/>
              <w:right w:val="single" w:color="000000" w:sz="4" w:space="0"/>
            </w:tcBorders>
            <w:noWrap w:val="0"/>
            <w:vAlign w:val="center"/>
          </w:tcPr>
          <w:p w14:paraId="6BDD99C1">
            <w:pPr>
              <w:widowControl/>
              <w:jc w:val="left"/>
              <w:rPr>
                <w:rFonts w:hint="eastAsia" w:ascii="宋体" w:hAnsi="宋体" w:cs="宋体"/>
                <w:bCs/>
                <w:color w:val="000000"/>
                <w:kern w:val="0"/>
                <w:szCs w:val="21"/>
                <w:highlight w:val="none"/>
              </w:rPr>
            </w:pPr>
          </w:p>
        </w:tc>
        <w:tc>
          <w:tcPr>
            <w:tcW w:w="1372" w:type="dxa"/>
            <w:vMerge w:val="restart"/>
            <w:tcBorders>
              <w:top w:val="single" w:color="auto" w:sz="4" w:space="0"/>
              <w:left w:val="nil"/>
              <w:bottom w:val="single" w:color="000000" w:sz="4" w:space="0"/>
              <w:right w:val="single" w:color="000000" w:sz="4" w:space="0"/>
            </w:tcBorders>
            <w:noWrap w:val="0"/>
            <w:vAlign w:val="center"/>
          </w:tcPr>
          <w:p w14:paraId="38761F4E">
            <w:pPr>
              <w:widowControl/>
              <w:jc w:val="left"/>
              <w:rPr>
                <w:rFonts w:hint="eastAsia" w:ascii="宋体" w:hAnsi="宋体" w:cs="宋体"/>
                <w:color w:val="000000"/>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411CC624">
            <w:pPr>
              <w:widowControl/>
              <w:jc w:val="left"/>
              <w:rPr>
                <w:rFonts w:hint="eastAsia" w:ascii="宋体" w:hAnsi="宋体" w:cs="宋体"/>
                <w:color w:val="000000"/>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3A2609D5">
            <w:pPr>
              <w:widowControl/>
              <w:jc w:val="center"/>
              <w:rPr>
                <w:rFonts w:hint="eastAsia" w:ascii="宋体" w:hAnsi="宋体" w:cs="宋体"/>
                <w:color w:val="000000"/>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06A33E17">
            <w:pPr>
              <w:widowControl/>
              <w:jc w:val="center"/>
              <w:rPr>
                <w:rFonts w:hint="eastAsia" w:ascii="宋体" w:hAnsi="宋体" w:cs="宋体"/>
                <w:color w:val="000000"/>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3A45E14E">
            <w:pPr>
              <w:widowControl/>
              <w:jc w:val="center"/>
              <w:rPr>
                <w:rFonts w:hint="eastAsia" w:ascii="宋体" w:hAnsi="宋体" w:cs="宋体"/>
                <w:color w:val="000000"/>
                <w:kern w:val="0"/>
                <w:szCs w:val="21"/>
                <w:highlight w:val="none"/>
              </w:rPr>
            </w:pPr>
          </w:p>
        </w:tc>
      </w:tr>
      <w:tr w14:paraId="60271B3B">
        <w:tblPrEx>
          <w:tblCellMar>
            <w:top w:w="0" w:type="dxa"/>
            <w:left w:w="108" w:type="dxa"/>
            <w:bottom w:w="0" w:type="dxa"/>
            <w:right w:w="108" w:type="dxa"/>
          </w:tblCellMar>
        </w:tblPrEx>
        <w:trPr>
          <w:wBefore w:w="0" w:type="auto"/>
          <w:wAfter w:w="0" w:type="auto"/>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0B0975D6">
            <w:pPr>
              <w:widowControl/>
              <w:jc w:val="left"/>
              <w:rPr>
                <w:rFonts w:hint="eastAsia" w:ascii="宋体" w:hAnsi="宋体" w:cs="宋体"/>
                <w:bCs/>
                <w:color w:val="000000"/>
                <w:kern w:val="0"/>
                <w:szCs w:val="21"/>
                <w:highlight w:val="none"/>
              </w:rPr>
            </w:pPr>
          </w:p>
        </w:tc>
        <w:tc>
          <w:tcPr>
            <w:tcW w:w="1372" w:type="dxa"/>
            <w:vMerge w:val="continue"/>
            <w:tcBorders>
              <w:top w:val="nil"/>
              <w:left w:val="nil"/>
              <w:bottom w:val="single" w:color="000000" w:sz="4" w:space="0"/>
              <w:right w:val="single" w:color="000000" w:sz="4" w:space="0"/>
            </w:tcBorders>
            <w:noWrap w:val="0"/>
            <w:vAlign w:val="center"/>
          </w:tcPr>
          <w:p w14:paraId="2CFC1598">
            <w:pPr>
              <w:widowControl/>
              <w:jc w:val="left"/>
              <w:rPr>
                <w:rFonts w:hint="eastAsia" w:ascii="宋体" w:hAnsi="宋体" w:cs="宋体"/>
                <w:color w:val="000000"/>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2468ED78">
            <w:pPr>
              <w:widowControl/>
              <w:jc w:val="left"/>
              <w:rPr>
                <w:rFonts w:hint="eastAsia" w:ascii="宋体" w:hAnsi="宋体" w:cs="宋体"/>
                <w:color w:val="000000"/>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604843F0">
            <w:pPr>
              <w:widowControl/>
              <w:jc w:val="center"/>
              <w:rPr>
                <w:rFonts w:hint="eastAsia" w:ascii="宋体" w:hAnsi="宋体" w:cs="宋体"/>
                <w:color w:val="000000"/>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5EE1ED59">
            <w:pPr>
              <w:widowControl/>
              <w:jc w:val="center"/>
              <w:rPr>
                <w:rFonts w:hint="eastAsia" w:ascii="宋体" w:hAnsi="宋体" w:cs="宋体"/>
                <w:color w:val="000000"/>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62203F1F">
            <w:pPr>
              <w:widowControl/>
              <w:jc w:val="center"/>
              <w:rPr>
                <w:rFonts w:hint="eastAsia" w:ascii="宋体" w:hAnsi="宋体" w:cs="宋体"/>
                <w:color w:val="000000"/>
                <w:kern w:val="0"/>
                <w:szCs w:val="21"/>
                <w:highlight w:val="none"/>
              </w:rPr>
            </w:pPr>
          </w:p>
        </w:tc>
      </w:tr>
      <w:tr w14:paraId="2FA0D687">
        <w:tblPrEx>
          <w:tblCellMar>
            <w:top w:w="0" w:type="dxa"/>
            <w:left w:w="108" w:type="dxa"/>
            <w:bottom w:w="0" w:type="dxa"/>
            <w:right w:w="108" w:type="dxa"/>
          </w:tblCellMar>
        </w:tblPrEx>
        <w:trPr>
          <w:wBefore w:w="0" w:type="auto"/>
          <w:wAfter w:w="0" w:type="auto"/>
          <w:trHeight w:val="340" w:hRule="atLeast"/>
        </w:trPr>
        <w:tc>
          <w:tcPr>
            <w:tcW w:w="1023" w:type="dxa"/>
            <w:vMerge w:val="continue"/>
            <w:tcBorders>
              <w:top w:val="nil"/>
              <w:left w:val="single" w:color="000000" w:sz="4" w:space="0"/>
              <w:bottom w:val="single" w:color="000000" w:sz="4" w:space="0"/>
              <w:right w:val="single" w:color="000000" w:sz="4" w:space="0"/>
            </w:tcBorders>
            <w:noWrap w:val="0"/>
            <w:vAlign w:val="center"/>
          </w:tcPr>
          <w:p w14:paraId="5ED094BE">
            <w:pPr>
              <w:widowControl/>
              <w:jc w:val="left"/>
              <w:rPr>
                <w:rFonts w:hint="eastAsia" w:ascii="宋体" w:hAnsi="宋体" w:cs="宋体"/>
                <w:bCs/>
                <w:color w:val="000000"/>
                <w:kern w:val="0"/>
                <w:szCs w:val="21"/>
                <w:highlight w:val="none"/>
              </w:rPr>
            </w:pPr>
          </w:p>
        </w:tc>
        <w:tc>
          <w:tcPr>
            <w:tcW w:w="1372" w:type="dxa"/>
            <w:vMerge w:val="continue"/>
            <w:tcBorders>
              <w:top w:val="nil"/>
              <w:left w:val="nil"/>
              <w:bottom w:val="single" w:color="000000" w:sz="4" w:space="0"/>
              <w:right w:val="single" w:color="000000" w:sz="4" w:space="0"/>
            </w:tcBorders>
            <w:noWrap w:val="0"/>
            <w:vAlign w:val="center"/>
          </w:tcPr>
          <w:p w14:paraId="3BE3B85C">
            <w:pPr>
              <w:widowControl/>
              <w:jc w:val="left"/>
              <w:rPr>
                <w:rFonts w:hint="eastAsia" w:ascii="宋体" w:hAnsi="宋体" w:cs="宋体"/>
                <w:color w:val="000000"/>
                <w:kern w:val="0"/>
                <w:szCs w:val="21"/>
                <w:highlight w:val="none"/>
              </w:rPr>
            </w:pPr>
          </w:p>
        </w:tc>
        <w:tc>
          <w:tcPr>
            <w:tcW w:w="2173" w:type="dxa"/>
            <w:tcBorders>
              <w:top w:val="single" w:color="000000" w:sz="4" w:space="0"/>
              <w:left w:val="nil"/>
              <w:bottom w:val="single" w:color="000000" w:sz="4" w:space="0"/>
              <w:right w:val="single" w:color="000000" w:sz="4" w:space="0"/>
            </w:tcBorders>
            <w:noWrap w:val="0"/>
            <w:vAlign w:val="center"/>
          </w:tcPr>
          <w:p w14:paraId="046C102D">
            <w:pPr>
              <w:widowControl/>
              <w:jc w:val="left"/>
              <w:rPr>
                <w:rFonts w:hint="eastAsia" w:ascii="宋体" w:hAnsi="宋体" w:cs="宋体"/>
                <w:color w:val="000000"/>
                <w:kern w:val="0"/>
                <w:szCs w:val="21"/>
                <w:highlight w:val="none"/>
              </w:rPr>
            </w:pPr>
          </w:p>
        </w:tc>
        <w:tc>
          <w:tcPr>
            <w:tcW w:w="2107" w:type="dxa"/>
            <w:tcBorders>
              <w:top w:val="single" w:color="000000" w:sz="4" w:space="0"/>
              <w:left w:val="nil"/>
              <w:bottom w:val="single" w:color="000000" w:sz="4" w:space="0"/>
              <w:right w:val="single" w:color="000000" w:sz="4" w:space="0"/>
            </w:tcBorders>
            <w:noWrap w:val="0"/>
            <w:vAlign w:val="top"/>
          </w:tcPr>
          <w:p w14:paraId="5ADDE818">
            <w:pPr>
              <w:widowControl/>
              <w:jc w:val="center"/>
              <w:rPr>
                <w:rFonts w:hint="eastAsia" w:ascii="宋体" w:hAnsi="宋体" w:cs="宋体"/>
                <w:color w:val="000000"/>
                <w:kern w:val="0"/>
                <w:szCs w:val="21"/>
                <w:highlight w:val="none"/>
              </w:rPr>
            </w:pPr>
          </w:p>
        </w:tc>
        <w:tc>
          <w:tcPr>
            <w:tcW w:w="1845" w:type="dxa"/>
            <w:tcBorders>
              <w:top w:val="single" w:color="000000" w:sz="4" w:space="0"/>
              <w:left w:val="nil"/>
              <w:bottom w:val="single" w:color="000000" w:sz="4" w:space="0"/>
              <w:right w:val="single" w:color="000000" w:sz="4" w:space="0"/>
            </w:tcBorders>
            <w:noWrap w:val="0"/>
            <w:vAlign w:val="top"/>
          </w:tcPr>
          <w:p w14:paraId="1C117E6D">
            <w:pPr>
              <w:widowControl/>
              <w:jc w:val="center"/>
              <w:rPr>
                <w:rFonts w:hint="eastAsia" w:ascii="宋体" w:hAnsi="宋体" w:cs="宋体"/>
                <w:color w:val="000000"/>
                <w:kern w:val="0"/>
                <w:szCs w:val="21"/>
                <w:highlight w:val="none"/>
              </w:rPr>
            </w:pPr>
          </w:p>
        </w:tc>
        <w:tc>
          <w:tcPr>
            <w:tcW w:w="1418" w:type="dxa"/>
            <w:tcBorders>
              <w:top w:val="single" w:color="000000" w:sz="4" w:space="0"/>
              <w:left w:val="nil"/>
              <w:bottom w:val="single" w:color="000000" w:sz="4" w:space="0"/>
              <w:right w:val="single" w:color="000000" w:sz="4" w:space="0"/>
            </w:tcBorders>
            <w:noWrap w:val="0"/>
            <w:vAlign w:val="top"/>
          </w:tcPr>
          <w:p w14:paraId="6E31E310">
            <w:pPr>
              <w:widowControl/>
              <w:jc w:val="center"/>
              <w:rPr>
                <w:rFonts w:hint="eastAsia" w:ascii="宋体" w:hAnsi="宋体" w:cs="宋体"/>
                <w:color w:val="000000"/>
                <w:kern w:val="0"/>
                <w:szCs w:val="21"/>
                <w:highlight w:val="none"/>
              </w:rPr>
            </w:pPr>
          </w:p>
        </w:tc>
      </w:tr>
    </w:tbl>
    <w:p w14:paraId="7E14FEFE">
      <w:pPr>
        <w:rPr>
          <w:rFonts w:hint="eastAsia" w:ascii="宋体" w:hAnsi="宋体" w:cs="宋体"/>
          <w:color w:val="000000"/>
          <w:szCs w:val="21"/>
          <w:highlight w:val="none"/>
        </w:rPr>
      </w:pPr>
      <w:r>
        <w:rPr>
          <w:rFonts w:hint="eastAsia" w:ascii="宋体" w:hAnsi="宋体" w:cs="宋体"/>
          <w:color w:val="000000"/>
          <w:szCs w:val="21"/>
          <w:highlight w:val="none"/>
        </w:rPr>
        <w:t>投标人保证：投标人须逐条响应招标文件第三章采购需求4.2技术要求表的全部要求。</w:t>
      </w:r>
    </w:p>
    <w:p w14:paraId="6817D474">
      <w:pPr>
        <w:widowControl/>
        <w:spacing w:line="360" w:lineRule="exact"/>
        <w:ind w:firstLine="470" w:firstLineChars="196"/>
        <w:rPr>
          <w:rFonts w:hint="eastAsia" w:ascii="宋体" w:hAnsi="宋体" w:cs="宋体"/>
          <w:color w:val="000000"/>
          <w:kern w:val="0"/>
          <w:sz w:val="24"/>
          <w:highlight w:val="none"/>
        </w:rPr>
      </w:pPr>
      <w:r>
        <w:rPr>
          <w:rFonts w:hint="eastAsia" w:ascii="宋体" w:hAnsi="宋体" w:cs="宋体"/>
          <w:color w:val="000000"/>
          <w:kern w:val="0"/>
          <w:sz w:val="24"/>
          <w:highlight w:val="none"/>
        </w:rPr>
        <w:t xml:space="preserve"> </w:t>
      </w:r>
    </w:p>
    <w:p w14:paraId="009EB379">
      <w:pPr>
        <w:widowControl/>
        <w:spacing w:line="360" w:lineRule="exact"/>
        <w:ind w:firstLine="470" w:firstLineChars="196"/>
        <w:rPr>
          <w:rFonts w:hint="eastAsia" w:ascii="宋体" w:hAnsi="宋体" w:cs="宋体"/>
          <w:color w:val="000000"/>
          <w:kern w:val="0"/>
          <w:sz w:val="24"/>
          <w:highlight w:val="none"/>
        </w:rPr>
      </w:pPr>
    </w:p>
    <w:p w14:paraId="049DB323">
      <w:pPr>
        <w:pStyle w:val="4"/>
        <w:jc w:val="center"/>
        <w:rPr>
          <w:rStyle w:val="106"/>
          <w:rFonts w:hint="eastAsia" w:ascii="宋体" w:hAnsi="宋体" w:eastAsia="宋体" w:cs="宋体"/>
          <w:b/>
          <w:color w:val="000000"/>
          <w:sz w:val="24"/>
          <w:szCs w:val="24"/>
          <w:highlight w:val="none"/>
        </w:rPr>
      </w:pPr>
      <w:r>
        <w:rPr>
          <w:rFonts w:hint="eastAsia" w:cs="宋体"/>
          <w:color w:val="000000"/>
          <w:highlight w:val="none"/>
          <w:lang w:eastAsia="zh-CN"/>
        </w:rPr>
        <w:br w:type="page"/>
      </w:r>
      <w:r>
        <w:rPr>
          <w:rFonts w:hint="eastAsia" w:cs="宋体"/>
          <w:color w:val="000000"/>
          <w:sz w:val="24"/>
          <w:highlight w:val="none"/>
          <w:lang w:eastAsia="zh-CN"/>
        </w:rPr>
        <w:t>（三）</w:t>
      </w:r>
      <w:r>
        <w:rPr>
          <w:rStyle w:val="106"/>
          <w:rFonts w:hint="eastAsia" w:ascii="宋体" w:hAnsi="宋体" w:eastAsia="宋体" w:cs="宋体"/>
          <w:b/>
          <w:color w:val="000000"/>
          <w:sz w:val="24"/>
          <w:szCs w:val="24"/>
          <w:highlight w:val="none"/>
        </w:rPr>
        <w:t>技术响应资料</w:t>
      </w:r>
    </w:p>
    <w:p w14:paraId="35E06841">
      <w:pPr>
        <w:widowControl/>
        <w:jc w:val="left"/>
        <w:rPr>
          <w:rFonts w:hint="eastAsia" w:ascii="宋体" w:hAnsi="宋体" w:cs="宋体"/>
          <w:color w:val="000000"/>
          <w:highlight w:val="none"/>
        </w:rPr>
      </w:pPr>
    </w:p>
    <w:p w14:paraId="3AD2E230">
      <w:pPr>
        <w:pStyle w:val="5"/>
        <w:keepNext w:val="0"/>
        <w:tabs>
          <w:tab w:val="left" w:pos="1260"/>
        </w:tabs>
        <w:jc w:val="center"/>
        <w:rPr>
          <w:rFonts w:hint="eastAsia" w:cs="宋体"/>
          <w:b w:val="0"/>
          <w:bCs w:val="0"/>
          <w:color w:val="000000"/>
          <w:sz w:val="24"/>
          <w:highlight w:val="none"/>
          <w:lang w:eastAsia="zh-CN"/>
        </w:rPr>
      </w:pPr>
      <w:r>
        <w:rPr>
          <w:rFonts w:hint="eastAsia" w:ascii="宋体" w:hAnsi="宋体" w:cs="宋体"/>
          <w:color w:val="000000"/>
          <w:sz w:val="24"/>
          <w:highlight w:val="none"/>
          <w:lang w:eastAsia="zh-CN"/>
        </w:rPr>
        <w:t>1.货物（服务）主要技术指标和性能的详细说明</w:t>
      </w:r>
    </w:p>
    <w:tbl>
      <w:tblPr>
        <w:tblStyle w:val="47"/>
        <w:tblW w:w="9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701"/>
        <w:gridCol w:w="1134"/>
        <w:gridCol w:w="1984"/>
        <w:gridCol w:w="2269"/>
        <w:gridCol w:w="1135"/>
      </w:tblGrid>
      <w:tr w14:paraId="267DA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84" w:hRule="atLeast"/>
        </w:trPr>
        <w:tc>
          <w:tcPr>
            <w:tcW w:w="1384" w:type="dxa"/>
            <w:noWrap w:val="0"/>
            <w:vAlign w:val="center"/>
          </w:tcPr>
          <w:p w14:paraId="4DF7328E">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货物名称</w:t>
            </w:r>
          </w:p>
        </w:tc>
        <w:tc>
          <w:tcPr>
            <w:tcW w:w="1701" w:type="dxa"/>
            <w:noWrap w:val="0"/>
            <w:vAlign w:val="center"/>
          </w:tcPr>
          <w:p w14:paraId="4F049485">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主要部件或功能配置名称</w:t>
            </w:r>
          </w:p>
        </w:tc>
        <w:tc>
          <w:tcPr>
            <w:tcW w:w="1134" w:type="dxa"/>
            <w:noWrap w:val="0"/>
            <w:vAlign w:val="center"/>
          </w:tcPr>
          <w:p w14:paraId="6D54DA3C">
            <w:pPr>
              <w:widowControl/>
              <w:jc w:val="center"/>
              <w:rPr>
                <w:rFonts w:hint="eastAsia" w:ascii="宋体" w:hAnsi="宋体" w:cs="宋体"/>
                <w:b/>
                <w:color w:val="000000"/>
                <w:szCs w:val="21"/>
                <w:highlight w:val="none"/>
              </w:rPr>
            </w:pPr>
            <w:r>
              <w:rPr>
                <w:rFonts w:hint="eastAsia" w:ascii="宋体" w:hAnsi="宋体" w:cs="宋体"/>
                <w:b/>
                <w:color w:val="000000"/>
                <w:szCs w:val="21"/>
                <w:highlight w:val="none"/>
              </w:rPr>
              <w:t>规格/型号</w:t>
            </w:r>
          </w:p>
        </w:tc>
        <w:tc>
          <w:tcPr>
            <w:tcW w:w="1984" w:type="dxa"/>
            <w:noWrap w:val="0"/>
            <w:vAlign w:val="center"/>
          </w:tcPr>
          <w:p w14:paraId="5BF29538">
            <w:pPr>
              <w:widowControl/>
              <w:jc w:val="center"/>
              <w:rPr>
                <w:rFonts w:hint="eastAsia" w:ascii="宋体" w:hAnsi="宋体" w:cs="宋体"/>
                <w:b/>
                <w:color w:val="000000"/>
                <w:szCs w:val="21"/>
                <w:highlight w:val="none"/>
              </w:rPr>
            </w:pPr>
            <w:r>
              <w:rPr>
                <w:rFonts w:hint="eastAsia" w:ascii="宋体" w:hAnsi="宋体" w:cs="宋体"/>
                <w:b/>
                <w:color w:val="000000"/>
                <w:szCs w:val="21"/>
                <w:highlight w:val="none"/>
              </w:rPr>
              <w:t>产地、品牌及制造商名称</w:t>
            </w:r>
          </w:p>
        </w:tc>
        <w:tc>
          <w:tcPr>
            <w:tcW w:w="2269" w:type="dxa"/>
            <w:noWrap w:val="0"/>
            <w:vAlign w:val="center"/>
          </w:tcPr>
          <w:p w14:paraId="22AB658C">
            <w:pPr>
              <w:widowControl/>
              <w:jc w:val="center"/>
              <w:rPr>
                <w:rFonts w:hint="eastAsia" w:ascii="宋体" w:hAnsi="宋体" w:cs="宋体"/>
                <w:b/>
                <w:color w:val="000000"/>
                <w:szCs w:val="21"/>
                <w:highlight w:val="none"/>
              </w:rPr>
            </w:pPr>
            <w:r>
              <w:rPr>
                <w:rFonts w:hint="eastAsia" w:ascii="宋体" w:hAnsi="宋体" w:cs="宋体"/>
                <w:b/>
                <w:color w:val="000000"/>
                <w:szCs w:val="21"/>
                <w:highlight w:val="none"/>
              </w:rPr>
              <w:t>主要技术指标及功能描述</w:t>
            </w:r>
          </w:p>
        </w:tc>
        <w:tc>
          <w:tcPr>
            <w:tcW w:w="1135" w:type="dxa"/>
            <w:noWrap w:val="0"/>
            <w:vAlign w:val="center"/>
          </w:tcPr>
          <w:p w14:paraId="2A7A9F25">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备注</w:t>
            </w:r>
          </w:p>
        </w:tc>
      </w:tr>
      <w:tr w14:paraId="73C37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84" w:hRule="atLeast"/>
        </w:trPr>
        <w:tc>
          <w:tcPr>
            <w:tcW w:w="1384" w:type="dxa"/>
            <w:vMerge w:val="restart"/>
            <w:noWrap w:val="0"/>
            <w:vAlign w:val="center"/>
          </w:tcPr>
          <w:p w14:paraId="4AA13A43">
            <w:pPr>
              <w:widowControl/>
              <w:rPr>
                <w:rFonts w:hint="eastAsia" w:ascii="宋体" w:hAnsi="宋体" w:cs="宋体"/>
                <w:color w:val="000000"/>
                <w:kern w:val="0"/>
                <w:szCs w:val="21"/>
                <w:highlight w:val="none"/>
              </w:rPr>
            </w:pPr>
          </w:p>
        </w:tc>
        <w:tc>
          <w:tcPr>
            <w:tcW w:w="1701" w:type="dxa"/>
            <w:noWrap w:val="0"/>
            <w:vAlign w:val="top"/>
          </w:tcPr>
          <w:p w14:paraId="4924C0B0">
            <w:pPr>
              <w:widowControl/>
              <w:jc w:val="center"/>
              <w:rPr>
                <w:rFonts w:hint="eastAsia" w:ascii="宋体" w:hAnsi="宋体" w:cs="宋体"/>
                <w:b/>
                <w:color w:val="000000"/>
                <w:szCs w:val="21"/>
                <w:highlight w:val="none"/>
              </w:rPr>
            </w:pPr>
          </w:p>
        </w:tc>
        <w:tc>
          <w:tcPr>
            <w:tcW w:w="1134" w:type="dxa"/>
            <w:noWrap w:val="0"/>
            <w:vAlign w:val="center"/>
          </w:tcPr>
          <w:p w14:paraId="30A7AB70">
            <w:pPr>
              <w:widowControl/>
              <w:jc w:val="center"/>
              <w:rPr>
                <w:rFonts w:hint="eastAsia" w:ascii="宋体" w:hAnsi="宋体" w:cs="宋体"/>
                <w:b/>
                <w:color w:val="000000"/>
                <w:szCs w:val="21"/>
                <w:highlight w:val="none"/>
              </w:rPr>
            </w:pPr>
          </w:p>
        </w:tc>
        <w:tc>
          <w:tcPr>
            <w:tcW w:w="1984" w:type="dxa"/>
            <w:noWrap w:val="0"/>
            <w:vAlign w:val="center"/>
          </w:tcPr>
          <w:p w14:paraId="247696E1">
            <w:pPr>
              <w:widowControl/>
              <w:jc w:val="center"/>
              <w:rPr>
                <w:rFonts w:hint="eastAsia" w:ascii="宋体" w:hAnsi="宋体" w:cs="宋体"/>
                <w:b/>
                <w:color w:val="000000"/>
                <w:szCs w:val="21"/>
                <w:highlight w:val="none"/>
              </w:rPr>
            </w:pPr>
          </w:p>
        </w:tc>
        <w:tc>
          <w:tcPr>
            <w:tcW w:w="2269" w:type="dxa"/>
            <w:noWrap w:val="0"/>
            <w:vAlign w:val="top"/>
          </w:tcPr>
          <w:p w14:paraId="320FB28F">
            <w:pPr>
              <w:widowControl/>
              <w:jc w:val="center"/>
              <w:rPr>
                <w:rFonts w:hint="eastAsia" w:ascii="宋体" w:hAnsi="宋体" w:cs="宋体"/>
                <w:color w:val="000000"/>
                <w:kern w:val="0"/>
                <w:szCs w:val="21"/>
                <w:highlight w:val="none"/>
              </w:rPr>
            </w:pPr>
          </w:p>
        </w:tc>
        <w:tc>
          <w:tcPr>
            <w:tcW w:w="1135" w:type="dxa"/>
            <w:noWrap w:val="0"/>
            <w:vAlign w:val="center"/>
          </w:tcPr>
          <w:p w14:paraId="20A9EE5A">
            <w:pPr>
              <w:widowControl/>
              <w:jc w:val="center"/>
              <w:rPr>
                <w:rFonts w:hint="eastAsia" w:ascii="宋体" w:hAnsi="宋体" w:cs="宋体"/>
                <w:color w:val="000000"/>
                <w:kern w:val="0"/>
                <w:szCs w:val="21"/>
                <w:highlight w:val="none"/>
              </w:rPr>
            </w:pPr>
          </w:p>
        </w:tc>
      </w:tr>
      <w:tr w14:paraId="5C560C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84" w:hRule="atLeast"/>
        </w:trPr>
        <w:tc>
          <w:tcPr>
            <w:tcW w:w="1384" w:type="dxa"/>
            <w:vMerge w:val="continue"/>
            <w:noWrap w:val="0"/>
            <w:vAlign w:val="center"/>
          </w:tcPr>
          <w:p w14:paraId="126485C8">
            <w:pPr>
              <w:widowControl/>
              <w:rPr>
                <w:rFonts w:hint="eastAsia" w:ascii="宋体" w:hAnsi="宋体" w:cs="宋体"/>
                <w:color w:val="000000"/>
                <w:kern w:val="0"/>
                <w:szCs w:val="21"/>
                <w:highlight w:val="none"/>
              </w:rPr>
            </w:pPr>
          </w:p>
        </w:tc>
        <w:tc>
          <w:tcPr>
            <w:tcW w:w="1701" w:type="dxa"/>
            <w:noWrap w:val="0"/>
            <w:vAlign w:val="top"/>
          </w:tcPr>
          <w:p w14:paraId="07F15573">
            <w:pPr>
              <w:widowControl/>
              <w:jc w:val="center"/>
              <w:rPr>
                <w:rFonts w:hint="eastAsia" w:ascii="宋体" w:hAnsi="宋体" w:cs="宋体"/>
                <w:b/>
                <w:color w:val="000000"/>
                <w:szCs w:val="21"/>
                <w:highlight w:val="none"/>
              </w:rPr>
            </w:pPr>
          </w:p>
        </w:tc>
        <w:tc>
          <w:tcPr>
            <w:tcW w:w="1134" w:type="dxa"/>
            <w:noWrap w:val="0"/>
            <w:vAlign w:val="center"/>
          </w:tcPr>
          <w:p w14:paraId="03D11598">
            <w:pPr>
              <w:widowControl/>
              <w:jc w:val="center"/>
              <w:rPr>
                <w:rFonts w:hint="eastAsia" w:ascii="宋体" w:hAnsi="宋体" w:cs="宋体"/>
                <w:b/>
                <w:color w:val="000000"/>
                <w:szCs w:val="21"/>
                <w:highlight w:val="none"/>
              </w:rPr>
            </w:pPr>
          </w:p>
        </w:tc>
        <w:tc>
          <w:tcPr>
            <w:tcW w:w="1984" w:type="dxa"/>
            <w:noWrap w:val="0"/>
            <w:vAlign w:val="center"/>
          </w:tcPr>
          <w:p w14:paraId="355239DB">
            <w:pPr>
              <w:widowControl/>
              <w:jc w:val="center"/>
              <w:rPr>
                <w:rFonts w:hint="eastAsia" w:ascii="宋体" w:hAnsi="宋体" w:cs="宋体"/>
                <w:color w:val="000000"/>
                <w:kern w:val="0"/>
                <w:szCs w:val="21"/>
                <w:highlight w:val="none"/>
              </w:rPr>
            </w:pPr>
          </w:p>
        </w:tc>
        <w:tc>
          <w:tcPr>
            <w:tcW w:w="2269" w:type="dxa"/>
            <w:noWrap w:val="0"/>
            <w:vAlign w:val="top"/>
          </w:tcPr>
          <w:p w14:paraId="35B0F59C">
            <w:pPr>
              <w:widowControl/>
              <w:jc w:val="center"/>
              <w:rPr>
                <w:rFonts w:hint="eastAsia" w:ascii="宋体" w:hAnsi="宋体" w:cs="宋体"/>
                <w:color w:val="000000"/>
                <w:kern w:val="0"/>
                <w:szCs w:val="21"/>
                <w:highlight w:val="none"/>
              </w:rPr>
            </w:pPr>
          </w:p>
        </w:tc>
        <w:tc>
          <w:tcPr>
            <w:tcW w:w="1135" w:type="dxa"/>
            <w:noWrap w:val="0"/>
            <w:vAlign w:val="center"/>
          </w:tcPr>
          <w:p w14:paraId="63104ED4">
            <w:pPr>
              <w:widowControl/>
              <w:jc w:val="center"/>
              <w:rPr>
                <w:rFonts w:hint="eastAsia" w:ascii="宋体" w:hAnsi="宋体" w:cs="宋体"/>
                <w:color w:val="000000"/>
                <w:kern w:val="0"/>
                <w:szCs w:val="21"/>
                <w:highlight w:val="none"/>
              </w:rPr>
            </w:pPr>
          </w:p>
        </w:tc>
      </w:tr>
      <w:tr w14:paraId="6DE46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84" w:hRule="atLeast"/>
        </w:trPr>
        <w:tc>
          <w:tcPr>
            <w:tcW w:w="1384" w:type="dxa"/>
            <w:vMerge w:val="continue"/>
            <w:noWrap w:val="0"/>
            <w:vAlign w:val="center"/>
          </w:tcPr>
          <w:p w14:paraId="01D00BB0">
            <w:pPr>
              <w:widowControl/>
              <w:rPr>
                <w:rFonts w:hint="eastAsia" w:ascii="宋体" w:hAnsi="宋体" w:cs="宋体"/>
                <w:color w:val="000000"/>
                <w:kern w:val="0"/>
                <w:szCs w:val="21"/>
                <w:highlight w:val="none"/>
              </w:rPr>
            </w:pPr>
          </w:p>
        </w:tc>
        <w:tc>
          <w:tcPr>
            <w:tcW w:w="1701" w:type="dxa"/>
            <w:noWrap w:val="0"/>
            <w:vAlign w:val="top"/>
          </w:tcPr>
          <w:p w14:paraId="70AA672E">
            <w:pPr>
              <w:widowControl/>
              <w:jc w:val="center"/>
              <w:rPr>
                <w:rFonts w:hint="eastAsia" w:ascii="宋体" w:hAnsi="宋体" w:cs="宋体"/>
                <w:color w:val="000000"/>
                <w:kern w:val="0"/>
                <w:szCs w:val="21"/>
                <w:highlight w:val="none"/>
              </w:rPr>
            </w:pPr>
          </w:p>
        </w:tc>
        <w:tc>
          <w:tcPr>
            <w:tcW w:w="1134" w:type="dxa"/>
            <w:noWrap w:val="0"/>
            <w:vAlign w:val="center"/>
          </w:tcPr>
          <w:p w14:paraId="7E2B3622">
            <w:pPr>
              <w:widowControl/>
              <w:jc w:val="center"/>
              <w:rPr>
                <w:rFonts w:hint="eastAsia" w:ascii="宋体" w:hAnsi="宋体" w:cs="宋体"/>
                <w:color w:val="000000"/>
                <w:kern w:val="0"/>
                <w:szCs w:val="21"/>
                <w:highlight w:val="none"/>
              </w:rPr>
            </w:pPr>
          </w:p>
        </w:tc>
        <w:tc>
          <w:tcPr>
            <w:tcW w:w="1984" w:type="dxa"/>
            <w:noWrap w:val="0"/>
            <w:vAlign w:val="center"/>
          </w:tcPr>
          <w:p w14:paraId="505D40F2">
            <w:pPr>
              <w:widowControl/>
              <w:jc w:val="center"/>
              <w:rPr>
                <w:rFonts w:hint="eastAsia" w:ascii="宋体" w:hAnsi="宋体" w:cs="宋体"/>
                <w:color w:val="000000"/>
                <w:kern w:val="0"/>
                <w:szCs w:val="21"/>
                <w:highlight w:val="none"/>
              </w:rPr>
            </w:pPr>
          </w:p>
        </w:tc>
        <w:tc>
          <w:tcPr>
            <w:tcW w:w="2269" w:type="dxa"/>
            <w:noWrap w:val="0"/>
            <w:vAlign w:val="top"/>
          </w:tcPr>
          <w:p w14:paraId="204BCE80">
            <w:pPr>
              <w:widowControl/>
              <w:jc w:val="center"/>
              <w:rPr>
                <w:rFonts w:hint="eastAsia" w:ascii="宋体" w:hAnsi="宋体" w:cs="宋体"/>
                <w:color w:val="000000"/>
                <w:kern w:val="0"/>
                <w:szCs w:val="21"/>
                <w:highlight w:val="none"/>
              </w:rPr>
            </w:pPr>
          </w:p>
        </w:tc>
        <w:tc>
          <w:tcPr>
            <w:tcW w:w="1135" w:type="dxa"/>
            <w:noWrap w:val="0"/>
            <w:vAlign w:val="center"/>
          </w:tcPr>
          <w:p w14:paraId="3C05AE6F">
            <w:pPr>
              <w:widowControl/>
              <w:jc w:val="center"/>
              <w:rPr>
                <w:rFonts w:hint="eastAsia" w:ascii="宋体" w:hAnsi="宋体" w:cs="宋体"/>
                <w:color w:val="000000"/>
                <w:kern w:val="0"/>
                <w:szCs w:val="21"/>
                <w:highlight w:val="none"/>
              </w:rPr>
            </w:pPr>
          </w:p>
        </w:tc>
      </w:tr>
      <w:tr w14:paraId="0C2C4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84" w:hRule="atLeast"/>
        </w:trPr>
        <w:tc>
          <w:tcPr>
            <w:tcW w:w="1384" w:type="dxa"/>
            <w:vMerge w:val="restart"/>
            <w:noWrap w:val="0"/>
            <w:vAlign w:val="center"/>
          </w:tcPr>
          <w:p w14:paraId="11D94F2F">
            <w:pPr>
              <w:widowControl/>
              <w:rPr>
                <w:rFonts w:hint="eastAsia" w:ascii="宋体" w:hAnsi="宋体" w:cs="宋体"/>
                <w:color w:val="000000"/>
                <w:kern w:val="0"/>
                <w:szCs w:val="21"/>
                <w:highlight w:val="none"/>
              </w:rPr>
            </w:pPr>
          </w:p>
        </w:tc>
        <w:tc>
          <w:tcPr>
            <w:tcW w:w="1701" w:type="dxa"/>
            <w:noWrap w:val="0"/>
            <w:vAlign w:val="top"/>
          </w:tcPr>
          <w:p w14:paraId="6F2236F0">
            <w:pPr>
              <w:widowControl/>
              <w:jc w:val="center"/>
              <w:rPr>
                <w:rFonts w:hint="eastAsia" w:ascii="宋体" w:hAnsi="宋体" w:cs="宋体"/>
                <w:color w:val="000000"/>
                <w:kern w:val="0"/>
                <w:szCs w:val="21"/>
                <w:highlight w:val="none"/>
              </w:rPr>
            </w:pPr>
          </w:p>
        </w:tc>
        <w:tc>
          <w:tcPr>
            <w:tcW w:w="1134" w:type="dxa"/>
            <w:noWrap w:val="0"/>
            <w:vAlign w:val="center"/>
          </w:tcPr>
          <w:p w14:paraId="42994937">
            <w:pPr>
              <w:widowControl/>
              <w:jc w:val="center"/>
              <w:rPr>
                <w:rFonts w:hint="eastAsia" w:ascii="宋体" w:hAnsi="宋体" w:cs="宋体"/>
                <w:color w:val="000000"/>
                <w:kern w:val="0"/>
                <w:szCs w:val="21"/>
                <w:highlight w:val="none"/>
              </w:rPr>
            </w:pPr>
          </w:p>
        </w:tc>
        <w:tc>
          <w:tcPr>
            <w:tcW w:w="1984" w:type="dxa"/>
            <w:noWrap w:val="0"/>
            <w:vAlign w:val="center"/>
          </w:tcPr>
          <w:p w14:paraId="14CBDDDD">
            <w:pPr>
              <w:widowControl/>
              <w:jc w:val="center"/>
              <w:rPr>
                <w:rFonts w:hint="eastAsia" w:ascii="宋体" w:hAnsi="宋体" w:cs="宋体"/>
                <w:color w:val="000000"/>
                <w:kern w:val="0"/>
                <w:szCs w:val="21"/>
                <w:highlight w:val="none"/>
              </w:rPr>
            </w:pPr>
          </w:p>
        </w:tc>
        <w:tc>
          <w:tcPr>
            <w:tcW w:w="2269" w:type="dxa"/>
            <w:noWrap w:val="0"/>
            <w:vAlign w:val="top"/>
          </w:tcPr>
          <w:p w14:paraId="3741530B">
            <w:pPr>
              <w:widowControl/>
              <w:jc w:val="center"/>
              <w:rPr>
                <w:rFonts w:hint="eastAsia" w:ascii="宋体" w:hAnsi="宋体" w:cs="宋体"/>
                <w:color w:val="000000"/>
                <w:kern w:val="0"/>
                <w:szCs w:val="21"/>
                <w:highlight w:val="none"/>
              </w:rPr>
            </w:pPr>
          </w:p>
        </w:tc>
        <w:tc>
          <w:tcPr>
            <w:tcW w:w="1135" w:type="dxa"/>
            <w:noWrap w:val="0"/>
            <w:vAlign w:val="center"/>
          </w:tcPr>
          <w:p w14:paraId="29F733AA">
            <w:pPr>
              <w:widowControl/>
              <w:jc w:val="center"/>
              <w:rPr>
                <w:rFonts w:hint="eastAsia" w:ascii="宋体" w:hAnsi="宋体" w:cs="宋体"/>
                <w:color w:val="000000"/>
                <w:kern w:val="0"/>
                <w:szCs w:val="21"/>
                <w:highlight w:val="none"/>
              </w:rPr>
            </w:pPr>
          </w:p>
        </w:tc>
      </w:tr>
      <w:tr w14:paraId="205FE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84" w:hRule="atLeast"/>
        </w:trPr>
        <w:tc>
          <w:tcPr>
            <w:tcW w:w="1384" w:type="dxa"/>
            <w:vMerge w:val="continue"/>
            <w:noWrap w:val="0"/>
            <w:vAlign w:val="center"/>
          </w:tcPr>
          <w:p w14:paraId="1ED904BB">
            <w:pPr>
              <w:widowControl/>
              <w:rPr>
                <w:rFonts w:hint="eastAsia" w:ascii="宋体" w:hAnsi="宋体" w:cs="宋体"/>
                <w:color w:val="000000"/>
                <w:kern w:val="0"/>
                <w:szCs w:val="21"/>
                <w:highlight w:val="none"/>
              </w:rPr>
            </w:pPr>
          </w:p>
        </w:tc>
        <w:tc>
          <w:tcPr>
            <w:tcW w:w="1701" w:type="dxa"/>
            <w:noWrap w:val="0"/>
            <w:vAlign w:val="top"/>
          </w:tcPr>
          <w:p w14:paraId="0C0068E4">
            <w:pPr>
              <w:widowControl/>
              <w:jc w:val="center"/>
              <w:rPr>
                <w:rFonts w:hint="eastAsia" w:ascii="宋体" w:hAnsi="宋体" w:cs="宋体"/>
                <w:color w:val="000000"/>
                <w:kern w:val="0"/>
                <w:szCs w:val="21"/>
                <w:highlight w:val="none"/>
              </w:rPr>
            </w:pPr>
          </w:p>
        </w:tc>
        <w:tc>
          <w:tcPr>
            <w:tcW w:w="1134" w:type="dxa"/>
            <w:noWrap w:val="0"/>
            <w:vAlign w:val="center"/>
          </w:tcPr>
          <w:p w14:paraId="6C96C07D">
            <w:pPr>
              <w:widowControl/>
              <w:jc w:val="center"/>
              <w:rPr>
                <w:rFonts w:hint="eastAsia" w:ascii="宋体" w:hAnsi="宋体" w:cs="宋体"/>
                <w:color w:val="000000"/>
                <w:kern w:val="0"/>
                <w:szCs w:val="21"/>
                <w:highlight w:val="none"/>
              </w:rPr>
            </w:pPr>
          </w:p>
        </w:tc>
        <w:tc>
          <w:tcPr>
            <w:tcW w:w="1984" w:type="dxa"/>
            <w:noWrap w:val="0"/>
            <w:vAlign w:val="center"/>
          </w:tcPr>
          <w:p w14:paraId="4D1E147A">
            <w:pPr>
              <w:widowControl/>
              <w:jc w:val="center"/>
              <w:rPr>
                <w:rFonts w:hint="eastAsia" w:ascii="宋体" w:hAnsi="宋体" w:cs="宋体"/>
                <w:color w:val="000000"/>
                <w:kern w:val="0"/>
                <w:szCs w:val="21"/>
                <w:highlight w:val="none"/>
              </w:rPr>
            </w:pPr>
          </w:p>
        </w:tc>
        <w:tc>
          <w:tcPr>
            <w:tcW w:w="2269" w:type="dxa"/>
            <w:noWrap w:val="0"/>
            <w:vAlign w:val="top"/>
          </w:tcPr>
          <w:p w14:paraId="36A572BD">
            <w:pPr>
              <w:widowControl/>
              <w:jc w:val="center"/>
              <w:rPr>
                <w:rFonts w:hint="eastAsia" w:ascii="宋体" w:hAnsi="宋体" w:cs="宋体"/>
                <w:color w:val="000000"/>
                <w:kern w:val="0"/>
                <w:szCs w:val="21"/>
                <w:highlight w:val="none"/>
              </w:rPr>
            </w:pPr>
          </w:p>
        </w:tc>
        <w:tc>
          <w:tcPr>
            <w:tcW w:w="1135" w:type="dxa"/>
            <w:noWrap w:val="0"/>
            <w:vAlign w:val="center"/>
          </w:tcPr>
          <w:p w14:paraId="5EC2FEA6">
            <w:pPr>
              <w:widowControl/>
              <w:jc w:val="center"/>
              <w:rPr>
                <w:rFonts w:hint="eastAsia" w:ascii="宋体" w:hAnsi="宋体" w:cs="宋体"/>
                <w:color w:val="000000"/>
                <w:kern w:val="0"/>
                <w:szCs w:val="21"/>
                <w:highlight w:val="none"/>
              </w:rPr>
            </w:pPr>
          </w:p>
        </w:tc>
      </w:tr>
      <w:tr w14:paraId="1FF3A3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84" w:hRule="atLeast"/>
        </w:trPr>
        <w:tc>
          <w:tcPr>
            <w:tcW w:w="1384" w:type="dxa"/>
            <w:vMerge w:val="continue"/>
            <w:noWrap w:val="0"/>
            <w:vAlign w:val="center"/>
          </w:tcPr>
          <w:p w14:paraId="19D9A67E">
            <w:pPr>
              <w:widowControl/>
              <w:rPr>
                <w:rFonts w:hint="eastAsia" w:ascii="宋体" w:hAnsi="宋体" w:cs="宋体"/>
                <w:color w:val="000000"/>
                <w:kern w:val="0"/>
                <w:szCs w:val="21"/>
                <w:highlight w:val="none"/>
              </w:rPr>
            </w:pPr>
          </w:p>
        </w:tc>
        <w:tc>
          <w:tcPr>
            <w:tcW w:w="1701" w:type="dxa"/>
            <w:noWrap w:val="0"/>
            <w:vAlign w:val="top"/>
          </w:tcPr>
          <w:p w14:paraId="08D84D0B">
            <w:pPr>
              <w:widowControl/>
              <w:jc w:val="center"/>
              <w:rPr>
                <w:rFonts w:hint="eastAsia" w:ascii="宋体" w:hAnsi="宋体" w:cs="宋体"/>
                <w:color w:val="000000"/>
                <w:kern w:val="0"/>
                <w:szCs w:val="21"/>
                <w:highlight w:val="none"/>
              </w:rPr>
            </w:pPr>
          </w:p>
        </w:tc>
        <w:tc>
          <w:tcPr>
            <w:tcW w:w="1134" w:type="dxa"/>
            <w:noWrap w:val="0"/>
            <w:vAlign w:val="center"/>
          </w:tcPr>
          <w:p w14:paraId="171A9624">
            <w:pPr>
              <w:widowControl/>
              <w:jc w:val="center"/>
              <w:rPr>
                <w:rFonts w:hint="eastAsia" w:ascii="宋体" w:hAnsi="宋体" w:cs="宋体"/>
                <w:color w:val="000000"/>
                <w:kern w:val="0"/>
                <w:szCs w:val="21"/>
                <w:highlight w:val="none"/>
              </w:rPr>
            </w:pPr>
          </w:p>
        </w:tc>
        <w:tc>
          <w:tcPr>
            <w:tcW w:w="1984" w:type="dxa"/>
            <w:noWrap w:val="0"/>
            <w:vAlign w:val="center"/>
          </w:tcPr>
          <w:p w14:paraId="63E9D98C">
            <w:pPr>
              <w:widowControl/>
              <w:jc w:val="center"/>
              <w:rPr>
                <w:rFonts w:hint="eastAsia" w:ascii="宋体" w:hAnsi="宋体" w:cs="宋体"/>
                <w:color w:val="000000"/>
                <w:kern w:val="0"/>
                <w:szCs w:val="21"/>
                <w:highlight w:val="none"/>
              </w:rPr>
            </w:pPr>
          </w:p>
        </w:tc>
        <w:tc>
          <w:tcPr>
            <w:tcW w:w="2269" w:type="dxa"/>
            <w:noWrap w:val="0"/>
            <w:vAlign w:val="top"/>
          </w:tcPr>
          <w:p w14:paraId="5A5783B2">
            <w:pPr>
              <w:widowControl/>
              <w:jc w:val="center"/>
              <w:rPr>
                <w:rFonts w:hint="eastAsia" w:ascii="宋体" w:hAnsi="宋体" w:cs="宋体"/>
                <w:color w:val="000000"/>
                <w:kern w:val="0"/>
                <w:szCs w:val="21"/>
                <w:highlight w:val="none"/>
              </w:rPr>
            </w:pPr>
          </w:p>
        </w:tc>
        <w:tc>
          <w:tcPr>
            <w:tcW w:w="1135" w:type="dxa"/>
            <w:noWrap w:val="0"/>
            <w:vAlign w:val="center"/>
          </w:tcPr>
          <w:p w14:paraId="3E5B89F0">
            <w:pPr>
              <w:widowControl/>
              <w:jc w:val="center"/>
              <w:rPr>
                <w:rFonts w:hint="eastAsia" w:ascii="宋体" w:hAnsi="宋体" w:cs="宋体"/>
                <w:color w:val="000000"/>
                <w:kern w:val="0"/>
                <w:szCs w:val="21"/>
                <w:highlight w:val="none"/>
              </w:rPr>
            </w:pPr>
          </w:p>
        </w:tc>
      </w:tr>
      <w:tr w14:paraId="027AB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84" w:hRule="atLeast"/>
        </w:trPr>
        <w:tc>
          <w:tcPr>
            <w:tcW w:w="1384" w:type="dxa"/>
            <w:noWrap w:val="0"/>
            <w:vAlign w:val="center"/>
          </w:tcPr>
          <w:p w14:paraId="7CEC34CD">
            <w:pPr>
              <w:widowControl/>
              <w:rPr>
                <w:rFonts w:hint="eastAsia" w:ascii="宋体" w:hAnsi="宋体" w:cs="宋体"/>
                <w:color w:val="000000"/>
                <w:kern w:val="0"/>
                <w:szCs w:val="21"/>
                <w:highlight w:val="none"/>
              </w:rPr>
            </w:pPr>
          </w:p>
        </w:tc>
        <w:tc>
          <w:tcPr>
            <w:tcW w:w="1701" w:type="dxa"/>
            <w:noWrap w:val="0"/>
            <w:vAlign w:val="top"/>
          </w:tcPr>
          <w:p w14:paraId="62DDBCCD">
            <w:pPr>
              <w:widowControl/>
              <w:jc w:val="center"/>
              <w:rPr>
                <w:rFonts w:hint="eastAsia" w:ascii="宋体" w:hAnsi="宋体" w:cs="宋体"/>
                <w:color w:val="000000"/>
                <w:kern w:val="0"/>
                <w:szCs w:val="21"/>
                <w:highlight w:val="none"/>
              </w:rPr>
            </w:pPr>
          </w:p>
        </w:tc>
        <w:tc>
          <w:tcPr>
            <w:tcW w:w="1134" w:type="dxa"/>
            <w:noWrap w:val="0"/>
            <w:vAlign w:val="center"/>
          </w:tcPr>
          <w:p w14:paraId="7A2EF166">
            <w:pPr>
              <w:widowControl/>
              <w:jc w:val="center"/>
              <w:rPr>
                <w:rFonts w:hint="eastAsia" w:ascii="宋体" w:hAnsi="宋体" w:cs="宋体"/>
                <w:color w:val="000000"/>
                <w:kern w:val="0"/>
                <w:szCs w:val="21"/>
                <w:highlight w:val="none"/>
              </w:rPr>
            </w:pPr>
          </w:p>
        </w:tc>
        <w:tc>
          <w:tcPr>
            <w:tcW w:w="1984" w:type="dxa"/>
            <w:noWrap w:val="0"/>
            <w:vAlign w:val="center"/>
          </w:tcPr>
          <w:p w14:paraId="44CC05A8">
            <w:pPr>
              <w:widowControl/>
              <w:jc w:val="center"/>
              <w:rPr>
                <w:rFonts w:hint="eastAsia" w:ascii="宋体" w:hAnsi="宋体" w:cs="宋体"/>
                <w:color w:val="000000"/>
                <w:kern w:val="0"/>
                <w:szCs w:val="21"/>
                <w:highlight w:val="none"/>
              </w:rPr>
            </w:pPr>
          </w:p>
        </w:tc>
        <w:tc>
          <w:tcPr>
            <w:tcW w:w="2269" w:type="dxa"/>
            <w:noWrap w:val="0"/>
            <w:vAlign w:val="top"/>
          </w:tcPr>
          <w:p w14:paraId="72619E4D">
            <w:pPr>
              <w:widowControl/>
              <w:jc w:val="center"/>
              <w:rPr>
                <w:rFonts w:hint="eastAsia" w:ascii="宋体" w:hAnsi="宋体" w:cs="宋体"/>
                <w:color w:val="000000"/>
                <w:kern w:val="0"/>
                <w:szCs w:val="21"/>
                <w:highlight w:val="none"/>
              </w:rPr>
            </w:pPr>
          </w:p>
        </w:tc>
        <w:tc>
          <w:tcPr>
            <w:tcW w:w="1135" w:type="dxa"/>
            <w:noWrap w:val="0"/>
            <w:vAlign w:val="center"/>
          </w:tcPr>
          <w:p w14:paraId="017AE42F">
            <w:pPr>
              <w:widowControl/>
              <w:jc w:val="center"/>
              <w:rPr>
                <w:rFonts w:hint="eastAsia" w:ascii="宋体" w:hAnsi="宋体" w:cs="宋体"/>
                <w:color w:val="000000"/>
                <w:kern w:val="0"/>
                <w:szCs w:val="21"/>
                <w:highlight w:val="none"/>
              </w:rPr>
            </w:pPr>
          </w:p>
        </w:tc>
      </w:tr>
      <w:tr w14:paraId="4A4E5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84" w:hRule="atLeast"/>
        </w:trPr>
        <w:tc>
          <w:tcPr>
            <w:tcW w:w="1384" w:type="dxa"/>
            <w:noWrap w:val="0"/>
            <w:vAlign w:val="center"/>
          </w:tcPr>
          <w:p w14:paraId="7047CCB6">
            <w:pPr>
              <w:widowControl/>
              <w:rPr>
                <w:rFonts w:hint="eastAsia" w:ascii="宋体" w:hAnsi="宋体" w:cs="宋体"/>
                <w:color w:val="000000"/>
                <w:kern w:val="0"/>
                <w:szCs w:val="21"/>
                <w:highlight w:val="none"/>
              </w:rPr>
            </w:pPr>
          </w:p>
        </w:tc>
        <w:tc>
          <w:tcPr>
            <w:tcW w:w="1701" w:type="dxa"/>
            <w:noWrap w:val="0"/>
            <w:vAlign w:val="top"/>
          </w:tcPr>
          <w:p w14:paraId="5CC246C2">
            <w:pPr>
              <w:widowControl/>
              <w:jc w:val="center"/>
              <w:rPr>
                <w:rFonts w:hint="eastAsia" w:ascii="宋体" w:hAnsi="宋体" w:cs="宋体"/>
                <w:color w:val="000000"/>
                <w:kern w:val="0"/>
                <w:szCs w:val="21"/>
                <w:highlight w:val="none"/>
              </w:rPr>
            </w:pPr>
          </w:p>
        </w:tc>
        <w:tc>
          <w:tcPr>
            <w:tcW w:w="1134" w:type="dxa"/>
            <w:noWrap w:val="0"/>
            <w:vAlign w:val="center"/>
          </w:tcPr>
          <w:p w14:paraId="6DF4B8DF">
            <w:pPr>
              <w:widowControl/>
              <w:jc w:val="center"/>
              <w:rPr>
                <w:rFonts w:hint="eastAsia" w:ascii="宋体" w:hAnsi="宋体" w:cs="宋体"/>
                <w:color w:val="000000"/>
                <w:kern w:val="0"/>
                <w:szCs w:val="21"/>
                <w:highlight w:val="none"/>
              </w:rPr>
            </w:pPr>
          </w:p>
        </w:tc>
        <w:tc>
          <w:tcPr>
            <w:tcW w:w="1984" w:type="dxa"/>
            <w:noWrap w:val="0"/>
            <w:vAlign w:val="center"/>
          </w:tcPr>
          <w:p w14:paraId="119ECACE">
            <w:pPr>
              <w:widowControl/>
              <w:jc w:val="center"/>
              <w:rPr>
                <w:rFonts w:hint="eastAsia" w:ascii="宋体" w:hAnsi="宋体" w:cs="宋体"/>
                <w:color w:val="000000"/>
                <w:kern w:val="0"/>
                <w:szCs w:val="21"/>
                <w:highlight w:val="none"/>
              </w:rPr>
            </w:pPr>
          </w:p>
        </w:tc>
        <w:tc>
          <w:tcPr>
            <w:tcW w:w="2269" w:type="dxa"/>
            <w:noWrap w:val="0"/>
            <w:vAlign w:val="top"/>
          </w:tcPr>
          <w:p w14:paraId="59CCEDB8">
            <w:pPr>
              <w:widowControl/>
              <w:jc w:val="center"/>
              <w:rPr>
                <w:rFonts w:hint="eastAsia" w:ascii="宋体" w:hAnsi="宋体" w:cs="宋体"/>
                <w:color w:val="000000"/>
                <w:kern w:val="0"/>
                <w:szCs w:val="21"/>
                <w:highlight w:val="none"/>
              </w:rPr>
            </w:pPr>
          </w:p>
        </w:tc>
        <w:tc>
          <w:tcPr>
            <w:tcW w:w="1135" w:type="dxa"/>
            <w:noWrap w:val="0"/>
            <w:vAlign w:val="center"/>
          </w:tcPr>
          <w:p w14:paraId="67A44D0E">
            <w:pPr>
              <w:widowControl/>
              <w:jc w:val="center"/>
              <w:rPr>
                <w:rFonts w:hint="eastAsia" w:ascii="宋体" w:hAnsi="宋体" w:cs="宋体"/>
                <w:color w:val="000000"/>
                <w:kern w:val="0"/>
                <w:szCs w:val="21"/>
                <w:highlight w:val="none"/>
              </w:rPr>
            </w:pPr>
          </w:p>
        </w:tc>
      </w:tr>
      <w:tr w14:paraId="1982F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84" w:hRule="atLeast"/>
        </w:trPr>
        <w:tc>
          <w:tcPr>
            <w:tcW w:w="1384" w:type="dxa"/>
            <w:noWrap w:val="0"/>
            <w:vAlign w:val="center"/>
          </w:tcPr>
          <w:p w14:paraId="2F04DDF6">
            <w:pPr>
              <w:widowControl/>
              <w:rPr>
                <w:rFonts w:hint="eastAsia" w:ascii="宋体" w:hAnsi="宋体" w:cs="宋体"/>
                <w:color w:val="000000"/>
                <w:kern w:val="0"/>
                <w:szCs w:val="21"/>
                <w:highlight w:val="none"/>
              </w:rPr>
            </w:pPr>
          </w:p>
        </w:tc>
        <w:tc>
          <w:tcPr>
            <w:tcW w:w="1701" w:type="dxa"/>
            <w:noWrap w:val="0"/>
            <w:vAlign w:val="top"/>
          </w:tcPr>
          <w:p w14:paraId="7D5F7C00">
            <w:pPr>
              <w:widowControl/>
              <w:jc w:val="center"/>
              <w:rPr>
                <w:rFonts w:hint="eastAsia" w:ascii="宋体" w:hAnsi="宋体" w:cs="宋体"/>
                <w:color w:val="000000"/>
                <w:kern w:val="0"/>
                <w:szCs w:val="21"/>
                <w:highlight w:val="none"/>
              </w:rPr>
            </w:pPr>
          </w:p>
        </w:tc>
        <w:tc>
          <w:tcPr>
            <w:tcW w:w="1134" w:type="dxa"/>
            <w:noWrap w:val="0"/>
            <w:vAlign w:val="center"/>
          </w:tcPr>
          <w:p w14:paraId="05DF52BF">
            <w:pPr>
              <w:widowControl/>
              <w:jc w:val="center"/>
              <w:rPr>
                <w:rFonts w:hint="eastAsia" w:ascii="宋体" w:hAnsi="宋体" w:cs="宋体"/>
                <w:color w:val="000000"/>
                <w:kern w:val="0"/>
                <w:szCs w:val="21"/>
                <w:highlight w:val="none"/>
              </w:rPr>
            </w:pPr>
          </w:p>
        </w:tc>
        <w:tc>
          <w:tcPr>
            <w:tcW w:w="1984" w:type="dxa"/>
            <w:noWrap w:val="0"/>
            <w:vAlign w:val="center"/>
          </w:tcPr>
          <w:p w14:paraId="1E5C2A3A">
            <w:pPr>
              <w:widowControl/>
              <w:jc w:val="center"/>
              <w:rPr>
                <w:rFonts w:hint="eastAsia" w:ascii="宋体" w:hAnsi="宋体" w:cs="宋体"/>
                <w:color w:val="000000"/>
                <w:kern w:val="0"/>
                <w:szCs w:val="21"/>
                <w:highlight w:val="none"/>
              </w:rPr>
            </w:pPr>
          </w:p>
        </w:tc>
        <w:tc>
          <w:tcPr>
            <w:tcW w:w="2269" w:type="dxa"/>
            <w:noWrap w:val="0"/>
            <w:vAlign w:val="top"/>
          </w:tcPr>
          <w:p w14:paraId="5EF10D1E">
            <w:pPr>
              <w:widowControl/>
              <w:jc w:val="center"/>
              <w:rPr>
                <w:rFonts w:hint="eastAsia" w:ascii="宋体" w:hAnsi="宋体" w:cs="宋体"/>
                <w:color w:val="000000"/>
                <w:kern w:val="0"/>
                <w:szCs w:val="21"/>
                <w:highlight w:val="none"/>
              </w:rPr>
            </w:pPr>
          </w:p>
        </w:tc>
        <w:tc>
          <w:tcPr>
            <w:tcW w:w="1135" w:type="dxa"/>
            <w:noWrap w:val="0"/>
            <w:vAlign w:val="center"/>
          </w:tcPr>
          <w:p w14:paraId="0909D3F6">
            <w:pPr>
              <w:widowControl/>
              <w:jc w:val="center"/>
              <w:rPr>
                <w:rFonts w:hint="eastAsia" w:ascii="宋体" w:hAnsi="宋体" w:cs="宋体"/>
                <w:color w:val="000000"/>
                <w:kern w:val="0"/>
                <w:szCs w:val="21"/>
                <w:highlight w:val="none"/>
              </w:rPr>
            </w:pPr>
          </w:p>
        </w:tc>
      </w:tr>
    </w:tbl>
    <w:p w14:paraId="198651C7">
      <w:pPr>
        <w:widowControl/>
        <w:jc w:val="left"/>
        <w:rPr>
          <w:rFonts w:hint="eastAsia" w:ascii="宋体" w:hAnsi="宋体" w:cs="宋体"/>
          <w:color w:val="000000"/>
          <w:sz w:val="24"/>
          <w:highlight w:val="none"/>
        </w:rPr>
      </w:pPr>
      <w:r>
        <w:rPr>
          <w:rFonts w:hint="eastAsia" w:ascii="宋体" w:hAnsi="宋体" w:cs="宋体"/>
          <w:color w:val="000000"/>
          <w:sz w:val="24"/>
          <w:highlight w:val="none"/>
        </w:rPr>
        <w:t>注：投标人应将投标产品拆分为相关主要部件分别描述。</w:t>
      </w:r>
    </w:p>
    <w:p w14:paraId="30DCB4F5">
      <w:pPr>
        <w:widowControl/>
        <w:jc w:val="left"/>
        <w:rPr>
          <w:rFonts w:hint="eastAsia" w:ascii="宋体" w:hAnsi="宋体" w:cs="宋体"/>
          <w:color w:val="000000"/>
          <w:sz w:val="24"/>
          <w:highlight w:val="none"/>
        </w:rPr>
      </w:pPr>
    </w:p>
    <w:p w14:paraId="6B897770">
      <w:pPr>
        <w:pStyle w:val="5"/>
        <w:keepNext w:val="0"/>
        <w:tabs>
          <w:tab w:val="left" w:pos="1260"/>
        </w:tabs>
        <w:jc w:val="center"/>
        <w:rPr>
          <w:rFonts w:hint="eastAsia" w:cs="宋体"/>
          <w:bCs w:val="0"/>
          <w:iCs w:val="0"/>
          <w:color w:val="000000"/>
          <w:sz w:val="24"/>
          <w:highlight w:val="none"/>
          <w:lang w:eastAsia="zh-CN"/>
        </w:rPr>
      </w:pPr>
      <w:r>
        <w:rPr>
          <w:rFonts w:hint="eastAsia" w:ascii="宋体" w:hAnsi="宋体" w:cs="宋体"/>
          <w:iCs w:val="0"/>
          <w:color w:val="000000"/>
          <w:sz w:val="24"/>
          <w:highlight w:val="none"/>
          <w:lang w:eastAsia="zh-CN"/>
        </w:rPr>
        <w:t>2.货物（服务）说明（按此格式或者投标人自定格式）</w:t>
      </w:r>
    </w:p>
    <w:tbl>
      <w:tblPr>
        <w:tblStyle w:val="47"/>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09"/>
        <w:gridCol w:w="5930"/>
      </w:tblGrid>
      <w:tr w14:paraId="4780D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97" w:hRule="atLeast"/>
          <w:jc w:val="center"/>
        </w:trPr>
        <w:tc>
          <w:tcPr>
            <w:tcW w:w="3109" w:type="dxa"/>
            <w:noWrap w:val="0"/>
            <w:vAlign w:val="center"/>
          </w:tcPr>
          <w:p w14:paraId="6C05B08D">
            <w:pPr>
              <w:widowControl/>
              <w:jc w:val="center"/>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货物名称</w:t>
            </w:r>
          </w:p>
        </w:tc>
        <w:tc>
          <w:tcPr>
            <w:tcW w:w="5930" w:type="dxa"/>
            <w:noWrap w:val="0"/>
            <w:vAlign w:val="center"/>
          </w:tcPr>
          <w:p w14:paraId="0582FA76">
            <w:pPr>
              <w:widowControl/>
              <w:jc w:val="center"/>
              <w:rPr>
                <w:rFonts w:hint="eastAsia" w:ascii="宋体" w:hAnsi="宋体" w:cs="宋体"/>
                <w:b/>
                <w:bCs/>
                <w:color w:val="000000"/>
                <w:kern w:val="0"/>
                <w:szCs w:val="21"/>
                <w:highlight w:val="none"/>
              </w:rPr>
            </w:pPr>
          </w:p>
        </w:tc>
      </w:tr>
      <w:tr w14:paraId="060E3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278" w:hRule="atLeast"/>
          <w:jc w:val="center"/>
        </w:trPr>
        <w:tc>
          <w:tcPr>
            <w:tcW w:w="9039" w:type="dxa"/>
            <w:gridSpan w:val="2"/>
            <w:noWrap w:val="0"/>
            <w:vAlign w:val="center"/>
          </w:tcPr>
          <w:p w14:paraId="26E03DDE">
            <w:pPr>
              <w:widowControl/>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供货范围</w:t>
            </w:r>
          </w:p>
        </w:tc>
      </w:tr>
      <w:tr w14:paraId="6DC0D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278" w:hRule="atLeast"/>
          <w:jc w:val="center"/>
        </w:trPr>
        <w:tc>
          <w:tcPr>
            <w:tcW w:w="9039" w:type="dxa"/>
            <w:gridSpan w:val="2"/>
            <w:noWrap w:val="0"/>
            <w:vAlign w:val="center"/>
          </w:tcPr>
          <w:p w14:paraId="5183CBC5">
            <w:pPr>
              <w:widowControl/>
              <w:rPr>
                <w:rFonts w:hint="eastAsia" w:ascii="宋体" w:hAnsi="宋体" w:cs="宋体"/>
                <w:b/>
                <w:bCs/>
                <w:color w:val="000000"/>
                <w:kern w:val="0"/>
                <w:szCs w:val="21"/>
                <w:highlight w:val="none"/>
              </w:rPr>
            </w:pPr>
            <w:r>
              <w:rPr>
                <w:rFonts w:hint="eastAsia" w:ascii="宋体" w:hAnsi="宋体" w:cs="宋体"/>
                <w:b/>
                <w:bCs/>
                <w:color w:val="000000"/>
                <w:kern w:val="0"/>
                <w:szCs w:val="21"/>
                <w:highlight w:val="none"/>
              </w:rPr>
              <w:t>工艺、参数等货物（服务）详细说明</w:t>
            </w:r>
          </w:p>
        </w:tc>
      </w:tr>
    </w:tbl>
    <w:p w14:paraId="00D8076B">
      <w:pPr>
        <w:widowControl/>
        <w:jc w:val="left"/>
        <w:rPr>
          <w:rFonts w:hint="eastAsia" w:ascii="宋体" w:hAnsi="宋体" w:cs="宋体"/>
          <w:color w:val="000000"/>
          <w:sz w:val="24"/>
          <w:highlight w:val="none"/>
        </w:rPr>
      </w:pPr>
    </w:p>
    <w:p w14:paraId="012DEF14">
      <w:pPr>
        <w:pStyle w:val="5"/>
        <w:tabs>
          <w:tab w:val="left" w:pos="1260"/>
        </w:tabs>
        <w:jc w:val="center"/>
        <w:rPr>
          <w:rFonts w:ascii="宋体" w:hAnsi="宋体" w:cs="宋体"/>
          <w:iCs w:val="0"/>
          <w:color w:val="000000"/>
          <w:sz w:val="24"/>
          <w:highlight w:val="none"/>
          <w:lang w:eastAsia="zh-CN"/>
        </w:rPr>
      </w:pPr>
      <w:r>
        <w:rPr>
          <w:rFonts w:hint="eastAsia" w:ascii="宋体" w:hAnsi="宋体" w:cs="宋体"/>
          <w:iCs w:val="0"/>
          <w:color w:val="000000"/>
          <w:sz w:val="24"/>
          <w:highlight w:val="none"/>
          <w:lang w:eastAsia="zh-CN"/>
        </w:rPr>
        <w:t>3</w:t>
      </w:r>
      <w:r>
        <w:rPr>
          <w:rFonts w:ascii="宋体" w:hAnsi="宋体" w:cs="宋体"/>
          <w:iCs w:val="0"/>
          <w:color w:val="000000"/>
          <w:sz w:val="24"/>
          <w:highlight w:val="none"/>
          <w:lang w:eastAsia="zh-CN"/>
        </w:rPr>
        <w:t>.</w:t>
      </w:r>
      <w:r>
        <w:rPr>
          <w:rFonts w:hint="eastAsia" w:ascii="宋体" w:hAnsi="宋体" w:cs="宋体"/>
          <w:iCs w:val="0"/>
          <w:color w:val="000000"/>
          <w:sz w:val="24"/>
          <w:highlight w:val="none"/>
          <w:lang w:eastAsia="zh-CN"/>
        </w:rPr>
        <w:t>售后服务</w:t>
      </w:r>
    </w:p>
    <w:p w14:paraId="0047B4D4">
      <w:pPr>
        <w:rPr>
          <w:rFonts w:hint="eastAsia"/>
          <w:color w:val="000000"/>
          <w:highlight w:val="none"/>
          <w:lang w:bidi="en-US"/>
        </w:rPr>
      </w:pPr>
    </w:p>
    <w:p w14:paraId="41186335">
      <w:pPr>
        <w:pStyle w:val="5"/>
        <w:tabs>
          <w:tab w:val="left" w:pos="1260"/>
        </w:tabs>
        <w:jc w:val="center"/>
        <w:rPr>
          <w:rFonts w:ascii="宋体" w:hAnsi="宋体" w:cs="宋体"/>
          <w:iCs w:val="0"/>
          <w:color w:val="000000"/>
          <w:sz w:val="24"/>
          <w:highlight w:val="none"/>
          <w:lang w:eastAsia="zh-CN"/>
        </w:rPr>
      </w:pPr>
      <w:r>
        <w:rPr>
          <w:rFonts w:hint="eastAsia" w:ascii="宋体" w:hAnsi="宋体" w:cs="宋体"/>
          <w:iCs w:val="0"/>
          <w:color w:val="000000"/>
          <w:sz w:val="24"/>
          <w:highlight w:val="none"/>
          <w:lang w:eastAsia="zh-CN"/>
        </w:rPr>
        <w:t>4</w:t>
      </w:r>
      <w:r>
        <w:rPr>
          <w:rFonts w:ascii="宋体" w:hAnsi="宋体" w:cs="宋体"/>
          <w:iCs w:val="0"/>
          <w:color w:val="000000"/>
          <w:sz w:val="24"/>
          <w:highlight w:val="none"/>
          <w:lang w:eastAsia="zh-CN"/>
        </w:rPr>
        <w:t>.</w:t>
      </w:r>
      <w:r>
        <w:rPr>
          <w:rFonts w:hint="eastAsia" w:ascii="宋体" w:hAnsi="宋体" w:cs="宋体"/>
          <w:iCs w:val="0"/>
          <w:color w:val="000000"/>
          <w:sz w:val="24"/>
          <w:highlight w:val="none"/>
          <w:lang w:eastAsia="zh-CN"/>
        </w:rPr>
        <w:t>人员及培训方案</w:t>
      </w:r>
    </w:p>
    <w:p w14:paraId="38C90CCA">
      <w:pPr>
        <w:rPr>
          <w:rFonts w:hint="eastAsia"/>
          <w:color w:val="000000"/>
          <w:highlight w:val="none"/>
          <w:lang w:bidi="en-US"/>
        </w:rPr>
      </w:pPr>
    </w:p>
    <w:p w14:paraId="5BB4C00A">
      <w:pPr>
        <w:pStyle w:val="5"/>
        <w:tabs>
          <w:tab w:val="left" w:pos="1260"/>
        </w:tabs>
        <w:jc w:val="center"/>
        <w:rPr>
          <w:rFonts w:ascii="宋体" w:hAnsi="宋体" w:cs="宋体"/>
          <w:iCs w:val="0"/>
          <w:color w:val="000000"/>
          <w:sz w:val="24"/>
          <w:highlight w:val="none"/>
          <w:lang w:eastAsia="zh-CN"/>
        </w:rPr>
      </w:pPr>
      <w:r>
        <w:rPr>
          <w:rFonts w:hint="eastAsia" w:ascii="宋体" w:hAnsi="宋体" w:cs="宋体"/>
          <w:iCs w:val="0"/>
          <w:color w:val="000000"/>
          <w:sz w:val="24"/>
          <w:highlight w:val="none"/>
          <w:lang w:eastAsia="zh-CN"/>
        </w:rPr>
        <w:t>5</w:t>
      </w:r>
      <w:r>
        <w:rPr>
          <w:rFonts w:ascii="宋体" w:hAnsi="宋体" w:cs="宋体"/>
          <w:iCs w:val="0"/>
          <w:color w:val="000000"/>
          <w:sz w:val="24"/>
          <w:highlight w:val="none"/>
          <w:lang w:eastAsia="zh-CN"/>
        </w:rPr>
        <w:t>.</w:t>
      </w:r>
      <w:r>
        <w:rPr>
          <w:rFonts w:hint="eastAsia" w:ascii="宋体" w:hAnsi="宋体" w:cs="宋体"/>
          <w:iCs w:val="0"/>
          <w:color w:val="000000"/>
          <w:sz w:val="24"/>
          <w:highlight w:val="none"/>
          <w:lang w:eastAsia="zh-CN"/>
        </w:rPr>
        <w:t>维保方案</w:t>
      </w:r>
    </w:p>
    <w:p w14:paraId="1C906733">
      <w:pPr>
        <w:rPr>
          <w:rFonts w:hint="eastAsia"/>
          <w:color w:val="000000"/>
          <w:highlight w:val="none"/>
          <w:lang w:bidi="en-US"/>
        </w:rPr>
      </w:pPr>
    </w:p>
    <w:p w14:paraId="59D3E462">
      <w:pPr>
        <w:pStyle w:val="5"/>
        <w:tabs>
          <w:tab w:val="left" w:pos="1260"/>
        </w:tabs>
        <w:jc w:val="center"/>
        <w:rPr>
          <w:rFonts w:hint="eastAsia" w:ascii="宋体" w:hAnsi="宋体" w:cs="宋体"/>
          <w:iCs w:val="0"/>
          <w:color w:val="000000"/>
          <w:sz w:val="24"/>
          <w:highlight w:val="none"/>
          <w:lang w:eastAsia="zh-CN"/>
        </w:rPr>
      </w:pPr>
      <w:r>
        <w:rPr>
          <w:rFonts w:hint="eastAsia" w:ascii="宋体" w:hAnsi="宋体" w:cs="宋体"/>
          <w:iCs w:val="0"/>
          <w:color w:val="000000"/>
          <w:sz w:val="24"/>
          <w:highlight w:val="none"/>
          <w:lang w:eastAsia="zh-CN"/>
        </w:rPr>
        <w:t>6.所投货物（服务）的技术资料或检测报告等</w:t>
      </w:r>
    </w:p>
    <w:p w14:paraId="62ED195B">
      <w:pPr>
        <w:rPr>
          <w:rFonts w:hint="eastAsia" w:ascii="宋体" w:hAnsi="宋体" w:cs="宋体"/>
          <w:b/>
          <w:bCs/>
          <w:color w:val="000000"/>
          <w:sz w:val="24"/>
          <w:highlight w:val="none"/>
        </w:rPr>
      </w:pPr>
    </w:p>
    <w:p w14:paraId="1D651B69">
      <w:pPr>
        <w:spacing w:line="360" w:lineRule="auto"/>
        <w:jc w:val="center"/>
        <w:outlineLvl w:val="2"/>
        <w:rPr>
          <w:rFonts w:hint="eastAsia" w:ascii="宋体" w:hAnsi="宋体" w:cs="宋体"/>
          <w:b/>
          <w:bCs/>
          <w:color w:val="000000"/>
          <w:kern w:val="0"/>
          <w:sz w:val="24"/>
          <w:highlight w:val="none"/>
          <w:lang w:bidi="en-US"/>
        </w:rPr>
      </w:pPr>
      <w:r>
        <w:rPr>
          <w:rFonts w:hint="eastAsia" w:ascii="宋体" w:hAnsi="宋体" w:cs="宋体"/>
          <w:b/>
          <w:bCs/>
          <w:color w:val="000000"/>
          <w:kern w:val="0"/>
          <w:sz w:val="24"/>
          <w:highlight w:val="none"/>
          <w:lang w:bidi="en-US"/>
        </w:rPr>
        <w:br w:type="page"/>
      </w:r>
      <w:r>
        <w:rPr>
          <w:rFonts w:hint="eastAsia" w:ascii="宋体" w:hAnsi="宋体" w:cs="宋体"/>
          <w:b/>
          <w:bCs/>
          <w:color w:val="000000"/>
          <w:kern w:val="0"/>
          <w:sz w:val="24"/>
          <w:highlight w:val="none"/>
          <w:lang w:bidi="en-US"/>
        </w:rPr>
        <w:t>（四）用于评标的业绩证明材料</w:t>
      </w:r>
    </w:p>
    <w:p w14:paraId="616013AC">
      <w:pPr>
        <w:spacing w:line="360" w:lineRule="auto"/>
        <w:jc w:val="center"/>
        <w:rPr>
          <w:rFonts w:hint="eastAsia" w:ascii="宋体" w:hAnsi="宋体" w:cs="宋体"/>
          <w:b/>
          <w:bCs/>
          <w:color w:val="000000"/>
          <w:sz w:val="24"/>
          <w:highlight w:val="none"/>
        </w:rPr>
      </w:pPr>
      <w:r>
        <w:rPr>
          <w:rFonts w:hint="eastAsia" w:ascii="宋体" w:hAnsi="宋体" w:cs="宋体"/>
          <w:b/>
          <w:bCs/>
          <w:color w:val="000000"/>
          <w:sz w:val="24"/>
          <w:highlight w:val="none"/>
        </w:rPr>
        <w:t>1.业绩承诺函</w:t>
      </w:r>
    </w:p>
    <w:p w14:paraId="5A0015DC">
      <w:pPr>
        <w:pStyle w:val="26"/>
        <w:spacing w:line="360" w:lineRule="auto"/>
        <w:rPr>
          <w:rFonts w:hint="eastAsia" w:hAnsi="宋体" w:cs="宋体"/>
          <w:b/>
          <w:color w:val="000000"/>
          <w:sz w:val="21"/>
          <w:highlight w:val="none"/>
          <w:u w:val="single"/>
        </w:rPr>
      </w:pPr>
      <w:r>
        <w:rPr>
          <w:rFonts w:hint="eastAsia" w:hAnsi="宋体" w:cs="宋体"/>
          <w:color w:val="000000"/>
          <w:sz w:val="21"/>
          <w:highlight w:val="none"/>
        </w:rPr>
        <w:t>致：安徽省疾病预防控制中心</w:t>
      </w:r>
    </w:p>
    <w:p w14:paraId="020916A8">
      <w:pPr>
        <w:spacing w:line="360" w:lineRule="auto"/>
        <w:ind w:firstLine="435"/>
        <w:rPr>
          <w:rFonts w:hint="eastAsia" w:ascii="宋体" w:hAnsi="宋体" w:cs="宋体"/>
          <w:color w:val="000000"/>
          <w:highlight w:val="none"/>
        </w:rPr>
      </w:pPr>
      <w:r>
        <w:rPr>
          <w:rFonts w:hint="eastAsia" w:ascii="宋体" w:hAnsi="宋体" w:cs="宋体"/>
          <w:color w:val="000000"/>
          <w:highlight w:val="none"/>
        </w:rPr>
        <w:t>我方承诺：投标文件中所提供的业绩均真实有效，若有质疑，我方承诺会将2个工作日内可就以下业绩信息提供(合同、对应的发票、验收报告或用户评价意见)原件供贵单位核对。若被发现存在任何虚假、隐瞒情况，我公司承担由此产生的一切后果。同时我方承诺贵方可就我方业绩进行公布。</w:t>
      </w:r>
    </w:p>
    <w:p w14:paraId="2A4D9954">
      <w:pPr>
        <w:spacing w:line="360" w:lineRule="auto"/>
        <w:ind w:firstLine="3700" w:firstLineChars="1762"/>
        <w:rPr>
          <w:rFonts w:hint="eastAsia" w:ascii="宋体" w:hAnsi="宋体" w:cs="宋体"/>
          <w:color w:val="000000"/>
          <w:highlight w:val="none"/>
          <w:u w:val="single"/>
        </w:rPr>
      </w:pPr>
      <w:r>
        <w:rPr>
          <w:rFonts w:hint="eastAsia" w:ascii="宋体" w:hAnsi="宋体" w:cs="宋体"/>
          <w:color w:val="000000"/>
          <w:highlight w:val="none"/>
        </w:rPr>
        <w:t>投标人：</w:t>
      </w:r>
      <w:r>
        <w:rPr>
          <w:rFonts w:hint="eastAsia" w:ascii="宋体" w:hAnsi="宋体" w:cs="宋体"/>
          <w:color w:val="000000"/>
          <w:highlight w:val="none"/>
          <w:u w:val="single"/>
        </w:rPr>
        <w:t xml:space="preserve">              </w:t>
      </w:r>
      <w:r>
        <w:rPr>
          <w:rFonts w:hint="eastAsia" w:ascii="宋体" w:hAnsi="宋体" w:cs="宋体"/>
          <w:color w:val="000000"/>
          <w:highlight w:val="none"/>
        </w:rPr>
        <w:t>（盖单位章）</w:t>
      </w:r>
    </w:p>
    <w:p w14:paraId="37868E1B">
      <w:pPr>
        <w:tabs>
          <w:tab w:val="left" w:pos="630"/>
        </w:tabs>
        <w:spacing w:line="360" w:lineRule="auto"/>
        <w:ind w:firstLine="3700" w:firstLineChars="1762"/>
        <w:rPr>
          <w:rFonts w:hint="eastAsia" w:ascii="宋体" w:hAnsi="宋体" w:cs="宋体"/>
          <w:color w:val="000000"/>
          <w:highlight w:val="none"/>
        </w:rPr>
      </w:pPr>
      <w:r>
        <w:rPr>
          <w:rFonts w:hint="eastAsia" w:ascii="宋体" w:hAnsi="宋体" w:cs="宋体"/>
          <w:color w:val="000000"/>
          <w:highlight w:val="none"/>
        </w:rPr>
        <w:t>日  期：</w:t>
      </w:r>
      <w:r>
        <w:rPr>
          <w:rFonts w:hint="eastAsia" w:ascii="宋体" w:hAnsi="宋体" w:cs="宋体"/>
          <w:color w:val="000000"/>
          <w:highlight w:val="none"/>
          <w:u w:val="single"/>
        </w:rPr>
        <w:t xml:space="preserve">                     </w:t>
      </w:r>
    </w:p>
    <w:p w14:paraId="16853A81">
      <w:pPr>
        <w:jc w:val="center"/>
        <w:rPr>
          <w:rFonts w:hint="eastAsia" w:ascii="宋体" w:hAnsi="宋体" w:cs="宋体"/>
          <w:color w:val="000000"/>
          <w:sz w:val="28"/>
          <w:highlight w:val="none"/>
        </w:rPr>
      </w:pPr>
    </w:p>
    <w:p w14:paraId="7A8F8A69">
      <w:pPr>
        <w:jc w:val="center"/>
        <w:rPr>
          <w:rFonts w:hint="eastAsia" w:ascii="宋体" w:hAnsi="宋体" w:cs="宋体"/>
          <w:color w:val="000000"/>
          <w:sz w:val="28"/>
          <w:highlight w:val="none"/>
        </w:rPr>
      </w:pPr>
      <w:r>
        <w:rPr>
          <w:rFonts w:hint="eastAsia" w:ascii="宋体" w:hAnsi="宋体" w:cs="宋体"/>
          <w:b/>
          <w:bCs/>
          <w:color w:val="000000"/>
          <w:sz w:val="24"/>
          <w:highlight w:val="none"/>
        </w:rPr>
        <w:t>2.业绩汇总表</w:t>
      </w:r>
    </w:p>
    <w:tbl>
      <w:tblPr>
        <w:tblStyle w:val="47"/>
        <w:tblW w:w="491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66"/>
        <w:gridCol w:w="1845"/>
        <w:gridCol w:w="1247"/>
        <w:gridCol w:w="1865"/>
        <w:gridCol w:w="1535"/>
        <w:gridCol w:w="926"/>
      </w:tblGrid>
      <w:tr w14:paraId="00B2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0940F44F">
            <w:pPr>
              <w:jc w:val="center"/>
              <w:rPr>
                <w:rFonts w:hint="eastAsia" w:ascii="宋体" w:hAnsi="宋体" w:cs="宋体"/>
                <w:b/>
                <w:color w:val="000000"/>
                <w:highlight w:val="none"/>
              </w:rPr>
            </w:pPr>
            <w:r>
              <w:rPr>
                <w:rFonts w:hint="eastAsia" w:ascii="宋体" w:hAnsi="宋体" w:cs="宋体"/>
                <w:b/>
                <w:color w:val="000000"/>
                <w:highlight w:val="none"/>
              </w:rPr>
              <w:t>序号</w:t>
            </w:r>
          </w:p>
        </w:tc>
        <w:tc>
          <w:tcPr>
            <w:tcW w:w="757" w:type="pct"/>
            <w:noWrap w:val="0"/>
            <w:vAlign w:val="center"/>
          </w:tcPr>
          <w:p w14:paraId="4CACDC92">
            <w:pPr>
              <w:jc w:val="center"/>
              <w:rPr>
                <w:rFonts w:hint="eastAsia" w:ascii="宋体" w:hAnsi="宋体" w:cs="宋体"/>
                <w:b/>
                <w:color w:val="000000"/>
                <w:highlight w:val="none"/>
              </w:rPr>
            </w:pPr>
            <w:r>
              <w:rPr>
                <w:rFonts w:hint="eastAsia" w:ascii="宋体" w:hAnsi="宋体" w:cs="宋体"/>
                <w:b/>
                <w:color w:val="000000"/>
                <w:highlight w:val="none"/>
              </w:rPr>
              <w:t>项目名称</w:t>
            </w:r>
          </w:p>
        </w:tc>
        <w:tc>
          <w:tcPr>
            <w:tcW w:w="953" w:type="pct"/>
            <w:noWrap w:val="0"/>
            <w:vAlign w:val="center"/>
          </w:tcPr>
          <w:p w14:paraId="2B916B4F">
            <w:pPr>
              <w:widowControl/>
              <w:jc w:val="center"/>
              <w:rPr>
                <w:rFonts w:hint="eastAsia" w:ascii="宋体" w:hAnsi="宋体" w:cs="宋体"/>
                <w:b/>
                <w:color w:val="000000"/>
                <w:highlight w:val="none"/>
              </w:rPr>
            </w:pPr>
            <w:r>
              <w:rPr>
                <w:rFonts w:hint="eastAsia" w:ascii="宋体" w:hAnsi="宋体" w:cs="宋体"/>
                <w:b/>
                <w:color w:val="000000"/>
                <w:highlight w:val="none"/>
              </w:rPr>
              <w:t>合同主要内容</w:t>
            </w:r>
          </w:p>
        </w:tc>
        <w:tc>
          <w:tcPr>
            <w:tcW w:w="644" w:type="pct"/>
            <w:noWrap w:val="0"/>
            <w:vAlign w:val="center"/>
          </w:tcPr>
          <w:p w14:paraId="558D96BF">
            <w:pPr>
              <w:jc w:val="center"/>
              <w:rPr>
                <w:rFonts w:hint="eastAsia" w:ascii="宋体" w:hAnsi="宋体" w:cs="宋体"/>
                <w:b/>
                <w:color w:val="000000"/>
                <w:highlight w:val="none"/>
              </w:rPr>
            </w:pPr>
            <w:r>
              <w:rPr>
                <w:rFonts w:hint="eastAsia" w:ascii="宋体" w:hAnsi="宋体" w:cs="宋体"/>
                <w:b/>
                <w:color w:val="000000"/>
                <w:highlight w:val="none"/>
              </w:rPr>
              <w:t>签约合同价金额</w:t>
            </w:r>
          </w:p>
        </w:tc>
        <w:tc>
          <w:tcPr>
            <w:tcW w:w="963" w:type="pct"/>
            <w:noWrap w:val="0"/>
            <w:vAlign w:val="center"/>
          </w:tcPr>
          <w:p w14:paraId="0602E533">
            <w:pPr>
              <w:jc w:val="center"/>
              <w:rPr>
                <w:rFonts w:hint="eastAsia" w:ascii="宋体" w:hAnsi="宋体" w:cs="宋体"/>
                <w:b/>
                <w:color w:val="000000"/>
                <w:highlight w:val="none"/>
              </w:rPr>
            </w:pPr>
            <w:r>
              <w:rPr>
                <w:rFonts w:hint="eastAsia" w:ascii="宋体" w:hAnsi="宋体" w:cs="宋体"/>
                <w:b/>
                <w:color w:val="000000"/>
                <w:highlight w:val="none"/>
              </w:rPr>
              <w:t>业主单位</w:t>
            </w:r>
          </w:p>
          <w:p w14:paraId="0433C221">
            <w:pPr>
              <w:jc w:val="center"/>
              <w:rPr>
                <w:rFonts w:hint="eastAsia" w:ascii="宋体" w:hAnsi="宋体" w:cs="宋体"/>
                <w:b/>
                <w:color w:val="000000"/>
                <w:highlight w:val="none"/>
              </w:rPr>
            </w:pPr>
            <w:r>
              <w:rPr>
                <w:rFonts w:hint="eastAsia" w:ascii="宋体" w:hAnsi="宋体" w:cs="宋体"/>
                <w:b/>
                <w:color w:val="000000"/>
                <w:highlight w:val="none"/>
              </w:rPr>
              <w:t>及联系电话</w:t>
            </w:r>
          </w:p>
        </w:tc>
        <w:tc>
          <w:tcPr>
            <w:tcW w:w="793" w:type="pct"/>
            <w:noWrap w:val="0"/>
            <w:vAlign w:val="center"/>
          </w:tcPr>
          <w:p w14:paraId="70BA96A5">
            <w:pPr>
              <w:jc w:val="center"/>
              <w:rPr>
                <w:rFonts w:hint="eastAsia" w:ascii="宋体" w:hAnsi="宋体" w:cs="宋体"/>
                <w:b/>
                <w:color w:val="000000"/>
                <w:highlight w:val="none"/>
              </w:rPr>
            </w:pPr>
            <w:r>
              <w:rPr>
                <w:rFonts w:hint="eastAsia" w:ascii="宋体" w:hAnsi="宋体" w:cs="宋体"/>
                <w:b/>
                <w:color w:val="000000"/>
                <w:highlight w:val="none"/>
              </w:rPr>
              <w:t>合同签订时间</w:t>
            </w:r>
          </w:p>
        </w:tc>
        <w:tc>
          <w:tcPr>
            <w:tcW w:w="478" w:type="pct"/>
            <w:noWrap w:val="0"/>
            <w:vAlign w:val="center"/>
          </w:tcPr>
          <w:p w14:paraId="6D67A8BF">
            <w:pPr>
              <w:jc w:val="center"/>
              <w:rPr>
                <w:rFonts w:hint="eastAsia" w:ascii="宋体" w:hAnsi="宋体" w:cs="宋体"/>
                <w:b/>
                <w:color w:val="000000"/>
                <w:highlight w:val="none"/>
              </w:rPr>
            </w:pPr>
            <w:r>
              <w:rPr>
                <w:rFonts w:hint="eastAsia" w:ascii="宋体" w:hAnsi="宋体" w:cs="宋体"/>
                <w:b/>
                <w:color w:val="000000"/>
                <w:highlight w:val="none"/>
              </w:rPr>
              <w:t>备注</w:t>
            </w:r>
          </w:p>
        </w:tc>
      </w:tr>
      <w:tr w14:paraId="5A58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60752C8E">
            <w:pPr>
              <w:jc w:val="center"/>
              <w:rPr>
                <w:rFonts w:hint="eastAsia" w:ascii="宋体" w:hAnsi="宋体" w:cs="宋体"/>
                <w:color w:val="000000"/>
                <w:highlight w:val="none"/>
              </w:rPr>
            </w:pPr>
            <w:r>
              <w:rPr>
                <w:rFonts w:hint="eastAsia" w:ascii="宋体" w:hAnsi="宋体" w:cs="宋体"/>
                <w:color w:val="000000"/>
                <w:highlight w:val="none"/>
              </w:rPr>
              <w:t>1</w:t>
            </w:r>
          </w:p>
        </w:tc>
        <w:tc>
          <w:tcPr>
            <w:tcW w:w="757" w:type="pct"/>
            <w:noWrap w:val="0"/>
            <w:vAlign w:val="center"/>
          </w:tcPr>
          <w:p w14:paraId="643E28A2">
            <w:pPr>
              <w:rPr>
                <w:rFonts w:hint="eastAsia" w:ascii="宋体" w:hAnsi="宋体" w:cs="宋体"/>
                <w:color w:val="000000"/>
                <w:highlight w:val="none"/>
              </w:rPr>
            </w:pPr>
          </w:p>
        </w:tc>
        <w:tc>
          <w:tcPr>
            <w:tcW w:w="953" w:type="pct"/>
            <w:noWrap w:val="0"/>
            <w:vAlign w:val="center"/>
          </w:tcPr>
          <w:p w14:paraId="34BF0C65">
            <w:pPr>
              <w:rPr>
                <w:rFonts w:hint="eastAsia" w:ascii="宋体" w:hAnsi="宋体" w:cs="宋体"/>
                <w:color w:val="000000"/>
                <w:highlight w:val="none"/>
              </w:rPr>
            </w:pPr>
          </w:p>
        </w:tc>
        <w:tc>
          <w:tcPr>
            <w:tcW w:w="644" w:type="pct"/>
            <w:noWrap w:val="0"/>
            <w:vAlign w:val="center"/>
          </w:tcPr>
          <w:p w14:paraId="1DEC3CE0">
            <w:pPr>
              <w:rPr>
                <w:rFonts w:hint="eastAsia" w:ascii="宋体" w:hAnsi="宋体" w:cs="宋体"/>
                <w:color w:val="000000"/>
                <w:highlight w:val="none"/>
              </w:rPr>
            </w:pPr>
          </w:p>
        </w:tc>
        <w:tc>
          <w:tcPr>
            <w:tcW w:w="963" w:type="pct"/>
            <w:noWrap w:val="0"/>
            <w:vAlign w:val="center"/>
          </w:tcPr>
          <w:p w14:paraId="40B68318">
            <w:pPr>
              <w:rPr>
                <w:rFonts w:hint="eastAsia" w:ascii="宋体" w:hAnsi="宋体" w:cs="宋体"/>
                <w:color w:val="000000"/>
                <w:highlight w:val="none"/>
              </w:rPr>
            </w:pPr>
          </w:p>
        </w:tc>
        <w:tc>
          <w:tcPr>
            <w:tcW w:w="793" w:type="pct"/>
            <w:noWrap w:val="0"/>
            <w:vAlign w:val="top"/>
          </w:tcPr>
          <w:p w14:paraId="1163CB1F">
            <w:pPr>
              <w:rPr>
                <w:rFonts w:hint="eastAsia" w:ascii="宋体" w:hAnsi="宋体" w:cs="宋体"/>
                <w:color w:val="000000"/>
                <w:highlight w:val="none"/>
              </w:rPr>
            </w:pPr>
          </w:p>
        </w:tc>
        <w:tc>
          <w:tcPr>
            <w:tcW w:w="478" w:type="pct"/>
            <w:noWrap w:val="0"/>
            <w:vAlign w:val="center"/>
          </w:tcPr>
          <w:p w14:paraId="5EBF9121">
            <w:pPr>
              <w:rPr>
                <w:rFonts w:hint="eastAsia" w:ascii="宋体" w:hAnsi="宋体" w:cs="宋体"/>
                <w:color w:val="000000"/>
                <w:highlight w:val="none"/>
              </w:rPr>
            </w:pPr>
          </w:p>
        </w:tc>
      </w:tr>
      <w:tr w14:paraId="2DC87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32802E26">
            <w:pPr>
              <w:jc w:val="center"/>
              <w:rPr>
                <w:rFonts w:hint="eastAsia" w:ascii="宋体" w:hAnsi="宋体" w:cs="宋体"/>
                <w:color w:val="000000"/>
                <w:highlight w:val="none"/>
              </w:rPr>
            </w:pPr>
            <w:r>
              <w:rPr>
                <w:rFonts w:hint="eastAsia" w:ascii="宋体" w:hAnsi="宋体" w:cs="宋体"/>
                <w:color w:val="000000"/>
                <w:highlight w:val="none"/>
              </w:rPr>
              <w:t>2</w:t>
            </w:r>
          </w:p>
        </w:tc>
        <w:tc>
          <w:tcPr>
            <w:tcW w:w="757" w:type="pct"/>
            <w:noWrap w:val="0"/>
            <w:vAlign w:val="center"/>
          </w:tcPr>
          <w:p w14:paraId="6BB33168">
            <w:pPr>
              <w:rPr>
                <w:rFonts w:hint="eastAsia" w:ascii="宋体" w:hAnsi="宋体" w:cs="宋体"/>
                <w:color w:val="000000"/>
                <w:highlight w:val="none"/>
              </w:rPr>
            </w:pPr>
          </w:p>
        </w:tc>
        <w:tc>
          <w:tcPr>
            <w:tcW w:w="953" w:type="pct"/>
            <w:noWrap w:val="0"/>
            <w:vAlign w:val="center"/>
          </w:tcPr>
          <w:p w14:paraId="13FCFF04">
            <w:pPr>
              <w:rPr>
                <w:rFonts w:hint="eastAsia" w:ascii="宋体" w:hAnsi="宋体" w:cs="宋体"/>
                <w:color w:val="000000"/>
                <w:highlight w:val="none"/>
              </w:rPr>
            </w:pPr>
          </w:p>
        </w:tc>
        <w:tc>
          <w:tcPr>
            <w:tcW w:w="644" w:type="pct"/>
            <w:noWrap w:val="0"/>
            <w:vAlign w:val="center"/>
          </w:tcPr>
          <w:p w14:paraId="04C103E3">
            <w:pPr>
              <w:rPr>
                <w:rFonts w:hint="eastAsia" w:ascii="宋体" w:hAnsi="宋体" w:cs="宋体"/>
                <w:color w:val="000000"/>
                <w:highlight w:val="none"/>
              </w:rPr>
            </w:pPr>
          </w:p>
        </w:tc>
        <w:tc>
          <w:tcPr>
            <w:tcW w:w="963" w:type="pct"/>
            <w:noWrap w:val="0"/>
            <w:vAlign w:val="center"/>
          </w:tcPr>
          <w:p w14:paraId="093B9C0E">
            <w:pPr>
              <w:rPr>
                <w:rFonts w:hint="eastAsia" w:ascii="宋体" w:hAnsi="宋体" w:cs="宋体"/>
                <w:color w:val="000000"/>
                <w:highlight w:val="none"/>
              </w:rPr>
            </w:pPr>
          </w:p>
        </w:tc>
        <w:tc>
          <w:tcPr>
            <w:tcW w:w="793" w:type="pct"/>
            <w:noWrap w:val="0"/>
            <w:vAlign w:val="top"/>
          </w:tcPr>
          <w:p w14:paraId="70E105C6">
            <w:pPr>
              <w:rPr>
                <w:rFonts w:hint="eastAsia" w:ascii="宋体" w:hAnsi="宋体" w:cs="宋体"/>
                <w:color w:val="000000"/>
                <w:highlight w:val="none"/>
              </w:rPr>
            </w:pPr>
          </w:p>
        </w:tc>
        <w:tc>
          <w:tcPr>
            <w:tcW w:w="478" w:type="pct"/>
            <w:noWrap w:val="0"/>
            <w:vAlign w:val="center"/>
          </w:tcPr>
          <w:p w14:paraId="23740546">
            <w:pPr>
              <w:rPr>
                <w:rFonts w:hint="eastAsia" w:ascii="宋体" w:hAnsi="宋体" w:cs="宋体"/>
                <w:color w:val="000000"/>
                <w:highlight w:val="none"/>
              </w:rPr>
            </w:pPr>
          </w:p>
        </w:tc>
      </w:tr>
      <w:tr w14:paraId="4075D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6FB5C0D3">
            <w:pPr>
              <w:jc w:val="center"/>
              <w:rPr>
                <w:rFonts w:hint="eastAsia" w:ascii="宋体" w:hAnsi="宋体" w:cs="宋体"/>
                <w:color w:val="000000"/>
                <w:highlight w:val="none"/>
              </w:rPr>
            </w:pPr>
            <w:r>
              <w:rPr>
                <w:rFonts w:hint="eastAsia" w:ascii="宋体" w:hAnsi="宋体" w:cs="宋体"/>
                <w:color w:val="000000"/>
                <w:highlight w:val="none"/>
              </w:rPr>
              <w:t>3</w:t>
            </w:r>
          </w:p>
        </w:tc>
        <w:tc>
          <w:tcPr>
            <w:tcW w:w="757" w:type="pct"/>
            <w:noWrap w:val="0"/>
            <w:vAlign w:val="center"/>
          </w:tcPr>
          <w:p w14:paraId="0CEE54F1">
            <w:pPr>
              <w:rPr>
                <w:rFonts w:hint="eastAsia" w:ascii="宋体" w:hAnsi="宋体" w:cs="宋体"/>
                <w:color w:val="000000"/>
                <w:highlight w:val="none"/>
              </w:rPr>
            </w:pPr>
          </w:p>
        </w:tc>
        <w:tc>
          <w:tcPr>
            <w:tcW w:w="953" w:type="pct"/>
            <w:noWrap w:val="0"/>
            <w:vAlign w:val="center"/>
          </w:tcPr>
          <w:p w14:paraId="5BEA3D97">
            <w:pPr>
              <w:rPr>
                <w:rFonts w:hint="eastAsia" w:ascii="宋体" w:hAnsi="宋体" w:cs="宋体"/>
                <w:color w:val="000000"/>
                <w:highlight w:val="none"/>
              </w:rPr>
            </w:pPr>
          </w:p>
        </w:tc>
        <w:tc>
          <w:tcPr>
            <w:tcW w:w="644" w:type="pct"/>
            <w:noWrap w:val="0"/>
            <w:vAlign w:val="center"/>
          </w:tcPr>
          <w:p w14:paraId="1D307791">
            <w:pPr>
              <w:rPr>
                <w:rFonts w:hint="eastAsia" w:ascii="宋体" w:hAnsi="宋体" w:cs="宋体"/>
                <w:color w:val="000000"/>
                <w:highlight w:val="none"/>
              </w:rPr>
            </w:pPr>
          </w:p>
        </w:tc>
        <w:tc>
          <w:tcPr>
            <w:tcW w:w="963" w:type="pct"/>
            <w:noWrap w:val="0"/>
            <w:vAlign w:val="center"/>
          </w:tcPr>
          <w:p w14:paraId="41868E64">
            <w:pPr>
              <w:rPr>
                <w:rFonts w:hint="eastAsia" w:ascii="宋体" w:hAnsi="宋体" w:cs="宋体"/>
                <w:color w:val="000000"/>
                <w:highlight w:val="none"/>
              </w:rPr>
            </w:pPr>
          </w:p>
        </w:tc>
        <w:tc>
          <w:tcPr>
            <w:tcW w:w="793" w:type="pct"/>
            <w:noWrap w:val="0"/>
            <w:vAlign w:val="top"/>
          </w:tcPr>
          <w:p w14:paraId="368AF6AA">
            <w:pPr>
              <w:rPr>
                <w:rFonts w:hint="eastAsia" w:ascii="宋体" w:hAnsi="宋体" w:cs="宋体"/>
                <w:color w:val="000000"/>
                <w:highlight w:val="none"/>
              </w:rPr>
            </w:pPr>
          </w:p>
        </w:tc>
        <w:tc>
          <w:tcPr>
            <w:tcW w:w="478" w:type="pct"/>
            <w:noWrap w:val="0"/>
            <w:vAlign w:val="center"/>
          </w:tcPr>
          <w:p w14:paraId="3D4E8184">
            <w:pPr>
              <w:rPr>
                <w:rFonts w:hint="eastAsia" w:ascii="宋体" w:hAnsi="宋体" w:cs="宋体"/>
                <w:color w:val="000000"/>
                <w:highlight w:val="none"/>
              </w:rPr>
            </w:pPr>
          </w:p>
        </w:tc>
      </w:tr>
      <w:tr w14:paraId="2C4A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1637B9E3">
            <w:pPr>
              <w:jc w:val="center"/>
              <w:rPr>
                <w:rFonts w:hint="eastAsia" w:ascii="宋体" w:hAnsi="宋体" w:cs="宋体"/>
                <w:color w:val="000000"/>
                <w:highlight w:val="none"/>
              </w:rPr>
            </w:pPr>
            <w:r>
              <w:rPr>
                <w:rFonts w:hint="eastAsia" w:ascii="宋体" w:hAnsi="宋体" w:cs="宋体"/>
                <w:color w:val="000000"/>
                <w:highlight w:val="none"/>
              </w:rPr>
              <w:t>4</w:t>
            </w:r>
          </w:p>
        </w:tc>
        <w:tc>
          <w:tcPr>
            <w:tcW w:w="757" w:type="pct"/>
            <w:noWrap w:val="0"/>
            <w:vAlign w:val="center"/>
          </w:tcPr>
          <w:p w14:paraId="3EF1A682">
            <w:pPr>
              <w:rPr>
                <w:rFonts w:hint="eastAsia" w:ascii="宋体" w:hAnsi="宋体" w:cs="宋体"/>
                <w:color w:val="000000"/>
                <w:highlight w:val="none"/>
              </w:rPr>
            </w:pPr>
          </w:p>
        </w:tc>
        <w:tc>
          <w:tcPr>
            <w:tcW w:w="953" w:type="pct"/>
            <w:noWrap w:val="0"/>
            <w:vAlign w:val="center"/>
          </w:tcPr>
          <w:p w14:paraId="441D0431">
            <w:pPr>
              <w:rPr>
                <w:rFonts w:hint="eastAsia" w:ascii="宋体" w:hAnsi="宋体" w:cs="宋体"/>
                <w:color w:val="000000"/>
                <w:highlight w:val="none"/>
              </w:rPr>
            </w:pPr>
          </w:p>
        </w:tc>
        <w:tc>
          <w:tcPr>
            <w:tcW w:w="644" w:type="pct"/>
            <w:noWrap w:val="0"/>
            <w:vAlign w:val="center"/>
          </w:tcPr>
          <w:p w14:paraId="5A3781A6">
            <w:pPr>
              <w:rPr>
                <w:rFonts w:hint="eastAsia" w:ascii="宋体" w:hAnsi="宋体" w:cs="宋体"/>
                <w:color w:val="000000"/>
                <w:highlight w:val="none"/>
              </w:rPr>
            </w:pPr>
          </w:p>
        </w:tc>
        <w:tc>
          <w:tcPr>
            <w:tcW w:w="963" w:type="pct"/>
            <w:noWrap w:val="0"/>
            <w:vAlign w:val="center"/>
          </w:tcPr>
          <w:p w14:paraId="6547487E">
            <w:pPr>
              <w:rPr>
                <w:rFonts w:hint="eastAsia" w:ascii="宋体" w:hAnsi="宋体" w:cs="宋体"/>
                <w:color w:val="000000"/>
                <w:highlight w:val="none"/>
              </w:rPr>
            </w:pPr>
          </w:p>
        </w:tc>
        <w:tc>
          <w:tcPr>
            <w:tcW w:w="793" w:type="pct"/>
            <w:noWrap w:val="0"/>
            <w:vAlign w:val="top"/>
          </w:tcPr>
          <w:p w14:paraId="6D20C850">
            <w:pPr>
              <w:rPr>
                <w:rFonts w:hint="eastAsia" w:ascii="宋体" w:hAnsi="宋体" w:cs="宋体"/>
                <w:color w:val="000000"/>
                <w:highlight w:val="none"/>
              </w:rPr>
            </w:pPr>
          </w:p>
        </w:tc>
        <w:tc>
          <w:tcPr>
            <w:tcW w:w="478" w:type="pct"/>
            <w:noWrap w:val="0"/>
            <w:vAlign w:val="center"/>
          </w:tcPr>
          <w:p w14:paraId="0E06B86B">
            <w:pPr>
              <w:rPr>
                <w:rFonts w:hint="eastAsia" w:ascii="宋体" w:hAnsi="宋体" w:cs="宋体"/>
                <w:color w:val="000000"/>
                <w:highlight w:val="none"/>
              </w:rPr>
            </w:pPr>
          </w:p>
        </w:tc>
      </w:tr>
      <w:tr w14:paraId="077D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0BF6F020">
            <w:pPr>
              <w:jc w:val="center"/>
              <w:rPr>
                <w:rFonts w:hint="eastAsia" w:ascii="宋体" w:hAnsi="宋体" w:cs="宋体"/>
                <w:color w:val="000000"/>
                <w:highlight w:val="none"/>
              </w:rPr>
            </w:pPr>
            <w:r>
              <w:rPr>
                <w:rFonts w:hint="eastAsia" w:ascii="宋体" w:hAnsi="宋体" w:cs="宋体"/>
                <w:color w:val="000000"/>
                <w:highlight w:val="none"/>
              </w:rPr>
              <w:t>5</w:t>
            </w:r>
          </w:p>
        </w:tc>
        <w:tc>
          <w:tcPr>
            <w:tcW w:w="757" w:type="pct"/>
            <w:noWrap w:val="0"/>
            <w:vAlign w:val="center"/>
          </w:tcPr>
          <w:p w14:paraId="3E9B2C49">
            <w:pPr>
              <w:rPr>
                <w:rFonts w:hint="eastAsia" w:ascii="宋体" w:hAnsi="宋体" w:cs="宋体"/>
                <w:color w:val="000000"/>
                <w:highlight w:val="none"/>
              </w:rPr>
            </w:pPr>
          </w:p>
        </w:tc>
        <w:tc>
          <w:tcPr>
            <w:tcW w:w="953" w:type="pct"/>
            <w:noWrap w:val="0"/>
            <w:vAlign w:val="center"/>
          </w:tcPr>
          <w:p w14:paraId="4120881D">
            <w:pPr>
              <w:rPr>
                <w:rFonts w:hint="eastAsia" w:ascii="宋体" w:hAnsi="宋体" w:cs="宋体"/>
                <w:color w:val="000000"/>
                <w:highlight w:val="none"/>
              </w:rPr>
            </w:pPr>
          </w:p>
        </w:tc>
        <w:tc>
          <w:tcPr>
            <w:tcW w:w="644" w:type="pct"/>
            <w:noWrap w:val="0"/>
            <w:vAlign w:val="center"/>
          </w:tcPr>
          <w:p w14:paraId="3594E8A9">
            <w:pPr>
              <w:rPr>
                <w:rFonts w:hint="eastAsia" w:ascii="宋体" w:hAnsi="宋体" w:cs="宋体"/>
                <w:color w:val="000000"/>
                <w:highlight w:val="none"/>
              </w:rPr>
            </w:pPr>
          </w:p>
        </w:tc>
        <w:tc>
          <w:tcPr>
            <w:tcW w:w="963" w:type="pct"/>
            <w:noWrap w:val="0"/>
            <w:vAlign w:val="center"/>
          </w:tcPr>
          <w:p w14:paraId="5792A888">
            <w:pPr>
              <w:rPr>
                <w:rFonts w:hint="eastAsia" w:ascii="宋体" w:hAnsi="宋体" w:cs="宋体"/>
                <w:color w:val="000000"/>
                <w:highlight w:val="none"/>
              </w:rPr>
            </w:pPr>
          </w:p>
        </w:tc>
        <w:tc>
          <w:tcPr>
            <w:tcW w:w="793" w:type="pct"/>
            <w:noWrap w:val="0"/>
            <w:vAlign w:val="top"/>
          </w:tcPr>
          <w:p w14:paraId="3E73FF28">
            <w:pPr>
              <w:rPr>
                <w:rFonts w:hint="eastAsia" w:ascii="宋体" w:hAnsi="宋体" w:cs="宋体"/>
                <w:color w:val="000000"/>
                <w:highlight w:val="none"/>
              </w:rPr>
            </w:pPr>
          </w:p>
        </w:tc>
        <w:tc>
          <w:tcPr>
            <w:tcW w:w="478" w:type="pct"/>
            <w:noWrap w:val="0"/>
            <w:vAlign w:val="center"/>
          </w:tcPr>
          <w:p w14:paraId="0CD03A32">
            <w:pPr>
              <w:rPr>
                <w:rFonts w:hint="eastAsia" w:ascii="宋体" w:hAnsi="宋体" w:cs="宋体"/>
                <w:color w:val="000000"/>
                <w:highlight w:val="none"/>
              </w:rPr>
            </w:pPr>
          </w:p>
        </w:tc>
      </w:tr>
      <w:tr w14:paraId="599B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2" w:type="pct"/>
            <w:noWrap w:val="0"/>
            <w:vAlign w:val="center"/>
          </w:tcPr>
          <w:p w14:paraId="2695BD19">
            <w:pPr>
              <w:jc w:val="center"/>
              <w:rPr>
                <w:rFonts w:hint="eastAsia" w:ascii="宋体" w:hAnsi="宋体" w:cs="宋体"/>
                <w:color w:val="000000"/>
                <w:highlight w:val="none"/>
              </w:rPr>
            </w:pPr>
            <w:r>
              <w:rPr>
                <w:rFonts w:hint="eastAsia" w:ascii="宋体" w:hAnsi="宋体" w:cs="宋体"/>
                <w:color w:val="000000"/>
                <w:highlight w:val="none"/>
              </w:rPr>
              <w:t>……</w:t>
            </w:r>
          </w:p>
        </w:tc>
        <w:tc>
          <w:tcPr>
            <w:tcW w:w="757" w:type="pct"/>
            <w:noWrap w:val="0"/>
            <w:vAlign w:val="center"/>
          </w:tcPr>
          <w:p w14:paraId="31DD732F">
            <w:pPr>
              <w:rPr>
                <w:rFonts w:hint="eastAsia" w:ascii="宋体" w:hAnsi="宋体" w:cs="宋体"/>
                <w:color w:val="000000"/>
                <w:highlight w:val="none"/>
              </w:rPr>
            </w:pPr>
          </w:p>
        </w:tc>
        <w:tc>
          <w:tcPr>
            <w:tcW w:w="953" w:type="pct"/>
            <w:noWrap w:val="0"/>
            <w:vAlign w:val="center"/>
          </w:tcPr>
          <w:p w14:paraId="1DEAEC1E">
            <w:pPr>
              <w:rPr>
                <w:rFonts w:hint="eastAsia" w:ascii="宋体" w:hAnsi="宋体" w:cs="宋体"/>
                <w:color w:val="000000"/>
                <w:highlight w:val="none"/>
              </w:rPr>
            </w:pPr>
          </w:p>
        </w:tc>
        <w:tc>
          <w:tcPr>
            <w:tcW w:w="644" w:type="pct"/>
            <w:noWrap w:val="0"/>
            <w:vAlign w:val="center"/>
          </w:tcPr>
          <w:p w14:paraId="4F97B608">
            <w:pPr>
              <w:rPr>
                <w:rFonts w:hint="eastAsia" w:ascii="宋体" w:hAnsi="宋体" w:cs="宋体"/>
                <w:color w:val="000000"/>
                <w:highlight w:val="none"/>
              </w:rPr>
            </w:pPr>
          </w:p>
        </w:tc>
        <w:tc>
          <w:tcPr>
            <w:tcW w:w="963" w:type="pct"/>
            <w:noWrap w:val="0"/>
            <w:vAlign w:val="center"/>
          </w:tcPr>
          <w:p w14:paraId="1A2284D0">
            <w:pPr>
              <w:rPr>
                <w:rFonts w:hint="eastAsia" w:ascii="宋体" w:hAnsi="宋体" w:cs="宋体"/>
                <w:color w:val="000000"/>
                <w:highlight w:val="none"/>
              </w:rPr>
            </w:pPr>
          </w:p>
        </w:tc>
        <w:tc>
          <w:tcPr>
            <w:tcW w:w="793" w:type="pct"/>
            <w:noWrap w:val="0"/>
            <w:vAlign w:val="top"/>
          </w:tcPr>
          <w:p w14:paraId="44BFBC36">
            <w:pPr>
              <w:rPr>
                <w:rFonts w:hint="eastAsia" w:ascii="宋体" w:hAnsi="宋体" w:cs="宋体"/>
                <w:color w:val="000000"/>
                <w:highlight w:val="none"/>
              </w:rPr>
            </w:pPr>
          </w:p>
        </w:tc>
        <w:tc>
          <w:tcPr>
            <w:tcW w:w="478" w:type="pct"/>
            <w:noWrap w:val="0"/>
            <w:vAlign w:val="center"/>
          </w:tcPr>
          <w:p w14:paraId="0A7B3A58">
            <w:pPr>
              <w:rPr>
                <w:rFonts w:hint="eastAsia" w:ascii="宋体" w:hAnsi="宋体" w:cs="宋体"/>
                <w:color w:val="000000"/>
                <w:highlight w:val="none"/>
              </w:rPr>
            </w:pPr>
          </w:p>
        </w:tc>
      </w:tr>
    </w:tbl>
    <w:p w14:paraId="7ADC43A2">
      <w:pPr>
        <w:widowControl/>
        <w:jc w:val="left"/>
        <w:rPr>
          <w:rFonts w:hint="eastAsia" w:ascii="宋体" w:hAnsi="宋体" w:cs="宋体"/>
          <w:color w:val="000000"/>
          <w:szCs w:val="21"/>
          <w:highlight w:val="none"/>
        </w:rPr>
      </w:pPr>
      <w:r>
        <w:rPr>
          <w:rFonts w:hint="eastAsia" w:ascii="宋体" w:hAnsi="宋体" w:cs="宋体"/>
          <w:color w:val="000000"/>
          <w:szCs w:val="21"/>
          <w:highlight w:val="none"/>
        </w:rPr>
        <w:t>注：应附合同协议书等材料（具体以评标办法章节要求为准），具体年份时间要求见评标办法章节。</w:t>
      </w:r>
    </w:p>
    <w:p w14:paraId="7B38E4F3">
      <w:pPr>
        <w:rPr>
          <w:rFonts w:hint="eastAsia" w:ascii="宋体" w:hAnsi="宋体" w:cs="宋体"/>
          <w:color w:val="000000"/>
          <w:highlight w:val="none"/>
          <w:lang w:bidi="en-US"/>
        </w:rPr>
      </w:pPr>
    </w:p>
    <w:p w14:paraId="6AF67D5E">
      <w:pPr>
        <w:rPr>
          <w:rFonts w:hint="eastAsia" w:ascii="宋体" w:hAnsi="宋体" w:cs="宋体"/>
          <w:color w:val="000000"/>
          <w:highlight w:val="none"/>
          <w:lang w:bidi="en-US"/>
        </w:rPr>
      </w:pPr>
    </w:p>
    <w:p w14:paraId="73F4040A">
      <w:pPr>
        <w:rPr>
          <w:rFonts w:hint="eastAsia" w:ascii="宋体" w:hAnsi="宋体" w:cs="宋体"/>
          <w:color w:val="000000"/>
          <w:highlight w:val="none"/>
          <w:lang w:bidi="en-US"/>
        </w:rPr>
        <w:sectPr>
          <w:footnotePr>
            <w:numFmt w:val="decimalEnclosedCircleChinese"/>
            <w:numRestart w:val="eachPage"/>
          </w:footnotePr>
          <w:pgSz w:w="11906" w:h="16838"/>
          <w:pgMar w:top="1134" w:right="1134" w:bottom="1134" w:left="1134" w:header="851" w:footer="851" w:gutter="0"/>
          <w:cols w:space="720" w:num="1"/>
          <w:docGrid w:linePitch="312" w:charSpace="0"/>
        </w:sectPr>
      </w:pPr>
    </w:p>
    <w:p w14:paraId="0B05E2D5">
      <w:pPr>
        <w:pStyle w:val="4"/>
        <w:tabs>
          <w:tab w:val="left" w:pos="1260"/>
        </w:tabs>
        <w:jc w:val="center"/>
        <w:rPr>
          <w:rFonts w:hint="eastAsia" w:cs="宋体"/>
          <w:color w:val="000000"/>
          <w:sz w:val="24"/>
          <w:highlight w:val="none"/>
          <w:lang w:eastAsia="zh-CN"/>
        </w:rPr>
      </w:pPr>
      <w:r>
        <w:rPr>
          <w:rFonts w:hint="eastAsia" w:cs="宋体"/>
          <w:color w:val="000000"/>
          <w:sz w:val="24"/>
          <w:highlight w:val="none"/>
          <w:lang w:eastAsia="zh-CN"/>
        </w:rPr>
        <w:t>（五）样品（如有）</w:t>
      </w:r>
    </w:p>
    <w:p w14:paraId="75A56AAC">
      <w:pPr>
        <w:jc w:val="center"/>
        <w:rPr>
          <w:rFonts w:hint="eastAsia"/>
          <w:color w:val="000000"/>
          <w:highlight w:val="none"/>
        </w:rPr>
      </w:pPr>
      <w:r>
        <w:rPr>
          <w:rFonts w:hint="eastAsia" w:ascii="宋体" w:hAnsi="宋体" w:cs="宋体"/>
          <w:color w:val="000000"/>
          <w:highlight w:val="none"/>
        </w:rPr>
        <w:t>如招标文件要求提供样品，请按规定提供。</w:t>
      </w:r>
    </w:p>
    <w:p w14:paraId="6FC55EC4">
      <w:pPr>
        <w:rPr>
          <w:color w:val="000000"/>
          <w:highlight w:val="none"/>
        </w:rPr>
      </w:pPr>
    </w:p>
    <w:p w14:paraId="5F52D05F">
      <w:pPr>
        <w:pStyle w:val="4"/>
        <w:tabs>
          <w:tab w:val="left" w:pos="1260"/>
        </w:tabs>
        <w:jc w:val="center"/>
        <w:rPr>
          <w:rFonts w:cs="宋体"/>
          <w:color w:val="000000"/>
          <w:sz w:val="24"/>
          <w:highlight w:val="none"/>
          <w:lang w:eastAsia="zh-CN"/>
        </w:rPr>
      </w:pPr>
      <w:r>
        <w:rPr>
          <w:rFonts w:hint="eastAsia" w:cs="宋体"/>
          <w:color w:val="000000"/>
          <w:sz w:val="24"/>
          <w:highlight w:val="none"/>
          <w:lang w:eastAsia="zh-CN"/>
        </w:rPr>
        <w:t>（六）其他材料</w:t>
      </w:r>
    </w:p>
    <w:p w14:paraId="6C1A19AF">
      <w:pPr>
        <w:widowControl/>
        <w:jc w:val="left"/>
        <w:rPr>
          <w:rFonts w:hint="eastAsia" w:ascii="宋体" w:hAnsi="宋体" w:cs="宋体"/>
          <w:color w:val="000000"/>
          <w:highlight w:val="none"/>
        </w:rPr>
      </w:pPr>
    </w:p>
    <w:p w14:paraId="68ACAD02">
      <w:pPr>
        <w:widowControl/>
        <w:jc w:val="right"/>
        <w:rPr>
          <w:rFonts w:hint="eastAsia" w:ascii="宋体" w:hAnsi="宋体" w:cs="宋体"/>
          <w:color w:val="000000"/>
          <w:highlight w:val="none"/>
        </w:rPr>
      </w:pPr>
      <w:r>
        <w:rPr>
          <w:rFonts w:hint="eastAsia" w:ascii="宋体" w:hAnsi="宋体" w:cs="宋体"/>
          <w:color w:val="000000"/>
          <w:highlight w:val="none"/>
          <w:u w:val="single"/>
          <w:lang w:bidi="en-US"/>
        </w:rPr>
        <w:t xml:space="preserve">                  </w:t>
      </w:r>
    </w:p>
    <w:p w14:paraId="665A6A6B">
      <w:pPr>
        <w:widowControl/>
        <w:jc w:val="left"/>
        <w:rPr>
          <w:rFonts w:hint="eastAsia" w:ascii="宋体" w:hAnsi="宋体" w:cs="宋体"/>
          <w:color w:val="000000"/>
          <w:highlight w:val="none"/>
        </w:rPr>
        <w:sectPr>
          <w:footnotePr>
            <w:numFmt w:val="decimalEnclosedCircleChinese"/>
            <w:numRestart w:val="eachPage"/>
          </w:footnotePr>
          <w:pgSz w:w="11906" w:h="16838"/>
          <w:pgMar w:top="1134" w:right="1134" w:bottom="1134" w:left="1134" w:header="851" w:footer="851" w:gutter="0"/>
          <w:cols w:space="720" w:num="1"/>
          <w:docGrid w:linePitch="312" w:charSpace="0"/>
        </w:sectPr>
      </w:pPr>
      <w:r>
        <w:rPr>
          <w:rFonts w:hint="eastAsia" w:ascii="宋体" w:hAnsi="宋体" w:cs="宋体"/>
          <w:color w:val="000000"/>
          <w:highlight w:val="none"/>
        </w:rPr>
        <w:br w:type="page"/>
      </w:r>
    </w:p>
    <w:p w14:paraId="46877A41">
      <w:pPr>
        <w:spacing w:line="360" w:lineRule="auto"/>
        <w:jc w:val="center"/>
        <w:outlineLvl w:val="1"/>
        <w:rPr>
          <w:rFonts w:hint="eastAsia" w:ascii="宋体" w:hAnsi="宋体"/>
          <w:b/>
          <w:color w:val="000000"/>
          <w:sz w:val="24"/>
          <w:highlight w:val="none"/>
        </w:rPr>
      </w:pPr>
      <w:bookmarkStart w:id="864" w:name="_Hlk11531103"/>
      <w:r>
        <w:rPr>
          <w:rStyle w:val="106"/>
          <w:rFonts w:hint="eastAsia" w:ascii="宋体" w:hAnsi="宋体" w:eastAsia="宋体" w:cs="宋体"/>
          <w:color w:val="000000"/>
          <w:sz w:val="30"/>
          <w:szCs w:val="30"/>
          <w:highlight w:val="none"/>
        </w:rPr>
        <w:t>十一、主要标的承诺函</w:t>
      </w:r>
    </w:p>
    <w:p w14:paraId="458A00CD">
      <w:pPr>
        <w:jc w:val="center"/>
        <w:rPr>
          <w:rFonts w:hint="eastAsia"/>
          <w:color w:val="000000"/>
          <w:highlight w:val="none"/>
        </w:rPr>
      </w:pPr>
      <w:r>
        <w:rPr>
          <w:rFonts w:hint="eastAsia" w:ascii="宋体" w:hAnsi="宋体"/>
          <w:b/>
          <w:color w:val="000000"/>
          <w:sz w:val="24"/>
          <w:highlight w:val="none"/>
        </w:rPr>
        <w:t>（列出招标文件标明</w:t>
      </w:r>
      <w:r>
        <w:rPr>
          <w:rFonts w:hint="eastAsia" w:ascii="仿宋" w:hAnsi="仿宋" w:eastAsia="仿宋" w:cs="仿宋"/>
          <w:color w:val="000000"/>
          <w:sz w:val="24"/>
          <w:highlight w:val="none"/>
        </w:rPr>
        <w:t>▲</w:t>
      </w:r>
      <w:r>
        <w:rPr>
          <w:rFonts w:hint="eastAsia" w:ascii="宋体" w:hAnsi="宋体"/>
          <w:b/>
          <w:color w:val="000000"/>
          <w:sz w:val="24"/>
          <w:highlight w:val="none"/>
        </w:rPr>
        <w:t>货物的信息）</w:t>
      </w:r>
    </w:p>
    <w:p w14:paraId="1AEBD7D1">
      <w:pPr>
        <w:widowControl/>
        <w:tabs>
          <w:tab w:val="left" w:leader="underscore" w:pos="2880"/>
        </w:tabs>
        <w:spacing w:line="360" w:lineRule="auto"/>
        <w:rPr>
          <w:rFonts w:hint="eastAsia" w:ascii="宋体" w:hAnsi="宋体" w:cs="宋体"/>
          <w:b/>
          <w:color w:val="000000"/>
          <w:szCs w:val="21"/>
          <w:highlight w:val="none"/>
        </w:rPr>
      </w:pPr>
      <w:r>
        <w:rPr>
          <w:rFonts w:hint="eastAsia" w:ascii="宋体" w:hAnsi="宋体" w:cs="宋体"/>
          <w:color w:val="000000"/>
          <w:szCs w:val="21"/>
          <w:highlight w:val="none"/>
        </w:rPr>
        <w:t>致：安徽省疾病预防控制中心（采购人名称)</w:t>
      </w:r>
    </w:p>
    <w:p w14:paraId="15E784C4">
      <w:pPr>
        <w:widowControl/>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u w:val="single"/>
        </w:rPr>
        <w:t xml:space="preserve">  安徽省招标集团股份有限公司  </w:t>
      </w:r>
      <w:r>
        <w:rPr>
          <w:rFonts w:hint="eastAsia" w:ascii="宋体" w:hAnsi="宋体" w:cs="宋体"/>
          <w:color w:val="000000"/>
          <w:szCs w:val="21"/>
          <w:highlight w:val="none"/>
        </w:rPr>
        <w:t>（采购代理名称)</w:t>
      </w:r>
    </w:p>
    <w:p w14:paraId="3EDF18D9">
      <w:pPr>
        <w:spacing w:line="360" w:lineRule="auto"/>
        <w:ind w:firstLine="435"/>
        <w:rPr>
          <w:rFonts w:ascii="宋体" w:hAnsi="宋体"/>
          <w:color w:val="000000"/>
          <w:szCs w:val="21"/>
          <w:highlight w:val="none"/>
        </w:rPr>
      </w:pPr>
      <w:r>
        <w:rPr>
          <w:rFonts w:hint="eastAsia" w:ascii="宋体" w:hAnsi="宋体"/>
          <w:color w:val="000000"/>
          <w:szCs w:val="21"/>
          <w:highlight w:val="none"/>
        </w:rPr>
        <w:t>我单位同意中标结果公告中公告以下主要标的信息并承诺：投标文件中所提供的主要标的信息均真实有效。若被发现存在任何虚假、隐瞒情况，我单位承担由此产生的一切后果。</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583"/>
        <w:gridCol w:w="1062"/>
        <w:gridCol w:w="1646"/>
        <w:gridCol w:w="1890"/>
        <w:gridCol w:w="1809"/>
        <w:gridCol w:w="1003"/>
      </w:tblGrid>
      <w:tr w14:paraId="5678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437" w:type="pct"/>
            <w:noWrap w:val="0"/>
            <w:vAlign w:val="center"/>
          </w:tcPr>
          <w:p w14:paraId="2A746253">
            <w:pPr>
              <w:widowControl/>
              <w:jc w:val="center"/>
              <w:rPr>
                <w:rFonts w:ascii="宋体" w:hAnsi="宋体"/>
                <w:color w:val="000000"/>
                <w:szCs w:val="21"/>
                <w:highlight w:val="none"/>
              </w:rPr>
            </w:pPr>
            <w:r>
              <w:rPr>
                <w:rFonts w:hint="eastAsia" w:ascii="宋体" w:hAnsi="宋体"/>
                <w:color w:val="000000"/>
                <w:szCs w:val="21"/>
                <w:highlight w:val="none"/>
              </w:rPr>
              <w:t>序号</w:t>
            </w:r>
          </w:p>
        </w:tc>
        <w:tc>
          <w:tcPr>
            <w:tcW w:w="803" w:type="pct"/>
            <w:noWrap w:val="0"/>
            <w:vAlign w:val="center"/>
          </w:tcPr>
          <w:p w14:paraId="75281568">
            <w:pPr>
              <w:widowControl/>
              <w:jc w:val="center"/>
              <w:rPr>
                <w:rFonts w:ascii="宋体" w:hAnsi="宋体"/>
                <w:color w:val="000000"/>
                <w:szCs w:val="21"/>
                <w:highlight w:val="none"/>
              </w:rPr>
            </w:pPr>
            <w:r>
              <w:rPr>
                <w:rFonts w:hint="eastAsia" w:ascii="宋体" w:hAnsi="宋体"/>
                <w:color w:val="000000"/>
                <w:szCs w:val="21"/>
                <w:highlight w:val="none"/>
              </w:rPr>
              <w:t>名称</w:t>
            </w:r>
          </w:p>
        </w:tc>
        <w:tc>
          <w:tcPr>
            <w:tcW w:w="539" w:type="pct"/>
            <w:noWrap w:val="0"/>
            <w:vAlign w:val="center"/>
          </w:tcPr>
          <w:p w14:paraId="70F4EC93">
            <w:pPr>
              <w:widowControl/>
              <w:jc w:val="center"/>
              <w:rPr>
                <w:rFonts w:ascii="宋体" w:hAnsi="宋体"/>
                <w:color w:val="000000"/>
                <w:szCs w:val="21"/>
                <w:highlight w:val="none"/>
              </w:rPr>
            </w:pPr>
            <w:r>
              <w:rPr>
                <w:rFonts w:hint="eastAsia" w:ascii="宋体" w:hAnsi="宋体"/>
                <w:color w:val="000000"/>
                <w:szCs w:val="21"/>
                <w:highlight w:val="none"/>
              </w:rPr>
              <w:t>品牌</w:t>
            </w:r>
          </w:p>
        </w:tc>
        <w:tc>
          <w:tcPr>
            <w:tcW w:w="835" w:type="pct"/>
            <w:noWrap w:val="0"/>
            <w:vAlign w:val="center"/>
          </w:tcPr>
          <w:p w14:paraId="28583462">
            <w:pPr>
              <w:widowControl/>
              <w:jc w:val="center"/>
              <w:rPr>
                <w:rFonts w:ascii="宋体" w:hAnsi="宋体"/>
                <w:color w:val="000000"/>
                <w:szCs w:val="21"/>
                <w:highlight w:val="none"/>
              </w:rPr>
            </w:pPr>
            <w:r>
              <w:rPr>
                <w:rFonts w:hint="eastAsia" w:ascii="宋体" w:hAnsi="宋体"/>
                <w:color w:val="000000"/>
                <w:szCs w:val="21"/>
                <w:highlight w:val="none"/>
              </w:rPr>
              <w:t>规格型号</w:t>
            </w:r>
          </w:p>
        </w:tc>
        <w:tc>
          <w:tcPr>
            <w:tcW w:w="959" w:type="pct"/>
            <w:noWrap w:val="0"/>
            <w:vAlign w:val="center"/>
          </w:tcPr>
          <w:p w14:paraId="3C16CC5C">
            <w:pPr>
              <w:widowControl/>
              <w:jc w:val="center"/>
              <w:rPr>
                <w:rFonts w:ascii="宋体" w:hAnsi="宋体"/>
                <w:color w:val="000000"/>
                <w:szCs w:val="21"/>
                <w:highlight w:val="none"/>
              </w:rPr>
            </w:pPr>
            <w:r>
              <w:rPr>
                <w:rFonts w:hint="eastAsia" w:ascii="宋体" w:hAnsi="宋体"/>
                <w:color w:val="000000"/>
                <w:szCs w:val="21"/>
                <w:highlight w:val="none"/>
              </w:rPr>
              <w:t>数量</w:t>
            </w:r>
          </w:p>
        </w:tc>
        <w:tc>
          <w:tcPr>
            <w:tcW w:w="918" w:type="pct"/>
            <w:noWrap w:val="0"/>
            <w:vAlign w:val="center"/>
          </w:tcPr>
          <w:p w14:paraId="3C8CD3DF">
            <w:pPr>
              <w:widowControl/>
              <w:jc w:val="center"/>
              <w:rPr>
                <w:rFonts w:ascii="宋体" w:hAnsi="宋体"/>
                <w:color w:val="000000"/>
                <w:szCs w:val="21"/>
                <w:highlight w:val="none"/>
              </w:rPr>
            </w:pPr>
            <w:r>
              <w:rPr>
                <w:rFonts w:hint="eastAsia" w:ascii="宋体" w:hAnsi="宋体"/>
                <w:color w:val="000000"/>
                <w:szCs w:val="21"/>
                <w:highlight w:val="none"/>
              </w:rPr>
              <w:t>单价</w:t>
            </w:r>
          </w:p>
        </w:tc>
        <w:tc>
          <w:tcPr>
            <w:tcW w:w="509" w:type="pct"/>
            <w:noWrap w:val="0"/>
            <w:vAlign w:val="center"/>
          </w:tcPr>
          <w:p w14:paraId="2D8967DA">
            <w:pPr>
              <w:widowControl/>
              <w:jc w:val="center"/>
              <w:rPr>
                <w:rFonts w:ascii="宋体" w:hAnsi="宋体"/>
                <w:color w:val="000000"/>
                <w:szCs w:val="21"/>
                <w:highlight w:val="none"/>
              </w:rPr>
            </w:pPr>
            <w:r>
              <w:rPr>
                <w:rFonts w:hint="eastAsia" w:ascii="宋体" w:hAnsi="宋体"/>
                <w:color w:val="000000"/>
                <w:szCs w:val="21"/>
                <w:highlight w:val="none"/>
              </w:rPr>
              <w:t>备注</w:t>
            </w:r>
          </w:p>
        </w:tc>
      </w:tr>
      <w:tr w14:paraId="29238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59602112">
            <w:pPr>
              <w:spacing w:line="360" w:lineRule="auto"/>
              <w:jc w:val="center"/>
              <w:rPr>
                <w:rFonts w:ascii="宋体" w:hAnsi="宋体"/>
                <w:color w:val="000000"/>
                <w:szCs w:val="21"/>
                <w:highlight w:val="none"/>
              </w:rPr>
            </w:pPr>
            <w:r>
              <w:rPr>
                <w:rFonts w:hint="eastAsia" w:ascii="宋体" w:hAnsi="宋体"/>
                <w:color w:val="000000"/>
                <w:szCs w:val="21"/>
                <w:highlight w:val="none"/>
              </w:rPr>
              <w:t>1</w:t>
            </w:r>
          </w:p>
        </w:tc>
        <w:tc>
          <w:tcPr>
            <w:tcW w:w="803" w:type="pct"/>
            <w:noWrap w:val="0"/>
            <w:vAlign w:val="center"/>
          </w:tcPr>
          <w:p w14:paraId="088A3EE7">
            <w:pPr>
              <w:spacing w:line="360" w:lineRule="auto"/>
              <w:rPr>
                <w:rFonts w:ascii="宋体" w:hAnsi="宋体"/>
                <w:color w:val="000000"/>
                <w:szCs w:val="21"/>
                <w:highlight w:val="none"/>
              </w:rPr>
            </w:pPr>
          </w:p>
        </w:tc>
        <w:tc>
          <w:tcPr>
            <w:tcW w:w="539" w:type="pct"/>
            <w:noWrap w:val="0"/>
            <w:vAlign w:val="center"/>
          </w:tcPr>
          <w:p w14:paraId="6C0FDA94">
            <w:pPr>
              <w:spacing w:line="360" w:lineRule="auto"/>
              <w:rPr>
                <w:rFonts w:ascii="宋体" w:hAnsi="宋体"/>
                <w:color w:val="000000"/>
                <w:szCs w:val="21"/>
                <w:highlight w:val="none"/>
              </w:rPr>
            </w:pPr>
          </w:p>
        </w:tc>
        <w:tc>
          <w:tcPr>
            <w:tcW w:w="835" w:type="pct"/>
            <w:noWrap w:val="0"/>
            <w:vAlign w:val="center"/>
          </w:tcPr>
          <w:p w14:paraId="015C227F">
            <w:pPr>
              <w:spacing w:line="360" w:lineRule="auto"/>
              <w:rPr>
                <w:rFonts w:ascii="宋体" w:hAnsi="宋体"/>
                <w:color w:val="000000"/>
                <w:szCs w:val="21"/>
                <w:highlight w:val="none"/>
              </w:rPr>
            </w:pPr>
          </w:p>
        </w:tc>
        <w:tc>
          <w:tcPr>
            <w:tcW w:w="959" w:type="pct"/>
            <w:noWrap w:val="0"/>
            <w:vAlign w:val="center"/>
          </w:tcPr>
          <w:p w14:paraId="21789DA7">
            <w:pPr>
              <w:spacing w:line="360" w:lineRule="auto"/>
              <w:rPr>
                <w:rFonts w:ascii="宋体" w:hAnsi="宋体"/>
                <w:color w:val="000000"/>
                <w:szCs w:val="21"/>
                <w:highlight w:val="none"/>
              </w:rPr>
            </w:pPr>
          </w:p>
        </w:tc>
        <w:tc>
          <w:tcPr>
            <w:tcW w:w="918" w:type="pct"/>
            <w:noWrap w:val="0"/>
            <w:vAlign w:val="center"/>
          </w:tcPr>
          <w:p w14:paraId="590D3B3A">
            <w:pPr>
              <w:spacing w:line="360" w:lineRule="auto"/>
              <w:rPr>
                <w:rFonts w:ascii="宋体" w:hAnsi="宋体"/>
                <w:color w:val="000000"/>
                <w:szCs w:val="21"/>
                <w:highlight w:val="none"/>
              </w:rPr>
            </w:pPr>
          </w:p>
        </w:tc>
        <w:tc>
          <w:tcPr>
            <w:tcW w:w="509" w:type="pct"/>
            <w:noWrap w:val="0"/>
            <w:vAlign w:val="center"/>
          </w:tcPr>
          <w:p w14:paraId="7004980A">
            <w:pPr>
              <w:spacing w:line="360" w:lineRule="auto"/>
              <w:rPr>
                <w:rFonts w:ascii="宋体" w:hAnsi="宋体"/>
                <w:color w:val="000000"/>
                <w:szCs w:val="21"/>
                <w:highlight w:val="none"/>
              </w:rPr>
            </w:pPr>
          </w:p>
        </w:tc>
      </w:tr>
      <w:tr w14:paraId="4516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69C12AFD">
            <w:pPr>
              <w:spacing w:line="360" w:lineRule="auto"/>
              <w:jc w:val="center"/>
              <w:rPr>
                <w:rFonts w:ascii="宋体" w:hAnsi="宋体"/>
                <w:color w:val="000000"/>
                <w:szCs w:val="21"/>
                <w:highlight w:val="none"/>
              </w:rPr>
            </w:pPr>
            <w:r>
              <w:rPr>
                <w:rFonts w:hint="eastAsia" w:ascii="宋体" w:hAnsi="宋体"/>
                <w:color w:val="000000"/>
                <w:szCs w:val="21"/>
                <w:highlight w:val="none"/>
              </w:rPr>
              <w:t>2</w:t>
            </w:r>
          </w:p>
        </w:tc>
        <w:tc>
          <w:tcPr>
            <w:tcW w:w="803" w:type="pct"/>
            <w:noWrap w:val="0"/>
            <w:vAlign w:val="center"/>
          </w:tcPr>
          <w:p w14:paraId="60543B57">
            <w:pPr>
              <w:spacing w:line="360" w:lineRule="auto"/>
              <w:rPr>
                <w:rFonts w:ascii="宋体" w:hAnsi="宋体"/>
                <w:color w:val="000000"/>
                <w:szCs w:val="21"/>
                <w:highlight w:val="none"/>
              </w:rPr>
            </w:pPr>
          </w:p>
        </w:tc>
        <w:tc>
          <w:tcPr>
            <w:tcW w:w="539" w:type="pct"/>
            <w:noWrap w:val="0"/>
            <w:vAlign w:val="center"/>
          </w:tcPr>
          <w:p w14:paraId="1BE23706">
            <w:pPr>
              <w:spacing w:line="360" w:lineRule="auto"/>
              <w:rPr>
                <w:rFonts w:ascii="宋体" w:hAnsi="宋体"/>
                <w:color w:val="000000"/>
                <w:szCs w:val="21"/>
                <w:highlight w:val="none"/>
              </w:rPr>
            </w:pPr>
          </w:p>
        </w:tc>
        <w:tc>
          <w:tcPr>
            <w:tcW w:w="835" w:type="pct"/>
            <w:noWrap w:val="0"/>
            <w:vAlign w:val="center"/>
          </w:tcPr>
          <w:p w14:paraId="4E65C6FB">
            <w:pPr>
              <w:spacing w:line="360" w:lineRule="auto"/>
              <w:rPr>
                <w:rFonts w:ascii="宋体" w:hAnsi="宋体"/>
                <w:color w:val="000000"/>
                <w:szCs w:val="21"/>
                <w:highlight w:val="none"/>
              </w:rPr>
            </w:pPr>
          </w:p>
        </w:tc>
        <w:tc>
          <w:tcPr>
            <w:tcW w:w="959" w:type="pct"/>
            <w:noWrap w:val="0"/>
            <w:vAlign w:val="center"/>
          </w:tcPr>
          <w:p w14:paraId="0593A5DF">
            <w:pPr>
              <w:spacing w:line="360" w:lineRule="auto"/>
              <w:rPr>
                <w:rFonts w:ascii="宋体" w:hAnsi="宋体"/>
                <w:color w:val="000000"/>
                <w:szCs w:val="21"/>
                <w:highlight w:val="none"/>
              </w:rPr>
            </w:pPr>
          </w:p>
        </w:tc>
        <w:tc>
          <w:tcPr>
            <w:tcW w:w="918" w:type="pct"/>
            <w:noWrap w:val="0"/>
            <w:vAlign w:val="center"/>
          </w:tcPr>
          <w:p w14:paraId="088818FA">
            <w:pPr>
              <w:spacing w:line="360" w:lineRule="auto"/>
              <w:rPr>
                <w:rFonts w:ascii="宋体" w:hAnsi="宋体"/>
                <w:color w:val="000000"/>
                <w:szCs w:val="21"/>
                <w:highlight w:val="none"/>
              </w:rPr>
            </w:pPr>
          </w:p>
        </w:tc>
        <w:tc>
          <w:tcPr>
            <w:tcW w:w="509" w:type="pct"/>
            <w:noWrap w:val="0"/>
            <w:vAlign w:val="center"/>
          </w:tcPr>
          <w:p w14:paraId="2464313A">
            <w:pPr>
              <w:spacing w:line="360" w:lineRule="auto"/>
              <w:rPr>
                <w:rFonts w:ascii="宋体" w:hAnsi="宋体"/>
                <w:color w:val="000000"/>
                <w:szCs w:val="21"/>
                <w:highlight w:val="none"/>
              </w:rPr>
            </w:pPr>
          </w:p>
        </w:tc>
      </w:tr>
      <w:tr w14:paraId="524B0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3ED7EF78">
            <w:pPr>
              <w:spacing w:line="360" w:lineRule="auto"/>
              <w:jc w:val="center"/>
              <w:rPr>
                <w:rFonts w:ascii="宋体" w:hAnsi="宋体"/>
                <w:color w:val="000000"/>
                <w:szCs w:val="21"/>
                <w:highlight w:val="none"/>
              </w:rPr>
            </w:pPr>
            <w:r>
              <w:rPr>
                <w:rFonts w:hint="eastAsia" w:ascii="宋体" w:hAnsi="宋体"/>
                <w:color w:val="000000"/>
                <w:szCs w:val="21"/>
                <w:highlight w:val="none"/>
              </w:rPr>
              <w:t>3</w:t>
            </w:r>
          </w:p>
        </w:tc>
        <w:tc>
          <w:tcPr>
            <w:tcW w:w="803" w:type="pct"/>
            <w:noWrap w:val="0"/>
            <w:vAlign w:val="center"/>
          </w:tcPr>
          <w:p w14:paraId="1942ECE8">
            <w:pPr>
              <w:spacing w:line="360" w:lineRule="auto"/>
              <w:rPr>
                <w:rFonts w:ascii="宋体" w:hAnsi="宋体"/>
                <w:color w:val="000000"/>
                <w:szCs w:val="21"/>
                <w:highlight w:val="none"/>
              </w:rPr>
            </w:pPr>
          </w:p>
        </w:tc>
        <w:tc>
          <w:tcPr>
            <w:tcW w:w="539" w:type="pct"/>
            <w:noWrap w:val="0"/>
            <w:vAlign w:val="center"/>
          </w:tcPr>
          <w:p w14:paraId="740BD46D">
            <w:pPr>
              <w:spacing w:line="360" w:lineRule="auto"/>
              <w:rPr>
                <w:rFonts w:ascii="宋体" w:hAnsi="宋体"/>
                <w:color w:val="000000"/>
                <w:szCs w:val="21"/>
                <w:highlight w:val="none"/>
              </w:rPr>
            </w:pPr>
          </w:p>
        </w:tc>
        <w:tc>
          <w:tcPr>
            <w:tcW w:w="835" w:type="pct"/>
            <w:noWrap w:val="0"/>
            <w:vAlign w:val="center"/>
          </w:tcPr>
          <w:p w14:paraId="553B9905">
            <w:pPr>
              <w:spacing w:line="360" w:lineRule="auto"/>
              <w:rPr>
                <w:rFonts w:ascii="宋体" w:hAnsi="宋体"/>
                <w:color w:val="000000"/>
                <w:szCs w:val="21"/>
                <w:highlight w:val="none"/>
              </w:rPr>
            </w:pPr>
          </w:p>
        </w:tc>
        <w:tc>
          <w:tcPr>
            <w:tcW w:w="959" w:type="pct"/>
            <w:noWrap w:val="0"/>
            <w:vAlign w:val="center"/>
          </w:tcPr>
          <w:p w14:paraId="74F26BA6">
            <w:pPr>
              <w:spacing w:line="360" w:lineRule="auto"/>
              <w:rPr>
                <w:rFonts w:ascii="宋体" w:hAnsi="宋体"/>
                <w:color w:val="000000"/>
                <w:szCs w:val="21"/>
                <w:highlight w:val="none"/>
              </w:rPr>
            </w:pPr>
          </w:p>
        </w:tc>
        <w:tc>
          <w:tcPr>
            <w:tcW w:w="918" w:type="pct"/>
            <w:noWrap w:val="0"/>
            <w:vAlign w:val="center"/>
          </w:tcPr>
          <w:p w14:paraId="49EADE6F">
            <w:pPr>
              <w:spacing w:line="360" w:lineRule="auto"/>
              <w:rPr>
                <w:rFonts w:ascii="宋体" w:hAnsi="宋体"/>
                <w:color w:val="000000"/>
                <w:szCs w:val="21"/>
                <w:highlight w:val="none"/>
              </w:rPr>
            </w:pPr>
          </w:p>
        </w:tc>
        <w:tc>
          <w:tcPr>
            <w:tcW w:w="509" w:type="pct"/>
            <w:noWrap w:val="0"/>
            <w:vAlign w:val="center"/>
          </w:tcPr>
          <w:p w14:paraId="7BA0E251">
            <w:pPr>
              <w:spacing w:line="360" w:lineRule="auto"/>
              <w:rPr>
                <w:rFonts w:ascii="宋体" w:hAnsi="宋体"/>
                <w:color w:val="000000"/>
                <w:szCs w:val="21"/>
                <w:highlight w:val="none"/>
              </w:rPr>
            </w:pPr>
          </w:p>
        </w:tc>
      </w:tr>
      <w:tr w14:paraId="7677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40764465">
            <w:pPr>
              <w:spacing w:line="360" w:lineRule="auto"/>
              <w:jc w:val="center"/>
              <w:rPr>
                <w:rFonts w:ascii="宋体" w:hAnsi="宋体"/>
                <w:color w:val="000000"/>
                <w:szCs w:val="21"/>
                <w:highlight w:val="none"/>
              </w:rPr>
            </w:pPr>
            <w:r>
              <w:rPr>
                <w:rFonts w:hint="eastAsia" w:ascii="宋体" w:hAnsi="宋体"/>
                <w:color w:val="000000"/>
                <w:szCs w:val="21"/>
                <w:highlight w:val="none"/>
              </w:rPr>
              <w:t>4</w:t>
            </w:r>
          </w:p>
        </w:tc>
        <w:tc>
          <w:tcPr>
            <w:tcW w:w="803" w:type="pct"/>
            <w:noWrap w:val="0"/>
            <w:vAlign w:val="center"/>
          </w:tcPr>
          <w:p w14:paraId="3B7DBC58">
            <w:pPr>
              <w:spacing w:line="360" w:lineRule="auto"/>
              <w:rPr>
                <w:rFonts w:ascii="宋体" w:hAnsi="宋体"/>
                <w:color w:val="000000"/>
                <w:szCs w:val="21"/>
                <w:highlight w:val="none"/>
              </w:rPr>
            </w:pPr>
          </w:p>
        </w:tc>
        <w:tc>
          <w:tcPr>
            <w:tcW w:w="539" w:type="pct"/>
            <w:noWrap w:val="0"/>
            <w:vAlign w:val="center"/>
          </w:tcPr>
          <w:p w14:paraId="51BB01FB">
            <w:pPr>
              <w:spacing w:line="360" w:lineRule="auto"/>
              <w:rPr>
                <w:rFonts w:ascii="宋体" w:hAnsi="宋体"/>
                <w:color w:val="000000"/>
                <w:szCs w:val="21"/>
                <w:highlight w:val="none"/>
              </w:rPr>
            </w:pPr>
          </w:p>
        </w:tc>
        <w:tc>
          <w:tcPr>
            <w:tcW w:w="835" w:type="pct"/>
            <w:noWrap w:val="0"/>
            <w:vAlign w:val="center"/>
          </w:tcPr>
          <w:p w14:paraId="23A94F79">
            <w:pPr>
              <w:spacing w:line="360" w:lineRule="auto"/>
              <w:rPr>
                <w:rFonts w:ascii="宋体" w:hAnsi="宋体"/>
                <w:color w:val="000000"/>
                <w:szCs w:val="21"/>
                <w:highlight w:val="none"/>
              </w:rPr>
            </w:pPr>
          </w:p>
        </w:tc>
        <w:tc>
          <w:tcPr>
            <w:tcW w:w="959" w:type="pct"/>
            <w:noWrap w:val="0"/>
            <w:vAlign w:val="center"/>
          </w:tcPr>
          <w:p w14:paraId="787F84FC">
            <w:pPr>
              <w:spacing w:line="360" w:lineRule="auto"/>
              <w:rPr>
                <w:rFonts w:ascii="宋体" w:hAnsi="宋体"/>
                <w:color w:val="000000"/>
                <w:szCs w:val="21"/>
                <w:highlight w:val="none"/>
              </w:rPr>
            </w:pPr>
          </w:p>
        </w:tc>
        <w:tc>
          <w:tcPr>
            <w:tcW w:w="918" w:type="pct"/>
            <w:noWrap w:val="0"/>
            <w:vAlign w:val="center"/>
          </w:tcPr>
          <w:p w14:paraId="70BA15BE">
            <w:pPr>
              <w:spacing w:line="360" w:lineRule="auto"/>
              <w:rPr>
                <w:rFonts w:ascii="宋体" w:hAnsi="宋体"/>
                <w:color w:val="000000"/>
                <w:szCs w:val="21"/>
                <w:highlight w:val="none"/>
              </w:rPr>
            </w:pPr>
          </w:p>
        </w:tc>
        <w:tc>
          <w:tcPr>
            <w:tcW w:w="509" w:type="pct"/>
            <w:noWrap w:val="0"/>
            <w:vAlign w:val="center"/>
          </w:tcPr>
          <w:p w14:paraId="7C7DAAA9">
            <w:pPr>
              <w:spacing w:line="360" w:lineRule="auto"/>
              <w:rPr>
                <w:rFonts w:ascii="宋体" w:hAnsi="宋体"/>
                <w:color w:val="000000"/>
                <w:szCs w:val="21"/>
                <w:highlight w:val="none"/>
              </w:rPr>
            </w:pPr>
          </w:p>
        </w:tc>
      </w:tr>
      <w:tr w14:paraId="286A0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2DA12003">
            <w:pPr>
              <w:spacing w:line="360" w:lineRule="auto"/>
              <w:jc w:val="center"/>
              <w:rPr>
                <w:rFonts w:ascii="宋体" w:hAnsi="宋体"/>
                <w:color w:val="000000"/>
                <w:szCs w:val="21"/>
                <w:highlight w:val="none"/>
              </w:rPr>
            </w:pPr>
            <w:r>
              <w:rPr>
                <w:rFonts w:hint="eastAsia" w:ascii="宋体" w:hAnsi="宋体"/>
                <w:color w:val="000000"/>
                <w:szCs w:val="21"/>
                <w:highlight w:val="none"/>
              </w:rPr>
              <w:t>5</w:t>
            </w:r>
          </w:p>
        </w:tc>
        <w:tc>
          <w:tcPr>
            <w:tcW w:w="803" w:type="pct"/>
            <w:noWrap w:val="0"/>
            <w:vAlign w:val="center"/>
          </w:tcPr>
          <w:p w14:paraId="5A204C33">
            <w:pPr>
              <w:spacing w:line="360" w:lineRule="auto"/>
              <w:rPr>
                <w:rFonts w:ascii="宋体" w:hAnsi="宋体"/>
                <w:color w:val="000000"/>
                <w:szCs w:val="21"/>
                <w:highlight w:val="none"/>
              </w:rPr>
            </w:pPr>
          </w:p>
        </w:tc>
        <w:tc>
          <w:tcPr>
            <w:tcW w:w="539" w:type="pct"/>
            <w:noWrap w:val="0"/>
            <w:vAlign w:val="center"/>
          </w:tcPr>
          <w:p w14:paraId="4CF1BF20">
            <w:pPr>
              <w:spacing w:line="360" w:lineRule="auto"/>
              <w:rPr>
                <w:rFonts w:ascii="宋体" w:hAnsi="宋体"/>
                <w:color w:val="000000"/>
                <w:szCs w:val="21"/>
                <w:highlight w:val="none"/>
              </w:rPr>
            </w:pPr>
          </w:p>
        </w:tc>
        <w:tc>
          <w:tcPr>
            <w:tcW w:w="835" w:type="pct"/>
            <w:noWrap w:val="0"/>
            <w:vAlign w:val="center"/>
          </w:tcPr>
          <w:p w14:paraId="574538F7">
            <w:pPr>
              <w:spacing w:line="360" w:lineRule="auto"/>
              <w:rPr>
                <w:rFonts w:ascii="宋体" w:hAnsi="宋体"/>
                <w:color w:val="000000"/>
                <w:szCs w:val="21"/>
                <w:highlight w:val="none"/>
              </w:rPr>
            </w:pPr>
          </w:p>
        </w:tc>
        <w:tc>
          <w:tcPr>
            <w:tcW w:w="959" w:type="pct"/>
            <w:noWrap w:val="0"/>
            <w:vAlign w:val="center"/>
          </w:tcPr>
          <w:p w14:paraId="40B7CD6E">
            <w:pPr>
              <w:spacing w:line="360" w:lineRule="auto"/>
              <w:rPr>
                <w:rFonts w:ascii="宋体" w:hAnsi="宋体"/>
                <w:color w:val="000000"/>
                <w:szCs w:val="21"/>
                <w:highlight w:val="none"/>
              </w:rPr>
            </w:pPr>
          </w:p>
        </w:tc>
        <w:tc>
          <w:tcPr>
            <w:tcW w:w="918" w:type="pct"/>
            <w:noWrap w:val="0"/>
            <w:vAlign w:val="center"/>
          </w:tcPr>
          <w:p w14:paraId="1CBD44F9">
            <w:pPr>
              <w:spacing w:line="360" w:lineRule="auto"/>
              <w:rPr>
                <w:rFonts w:ascii="宋体" w:hAnsi="宋体"/>
                <w:color w:val="000000"/>
                <w:szCs w:val="21"/>
                <w:highlight w:val="none"/>
              </w:rPr>
            </w:pPr>
          </w:p>
        </w:tc>
        <w:tc>
          <w:tcPr>
            <w:tcW w:w="509" w:type="pct"/>
            <w:noWrap w:val="0"/>
            <w:vAlign w:val="center"/>
          </w:tcPr>
          <w:p w14:paraId="0A4FABD6">
            <w:pPr>
              <w:spacing w:line="360" w:lineRule="auto"/>
              <w:rPr>
                <w:rFonts w:ascii="宋体" w:hAnsi="宋体"/>
                <w:color w:val="000000"/>
                <w:szCs w:val="21"/>
                <w:highlight w:val="none"/>
              </w:rPr>
            </w:pPr>
          </w:p>
        </w:tc>
      </w:tr>
      <w:tr w14:paraId="44752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7" w:type="pct"/>
            <w:noWrap w:val="0"/>
            <w:vAlign w:val="center"/>
          </w:tcPr>
          <w:p w14:paraId="54A0E174">
            <w:pPr>
              <w:spacing w:line="360" w:lineRule="auto"/>
              <w:jc w:val="center"/>
              <w:rPr>
                <w:rFonts w:ascii="宋体" w:hAnsi="宋体"/>
                <w:color w:val="000000"/>
                <w:szCs w:val="21"/>
                <w:highlight w:val="none"/>
              </w:rPr>
            </w:pPr>
            <w:r>
              <w:rPr>
                <w:rFonts w:hint="eastAsia" w:ascii="宋体" w:hAnsi="宋体"/>
                <w:color w:val="000000"/>
                <w:szCs w:val="21"/>
                <w:highlight w:val="none"/>
              </w:rPr>
              <w:t>……</w:t>
            </w:r>
          </w:p>
        </w:tc>
        <w:tc>
          <w:tcPr>
            <w:tcW w:w="803" w:type="pct"/>
            <w:noWrap w:val="0"/>
            <w:vAlign w:val="center"/>
          </w:tcPr>
          <w:p w14:paraId="1F1F9AFB">
            <w:pPr>
              <w:spacing w:line="360" w:lineRule="auto"/>
              <w:rPr>
                <w:rFonts w:ascii="宋体" w:hAnsi="宋体"/>
                <w:color w:val="000000"/>
                <w:szCs w:val="21"/>
                <w:highlight w:val="none"/>
              </w:rPr>
            </w:pPr>
          </w:p>
        </w:tc>
        <w:tc>
          <w:tcPr>
            <w:tcW w:w="539" w:type="pct"/>
            <w:noWrap w:val="0"/>
            <w:vAlign w:val="center"/>
          </w:tcPr>
          <w:p w14:paraId="0224CCE3">
            <w:pPr>
              <w:spacing w:line="360" w:lineRule="auto"/>
              <w:rPr>
                <w:rFonts w:ascii="宋体" w:hAnsi="宋体"/>
                <w:color w:val="000000"/>
                <w:szCs w:val="21"/>
                <w:highlight w:val="none"/>
              </w:rPr>
            </w:pPr>
          </w:p>
        </w:tc>
        <w:tc>
          <w:tcPr>
            <w:tcW w:w="835" w:type="pct"/>
            <w:noWrap w:val="0"/>
            <w:vAlign w:val="center"/>
          </w:tcPr>
          <w:p w14:paraId="0C947EF6">
            <w:pPr>
              <w:spacing w:line="360" w:lineRule="auto"/>
              <w:rPr>
                <w:rFonts w:ascii="宋体" w:hAnsi="宋体"/>
                <w:color w:val="000000"/>
                <w:szCs w:val="21"/>
                <w:highlight w:val="none"/>
              </w:rPr>
            </w:pPr>
          </w:p>
        </w:tc>
        <w:tc>
          <w:tcPr>
            <w:tcW w:w="959" w:type="pct"/>
            <w:noWrap w:val="0"/>
            <w:vAlign w:val="center"/>
          </w:tcPr>
          <w:p w14:paraId="2D3E8C54">
            <w:pPr>
              <w:spacing w:line="360" w:lineRule="auto"/>
              <w:rPr>
                <w:rFonts w:ascii="宋体" w:hAnsi="宋体"/>
                <w:color w:val="000000"/>
                <w:szCs w:val="21"/>
                <w:highlight w:val="none"/>
              </w:rPr>
            </w:pPr>
          </w:p>
        </w:tc>
        <w:tc>
          <w:tcPr>
            <w:tcW w:w="918" w:type="pct"/>
            <w:noWrap w:val="0"/>
            <w:vAlign w:val="center"/>
          </w:tcPr>
          <w:p w14:paraId="442E238E">
            <w:pPr>
              <w:spacing w:line="360" w:lineRule="auto"/>
              <w:rPr>
                <w:rFonts w:ascii="宋体" w:hAnsi="宋体"/>
                <w:color w:val="000000"/>
                <w:szCs w:val="21"/>
                <w:highlight w:val="none"/>
              </w:rPr>
            </w:pPr>
          </w:p>
        </w:tc>
        <w:tc>
          <w:tcPr>
            <w:tcW w:w="509" w:type="pct"/>
            <w:noWrap w:val="0"/>
            <w:vAlign w:val="center"/>
          </w:tcPr>
          <w:p w14:paraId="01EF9682">
            <w:pPr>
              <w:spacing w:line="360" w:lineRule="auto"/>
              <w:rPr>
                <w:rFonts w:ascii="宋体" w:hAnsi="宋体"/>
                <w:color w:val="000000"/>
                <w:szCs w:val="21"/>
                <w:highlight w:val="none"/>
              </w:rPr>
            </w:pPr>
          </w:p>
        </w:tc>
      </w:tr>
    </w:tbl>
    <w:p w14:paraId="2B9A8260">
      <w:pPr>
        <w:adjustRightInd w:val="0"/>
        <w:snapToGrid w:val="0"/>
        <w:spacing w:line="360" w:lineRule="auto"/>
        <w:rPr>
          <w:rFonts w:ascii="宋体" w:hAnsi="宋体"/>
          <w:b/>
          <w:bCs/>
          <w:color w:val="000000"/>
          <w:szCs w:val="21"/>
          <w:highlight w:val="none"/>
        </w:rPr>
      </w:pPr>
    </w:p>
    <w:p w14:paraId="50E817A5">
      <w:pPr>
        <w:adjustRightInd w:val="0"/>
        <w:snapToGrid w:val="0"/>
        <w:spacing w:line="360" w:lineRule="auto"/>
        <w:rPr>
          <w:rFonts w:ascii="宋体" w:hAnsi="宋体"/>
          <w:b/>
          <w:bCs/>
          <w:color w:val="000000"/>
          <w:szCs w:val="21"/>
          <w:highlight w:val="none"/>
        </w:rPr>
      </w:pPr>
      <w:r>
        <w:rPr>
          <w:rFonts w:hint="eastAsia" w:ascii="宋体" w:hAnsi="宋体"/>
          <w:b/>
          <w:bCs/>
          <w:color w:val="000000"/>
          <w:szCs w:val="21"/>
          <w:highlight w:val="none"/>
        </w:rPr>
        <w:t>备注：</w:t>
      </w:r>
    </w:p>
    <w:p w14:paraId="3F5C8129">
      <w:pPr>
        <w:spacing w:line="360" w:lineRule="auto"/>
        <w:ind w:firstLine="435"/>
        <w:rPr>
          <w:rFonts w:ascii="宋体" w:hAnsi="宋体"/>
          <w:bCs/>
          <w:color w:val="000000"/>
          <w:szCs w:val="21"/>
          <w:highlight w:val="none"/>
        </w:rPr>
      </w:pPr>
      <w:r>
        <w:rPr>
          <w:rFonts w:hint="eastAsia" w:ascii="宋体" w:hAnsi="宋体"/>
          <w:bCs/>
          <w:color w:val="000000"/>
          <w:szCs w:val="21"/>
          <w:highlight w:val="none"/>
        </w:rPr>
        <w:t>1.</w:t>
      </w:r>
      <w:r>
        <w:rPr>
          <w:rFonts w:hint="eastAsia" w:ascii="宋体" w:hAnsi="宋体"/>
          <w:color w:val="000000"/>
          <w:szCs w:val="21"/>
          <w:highlight w:val="none"/>
        </w:rPr>
        <w:t>表中所列内容为满足本项目要求的</w:t>
      </w:r>
      <w:r>
        <w:rPr>
          <w:rFonts w:hint="eastAsia" w:ascii="宋体" w:hAnsi="宋体"/>
          <w:bCs/>
          <w:color w:val="000000"/>
          <w:szCs w:val="21"/>
          <w:highlight w:val="none"/>
        </w:rPr>
        <w:t>主要标的信息；</w:t>
      </w:r>
    </w:p>
    <w:p w14:paraId="32C202B7">
      <w:pPr>
        <w:spacing w:line="360" w:lineRule="auto"/>
        <w:ind w:firstLine="435"/>
        <w:rPr>
          <w:rFonts w:ascii="宋体" w:hAnsi="宋体"/>
          <w:color w:val="000000"/>
          <w:szCs w:val="21"/>
          <w:highlight w:val="none"/>
        </w:rPr>
      </w:pPr>
      <w:r>
        <w:rPr>
          <w:rFonts w:hint="eastAsia" w:ascii="宋体" w:hAnsi="宋体"/>
          <w:bCs/>
          <w:color w:val="000000"/>
          <w:szCs w:val="21"/>
          <w:highlight w:val="none"/>
        </w:rPr>
        <w:t>2.</w:t>
      </w:r>
      <w:r>
        <w:rPr>
          <w:rFonts w:hint="eastAsia" w:ascii="宋体" w:hAnsi="宋体"/>
          <w:color w:val="000000"/>
          <w:szCs w:val="21"/>
          <w:highlight w:val="none"/>
        </w:rPr>
        <w:t>中标人提供的以上承诺情况（含名称、品牌、规格型号、数量、单价），经评标委员会确认后，将按约定随中标结果公告同时公告。</w:t>
      </w:r>
    </w:p>
    <w:bookmarkEnd w:id="864"/>
    <w:p w14:paraId="06D95436">
      <w:pPr>
        <w:pStyle w:val="3"/>
        <w:widowControl/>
        <w:spacing w:before="120" w:after="120" w:line="240" w:lineRule="auto"/>
        <w:jc w:val="center"/>
        <w:rPr>
          <w:rStyle w:val="106"/>
          <w:rFonts w:hint="eastAsia" w:ascii="宋体" w:hAnsi="宋体" w:eastAsia="宋体" w:cs="宋体"/>
          <w:b/>
          <w:bCs/>
          <w:color w:val="000000"/>
          <w:sz w:val="30"/>
          <w:szCs w:val="30"/>
          <w:highlight w:val="none"/>
        </w:rPr>
      </w:pPr>
      <w:r>
        <w:rPr>
          <w:rStyle w:val="106"/>
          <w:rFonts w:hint="eastAsia" w:ascii="宋体" w:hAnsi="宋体" w:eastAsia="宋体" w:cs="宋体"/>
          <w:b/>
          <w:bCs/>
          <w:color w:val="000000"/>
          <w:sz w:val="30"/>
          <w:szCs w:val="30"/>
          <w:highlight w:val="none"/>
        </w:rPr>
        <w:br w:type="page"/>
      </w:r>
      <w:r>
        <w:rPr>
          <w:rStyle w:val="106"/>
          <w:rFonts w:hint="eastAsia" w:ascii="宋体" w:hAnsi="宋体" w:eastAsia="宋体" w:cs="宋体"/>
          <w:b/>
          <w:bCs/>
          <w:color w:val="000000"/>
          <w:sz w:val="30"/>
          <w:szCs w:val="30"/>
          <w:highlight w:val="none"/>
        </w:rPr>
        <w:t>十二、投标人认为应该提供的其他资料</w:t>
      </w:r>
    </w:p>
    <w:p w14:paraId="77AD577F">
      <w:pPr>
        <w:widowControl/>
        <w:jc w:val="left"/>
        <w:rPr>
          <w:rFonts w:hint="eastAsia" w:ascii="宋体" w:hAnsi="宋体" w:cs="宋体"/>
          <w:color w:val="000000"/>
          <w:szCs w:val="21"/>
          <w:highlight w:val="none"/>
        </w:rPr>
      </w:pPr>
    </w:p>
    <w:sectPr>
      <w:footerReference r:id="rId12" w:type="even"/>
      <w:footnotePr>
        <w:numFmt w:val="decimalEnclosedCircleChinese"/>
        <w:numRestart w:val="eachPage"/>
      </w:footnotePr>
      <w:pgSz w:w="11906" w:h="16838"/>
      <w:pgMar w:top="1134" w:right="1134" w:bottom="1134" w:left="1134"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PMingLiU">
    <w:altName w:val="Microsoft JhengHei"/>
    <w:panose1 w:val="02010601000101010101"/>
    <w:charset w:val="88"/>
    <w:family w:val="auto"/>
    <w:pitch w:val="default"/>
    <w:sig w:usb0="00000000" w:usb1="08080000" w:usb2="00000010" w:usb3="00000000" w:csb0="00100000" w:csb1="00000000"/>
  </w:font>
  <w:font w:name="monospace">
    <w:altName w:val="Segoe Print"/>
    <w:panose1 w:val="00000000000000000000"/>
    <w:charset w:val="00"/>
    <w:family w:val="auto"/>
    <w:pitch w:val="default"/>
    <w:sig w:usb0="00000000" w:usb1="00000000" w:usb2="00000000" w:usb3="00000000" w:csb0="00040001" w:csb1="00000000"/>
  </w:font>
  <w:font w:name="华文楷体">
    <w:panose1 w:val="02010600040101010101"/>
    <w:charset w:val="86"/>
    <w:family w:val="auto"/>
    <w:pitch w:val="default"/>
    <w:sig w:usb0="00000287" w:usb1="080F0000" w:usb2="00000000" w:usb3="00000000" w:csb0="0004009F" w:csb1="DFD70000"/>
  </w:font>
  <w:font w:name="方正书宋简体">
    <w:altName w:val="宋体"/>
    <w:panose1 w:val="00000000000000000000"/>
    <w:charset w:val="86"/>
    <w:family w:val="auto"/>
    <w:pitch w:val="default"/>
    <w:sig w:usb0="00000001" w:usb1="080E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Arial"/>
    <w:panose1 w:val="020B0604020202020204"/>
    <w:charset w:val="00"/>
    <w:family w:val="roman"/>
    <w:pitch w:val="default"/>
    <w:sig w:usb0="00000003"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Microsoft JhengHei">
    <w:panose1 w:val="020B0604030504040204"/>
    <w:charset w:val="88"/>
    <w:family w:val="swiss"/>
    <w:pitch w:val="default"/>
    <w:sig w:usb0="000002A7" w:usb1="28CF4400" w:usb2="00000016" w:usb3="00000000" w:csb0="00100009" w:csb1="00000000"/>
  </w:font>
  <w:font w:name="MS Mincho">
    <w:altName w:val="Yu Gothic UI"/>
    <w:panose1 w:val="02020609040205080304"/>
    <w:charset w:val="80"/>
    <w:family w:val="roman"/>
    <w:pitch w:val="default"/>
    <w:sig w:usb0="00000001" w:usb1="08070000" w:usb2="00000010" w:usb3="00000000" w:csb0="00020000" w:csb1="00000000"/>
  </w:font>
  <w:font w:name="ˎ̥">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01776">
    <w:pPr>
      <w:pStyle w:val="30"/>
      <w:jc w:val="center"/>
      <w:rPr>
        <w:rFonts w:ascii="宋体" w:hAnsi="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37FB0">
    <w:pPr>
      <w:pStyle w:val="30"/>
      <w:framePr w:wrap="around" w:vAnchor="text" w:hAnchor="margin" w:xAlign="center" w:y="1"/>
      <w:rPr>
        <w:rStyle w:val="52"/>
      </w:rPr>
    </w:pPr>
    <w:r>
      <w:fldChar w:fldCharType="begin"/>
    </w:r>
    <w:r>
      <w:rPr>
        <w:rStyle w:val="52"/>
      </w:rPr>
      <w:instrText xml:space="preserve">PAGE  </w:instrText>
    </w:r>
    <w:r>
      <w:fldChar w:fldCharType="separate"/>
    </w:r>
    <w:r>
      <w:fldChar w:fldCharType="end"/>
    </w:r>
  </w:p>
  <w:p w14:paraId="7AD5CF1E">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E1078">
    <w:pPr>
      <w:pStyle w:val="30"/>
      <w:jc w:val="center"/>
      <w:rPr>
        <w:rFonts w:ascii="宋体" w:hAnsi="宋体"/>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CE518">
    <w:pPr>
      <w:pStyle w:val="30"/>
      <w:rPr>
        <w:rFonts w:ascii="宋体" w:hAnsi="宋体"/>
        <w:sz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86C07">
    <w:pPr>
      <w:pStyle w:val="30"/>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14</w:t>
    </w:r>
    <w:r>
      <w:rPr>
        <w:rFonts w:ascii="宋体" w:hAnsi="宋体"/>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AC7A8">
    <w:pPr>
      <w:pStyle w:val="30"/>
      <w:jc w:val="center"/>
      <w:rPr>
        <w:rFonts w:ascii="宋体" w:hAnsi="宋体"/>
        <w:sz w:val="24"/>
      </w:rPr>
    </w:pPr>
    <w:r>
      <w:rPr>
        <w:rFonts w:ascii="宋体" w:hAnsi="宋体"/>
        <w:sz w:val="24"/>
      </w:rPr>
      <w:fldChar w:fldCharType="begin"/>
    </w:r>
    <w:r>
      <w:rPr>
        <w:rFonts w:ascii="宋体" w:hAnsi="宋体"/>
        <w:sz w:val="24"/>
      </w:rPr>
      <w:instrText xml:space="preserve">PAGE   \* MERGEFORMAT</w:instrText>
    </w:r>
    <w:r>
      <w:rPr>
        <w:rFonts w:ascii="宋体" w:hAnsi="宋体"/>
        <w:sz w:val="24"/>
      </w:rPr>
      <w:fldChar w:fldCharType="separate"/>
    </w:r>
    <w:r>
      <w:rPr>
        <w:rFonts w:ascii="宋体" w:hAnsi="宋体"/>
        <w:sz w:val="24"/>
        <w:lang w:val="zh-CN"/>
      </w:rPr>
      <w:t>2</w:t>
    </w:r>
    <w:r>
      <w:rPr>
        <w:rFonts w:ascii="宋体" w:hAnsi="宋体"/>
        <w:sz w:val="24"/>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FF33D">
    <w:pPr>
      <w:pStyle w:val="30"/>
      <w:framePr w:wrap="around" w:vAnchor="text" w:hAnchor="margin" w:xAlign="center" w:y="1"/>
      <w:rPr>
        <w:rStyle w:val="52"/>
      </w:rPr>
    </w:pPr>
    <w:r>
      <w:fldChar w:fldCharType="begin"/>
    </w:r>
    <w:r>
      <w:rPr>
        <w:rStyle w:val="52"/>
      </w:rPr>
      <w:instrText xml:space="preserve">PAGE  </w:instrText>
    </w:r>
    <w:r>
      <w:fldChar w:fldCharType="separate"/>
    </w:r>
    <w:r>
      <w:fldChar w:fldCharType="end"/>
    </w:r>
  </w:p>
  <w:p w14:paraId="4991B822">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0D1FF">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FEDB2">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C3700">
    <w:pPr>
      <w:pStyle w:val="31"/>
      <w:jc w:val="left"/>
      <w:rPr>
        <w:sz w:val="21"/>
      </w:rPr>
    </w:pPr>
    <w:r>
      <w:rPr>
        <w:rFonts w:hint="eastAsia"/>
        <w:sz w:val="21"/>
      </w:rPr>
      <w:t xml:space="preserve">        项目名称                                             安徽省招标集团股份有限公司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7C96A"/>
    <w:multiLevelType w:val="singleLevel"/>
    <w:tmpl w:val="9F17C96A"/>
    <w:lvl w:ilvl="0" w:tentative="0">
      <w:start w:val="1"/>
      <w:numFmt w:val="bullet"/>
      <w:pStyle w:val="21"/>
      <w:lvlText w:val=""/>
      <w:lvlJc w:val="left"/>
      <w:pPr>
        <w:tabs>
          <w:tab w:val="left" w:pos="780"/>
        </w:tabs>
        <w:ind w:left="780" w:hanging="360"/>
      </w:pPr>
      <w:rPr>
        <w:rFonts w:hint="default" w:ascii="Wingdings" w:hAnsi="Wingdings"/>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D7CA6A8"/>
    <w:multiLevelType w:val="singleLevel"/>
    <w:tmpl w:val="CD7CA6A8"/>
    <w:lvl w:ilvl="0" w:tentative="0">
      <w:start w:val="1"/>
      <w:numFmt w:val="chineseCounting"/>
      <w:suff w:val="nothing"/>
      <w:lvlText w:val="%1、"/>
      <w:lvlJc w:val="left"/>
      <w:rPr>
        <w:rFonts w:hint="eastAsia"/>
        <w:color w:val="000000"/>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36A293FE"/>
    <w:multiLevelType w:val="singleLevel"/>
    <w:tmpl w:val="36A293FE"/>
    <w:lvl w:ilvl="0" w:tentative="0">
      <w:start w:val="4"/>
      <w:numFmt w:val="chineseCounting"/>
      <w:suff w:val="nothing"/>
      <w:lvlText w:val="（%1）"/>
      <w:lvlJc w:val="left"/>
      <w:rPr>
        <w:rFonts w:hint="eastAsia"/>
      </w:rPr>
    </w:lvl>
  </w:abstractNum>
  <w:abstractNum w:abstractNumId="9">
    <w:nsid w:val="7A0F6431"/>
    <w:multiLevelType w:val="singleLevel"/>
    <w:tmpl w:val="7A0F6431"/>
    <w:lvl w:ilvl="0" w:tentative="0">
      <w:start w:val="1"/>
      <w:numFmt w:val="decimal"/>
      <w:suff w:val="space"/>
      <w:lvlText w:val="%1."/>
      <w:lvlJc w:val="left"/>
    </w:lvl>
  </w:abstractNum>
  <w:num w:numId="1">
    <w:abstractNumId w:val="0"/>
  </w:num>
  <w:num w:numId="2">
    <w:abstractNumId w:val="9"/>
  </w:num>
  <w:num w:numId="3">
    <w:abstractNumId w:val="3"/>
  </w:num>
  <w:num w:numId="4">
    <w:abstractNumId w:val="7"/>
  </w:num>
  <w:num w:numId="5">
    <w:abstractNumId w:val="5"/>
  </w:num>
  <w:num w:numId="6">
    <w:abstractNumId w:val="4"/>
  </w:num>
  <w:num w:numId="7">
    <w:abstractNumId w:val="1"/>
  </w:num>
  <w:num w:numId="8">
    <w:abstractNumId w:val="6"/>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ZWY5YTRiNjUyOGY0NGQ4NjBlZDczYzUzYzRkOTYifQ=="/>
  </w:docVars>
  <w:rsids>
    <w:rsidRoot w:val="00172A27"/>
    <w:rsid w:val="00000EE6"/>
    <w:rsid w:val="000015DE"/>
    <w:rsid w:val="00003E42"/>
    <w:rsid w:val="00004E49"/>
    <w:rsid w:val="0000515D"/>
    <w:rsid w:val="000051EC"/>
    <w:rsid w:val="00005B16"/>
    <w:rsid w:val="00005E04"/>
    <w:rsid w:val="000072C9"/>
    <w:rsid w:val="0000746E"/>
    <w:rsid w:val="00010114"/>
    <w:rsid w:val="0001038B"/>
    <w:rsid w:val="00010F47"/>
    <w:rsid w:val="00011B83"/>
    <w:rsid w:val="000124DF"/>
    <w:rsid w:val="00012C66"/>
    <w:rsid w:val="00012FFE"/>
    <w:rsid w:val="00013B67"/>
    <w:rsid w:val="000155DE"/>
    <w:rsid w:val="00020481"/>
    <w:rsid w:val="000218DB"/>
    <w:rsid w:val="00023016"/>
    <w:rsid w:val="00023307"/>
    <w:rsid w:val="0002356B"/>
    <w:rsid w:val="000246C1"/>
    <w:rsid w:val="00024F3F"/>
    <w:rsid w:val="000255A6"/>
    <w:rsid w:val="0002561E"/>
    <w:rsid w:val="00025A74"/>
    <w:rsid w:val="00025AC2"/>
    <w:rsid w:val="00026830"/>
    <w:rsid w:val="00027256"/>
    <w:rsid w:val="0002748A"/>
    <w:rsid w:val="0002784F"/>
    <w:rsid w:val="00031C00"/>
    <w:rsid w:val="00032599"/>
    <w:rsid w:val="0003297D"/>
    <w:rsid w:val="00033736"/>
    <w:rsid w:val="00034B9D"/>
    <w:rsid w:val="00036A83"/>
    <w:rsid w:val="000375C2"/>
    <w:rsid w:val="00037C3C"/>
    <w:rsid w:val="000404FE"/>
    <w:rsid w:val="00041449"/>
    <w:rsid w:val="00041A26"/>
    <w:rsid w:val="0004245A"/>
    <w:rsid w:val="000427C4"/>
    <w:rsid w:val="00042C11"/>
    <w:rsid w:val="00043439"/>
    <w:rsid w:val="000439A3"/>
    <w:rsid w:val="00043D27"/>
    <w:rsid w:val="00043E94"/>
    <w:rsid w:val="000468AA"/>
    <w:rsid w:val="000468B6"/>
    <w:rsid w:val="000473AB"/>
    <w:rsid w:val="0005058F"/>
    <w:rsid w:val="00050D28"/>
    <w:rsid w:val="00052113"/>
    <w:rsid w:val="00053E8B"/>
    <w:rsid w:val="000547D3"/>
    <w:rsid w:val="00054E5C"/>
    <w:rsid w:val="000559AC"/>
    <w:rsid w:val="00056D97"/>
    <w:rsid w:val="00057923"/>
    <w:rsid w:val="00060A4A"/>
    <w:rsid w:val="00063445"/>
    <w:rsid w:val="00063931"/>
    <w:rsid w:val="00064B9A"/>
    <w:rsid w:val="00065650"/>
    <w:rsid w:val="0006576D"/>
    <w:rsid w:val="00070A25"/>
    <w:rsid w:val="0007152F"/>
    <w:rsid w:val="00073AF9"/>
    <w:rsid w:val="00074DF9"/>
    <w:rsid w:val="00075412"/>
    <w:rsid w:val="00075935"/>
    <w:rsid w:val="000761BE"/>
    <w:rsid w:val="000772D3"/>
    <w:rsid w:val="00077482"/>
    <w:rsid w:val="00081489"/>
    <w:rsid w:val="000816E1"/>
    <w:rsid w:val="00083268"/>
    <w:rsid w:val="00084617"/>
    <w:rsid w:val="0008541F"/>
    <w:rsid w:val="00090E07"/>
    <w:rsid w:val="000916C1"/>
    <w:rsid w:val="0009475E"/>
    <w:rsid w:val="00094F75"/>
    <w:rsid w:val="00096107"/>
    <w:rsid w:val="000976ED"/>
    <w:rsid w:val="000979EA"/>
    <w:rsid w:val="00097DC6"/>
    <w:rsid w:val="000A0F60"/>
    <w:rsid w:val="000A128E"/>
    <w:rsid w:val="000A12FF"/>
    <w:rsid w:val="000A16B8"/>
    <w:rsid w:val="000A3B07"/>
    <w:rsid w:val="000A3D79"/>
    <w:rsid w:val="000A4340"/>
    <w:rsid w:val="000A5BF7"/>
    <w:rsid w:val="000A5C0C"/>
    <w:rsid w:val="000A61DD"/>
    <w:rsid w:val="000A6FC0"/>
    <w:rsid w:val="000A70D0"/>
    <w:rsid w:val="000A77EE"/>
    <w:rsid w:val="000A79DD"/>
    <w:rsid w:val="000A7DC5"/>
    <w:rsid w:val="000B0A04"/>
    <w:rsid w:val="000B0EE4"/>
    <w:rsid w:val="000B2C53"/>
    <w:rsid w:val="000B46DA"/>
    <w:rsid w:val="000B6A03"/>
    <w:rsid w:val="000C0ECE"/>
    <w:rsid w:val="000C5A16"/>
    <w:rsid w:val="000C5BA6"/>
    <w:rsid w:val="000C5D50"/>
    <w:rsid w:val="000C7096"/>
    <w:rsid w:val="000C7736"/>
    <w:rsid w:val="000D279E"/>
    <w:rsid w:val="000D3FE0"/>
    <w:rsid w:val="000D4E5D"/>
    <w:rsid w:val="000D7B48"/>
    <w:rsid w:val="000E11B8"/>
    <w:rsid w:val="000E21BD"/>
    <w:rsid w:val="000E4AD6"/>
    <w:rsid w:val="000E5ADA"/>
    <w:rsid w:val="000E5EB1"/>
    <w:rsid w:val="000E6D50"/>
    <w:rsid w:val="000F01D6"/>
    <w:rsid w:val="000F0D8B"/>
    <w:rsid w:val="000F2211"/>
    <w:rsid w:val="000F2F23"/>
    <w:rsid w:val="000F4ADB"/>
    <w:rsid w:val="000F53CC"/>
    <w:rsid w:val="000F584F"/>
    <w:rsid w:val="000F5D14"/>
    <w:rsid w:val="000F667F"/>
    <w:rsid w:val="000F7880"/>
    <w:rsid w:val="000F7E56"/>
    <w:rsid w:val="00101CCD"/>
    <w:rsid w:val="001025F4"/>
    <w:rsid w:val="0010348B"/>
    <w:rsid w:val="00106EBA"/>
    <w:rsid w:val="00107FD5"/>
    <w:rsid w:val="00112587"/>
    <w:rsid w:val="00112E2C"/>
    <w:rsid w:val="00112EE6"/>
    <w:rsid w:val="0011378C"/>
    <w:rsid w:val="001152D7"/>
    <w:rsid w:val="00116812"/>
    <w:rsid w:val="00116960"/>
    <w:rsid w:val="00117B7B"/>
    <w:rsid w:val="00117FBE"/>
    <w:rsid w:val="00121B37"/>
    <w:rsid w:val="00121B69"/>
    <w:rsid w:val="001223FC"/>
    <w:rsid w:val="00122F13"/>
    <w:rsid w:val="001234D6"/>
    <w:rsid w:val="001238B9"/>
    <w:rsid w:val="00124A16"/>
    <w:rsid w:val="00127355"/>
    <w:rsid w:val="00127B39"/>
    <w:rsid w:val="001308B8"/>
    <w:rsid w:val="001312B3"/>
    <w:rsid w:val="001332F5"/>
    <w:rsid w:val="00133B1E"/>
    <w:rsid w:val="00134BF1"/>
    <w:rsid w:val="00134D87"/>
    <w:rsid w:val="0013669B"/>
    <w:rsid w:val="0013669F"/>
    <w:rsid w:val="00140F5C"/>
    <w:rsid w:val="00141914"/>
    <w:rsid w:val="00142F60"/>
    <w:rsid w:val="00143525"/>
    <w:rsid w:val="001445A3"/>
    <w:rsid w:val="0014469A"/>
    <w:rsid w:val="0014502C"/>
    <w:rsid w:val="001460C4"/>
    <w:rsid w:val="00146FD4"/>
    <w:rsid w:val="0014795F"/>
    <w:rsid w:val="00147984"/>
    <w:rsid w:val="00147A4D"/>
    <w:rsid w:val="00150872"/>
    <w:rsid w:val="001535DC"/>
    <w:rsid w:val="00155032"/>
    <w:rsid w:val="001572C7"/>
    <w:rsid w:val="00160C40"/>
    <w:rsid w:val="00161BC7"/>
    <w:rsid w:val="001626E4"/>
    <w:rsid w:val="00163D7D"/>
    <w:rsid w:val="00164A8E"/>
    <w:rsid w:val="00164BCE"/>
    <w:rsid w:val="001651AB"/>
    <w:rsid w:val="001661D2"/>
    <w:rsid w:val="00166FE9"/>
    <w:rsid w:val="00167340"/>
    <w:rsid w:val="001703F4"/>
    <w:rsid w:val="0017148F"/>
    <w:rsid w:val="00171F36"/>
    <w:rsid w:val="001728C2"/>
    <w:rsid w:val="00172A35"/>
    <w:rsid w:val="00175802"/>
    <w:rsid w:val="001771D6"/>
    <w:rsid w:val="0018065B"/>
    <w:rsid w:val="00180F18"/>
    <w:rsid w:val="00180FD4"/>
    <w:rsid w:val="001828E4"/>
    <w:rsid w:val="00182FAC"/>
    <w:rsid w:val="00183A69"/>
    <w:rsid w:val="001841F8"/>
    <w:rsid w:val="00186E39"/>
    <w:rsid w:val="00187020"/>
    <w:rsid w:val="00190C19"/>
    <w:rsid w:val="00191926"/>
    <w:rsid w:val="001934F7"/>
    <w:rsid w:val="0019476E"/>
    <w:rsid w:val="00195BD9"/>
    <w:rsid w:val="00196B3C"/>
    <w:rsid w:val="00196DDF"/>
    <w:rsid w:val="001A06B0"/>
    <w:rsid w:val="001A0D56"/>
    <w:rsid w:val="001A140C"/>
    <w:rsid w:val="001A14D6"/>
    <w:rsid w:val="001A18A2"/>
    <w:rsid w:val="001A19C8"/>
    <w:rsid w:val="001A19EC"/>
    <w:rsid w:val="001A1FBB"/>
    <w:rsid w:val="001A2C11"/>
    <w:rsid w:val="001A2D1D"/>
    <w:rsid w:val="001A2E92"/>
    <w:rsid w:val="001A3E9D"/>
    <w:rsid w:val="001A44E4"/>
    <w:rsid w:val="001A4A07"/>
    <w:rsid w:val="001A5724"/>
    <w:rsid w:val="001A6276"/>
    <w:rsid w:val="001A79D1"/>
    <w:rsid w:val="001A7D2C"/>
    <w:rsid w:val="001A7D6D"/>
    <w:rsid w:val="001B02CF"/>
    <w:rsid w:val="001B042A"/>
    <w:rsid w:val="001B07F0"/>
    <w:rsid w:val="001B282E"/>
    <w:rsid w:val="001B2929"/>
    <w:rsid w:val="001B3E90"/>
    <w:rsid w:val="001B3FC3"/>
    <w:rsid w:val="001C11DF"/>
    <w:rsid w:val="001C200A"/>
    <w:rsid w:val="001C243D"/>
    <w:rsid w:val="001C265C"/>
    <w:rsid w:val="001C5CE1"/>
    <w:rsid w:val="001C74C6"/>
    <w:rsid w:val="001C754D"/>
    <w:rsid w:val="001D02FB"/>
    <w:rsid w:val="001D1122"/>
    <w:rsid w:val="001D1C3E"/>
    <w:rsid w:val="001D238A"/>
    <w:rsid w:val="001D29AE"/>
    <w:rsid w:val="001D29CC"/>
    <w:rsid w:val="001D3E51"/>
    <w:rsid w:val="001D7CF6"/>
    <w:rsid w:val="001E0418"/>
    <w:rsid w:val="001E044A"/>
    <w:rsid w:val="001E09CE"/>
    <w:rsid w:val="001E1E9A"/>
    <w:rsid w:val="001E2297"/>
    <w:rsid w:val="001E2782"/>
    <w:rsid w:val="001E6D55"/>
    <w:rsid w:val="001E7EDC"/>
    <w:rsid w:val="001F0114"/>
    <w:rsid w:val="001F353B"/>
    <w:rsid w:val="001F66E1"/>
    <w:rsid w:val="001F68D4"/>
    <w:rsid w:val="001F6A1B"/>
    <w:rsid w:val="0020035B"/>
    <w:rsid w:val="0020458B"/>
    <w:rsid w:val="00204F51"/>
    <w:rsid w:val="00206CE4"/>
    <w:rsid w:val="00210DFF"/>
    <w:rsid w:val="002112BC"/>
    <w:rsid w:val="0021199B"/>
    <w:rsid w:val="002128A6"/>
    <w:rsid w:val="002128BE"/>
    <w:rsid w:val="00212B56"/>
    <w:rsid w:val="002164FE"/>
    <w:rsid w:val="00216CD9"/>
    <w:rsid w:val="00217E32"/>
    <w:rsid w:val="00217FAC"/>
    <w:rsid w:val="00222380"/>
    <w:rsid w:val="00222456"/>
    <w:rsid w:val="00224C6E"/>
    <w:rsid w:val="0022505B"/>
    <w:rsid w:val="00226066"/>
    <w:rsid w:val="00226DBD"/>
    <w:rsid w:val="00226E5D"/>
    <w:rsid w:val="00230331"/>
    <w:rsid w:val="00231005"/>
    <w:rsid w:val="00231053"/>
    <w:rsid w:val="002321B7"/>
    <w:rsid w:val="00232795"/>
    <w:rsid w:val="00233F42"/>
    <w:rsid w:val="00233FC5"/>
    <w:rsid w:val="00234471"/>
    <w:rsid w:val="0023563C"/>
    <w:rsid w:val="00235AB2"/>
    <w:rsid w:val="00236181"/>
    <w:rsid w:val="00237227"/>
    <w:rsid w:val="0023767B"/>
    <w:rsid w:val="00237A6E"/>
    <w:rsid w:val="0024020B"/>
    <w:rsid w:val="00242711"/>
    <w:rsid w:val="002448CF"/>
    <w:rsid w:val="00244D65"/>
    <w:rsid w:val="00245699"/>
    <w:rsid w:val="00245A12"/>
    <w:rsid w:val="00246076"/>
    <w:rsid w:val="00246934"/>
    <w:rsid w:val="0025032C"/>
    <w:rsid w:val="00251733"/>
    <w:rsid w:val="002530ED"/>
    <w:rsid w:val="00253DE0"/>
    <w:rsid w:val="00255049"/>
    <w:rsid w:val="00256A09"/>
    <w:rsid w:val="00256E8C"/>
    <w:rsid w:val="00257657"/>
    <w:rsid w:val="00257AF9"/>
    <w:rsid w:val="0026067A"/>
    <w:rsid w:val="00260BEB"/>
    <w:rsid w:val="00261B38"/>
    <w:rsid w:val="00261C04"/>
    <w:rsid w:val="00263356"/>
    <w:rsid w:val="00263DD6"/>
    <w:rsid w:val="0026531B"/>
    <w:rsid w:val="00265615"/>
    <w:rsid w:val="00266066"/>
    <w:rsid w:val="00266565"/>
    <w:rsid w:val="00266B0E"/>
    <w:rsid w:val="0027098A"/>
    <w:rsid w:val="002715A1"/>
    <w:rsid w:val="00271C5D"/>
    <w:rsid w:val="00272008"/>
    <w:rsid w:val="00273E55"/>
    <w:rsid w:val="00274241"/>
    <w:rsid w:val="00274F39"/>
    <w:rsid w:val="00276080"/>
    <w:rsid w:val="00276280"/>
    <w:rsid w:val="002769A2"/>
    <w:rsid w:val="00276FE3"/>
    <w:rsid w:val="00277535"/>
    <w:rsid w:val="00281123"/>
    <w:rsid w:val="00281D54"/>
    <w:rsid w:val="00281D9F"/>
    <w:rsid w:val="0028213E"/>
    <w:rsid w:val="00283136"/>
    <w:rsid w:val="0028363E"/>
    <w:rsid w:val="00284E56"/>
    <w:rsid w:val="00286EAC"/>
    <w:rsid w:val="0028769B"/>
    <w:rsid w:val="00287DFF"/>
    <w:rsid w:val="0029320E"/>
    <w:rsid w:val="00295C13"/>
    <w:rsid w:val="00296F58"/>
    <w:rsid w:val="002A01F0"/>
    <w:rsid w:val="002A0879"/>
    <w:rsid w:val="002A1C9C"/>
    <w:rsid w:val="002A444F"/>
    <w:rsid w:val="002A462C"/>
    <w:rsid w:val="002A5C24"/>
    <w:rsid w:val="002A5D60"/>
    <w:rsid w:val="002A5EB0"/>
    <w:rsid w:val="002A5EBD"/>
    <w:rsid w:val="002A5F75"/>
    <w:rsid w:val="002B08BA"/>
    <w:rsid w:val="002B12B6"/>
    <w:rsid w:val="002B1A96"/>
    <w:rsid w:val="002B1C7D"/>
    <w:rsid w:val="002B2078"/>
    <w:rsid w:val="002B2FA7"/>
    <w:rsid w:val="002B4A27"/>
    <w:rsid w:val="002B4AE4"/>
    <w:rsid w:val="002B70C1"/>
    <w:rsid w:val="002C14FE"/>
    <w:rsid w:val="002C1B39"/>
    <w:rsid w:val="002C213A"/>
    <w:rsid w:val="002C2FB0"/>
    <w:rsid w:val="002C37CA"/>
    <w:rsid w:val="002C3F6A"/>
    <w:rsid w:val="002C53B6"/>
    <w:rsid w:val="002C5447"/>
    <w:rsid w:val="002C5E6B"/>
    <w:rsid w:val="002C73EB"/>
    <w:rsid w:val="002C790A"/>
    <w:rsid w:val="002D06CF"/>
    <w:rsid w:val="002D0E61"/>
    <w:rsid w:val="002D2007"/>
    <w:rsid w:val="002D27C9"/>
    <w:rsid w:val="002D43C3"/>
    <w:rsid w:val="002D5B6E"/>
    <w:rsid w:val="002D5D09"/>
    <w:rsid w:val="002D6122"/>
    <w:rsid w:val="002D6A1E"/>
    <w:rsid w:val="002D7BCC"/>
    <w:rsid w:val="002E0475"/>
    <w:rsid w:val="002E0DEC"/>
    <w:rsid w:val="002E4A98"/>
    <w:rsid w:val="002E4CE5"/>
    <w:rsid w:val="002E5F09"/>
    <w:rsid w:val="002E7141"/>
    <w:rsid w:val="002E78A4"/>
    <w:rsid w:val="002E78CA"/>
    <w:rsid w:val="002F3EC6"/>
    <w:rsid w:val="002F4654"/>
    <w:rsid w:val="002F4E5D"/>
    <w:rsid w:val="002F6329"/>
    <w:rsid w:val="002F66AC"/>
    <w:rsid w:val="002F705A"/>
    <w:rsid w:val="002F7BEE"/>
    <w:rsid w:val="002F7F61"/>
    <w:rsid w:val="0030379C"/>
    <w:rsid w:val="00305BFF"/>
    <w:rsid w:val="00306B25"/>
    <w:rsid w:val="00307CC9"/>
    <w:rsid w:val="00307FD1"/>
    <w:rsid w:val="00310097"/>
    <w:rsid w:val="00312774"/>
    <w:rsid w:val="003148AA"/>
    <w:rsid w:val="0031711F"/>
    <w:rsid w:val="003177DA"/>
    <w:rsid w:val="00320D03"/>
    <w:rsid w:val="00321FF9"/>
    <w:rsid w:val="00322124"/>
    <w:rsid w:val="003225EC"/>
    <w:rsid w:val="0032360B"/>
    <w:rsid w:val="00324B74"/>
    <w:rsid w:val="00326F79"/>
    <w:rsid w:val="0032770C"/>
    <w:rsid w:val="00327B3D"/>
    <w:rsid w:val="00330AD8"/>
    <w:rsid w:val="003326B1"/>
    <w:rsid w:val="00333A18"/>
    <w:rsid w:val="00333F38"/>
    <w:rsid w:val="00334351"/>
    <w:rsid w:val="0033453F"/>
    <w:rsid w:val="00334582"/>
    <w:rsid w:val="003353AB"/>
    <w:rsid w:val="003359D0"/>
    <w:rsid w:val="00341733"/>
    <w:rsid w:val="003427DF"/>
    <w:rsid w:val="00342D2D"/>
    <w:rsid w:val="003437C7"/>
    <w:rsid w:val="003444B5"/>
    <w:rsid w:val="00345B7C"/>
    <w:rsid w:val="00346313"/>
    <w:rsid w:val="00346964"/>
    <w:rsid w:val="00347BA6"/>
    <w:rsid w:val="00347E8F"/>
    <w:rsid w:val="00350B6E"/>
    <w:rsid w:val="003513F2"/>
    <w:rsid w:val="00351711"/>
    <w:rsid w:val="00353053"/>
    <w:rsid w:val="00353D04"/>
    <w:rsid w:val="00355AF1"/>
    <w:rsid w:val="00355FA2"/>
    <w:rsid w:val="0035676B"/>
    <w:rsid w:val="00356F67"/>
    <w:rsid w:val="00357CA1"/>
    <w:rsid w:val="00360F32"/>
    <w:rsid w:val="0036138D"/>
    <w:rsid w:val="00362C07"/>
    <w:rsid w:val="00363705"/>
    <w:rsid w:val="00364313"/>
    <w:rsid w:val="0036551F"/>
    <w:rsid w:val="00365B2C"/>
    <w:rsid w:val="00366EF8"/>
    <w:rsid w:val="00367E0D"/>
    <w:rsid w:val="0037008C"/>
    <w:rsid w:val="003700A0"/>
    <w:rsid w:val="0037148A"/>
    <w:rsid w:val="00371C23"/>
    <w:rsid w:val="0037310B"/>
    <w:rsid w:val="00373D8A"/>
    <w:rsid w:val="00374BB0"/>
    <w:rsid w:val="003760BB"/>
    <w:rsid w:val="003760C3"/>
    <w:rsid w:val="003762AC"/>
    <w:rsid w:val="003775F4"/>
    <w:rsid w:val="003806EA"/>
    <w:rsid w:val="00381246"/>
    <w:rsid w:val="00382560"/>
    <w:rsid w:val="00384920"/>
    <w:rsid w:val="00385E7A"/>
    <w:rsid w:val="00387913"/>
    <w:rsid w:val="003905F9"/>
    <w:rsid w:val="0039071F"/>
    <w:rsid w:val="003932B9"/>
    <w:rsid w:val="003967E2"/>
    <w:rsid w:val="00397F08"/>
    <w:rsid w:val="003A001C"/>
    <w:rsid w:val="003A00E8"/>
    <w:rsid w:val="003A07AC"/>
    <w:rsid w:val="003A0D61"/>
    <w:rsid w:val="003A1760"/>
    <w:rsid w:val="003A1FFE"/>
    <w:rsid w:val="003A4BED"/>
    <w:rsid w:val="003A51FF"/>
    <w:rsid w:val="003A53B1"/>
    <w:rsid w:val="003A654E"/>
    <w:rsid w:val="003A675D"/>
    <w:rsid w:val="003A6A6E"/>
    <w:rsid w:val="003B330F"/>
    <w:rsid w:val="003B3926"/>
    <w:rsid w:val="003B5920"/>
    <w:rsid w:val="003B66B5"/>
    <w:rsid w:val="003B6922"/>
    <w:rsid w:val="003C0F55"/>
    <w:rsid w:val="003C1CE5"/>
    <w:rsid w:val="003C1E21"/>
    <w:rsid w:val="003C2C89"/>
    <w:rsid w:val="003C3393"/>
    <w:rsid w:val="003C64C5"/>
    <w:rsid w:val="003C704C"/>
    <w:rsid w:val="003C7640"/>
    <w:rsid w:val="003D16BD"/>
    <w:rsid w:val="003D4199"/>
    <w:rsid w:val="003D6C18"/>
    <w:rsid w:val="003D7160"/>
    <w:rsid w:val="003E1306"/>
    <w:rsid w:val="003E17B3"/>
    <w:rsid w:val="003E2432"/>
    <w:rsid w:val="003E2CEC"/>
    <w:rsid w:val="003E2FDF"/>
    <w:rsid w:val="003E415B"/>
    <w:rsid w:val="003E468D"/>
    <w:rsid w:val="003E5E25"/>
    <w:rsid w:val="003E6BB5"/>
    <w:rsid w:val="003E7687"/>
    <w:rsid w:val="003F0D0F"/>
    <w:rsid w:val="003F101B"/>
    <w:rsid w:val="003F1CA3"/>
    <w:rsid w:val="003F23C9"/>
    <w:rsid w:val="003F2746"/>
    <w:rsid w:val="003F2BE8"/>
    <w:rsid w:val="003F38D7"/>
    <w:rsid w:val="003F4C1E"/>
    <w:rsid w:val="003F59A5"/>
    <w:rsid w:val="003F7E4F"/>
    <w:rsid w:val="0040042C"/>
    <w:rsid w:val="00400523"/>
    <w:rsid w:val="00402FF0"/>
    <w:rsid w:val="00404B45"/>
    <w:rsid w:val="00404CA2"/>
    <w:rsid w:val="004053F3"/>
    <w:rsid w:val="004054D1"/>
    <w:rsid w:val="00406417"/>
    <w:rsid w:val="00406A90"/>
    <w:rsid w:val="00410933"/>
    <w:rsid w:val="00410D35"/>
    <w:rsid w:val="00412C19"/>
    <w:rsid w:val="00413192"/>
    <w:rsid w:val="00413208"/>
    <w:rsid w:val="004205E4"/>
    <w:rsid w:val="00422301"/>
    <w:rsid w:val="00425ABC"/>
    <w:rsid w:val="00430D22"/>
    <w:rsid w:val="00431932"/>
    <w:rsid w:val="004347EE"/>
    <w:rsid w:val="00434D17"/>
    <w:rsid w:val="00434F33"/>
    <w:rsid w:val="00435BA2"/>
    <w:rsid w:val="00436185"/>
    <w:rsid w:val="004371D0"/>
    <w:rsid w:val="004372C8"/>
    <w:rsid w:val="00437397"/>
    <w:rsid w:val="00440C74"/>
    <w:rsid w:val="0044327C"/>
    <w:rsid w:val="00444894"/>
    <w:rsid w:val="00445D94"/>
    <w:rsid w:val="00450901"/>
    <w:rsid w:val="00451450"/>
    <w:rsid w:val="004516C9"/>
    <w:rsid w:val="00455BFC"/>
    <w:rsid w:val="004560B8"/>
    <w:rsid w:val="00456C3E"/>
    <w:rsid w:val="00457FC5"/>
    <w:rsid w:val="0046162D"/>
    <w:rsid w:val="00461BED"/>
    <w:rsid w:val="00461C22"/>
    <w:rsid w:val="004628D7"/>
    <w:rsid w:val="004628DE"/>
    <w:rsid w:val="00462BB9"/>
    <w:rsid w:val="00463827"/>
    <w:rsid w:val="00463E9B"/>
    <w:rsid w:val="00464A87"/>
    <w:rsid w:val="00465F99"/>
    <w:rsid w:val="00470D00"/>
    <w:rsid w:val="0047292D"/>
    <w:rsid w:val="00472BFF"/>
    <w:rsid w:val="00474201"/>
    <w:rsid w:val="004743F1"/>
    <w:rsid w:val="00474D7B"/>
    <w:rsid w:val="00475316"/>
    <w:rsid w:val="00475814"/>
    <w:rsid w:val="004763FB"/>
    <w:rsid w:val="004818A1"/>
    <w:rsid w:val="00482683"/>
    <w:rsid w:val="00482BA3"/>
    <w:rsid w:val="00482FA7"/>
    <w:rsid w:val="00483EBD"/>
    <w:rsid w:val="004851D5"/>
    <w:rsid w:val="004877F5"/>
    <w:rsid w:val="00490556"/>
    <w:rsid w:val="00490764"/>
    <w:rsid w:val="004911F3"/>
    <w:rsid w:val="00493FBE"/>
    <w:rsid w:val="00494B58"/>
    <w:rsid w:val="004954D9"/>
    <w:rsid w:val="00495CAE"/>
    <w:rsid w:val="004A0EC8"/>
    <w:rsid w:val="004A1EC5"/>
    <w:rsid w:val="004A381C"/>
    <w:rsid w:val="004A5C6C"/>
    <w:rsid w:val="004A5C87"/>
    <w:rsid w:val="004B02A6"/>
    <w:rsid w:val="004B1E33"/>
    <w:rsid w:val="004B3DB4"/>
    <w:rsid w:val="004B46A2"/>
    <w:rsid w:val="004B528A"/>
    <w:rsid w:val="004B569C"/>
    <w:rsid w:val="004B6068"/>
    <w:rsid w:val="004B6333"/>
    <w:rsid w:val="004B724B"/>
    <w:rsid w:val="004B7403"/>
    <w:rsid w:val="004B7AC5"/>
    <w:rsid w:val="004C0D1D"/>
    <w:rsid w:val="004C1B58"/>
    <w:rsid w:val="004C4DD2"/>
    <w:rsid w:val="004C53E7"/>
    <w:rsid w:val="004C618F"/>
    <w:rsid w:val="004D1339"/>
    <w:rsid w:val="004D1387"/>
    <w:rsid w:val="004D2495"/>
    <w:rsid w:val="004D4E39"/>
    <w:rsid w:val="004D5913"/>
    <w:rsid w:val="004D6D3C"/>
    <w:rsid w:val="004E0C6D"/>
    <w:rsid w:val="004E2397"/>
    <w:rsid w:val="004E2AC2"/>
    <w:rsid w:val="004E3242"/>
    <w:rsid w:val="004E3821"/>
    <w:rsid w:val="004E3DBE"/>
    <w:rsid w:val="004E6F07"/>
    <w:rsid w:val="004F03D0"/>
    <w:rsid w:val="004F08DE"/>
    <w:rsid w:val="004F3EE1"/>
    <w:rsid w:val="004F4659"/>
    <w:rsid w:val="004F5655"/>
    <w:rsid w:val="004F57F5"/>
    <w:rsid w:val="004F5C59"/>
    <w:rsid w:val="004F7AB7"/>
    <w:rsid w:val="00501A38"/>
    <w:rsid w:val="005026C3"/>
    <w:rsid w:val="00502B04"/>
    <w:rsid w:val="00503933"/>
    <w:rsid w:val="0050448F"/>
    <w:rsid w:val="00504B58"/>
    <w:rsid w:val="005051FB"/>
    <w:rsid w:val="00505B66"/>
    <w:rsid w:val="005068A9"/>
    <w:rsid w:val="00510991"/>
    <w:rsid w:val="005109D2"/>
    <w:rsid w:val="005112C9"/>
    <w:rsid w:val="00511F1D"/>
    <w:rsid w:val="0051266C"/>
    <w:rsid w:val="00512BDE"/>
    <w:rsid w:val="005160D5"/>
    <w:rsid w:val="0051720C"/>
    <w:rsid w:val="00517537"/>
    <w:rsid w:val="00517580"/>
    <w:rsid w:val="0052142D"/>
    <w:rsid w:val="00521A3E"/>
    <w:rsid w:val="005228C0"/>
    <w:rsid w:val="00522ABB"/>
    <w:rsid w:val="00522CC7"/>
    <w:rsid w:val="005254F2"/>
    <w:rsid w:val="00526930"/>
    <w:rsid w:val="005269E9"/>
    <w:rsid w:val="005323B2"/>
    <w:rsid w:val="00532557"/>
    <w:rsid w:val="00532F96"/>
    <w:rsid w:val="005334BC"/>
    <w:rsid w:val="00537824"/>
    <w:rsid w:val="005425C4"/>
    <w:rsid w:val="00542B90"/>
    <w:rsid w:val="005436DB"/>
    <w:rsid w:val="00543B7C"/>
    <w:rsid w:val="00544428"/>
    <w:rsid w:val="00544533"/>
    <w:rsid w:val="0054740D"/>
    <w:rsid w:val="00547FEC"/>
    <w:rsid w:val="00550089"/>
    <w:rsid w:val="00550A29"/>
    <w:rsid w:val="00550AC5"/>
    <w:rsid w:val="00550C4F"/>
    <w:rsid w:val="00552515"/>
    <w:rsid w:val="005532C5"/>
    <w:rsid w:val="005535C2"/>
    <w:rsid w:val="00562BF2"/>
    <w:rsid w:val="0056466B"/>
    <w:rsid w:val="005662F7"/>
    <w:rsid w:val="005678BA"/>
    <w:rsid w:val="00570194"/>
    <w:rsid w:val="005725D1"/>
    <w:rsid w:val="00573644"/>
    <w:rsid w:val="00573714"/>
    <w:rsid w:val="00574ABD"/>
    <w:rsid w:val="0057601A"/>
    <w:rsid w:val="00580C15"/>
    <w:rsid w:val="00581065"/>
    <w:rsid w:val="0058138D"/>
    <w:rsid w:val="00583396"/>
    <w:rsid w:val="00584087"/>
    <w:rsid w:val="0058523D"/>
    <w:rsid w:val="00587D01"/>
    <w:rsid w:val="00590704"/>
    <w:rsid w:val="005915AC"/>
    <w:rsid w:val="005921FC"/>
    <w:rsid w:val="00595FA3"/>
    <w:rsid w:val="00596FBF"/>
    <w:rsid w:val="005A1BFB"/>
    <w:rsid w:val="005A1E00"/>
    <w:rsid w:val="005A1E64"/>
    <w:rsid w:val="005A2E2F"/>
    <w:rsid w:val="005A57AB"/>
    <w:rsid w:val="005A6E70"/>
    <w:rsid w:val="005A78C5"/>
    <w:rsid w:val="005A7E35"/>
    <w:rsid w:val="005B11CF"/>
    <w:rsid w:val="005B1718"/>
    <w:rsid w:val="005B218E"/>
    <w:rsid w:val="005B2767"/>
    <w:rsid w:val="005B3A3A"/>
    <w:rsid w:val="005B5115"/>
    <w:rsid w:val="005C1942"/>
    <w:rsid w:val="005C2719"/>
    <w:rsid w:val="005C2FD6"/>
    <w:rsid w:val="005C43BC"/>
    <w:rsid w:val="005C5BB9"/>
    <w:rsid w:val="005C7962"/>
    <w:rsid w:val="005C7C99"/>
    <w:rsid w:val="005D02C9"/>
    <w:rsid w:val="005D3220"/>
    <w:rsid w:val="005D3A70"/>
    <w:rsid w:val="005D67F1"/>
    <w:rsid w:val="005D7854"/>
    <w:rsid w:val="005D78EB"/>
    <w:rsid w:val="005D79AF"/>
    <w:rsid w:val="005E0238"/>
    <w:rsid w:val="005E174D"/>
    <w:rsid w:val="005E177A"/>
    <w:rsid w:val="005E22E1"/>
    <w:rsid w:val="005E5081"/>
    <w:rsid w:val="005E5E31"/>
    <w:rsid w:val="005E7108"/>
    <w:rsid w:val="005F0B98"/>
    <w:rsid w:val="005F6552"/>
    <w:rsid w:val="005F6E1C"/>
    <w:rsid w:val="005F71AF"/>
    <w:rsid w:val="005F79BC"/>
    <w:rsid w:val="0060066E"/>
    <w:rsid w:val="00600E56"/>
    <w:rsid w:val="006011D5"/>
    <w:rsid w:val="00601AB9"/>
    <w:rsid w:val="00601BE8"/>
    <w:rsid w:val="00602420"/>
    <w:rsid w:val="006033DF"/>
    <w:rsid w:val="006038FB"/>
    <w:rsid w:val="00604264"/>
    <w:rsid w:val="006042B0"/>
    <w:rsid w:val="00605DD2"/>
    <w:rsid w:val="0060652C"/>
    <w:rsid w:val="00606ABA"/>
    <w:rsid w:val="00607743"/>
    <w:rsid w:val="00607D8D"/>
    <w:rsid w:val="00612482"/>
    <w:rsid w:val="006128E2"/>
    <w:rsid w:val="006132F9"/>
    <w:rsid w:val="006139AE"/>
    <w:rsid w:val="00613A30"/>
    <w:rsid w:val="00613A8D"/>
    <w:rsid w:val="00613F12"/>
    <w:rsid w:val="00620484"/>
    <w:rsid w:val="0062098B"/>
    <w:rsid w:val="00621D5C"/>
    <w:rsid w:val="0062338C"/>
    <w:rsid w:val="0062359C"/>
    <w:rsid w:val="0062741C"/>
    <w:rsid w:val="00627C85"/>
    <w:rsid w:val="00633F6A"/>
    <w:rsid w:val="00634BF7"/>
    <w:rsid w:val="006354E6"/>
    <w:rsid w:val="00635F79"/>
    <w:rsid w:val="00636108"/>
    <w:rsid w:val="00637B8B"/>
    <w:rsid w:val="00641649"/>
    <w:rsid w:val="0064285F"/>
    <w:rsid w:val="006451E1"/>
    <w:rsid w:val="00645757"/>
    <w:rsid w:val="00645C11"/>
    <w:rsid w:val="006468BE"/>
    <w:rsid w:val="00646E39"/>
    <w:rsid w:val="006522D1"/>
    <w:rsid w:val="00652CC5"/>
    <w:rsid w:val="00654E52"/>
    <w:rsid w:val="00655B10"/>
    <w:rsid w:val="00656B43"/>
    <w:rsid w:val="00660164"/>
    <w:rsid w:val="00660B27"/>
    <w:rsid w:val="00661004"/>
    <w:rsid w:val="00661783"/>
    <w:rsid w:val="00661E73"/>
    <w:rsid w:val="00663090"/>
    <w:rsid w:val="00663504"/>
    <w:rsid w:val="00663F63"/>
    <w:rsid w:val="0066508F"/>
    <w:rsid w:val="00665734"/>
    <w:rsid w:val="00665ED2"/>
    <w:rsid w:val="00666592"/>
    <w:rsid w:val="0066676B"/>
    <w:rsid w:val="006725DA"/>
    <w:rsid w:val="006726D4"/>
    <w:rsid w:val="00675871"/>
    <w:rsid w:val="00675F31"/>
    <w:rsid w:val="00680778"/>
    <w:rsid w:val="0068090C"/>
    <w:rsid w:val="00681014"/>
    <w:rsid w:val="00681EC0"/>
    <w:rsid w:val="00686738"/>
    <w:rsid w:val="00687651"/>
    <w:rsid w:val="0069052F"/>
    <w:rsid w:val="00690EB4"/>
    <w:rsid w:val="00691D8C"/>
    <w:rsid w:val="006942C5"/>
    <w:rsid w:val="0069652E"/>
    <w:rsid w:val="0069703B"/>
    <w:rsid w:val="006973D4"/>
    <w:rsid w:val="00697617"/>
    <w:rsid w:val="006A01E6"/>
    <w:rsid w:val="006A052D"/>
    <w:rsid w:val="006A1AE6"/>
    <w:rsid w:val="006A21C2"/>
    <w:rsid w:val="006A25F4"/>
    <w:rsid w:val="006A33EC"/>
    <w:rsid w:val="006A75F1"/>
    <w:rsid w:val="006B0D53"/>
    <w:rsid w:val="006B14E8"/>
    <w:rsid w:val="006B17F3"/>
    <w:rsid w:val="006B2B87"/>
    <w:rsid w:val="006B2DB9"/>
    <w:rsid w:val="006B40C5"/>
    <w:rsid w:val="006B4AA2"/>
    <w:rsid w:val="006B5B8C"/>
    <w:rsid w:val="006B5D1A"/>
    <w:rsid w:val="006B6329"/>
    <w:rsid w:val="006B6BD3"/>
    <w:rsid w:val="006B7769"/>
    <w:rsid w:val="006C149B"/>
    <w:rsid w:val="006C205A"/>
    <w:rsid w:val="006C2213"/>
    <w:rsid w:val="006C3263"/>
    <w:rsid w:val="006D1D18"/>
    <w:rsid w:val="006D2135"/>
    <w:rsid w:val="006D3E2B"/>
    <w:rsid w:val="006D4460"/>
    <w:rsid w:val="006D5F5C"/>
    <w:rsid w:val="006E18D3"/>
    <w:rsid w:val="006E26B6"/>
    <w:rsid w:val="006E2A24"/>
    <w:rsid w:val="006E3D11"/>
    <w:rsid w:val="006E4886"/>
    <w:rsid w:val="006E541D"/>
    <w:rsid w:val="006E5FE0"/>
    <w:rsid w:val="006E6F2C"/>
    <w:rsid w:val="006E7EA8"/>
    <w:rsid w:val="006F0993"/>
    <w:rsid w:val="006F1D64"/>
    <w:rsid w:val="006F1E6B"/>
    <w:rsid w:val="006F21A2"/>
    <w:rsid w:val="006F3495"/>
    <w:rsid w:val="006F3A5E"/>
    <w:rsid w:val="006F3EDE"/>
    <w:rsid w:val="006F4111"/>
    <w:rsid w:val="006F6705"/>
    <w:rsid w:val="006F683B"/>
    <w:rsid w:val="007009EE"/>
    <w:rsid w:val="007012F2"/>
    <w:rsid w:val="00701671"/>
    <w:rsid w:val="0070168D"/>
    <w:rsid w:val="007025FA"/>
    <w:rsid w:val="007030DF"/>
    <w:rsid w:val="00703354"/>
    <w:rsid w:val="00704D25"/>
    <w:rsid w:val="007069B7"/>
    <w:rsid w:val="00706E96"/>
    <w:rsid w:val="0070700C"/>
    <w:rsid w:val="0070704E"/>
    <w:rsid w:val="0071003D"/>
    <w:rsid w:val="00710F99"/>
    <w:rsid w:val="007120A9"/>
    <w:rsid w:val="00712EE9"/>
    <w:rsid w:val="00715789"/>
    <w:rsid w:val="007159AE"/>
    <w:rsid w:val="00716901"/>
    <w:rsid w:val="007203FC"/>
    <w:rsid w:val="00720E95"/>
    <w:rsid w:val="007249ED"/>
    <w:rsid w:val="007251E8"/>
    <w:rsid w:val="007268ED"/>
    <w:rsid w:val="00730DE9"/>
    <w:rsid w:val="00731D64"/>
    <w:rsid w:val="0073257C"/>
    <w:rsid w:val="0073499C"/>
    <w:rsid w:val="007349BC"/>
    <w:rsid w:val="007356AA"/>
    <w:rsid w:val="007357B7"/>
    <w:rsid w:val="00735D2F"/>
    <w:rsid w:val="0073689F"/>
    <w:rsid w:val="00737077"/>
    <w:rsid w:val="007400EE"/>
    <w:rsid w:val="0074084E"/>
    <w:rsid w:val="007411FF"/>
    <w:rsid w:val="00741253"/>
    <w:rsid w:val="00742917"/>
    <w:rsid w:val="007436FC"/>
    <w:rsid w:val="007446E1"/>
    <w:rsid w:val="007456C5"/>
    <w:rsid w:val="00746A36"/>
    <w:rsid w:val="007478D7"/>
    <w:rsid w:val="0075111C"/>
    <w:rsid w:val="0075176F"/>
    <w:rsid w:val="007529F3"/>
    <w:rsid w:val="0075311D"/>
    <w:rsid w:val="007578C3"/>
    <w:rsid w:val="007601AE"/>
    <w:rsid w:val="0076097B"/>
    <w:rsid w:val="00763814"/>
    <w:rsid w:val="00763ED9"/>
    <w:rsid w:val="0076594E"/>
    <w:rsid w:val="00767AB0"/>
    <w:rsid w:val="00767D49"/>
    <w:rsid w:val="007712AD"/>
    <w:rsid w:val="00771F5E"/>
    <w:rsid w:val="00775002"/>
    <w:rsid w:val="00782F23"/>
    <w:rsid w:val="00783F52"/>
    <w:rsid w:val="007848FF"/>
    <w:rsid w:val="00785AD2"/>
    <w:rsid w:val="00786E84"/>
    <w:rsid w:val="00787122"/>
    <w:rsid w:val="0078781A"/>
    <w:rsid w:val="0079058B"/>
    <w:rsid w:val="0079402B"/>
    <w:rsid w:val="007941A9"/>
    <w:rsid w:val="00794949"/>
    <w:rsid w:val="00796FF4"/>
    <w:rsid w:val="007A0B9A"/>
    <w:rsid w:val="007A12CB"/>
    <w:rsid w:val="007A1581"/>
    <w:rsid w:val="007A4536"/>
    <w:rsid w:val="007A464A"/>
    <w:rsid w:val="007A47B8"/>
    <w:rsid w:val="007A6FAB"/>
    <w:rsid w:val="007B0381"/>
    <w:rsid w:val="007B1397"/>
    <w:rsid w:val="007B1C65"/>
    <w:rsid w:val="007B2044"/>
    <w:rsid w:val="007B63B7"/>
    <w:rsid w:val="007C028F"/>
    <w:rsid w:val="007C134E"/>
    <w:rsid w:val="007C240D"/>
    <w:rsid w:val="007C360F"/>
    <w:rsid w:val="007C3AA7"/>
    <w:rsid w:val="007C3CCD"/>
    <w:rsid w:val="007C6621"/>
    <w:rsid w:val="007C77E8"/>
    <w:rsid w:val="007D0465"/>
    <w:rsid w:val="007D1CE7"/>
    <w:rsid w:val="007D3F55"/>
    <w:rsid w:val="007D44C4"/>
    <w:rsid w:val="007D457C"/>
    <w:rsid w:val="007D5D54"/>
    <w:rsid w:val="007D61A9"/>
    <w:rsid w:val="007D67FF"/>
    <w:rsid w:val="007D6A50"/>
    <w:rsid w:val="007D6AEA"/>
    <w:rsid w:val="007E0956"/>
    <w:rsid w:val="007E1A18"/>
    <w:rsid w:val="007E31E6"/>
    <w:rsid w:val="007E375B"/>
    <w:rsid w:val="007E3B79"/>
    <w:rsid w:val="007E45E3"/>
    <w:rsid w:val="007E5654"/>
    <w:rsid w:val="007E572E"/>
    <w:rsid w:val="007E5FAC"/>
    <w:rsid w:val="007E60C8"/>
    <w:rsid w:val="007E74EA"/>
    <w:rsid w:val="007E76A5"/>
    <w:rsid w:val="007F03A2"/>
    <w:rsid w:val="007F45F2"/>
    <w:rsid w:val="007F4C9D"/>
    <w:rsid w:val="007F6137"/>
    <w:rsid w:val="007F6C54"/>
    <w:rsid w:val="00800003"/>
    <w:rsid w:val="00800E4A"/>
    <w:rsid w:val="00801C95"/>
    <w:rsid w:val="00801CEE"/>
    <w:rsid w:val="0080258D"/>
    <w:rsid w:val="0080287B"/>
    <w:rsid w:val="00806C9D"/>
    <w:rsid w:val="00806F4E"/>
    <w:rsid w:val="008075DA"/>
    <w:rsid w:val="00807713"/>
    <w:rsid w:val="0081199D"/>
    <w:rsid w:val="008128BE"/>
    <w:rsid w:val="00812D4B"/>
    <w:rsid w:val="00813899"/>
    <w:rsid w:val="008139D0"/>
    <w:rsid w:val="00813B81"/>
    <w:rsid w:val="00814C40"/>
    <w:rsid w:val="008151B1"/>
    <w:rsid w:val="008151D9"/>
    <w:rsid w:val="0081644A"/>
    <w:rsid w:val="00816893"/>
    <w:rsid w:val="00816C41"/>
    <w:rsid w:val="008213E0"/>
    <w:rsid w:val="0082268C"/>
    <w:rsid w:val="008237E3"/>
    <w:rsid w:val="00823AB7"/>
    <w:rsid w:val="00824037"/>
    <w:rsid w:val="00824FE8"/>
    <w:rsid w:val="008274FD"/>
    <w:rsid w:val="00827C6A"/>
    <w:rsid w:val="0083147B"/>
    <w:rsid w:val="00832D12"/>
    <w:rsid w:val="00833492"/>
    <w:rsid w:val="00833644"/>
    <w:rsid w:val="00833680"/>
    <w:rsid w:val="00833D0E"/>
    <w:rsid w:val="0083528A"/>
    <w:rsid w:val="00835A10"/>
    <w:rsid w:val="0084156E"/>
    <w:rsid w:val="008417D5"/>
    <w:rsid w:val="00841B62"/>
    <w:rsid w:val="00842D8A"/>
    <w:rsid w:val="00842FC1"/>
    <w:rsid w:val="008439D6"/>
    <w:rsid w:val="008440CA"/>
    <w:rsid w:val="008444A8"/>
    <w:rsid w:val="008454AE"/>
    <w:rsid w:val="008511BF"/>
    <w:rsid w:val="00851262"/>
    <w:rsid w:val="00852730"/>
    <w:rsid w:val="008538EF"/>
    <w:rsid w:val="008551CC"/>
    <w:rsid w:val="0085616E"/>
    <w:rsid w:val="008563C3"/>
    <w:rsid w:val="008569F7"/>
    <w:rsid w:val="008621E7"/>
    <w:rsid w:val="0086283F"/>
    <w:rsid w:val="00862AE0"/>
    <w:rsid w:val="00862E3A"/>
    <w:rsid w:val="00865AA7"/>
    <w:rsid w:val="00865BAF"/>
    <w:rsid w:val="00867433"/>
    <w:rsid w:val="00870B60"/>
    <w:rsid w:val="008723C3"/>
    <w:rsid w:val="00873FED"/>
    <w:rsid w:val="00874CD5"/>
    <w:rsid w:val="00874F8C"/>
    <w:rsid w:val="0087724E"/>
    <w:rsid w:val="00881457"/>
    <w:rsid w:val="008824B8"/>
    <w:rsid w:val="00882E38"/>
    <w:rsid w:val="0088324D"/>
    <w:rsid w:val="00883428"/>
    <w:rsid w:val="00887532"/>
    <w:rsid w:val="00887C47"/>
    <w:rsid w:val="0089116B"/>
    <w:rsid w:val="00893C36"/>
    <w:rsid w:val="00894241"/>
    <w:rsid w:val="00894B7F"/>
    <w:rsid w:val="00894DAA"/>
    <w:rsid w:val="0089574F"/>
    <w:rsid w:val="00896A76"/>
    <w:rsid w:val="00896BA6"/>
    <w:rsid w:val="00897999"/>
    <w:rsid w:val="008A0A66"/>
    <w:rsid w:val="008A0C1A"/>
    <w:rsid w:val="008A0C50"/>
    <w:rsid w:val="008A1D97"/>
    <w:rsid w:val="008A20A1"/>
    <w:rsid w:val="008A349B"/>
    <w:rsid w:val="008A4200"/>
    <w:rsid w:val="008A54F2"/>
    <w:rsid w:val="008A5DDC"/>
    <w:rsid w:val="008B0D44"/>
    <w:rsid w:val="008B3741"/>
    <w:rsid w:val="008B4BFF"/>
    <w:rsid w:val="008B7236"/>
    <w:rsid w:val="008B752F"/>
    <w:rsid w:val="008C0579"/>
    <w:rsid w:val="008C247E"/>
    <w:rsid w:val="008C2562"/>
    <w:rsid w:val="008C4030"/>
    <w:rsid w:val="008C4745"/>
    <w:rsid w:val="008C4811"/>
    <w:rsid w:val="008C529A"/>
    <w:rsid w:val="008C5C3F"/>
    <w:rsid w:val="008C6A0F"/>
    <w:rsid w:val="008D0075"/>
    <w:rsid w:val="008D0160"/>
    <w:rsid w:val="008D1571"/>
    <w:rsid w:val="008D2307"/>
    <w:rsid w:val="008D30E0"/>
    <w:rsid w:val="008D4898"/>
    <w:rsid w:val="008D6494"/>
    <w:rsid w:val="008D7057"/>
    <w:rsid w:val="008D789A"/>
    <w:rsid w:val="008E0428"/>
    <w:rsid w:val="008E052C"/>
    <w:rsid w:val="008E05E7"/>
    <w:rsid w:val="008E0BD8"/>
    <w:rsid w:val="008E1748"/>
    <w:rsid w:val="008E1CD3"/>
    <w:rsid w:val="008E2ACD"/>
    <w:rsid w:val="008E2FC7"/>
    <w:rsid w:val="008E5FBC"/>
    <w:rsid w:val="008E6AD7"/>
    <w:rsid w:val="008E70A4"/>
    <w:rsid w:val="008E7533"/>
    <w:rsid w:val="008F08FF"/>
    <w:rsid w:val="008F092F"/>
    <w:rsid w:val="008F40D8"/>
    <w:rsid w:val="008F655A"/>
    <w:rsid w:val="008F6E5A"/>
    <w:rsid w:val="008F7063"/>
    <w:rsid w:val="008F71E1"/>
    <w:rsid w:val="0090006F"/>
    <w:rsid w:val="00900763"/>
    <w:rsid w:val="00900A9D"/>
    <w:rsid w:val="009010D5"/>
    <w:rsid w:val="00903814"/>
    <w:rsid w:val="00903C77"/>
    <w:rsid w:val="009050D5"/>
    <w:rsid w:val="009058DE"/>
    <w:rsid w:val="00906CBB"/>
    <w:rsid w:val="0090732E"/>
    <w:rsid w:val="00910279"/>
    <w:rsid w:val="009109D5"/>
    <w:rsid w:val="00910CFA"/>
    <w:rsid w:val="009117AA"/>
    <w:rsid w:val="00913646"/>
    <w:rsid w:val="00915E53"/>
    <w:rsid w:val="0091687D"/>
    <w:rsid w:val="00916D36"/>
    <w:rsid w:val="00920C96"/>
    <w:rsid w:val="00921934"/>
    <w:rsid w:val="00922A9D"/>
    <w:rsid w:val="0092413B"/>
    <w:rsid w:val="00927238"/>
    <w:rsid w:val="00933B9E"/>
    <w:rsid w:val="0093412B"/>
    <w:rsid w:val="009369DD"/>
    <w:rsid w:val="009400C7"/>
    <w:rsid w:val="00941127"/>
    <w:rsid w:val="00941DA2"/>
    <w:rsid w:val="00942484"/>
    <w:rsid w:val="00943649"/>
    <w:rsid w:val="00944BED"/>
    <w:rsid w:val="00944E56"/>
    <w:rsid w:val="00947140"/>
    <w:rsid w:val="00950C80"/>
    <w:rsid w:val="0095107C"/>
    <w:rsid w:val="009520D2"/>
    <w:rsid w:val="00952EB0"/>
    <w:rsid w:val="0095321B"/>
    <w:rsid w:val="00953F92"/>
    <w:rsid w:val="00954D1F"/>
    <w:rsid w:val="00955751"/>
    <w:rsid w:val="00956646"/>
    <w:rsid w:val="00956E71"/>
    <w:rsid w:val="00957645"/>
    <w:rsid w:val="00957BC2"/>
    <w:rsid w:val="00957C69"/>
    <w:rsid w:val="00957FE3"/>
    <w:rsid w:val="0096003D"/>
    <w:rsid w:val="00961054"/>
    <w:rsid w:val="009613F5"/>
    <w:rsid w:val="009634DD"/>
    <w:rsid w:val="00963F9A"/>
    <w:rsid w:val="00964429"/>
    <w:rsid w:val="009671CD"/>
    <w:rsid w:val="00967BD9"/>
    <w:rsid w:val="0097036A"/>
    <w:rsid w:val="009708A5"/>
    <w:rsid w:val="009711D3"/>
    <w:rsid w:val="00971518"/>
    <w:rsid w:val="00972574"/>
    <w:rsid w:val="00972CCD"/>
    <w:rsid w:val="00973D09"/>
    <w:rsid w:val="009740FB"/>
    <w:rsid w:val="0097433D"/>
    <w:rsid w:val="00974DAF"/>
    <w:rsid w:val="00975C66"/>
    <w:rsid w:val="009767B0"/>
    <w:rsid w:val="00977953"/>
    <w:rsid w:val="00977B3D"/>
    <w:rsid w:val="00977FB5"/>
    <w:rsid w:val="00981DC6"/>
    <w:rsid w:val="0098201A"/>
    <w:rsid w:val="00982905"/>
    <w:rsid w:val="00984359"/>
    <w:rsid w:val="009854C6"/>
    <w:rsid w:val="0098592B"/>
    <w:rsid w:val="00986C3C"/>
    <w:rsid w:val="00990BD1"/>
    <w:rsid w:val="00991C9F"/>
    <w:rsid w:val="00993110"/>
    <w:rsid w:val="00994862"/>
    <w:rsid w:val="009954E5"/>
    <w:rsid w:val="00995595"/>
    <w:rsid w:val="009964F2"/>
    <w:rsid w:val="009A0865"/>
    <w:rsid w:val="009A1ACC"/>
    <w:rsid w:val="009A2D43"/>
    <w:rsid w:val="009A2E3F"/>
    <w:rsid w:val="009A41ED"/>
    <w:rsid w:val="009A45E6"/>
    <w:rsid w:val="009A4B78"/>
    <w:rsid w:val="009A5DB5"/>
    <w:rsid w:val="009B154D"/>
    <w:rsid w:val="009B26AC"/>
    <w:rsid w:val="009B50E4"/>
    <w:rsid w:val="009B5640"/>
    <w:rsid w:val="009B63BE"/>
    <w:rsid w:val="009C29D1"/>
    <w:rsid w:val="009C3563"/>
    <w:rsid w:val="009C512B"/>
    <w:rsid w:val="009C528C"/>
    <w:rsid w:val="009C52F1"/>
    <w:rsid w:val="009C666F"/>
    <w:rsid w:val="009D0A16"/>
    <w:rsid w:val="009D36B3"/>
    <w:rsid w:val="009D39F9"/>
    <w:rsid w:val="009D3C4A"/>
    <w:rsid w:val="009D3FB8"/>
    <w:rsid w:val="009D52D4"/>
    <w:rsid w:val="009D653A"/>
    <w:rsid w:val="009D724D"/>
    <w:rsid w:val="009E11C6"/>
    <w:rsid w:val="009E17F8"/>
    <w:rsid w:val="009E2219"/>
    <w:rsid w:val="009E2815"/>
    <w:rsid w:val="009E2FDE"/>
    <w:rsid w:val="009E409F"/>
    <w:rsid w:val="009E4144"/>
    <w:rsid w:val="009E6195"/>
    <w:rsid w:val="009E7D0E"/>
    <w:rsid w:val="009F0F8C"/>
    <w:rsid w:val="009F1398"/>
    <w:rsid w:val="009F2352"/>
    <w:rsid w:val="009F4DD3"/>
    <w:rsid w:val="009F611A"/>
    <w:rsid w:val="009F634D"/>
    <w:rsid w:val="009F6594"/>
    <w:rsid w:val="009F65D7"/>
    <w:rsid w:val="009F7949"/>
    <w:rsid w:val="00A002EC"/>
    <w:rsid w:val="00A00717"/>
    <w:rsid w:val="00A0127A"/>
    <w:rsid w:val="00A0248B"/>
    <w:rsid w:val="00A0288A"/>
    <w:rsid w:val="00A03562"/>
    <w:rsid w:val="00A03869"/>
    <w:rsid w:val="00A04E62"/>
    <w:rsid w:val="00A0503A"/>
    <w:rsid w:val="00A0513E"/>
    <w:rsid w:val="00A114D4"/>
    <w:rsid w:val="00A12F4A"/>
    <w:rsid w:val="00A132A2"/>
    <w:rsid w:val="00A15FE7"/>
    <w:rsid w:val="00A16E4A"/>
    <w:rsid w:val="00A17348"/>
    <w:rsid w:val="00A206D7"/>
    <w:rsid w:val="00A2103B"/>
    <w:rsid w:val="00A23E35"/>
    <w:rsid w:val="00A24F09"/>
    <w:rsid w:val="00A2607F"/>
    <w:rsid w:val="00A2695E"/>
    <w:rsid w:val="00A27CB8"/>
    <w:rsid w:val="00A30E48"/>
    <w:rsid w:val="00A32560"/>
    <w:rsid w:val="00A4092C"/>
    <w:rsid w:val="00A419CF"/>
    <w:rsid w:val="00A4249E"/>
    <w:rsid w:val="00A44DEE"/>
    <w:rsid w:val="00A45096"/>
    <w:rsid w:val="00A45599"/>
    <w:rsid w:val="00A45B14"/>
    <w:rsid w:val="00A50060"/>
    <w:rsid w:val="00A50CED"/>
    <w:rsid w:val="00A52CAE"/>
    <w:rsid w:val="00A53748"/>
    <w:rsid w:val="00A54350"/>
    <w:rsid w:val="00A54E80"/>
    <w:rsid w:val="00A57508"/>
    <w:rsid w:val="00A57793"/>
    <w:rsid w:val="00A60C03"/>
    <w:rsid w:val="00A61D4E"/>
    <w:rsid w:val="00A62E30"/>
    <w:rsid w:val="00A6402E"/>
    <w:rsid w:val="00A641B8"/>
    <w:rsid w:val="00A66080"/>
    <w:rsid w:val="00A67471"/>
    <w:rsid w:val="00A67DB7"/>
    <w:rsid w:val="00A714E9"/>
    <w:rsid w:val="00A715FE"/>
    <w:rsid w:val="00A71F03"/>
    <w:rsid w:val="00A7202D"/>
    <w:rsid w:val="00A73FDD"/>
    <w:rsid w:val="00A759EE"/>
    <w:rsid w:val="00A75EC1"/>
    <w:rsid w:val="00A75F2A"/>
    <w:rsid w:val="00A76F89"/>
    <w:rsid w:val="00A803A7"/>
    <w:rsid w:val="00A812A7"/>
    <w:rsid w:val="00A81DF6"/>
    <w:rsid w:val="00A826BF"/>
    <w:rsid w:val="00A84848"/>
    <w:rsid w:val="00A85DCC"/>
    <w:rsid w:val="00A85E5A"/>
    <w:rsid w:val="00A87BA8"/>
    <w:rsid w:val="00A87F74"/>
    <w:rsid w:val="00A929F6"/>
    <w:rsid w:val="00A92AD9"/>
    <w:rsid w:val="00A95E7D"/>
    <w:rsid w:val="00A96A66"/>
    <w:rsid w:val="00A96E1A"/>
    <w:rsid w:val="00A96F39"/>
    <w:rsid w:val="00A97345"/>
    <w:rsid w:val="00AA2449"/>
    <w:rsid w:val="00AA29AF"/>
    <w:rsid w:val="00AA3307"/>
    <w:rsid w:val="00AA3C9F"/>
    <w:rsid w:val="00AA4649"/>
    <w:rsid w:val="00AA7FCA"/>
    <w:rsid w:val="00AB0FF2"/>
    <w:rsid w:val="00AB2335"/>
    <w:rsid w:val="00AB329D"/>
    <w:rsid w:val="00AB3CD8"/>
    <w:rsid w:val="00AB6154"/>
    <w:rsid w:val="00AB6FD8"/>
    <w:rsid w:val="00AC0B3D"/>
    <w:rsid w:val="00AC18EE"/>
    <w:rsid w:val="00AC305D"/>
    <w:rsid w:val="00AC41FD"/>
    <w:rsid w:val="00AC45B9"/>
    <w:rsid w:val="00AC523C"/>
    <w:rsid w:val="00AC539E"/>
    <w:rsid w:val="00AC5F9F"/>
    <w:rsid w:val="00AC7D55"/>
    <w:rsid w:val="00AD1C4A"/>
    <w:rsid w:val="00AD2F11"/>
    <w:rsid w:val="00AD32C2"/>
    <w:rsid w:val="00AD570C"/>
    <w:rsid w:val="00AD5A48"/>
    <w:rsid w:val="00AD7391"/>
    <w:rsid w:val="00AD74BF"/>
    <w:rsid w:val="00AD7B76"/>
    <w:rsid w:val="00AE1DC1"/>
    <w:rsid w:val="00AE3533"/>
    <w:rsid w:val="00AE528F"/>
    <w:rsid w:val="00AE5324"/>
    <w:rsid w:val="00AE570E"/>
    <w:rsid w:val="00AE5D4F"/>
    <w:rsid w:val="00AE6100"/>
    <w:rsid w:val="00AE656E"/>
    <w:rsid w:val="00AE7570"/>
    <w:rsid w:val="00AF08B8"/>
    <w:rsid w:val="00AF0D34"/>
    <w:rsid w:val="00AF15AA"/>
    <w:rsid w:val="00AF2ABD"/>
    <w:rsid w:val="00AF3F4B"/>
    <w:rsid w:val="00AF4211"/>
    <w:rsid w:val="00AF4AA0"/>
    <w:rsid w:val="00AF4B9F"/>
    <w:rsid w:val="00AF6749"/>
    <w:rsid w:val="00AF68BD"/>
    <w:rsid w:val="00AF6D81"/>
    <w:rsid w:val="00B0037B"/>
    <w:rsid w:val="00B00899"/>
    <w:rsid w:val="00B00A40"/>
    <w:rsid w:val="00B0216D"/>
    <w:rsid w:val="00B034AC"/>
    <w:rsid w:val="00B052C3"/>
    <w:rsid w:val="00B05D97"/>
    <w:rsid w:val="00B07CA0"/>
    <w:rsid w:val="00B11565"/>
    <w:rsid w:val="00B1179D"/>
    <w:rsid w:val="00B11988"/>
    <w:rsid w:val="00B1379A"/>
    <w:rsid w:val="00B13DB1"/>
    <w:rsid w:val="00B15F2D"/>
    <w:rsid w:val="00B17D03"/>
    <w:rsid w:val="00B209E3"/>
    <w:rsid w:val="00B2115D"/>
    <w:rsid w:val="00B21E5B"/>
    <w:rsid w:val="00B238BD"/>
    <w:rsid w:val="00B23B30"/>
    <w:rsid w:val="00B24774"/>
    <w:rsid w:val="00B248DD"/>
    <w:rsid w:val="00B2494E"/>
    <w:rsid w:val="00B25616"/>
    <w:rsid w:val="00B300E7"/>
    <w:rsid w:val="00B306DF"/>
    <w:rsid w:val="00B322F1"/>
    <w:rsid w:val="00B3370B"/>
    <w:rsid w:val="00B337E3"/>
    <w:rsid w:val="00B34272"/>
    <w:rsid w:val="00B34D03"/>
    <w:rsid w:val="00B36739"/>
    <w:rsid w:val="00B37E7C"/>
    <w:rsid w:val="00B40822"/>
    <w:rsid w:val="00B41E99"/>
    <w:rsid w:val="00B42894"/>
    <w:rsid w:val="00B43988"/>
    <w:rsid w:val="00B44E0A"/>
    <w:rsid w:val="00B455A6"/>
    <w:rsid w:val="00B457CD"/>
    <w:rsid w:val="00B4674F"/>
    <w:rsid w:val="00B46C41"/>
    <w:rsid w:val="00B51E45"/>
    <w:rsid w:val="00B51EA8"/>
    <w:rsid w:val="00B52858"/>
    <w:rsid w:val="00B5297E"/>
    <w:rsid w:val="00B552ED"/>
    <w:rsid w:val="00B57D63"/>
    <w:rsid w:val="00B60137"/>
    <w:rsid w:val="00B61147"/>
    <w:rsid w:val="00B631DC"/>
    <w:rsid w:val="00B6402E"/>
    <w:rsid w:val="00B64BCA"/>
    <w:rsid w:val="00B72E34"/>
    <w:rsid w:val="00B72F51"/>
    <w:rsid w:val="00B734D0"/>
    <w:rsid w:val="00B74A95"/>
    <w:rsid w:val="00B757AB"/>
    <w:rsid w:val="00B75B0C"/>
    <w:rsid w:val="00B76276"/>
    <w:rsid w:val="00B77ADD"/>
    <w:rsid w:val="00B77E4F"/>
    <w:rsid w:val="00B8378B"/>
    <w:rsid w:val="00B837B0"/>
    <w:rsid w:val="00B83DCA"/>
    <w:rsid w:val="00B84B88"/>
    <w:rsid w:val="00B90048"/>
    <w:rsid w:val="00B91A2E"/>
    <w:rsid w:val="00B92D15"/>
    <w:rsid w:val="00B92D9A"/>
    <w:rsid w:val="00B95A31"/>
    <w:rsid w:val="00B979A5"/>
    <w:rsid w:val="00B97BEB"/>
    <w:rsid w:val="00B97C94"/>
    <w:rsid w:val="00BA04BA"/>
    <w:rsid w:val="00BA1F5A"/>
    <w:rsid w:val="00BA268A"/>
    <w:rsid w:val="00BA4BA8"/>
    <w:rsid w:val="00BA4BC5"/>
    <w:rsid w:val="00BB0BCD"/>
    <w:rsid w:val="00BB2931"/>
    <w:rsid w:val="00BB5462"/>
    <w:rsid w:val="00BB7785"/>
    <w:rsid w:val="00BC05D4"/>
    <w:rsid w:val="00BC1432"/>
    <w:rsid w:val="00BC2248"/>
    <w:rsid w:val="00BC2449"/>
    <w:rsid w:val="00BC25A6"/>
    <w:rsid w:val="00BC2B75"/>
    <w:rsid w:val="00BC2FBF"/>
    <w:rsid w:val="00BC4797"/>
    <w:rsid w:val="00BC6DDD"/>
    <w:rsid w:val="00BD1D25"/>
    <w:rsid w:val="00BD1EDE"/>
    <w:rsid w:val="00BD23CD"/>
    <w:rsid w:val="00BD28C1"/>
    <w:rsid w:val="00BD3126"/>
    <w:rsid w:val="00BD3E9D"/>
    <w:rsid w:val="00BD4880"/>
    <w:rsid w:val="00BD6195"/>
    <w:rsid w:val="00BD66C5"/>
    <w:rsid w:val="00BD6C67"/>
    <w:rsid w:val="00BE1F09"/>
    <w:rsid w:val="00BE2D05"/>
    <w:rsid w:val="00BE32FA"/>
    <w:rsid w:val="00BE48CF"/>
    <w:rsid w:val="00BE4C93"/>
    <w:rsid w:val="00BE50B9"/>
    <w:rsid w:val="00BF0DEE"/>
    <w:rsid w:val="00BF0EC7"/>
    <w:rsid w:val="00BF1A5D"/>
    <w:rsid w:val="00BF23F6"/>
    <w:rsid w:val="00BF2B44"/>
    <w:rsid w:val="00BF3F28"/>
    <w:rsid w:val="00BF5EEB"/>
    <w:rsid w:val="00BF64DD"/>
    <w:rsid w:val="00BF6570"/>
    <w:rsid w:val="00BF7A93"/>
    <w:rsid w:val="00BF7B0B"/>
    <w:rsid w:val="00C00D5C"/>
    <w:rsid w:val="00C02486"/>
    <w:rsid w:val="00C04F90"/>
    <w:rsid w:val="00C05A4D"/>
    <w:rsid w:val="00C05C2F"/>
    <w:rsid w:val="00C07E7D"/>
    <w:rsid w:val="00C10318"/>
    <w:rsid w:val="00C10B98"/>
    <w:rsid w:val="00C10C67"/>
    <w:rsid w:val="00C119B7"/>
    <w:rsid w:val="00C120AF"/>
    <w:rsid w:val="00C126D9"/>
    <w:rsid w:val="00C127DF"/>
    <w:rsid w:val="00C138B3"/>
    <w:rsid w:val="00C15B04"/>
    <w:rsid w:val="00C170F7"/>
    <w:rsid w:val="00C2180A"/>
    <w:rsid w:val="00C24593"/>
    <w:rsid w:val="00C24D16"/>
    <w:rsid w:val="00C2569A"/>
    <w:rsid w:val="00C258FB"/>
    <w:rsid w:val="00C267C4"/>
    <w:rsid w:val="00C306E7"/>
    <w:rsid w:val="00C30778"/>
    <w:rsid w:val="00C31A9A"/>
    <w:rsid w:val="00C31F71"/>
    <w:rsid w:val="00C3203F"/>
    <w:rsid w:val="00C32803"/>
    <w:rsid w:val="00C32F38"/>
    <w:rsid w:val="00C43195"/>
    <w:rsid w:val="00C4546B"/>
    <w:rsid w:val="00C45B7F"/>
    <w:rsid w:val="00C469F5"/>
    <w:rsid w:val="00C46DB0"/>
    <w:rsid w:val="00C500E6"/>
    <w:rsid w:val="00C5353C"/>
    <w:rsid w:val="00C54FED"/>
    <w:rsid w:val="00C565F8"/>
    <w:rsid w:val="00C578C6"/>
    <w:rsid w:val="00C60459"/>
    <w:rsid w:val="00C60BAB"/>
    <w:rsid w:val="00C610FA"/>
    <w:rsid w:val="00C613B4"/>
    <w:rsid w:val="00C61D83"/>
    <w:rsid w:val="00C62C44"/>
    <w:rsid w:val="00C632AB"/>
    <w:rsid w:val="00C634CA"/>
    <w:rsid w:val="00C644A8"/>
    <w:rsid w:val="00C65B1C"/>
    <w:rsid w:val="00C65C4D"/>
    <w:rsid w:val="00C663AC"/>
    <w:rsid w:val="00C66EE1"/>
    <w:rsid w:val="00C70FB8"/>
    <w:rsid w:val="00C7356D"/>
    <w:rsid w:val="00C73771"/>
    <w:rsid w:val="00C74557"/>
    <w:rsid w:val="00C76C4B"/>
    <w:rsid w:val="00C77766"/>
    <w:rsid w:val="00C77883"/>
    <w:rsid w:val="00C806A3"/>
    <w:rsid w:val="00C81E19"/>
    <w:rsid w:val="00C845A6"/>
    <w:rsid w:val="00C85D23"/>
    <w:rsid w:val="00C863D5"/>
    <w:rsid w:val="00C92348"/>
    <w:rsid w:val="00C9239C"/>
    <w:rsid w:val="00C929EA"/>
    <w:rsid w:val="00C93756"/>
    <w:rsid w:val="00C93CD2"/>
    <w:rsid w:val="00C94B3C"/>
    <w:rsid w:val="00C96890"/>
    <w:rsid w:val="00C96BD7"/>
    <w:rsid w:val="00CA12B8"/>
    <w:rsid w:val="00CA1D7F"/>
    <w:rsid w:val="00CA2F68"/>
    <w:rsid w:val="00CA3A0E"/>
    <w:rsid w:val="00CA4149"/>
    <w:rsid w:val="00CA560C"/>
    <w:rsid w:val="00CA63AC"/>
    <w:rsid w:val="00CA6F4A"/>
    <w:rsid w:val="00CB11D3"/>
    <w:rsid w:val="00CB1CE8"/>
    <w:rsid w:val="00CB2237"/>
    <w:rsid w:val="00CB239A"/>
    <w:rsid w:val="00CB314A"/>
    <w:rsid w:val="00CB49C4"/>
    <w:rsid w:val="00CB4AE3"/>
    <w:rsid w:val="00CB7E0F"/>
    <w:rsid w:val="00CC0197"/>
    <w:rsid w:val="00CC0ACC"/>
    <w:rsid w:val="00CC112F"/>
    <w:rsid w:val="00CC1168"/>
    <w:rsid w:val="00CC28E2"/>
    <w:rsid w:val="00CC297E"/>
    <w:rsid w:val="00CC2F4D"/>
    <w:rsid w:val="00CC348A"/>
    <w:rsid w:val="00CC3BEE"/>
    <w:rsid w:val="00CC3E4C"/>
    <w:rsid w:val="00CC3EA4"/>
    <w:rsid w:val="00CC5092"/>
    <w:rsid w:val="00CC5796"/>
    <w:rsid w:val="00CC5E53"/>
    <w:rsid w:val="00CC63BE"/>
    <w:rsid w:val="00CC6B08"/>
    <w:rsid w:val="00CC6DC8"/>
    <w:rsid w:val="00CD0444"/>
    <w:rsid w:val="00CD059B"/>
    <w:rsid w:val="00CD18B5"/>
    <w:rsid w:val="00CD1DCE"/>
    <w:rsid w:val="00CD35C5"/>
    <w:rsid w:val="00CD461C"/>
    <w:rsid w:val="00CD602D"/>
    <w:rsid w:val="00CD7B2C"/>
    <w:rsid w:val="00CE07F7"/>
    <w:rsid w:val="00CE258D"/>
    <w:rsid w:val="00CE4033"/>
    <w:rsid w:val="00CE6167"/>
    <w:rsid w:val="00CE64F8"/>
    <w:rsid w:val="00CE79A3"/>
    <w:rsid w:val="00CE79EB"/>
    <w:rsid w:val="00CF0B46"/>
    <w:rsid w:val="00CF1204"/>
    <w:rsid w:val="00CF28E5"/>
    <w:rsid w:val="00CF2CFA"/>
    <w:rsid w:val="00CF6780"/>
    <w:rsid w:val="00D01F56"/>
    <w:rsid w:val="00D0341C"/>
    <w:rsid w:val="00D044EA"/>
    <w:rsid w:val="00D047ED"/>
    <w:rsid w:val="00D057BC"/>
    <w:rsid w:val="00D05D49"/>
    <w:rsid w:val="00D066B9"/>
    <w:rsid w:val="00D078EB"/>
    <w:rsid w:val="00D11A8A"/>
    <w:rsid w:val="00D11B49"/>
    <w:rsid w:val="00D12757"/>
    <w:rsid w:val="00D205E9"/>
    <w:rsid w:val="00D20F9F"/>
    <w:rsid w:val="00D221CA"/>
    <w:rsid w:val="00D235F4"/>
    <w:rsid w:val="00D240D1"/>
    <w:rsid w:val="00D30AE9"/>
    <w:rsid w:val="00D30C76"/>
    <w:rsid w:val="00D31EB3"/>
    <w:rsid w:val="00D32643"/>
    <w:rsid w:val="00D32B95"/>
    <w:rsid w:val="00D337F1"/>
    <w:rsid w:val="00D35D1C"/>
    <w:rsid w:val="00D365AB"/>
    <w:rsid w:val="00D405D9"/>
    <w:rsid w:val="00D409E5"/>
    <w:rsid w:val="00D40FA3"/>
    <w:rsid w:val="00D415C6"/>
    <w:rsid w:val="00D42421"/>
    <w:rsid w:val="00D436D0"/>
    <w:rsid w:val="00D4444C"/>
    <w:rsid w:val="00D47E7C"/>
    <w:rsid w:val="00D5079D"/>
    <w:rsid w:val="00D526AD"/>
    <w:rsid w:val="00D539FB"/>
    <w:rsid w:val="00D542A7"/>
    <w:rsid w:val="00D54E5A"/>
    <w:rsid w:val="00D55452"/>
    <w:rsid w:val="00D572A3"/>
    <w:rsid w:val="00D601BE"/>
    <w:rsid w:val="00D616FE"/>
    <w:rsid w:val="00D64024"/>
    <w:rsid w:val="00D6620B"/>
    <w:rsid w:val="00D66FCB"/>
    <w:rsid w:val="00D675BD"/>
    <w:rsid w:val="00D703D6"/>
    <w:rsid w:val="00D71509"/>
    <w:rsid w:val="00D720E2"/>
    <w:rsid w:val="00D72FA1"/>
    <w:rsid w:val="00D73FF4"/>
    <w:rsid w:val="00D75A87"/>
    <w:rsid w:val="00D75E2E"/>
    <w:rsid w:val="00D776AA"/>
    <w:rsid w:val="00D77AF4"/>
    <w:rsid w:val="00D80EC1"/>
    <w:rsid w:val="00D8157E"/>
    <w:rsid w:val="00D81E72"/>
    <w:rsid w:val="00D82F78"/>
    <w:rsid w:val="00D8317D"/>
    <w:rsid w:val="00D83E92"/>
    <w:rsid w:val="00D86654"/>
    <w:rsid w:val="00D94B98"/>
    <w:rsid w:val="00D9606F"/>
    <w:rsid w:val="00D96341"/>
    <w:rsid w:val="00D96787"/>
    <w:rsid w:val="00DA0B80"/>
    <w:rsid w:val="00DA488D"/>
    <w:rsid w:val="00DA4C68"/>
    <w:rsid w:val="00DA4FAA"/>
    <w:rsid w:val="00DA7577"/>
    <w:rsid w:val="00DA78C2"/>
    <w:rsid w:val="00DB05D0"/>
    <w:rsid w:val="00DB17CE"/>
    <w:rsid w:val="00DB1C99"/>
    <w:rsid w:val="00DB1FC0"/>
    <w:rsid w:val="00DB2A4E"/>
    <w:rsid w:val="00DB502A"/>
    <w:rsid w:val="00DB7BB6"/>
    <w:rsid w:val="00DB7FDF"/>
    <w:rsid w:val="00DC091F"/>
    <w:rsid w:val="00DC0C0A"/>
    <w:rsid w:val="00DC0EC5"/>
    <w:rsid w:val="00DC35F0"/>
    <w:rsid w:val="00DC5E6F"/>
    <w:rsid w:val="00DC5E85"/>
    <w:rsid w:val="00DD0362"/>
    <w:rsid w:val="00DD06D4"/>
    <w:rsid w:val="00DD2F12"/>
    <w:rsid w:val="00DD2F67"/>
    <w:rsid w:val="00DD30A7"/>
    <w:rsid w:val="00DD3112"/>
    <w:rsid w:val="00DD5776"/>
    <w:rsid w:val="00DD5E77"/>
    <w:rsid w:val="00DD7E75"/>
    <w:rsid w:val="00DE0EFA"/>
    <w:rsid w:val="00DE2396"/>
    <w:rsid w:val="00DE2E2D"/>
    <w:rsid w:val="00DE364A"/>
    <w:rsid w:val="00DE5108"/>
    <w:rsid w:val="00DE6255"/>
    <w:rsid w:val="00DE6ED8"/>
    <w:rsid w:val="00DE7147"/>
    <w:rsid w:val="00DE7538"/>
    <w:rsid w:val="00DE7D27"/>
    <w:rsid w:val="00DF1310"/>
    <w:rsid w:val="00DF14F2"/>
    <w:rsid w:val="00DF1597"/>
    <w:rsid w:val="00DF1F45"/>
    <w:rsid w:val="00DF3AA2"/>
    <w:rsid w:val="00DF489C"/>
    <w:rsid w:val="00DF6756"/>
    <w:rsid w:val="00DF7F8D"/>
    <w:rsid w:val="00E02189"/>
    <w:rsid w:val="00E02272"/>
    <w:rsid w:val="00E02566"/>
    <w:rsid w:val="00E034F2"/>
    <w:rsid w:val="00E03BA0"/>
    <w:rsid w:val="00E042D5"/>
    <w:rsid w:val="00E0430A"/>
    <w:rsid w:val="00E049DC"/>
    <w:rsid w:val="00E07CD6"/>
    <w:rsid w:val="00E11E37"/>
    <w:rsid w:val="00E130CE"/>
    <w:rsid w:val="00E1311E"/>
    <w:rsid w:val="00E14B19"/>
    <w:rsid w:val="00E1536A"/>
    <w:rsid w:val="00E20377"/>
    <w:rsid w:val="00E205DD"/>
    <w:rsid w:val="00E20ABB"/>
    <w:rsid w:val="00E20D8D"/>
    <w:rsid w:val="00E20E04"/>
    <w:rsid w:val="00E21538"/>
    <w:rsid w:val="00E22504"/>
    <w:rsid w:val="00E24A79"/>
    <w:rsid w:val="00E2511C"/>
    <w:rsid w:val="00E3147F"/>
    <w:rsid w:val="00E334E4"/>
    <w:rsid w:val="00E344A1"/>
    <w:rsid w:val="00E34885"/>
    <w:rsid w:val="00E356C1"/>
    <w:rsid w:val="00E37A3A"/>
    <w:rsid w:val="00E40BBA"/>
    <w:rsid w:val="00E40E46"/>
    <w:rsid w:val="00E41D52"/>
    <w:rsid w:val="00E42E9B"/>
    <w:rsid w:val="00E432F8"/>
    <w:rsid w:val="00E4363F"/>
    <w:rsid w:val="00E43684"/>
    <w:rsid w:val="00E43F76"/>
    <w:rsid w:val="00E45C03"/>
    <w:rsid w:val="00E47532"/>
    <w:rsid w:val="00E47DF5"/>
    <w:rsid w:val="00E50937"/>
    <w:rsid w:val="00E515AD"/>
    <w:rsid w:val="00E51B41"/>
    <w:rsid w:val="00E51BCE"/>
    <w:rsid w:val="00E52BA6"/>
    <w:rsid w:val="00E54501"/>
    <w:rsid w:val="00E561AF"/>
    <w:rsid w:val="00E56B27"/>
    <w:rsid w:val="00E628FC"/>
    <w:rsid w:val="00E62971"/>
    <w:rsid w:val="00E63C58"/>
    <w:rsid w:val="00E6589A"/>
    <w:rsid w:val="00E67B0B"/>
    <w:rsid w:val="00E67D79"/>
    <w:rsid w:val="00E7242F"/>
    <w:rsid w:val="00E727C7"/>
    <w:rsid w:val="00E72A9D"/>
    <w:rsid w:val="00E7731C"/>
    <w:rsid w:val="00E77D66"/>
    <w:rsid w:val="00E80BF6"/>
    <w:rsid w:val="00E81003"/>
    <w:rsid w:val="00E83180"/>
    <w:rsid w:val="00E84C17"/>
    <w:rsid w:val="00E858EB"/>
    <w:rsid w:val="00E90FDC"/>
    <w:rsid w:val="00E93DC8"/>
    <w:rsid w:val="00EA0948"/>
    <w:rsid w:val="00EA1203"/>
    <w:rsid w:val="00EA15CF"/>
    <w:rsid w:val="00EA19FC"/>
    <w:rsid w:val="00EA2897"/>
    <w:rsid w:val="00EA4222"/>
    <w:rsid w:val="00EA4F54"/>
    <w:rsid w:val="00EA5743"/>
    <w:rsid w:val="00EA62D8"/>
    <w:rsid w:val="00EB004E"/>
    <w:rsid w:val="00EB0054"/>
    <w:rsid w:val="00EB049D"/>
    <w:rsid w:val="00EB04C8"/>
    <w:rsid w:val="00EB0FFF"/>
    <w:rsid w:val="00EB1299"/>
    <w:rsid w:val="00EB141F"/>
    <w:rsid w:val="00EB1660"/>
    <w:rsid w:val="00EB1A33"/>
    <w:rsid w:val="00EB21DD"/>
    <w:rsid w:val="00EB28DF"/>
    <w:rsid w:val="00EB3FCC"/>
    <w:rsid w:val="00EB4286"/>
    <w:rsid w:val="00EB4B42"/>
    <w:rsid w:val="00EB5255"/>
    <w:rsid w:val="00EB52F1"/>
    <w:rsid w:val="00EB5368"/>
    <w:rsid w:val="00EB7969"/>
    <w:rsid w:val="00EC1ADE"/>
    <w:rsid w:val="00EC1D78"/>
    <w:rsid w:val="00EC334E"/>
    <w:rsid w:val="00EC3478"/>
    <w:rsid w:val="00EC34D3"/>
    <w:rsid w:val="00EC6A89"/>
    <w:rsid w:val="00ED11E4"/>
    <w:rsid w:val="00ED3390"/>
    <w:rsid w:val="00ED348F"/>
    <w:rsid w:val="00ED4EB9"/>
    <w:rsid w:val="00ED5F26"/>
    <w:rsid w:val="00ED6F13"/>
    <w:rsid w:val="00ED7E51"/>
    <w:rsid w:val="00EE05FC"/>
    <w:rsid w:val="00EE0785"/>
    <w:rsid w:val="00EE1257"/>
    <w:rsid w:val="00EE17F2"/>
    <w:rsid w:val="00EE38AE"/>
    <w:rsid w:val="00EE4459"/>
    <w:rsid w:val="00EE50B4"/>
    <w:rsid w:val="00EE5734"/>
    <w:rsid w:val="00EE5A78"/>
    <w:rsid w:val="00EE660A"/>
    <w:rsid w:val="00EF1590"/>
    <w:rsid w:val="00EF21EF"/>
    <w:rsid w:val="00EF25BF"/>
    <w:rsid w:val="00EF2AF0"/>
    <w:rsid w:val="00EF3AF2"/>
    <w:rsid w:val="00EF4ED8"/>
    <w:rsid w:val="00EF54D3"/>
    <w:rsid w:val="00EF5652"/>
    <w:rsid w:val="00EF5CA2"/>
    <w:rsid w:val="00EF6406"/>
    <w:rsid w:val="00EF6626"/>
    <w:rsid w:val="00EF6C80"/>
    <w:rsid w:val="00EF6EEA"/>
    <w:rsid w:val="00EF7297"/>
    <w:rsid w:val="00EF72DD"/>
    <w:rsid w:val="00EF73B9"/>
    <w:rsid w:val="00EF7BF7"/>
    <w:rsid w:val="00F00150"/>
    <w:rsid w:val="00F03B89"/>
    <w:rsid w:val="00F04E29"/>
    <w:rsid w:val="00F05426"/>
    <w:rsid w:val="00F05594"/>
    <w:rsid w:val="00F077B5"/>
    <w:rsid w:val="00F108B3"/>
    <w:rsid w:val="00F10D18"/>
    <w:rsid w:val="00F13006"/>
    <w:rsid w:val="00F13AC4"/>
    <w:rsid w:val="00F148DD"/>
    <w:rsid w:val="00F151A0"/>
    <w:rsid w:val="00F16E9D"/>
    <w:rsid w:val="00F17058"/>
    <w:rsid w:val="00F17150"/>
    <w:rsid w:val="00F2192E"/>
    <w:rsid w:val="00F21FD2"/>
    <w:rsid w:val="00F2231D"/>
    <w:rsid w:val="00F22E1A"/>
    <w:rsid w:val="00F24A70"/>
    <w:rsid w:val="00F24DB5"/>
    <w:rsid w:val="00F250BF"/>
    <w:rsid w:val="00F251E8"/>
    <w:rsid w:val="00F26ABF"/>
    <w:rsid w:val="00F27817"/>
    <w:rsid w:val="00F30E39"/>
    <w:rsid w:val="00F30FBE"/>
    <w:rsid w:val="00F31952"/>
    <w:rsid w:val="00F31D3C"/>
    <w:rsid w:val="00F32070"/>
    <w:rsid w:val="00F32217"/>
    <w:rsid w:val="00F3233B"/>
    <w:rsid w:val="00F33CCD"/>
    <w:rsid w:val="00F33F2E"/>
    <w:rsid w:val="00F347F4"/>
    <w:rsid w:val="00F414F2"/>
    <w:rsid w:val="00F416E2"/>
    <w:rsid w:val="00F41A20"/>
    <w:rsid w:val="00F41E6A"/>
    <w:rsid w:val="00F42430"/>
    <w:rsid w:val="00F42A03"/>
    <w:rsid w:val="00F42FF3"/>
    <w:rsid w:val="00F43401"/>
    <w:rsid w:val="00F43DDE"/>
    <w:rsid w:val="00F43FE9"/>
    <w:rsid w:val="00F44180"/>
    <w:rsid w:val="00F44F67"/>
    <w:rsid w:val="00F45205"/>
    <w:rsid w:val="00F45911"/>
    <w:rsid w:val="00F51017"/>
    <w:rsid w:val="00F51901"/>
    <w:rsid w:val="00F52082"/>
    <w:rsid w:val="00F52784"/>
    <w:rsid w:val="00F54E86"/>
    <w:rsid w:val="00F54EBD"/>
    <w:rsid w:val="00F5508E"/>
    <w:rsid w:val="00F554FB"/>
    <w:rsid w:val="00F557B0"/>
    <w:rsid w:val="00F55E0C"/>
    <w:rsid w:val="00F5694E"/>
    <w:rsid w:val="00F56E96"/>
    <w:rsid w:val="00F572B2"/>
    <w:rsid w:val="00F576E6"/>
    <w:rsid w:val="00F605E4"/>
    <w:rsid w:val="00F612A4"/>
    <w:rsid w:val="00F62CDB"/>
    <w:rsid w:val="00F6352E"/>
    <w:rsid w:val="00F63880"/>
    <w:rsid w:val="00F64D8F"/>
    <w:rsid w:val="00F65ABD"/>
    <w:rsid w:val="00F65B88"/>
    <w:rsid w:val="00F65DFE"/>
    <w:rsid w:val="00F663A3"/>
    <w:rsid w:val="00F677C3"/>
    <w:rsid w:val="00F7059D"/>
    <w:rsid w:val="00F71123"/>
    <w:rsid w:val="00F7155B"/>
    <w:rsid w:val="00F717EF"/>
    <w:rsid w:val="00F7338F"/>
    <w:rsid w:val="00F73B7B"/>
    <w:rsid w:val="00F74AF2"/>
    <w:rsid w:val="00F75115"/>
    <w:rsid w:val="00F752CF"/>
    <w:rsid w:val="00F76159"/>
    <w:rsid w:val="00F770EC"/>
    <w:rsid w:val="00F81615"/>
    <w:rsid w:val="00F81B58"/>
    <w:rsid w:val="00F82F75"/>
    <w:rsid w:val="00F835BC"/>
    <w:rsid w:val="00F847B7"/>
    <w:rsid w:val="00F8772A"/>
    <w:rsid w:val="00F90A1B"/>
    <w:rsid w:val="00F91CA7"/>
    <w:rsid w:val="00F93020"/>
    <w:rsid w:val="00F948C0"/>
    <w:rsid w:val="00F94FCE"/>
    <w:rsid w:val="00F95520"/>
    <w:rsid w:val="00FA0FA4"/>
    <w:rsid w:val="00FA139D"/>
    <w:rsid w:val="00FA3A24"/>
    <w:rsid w:val="00FA4EFB"/>
    <w:rsid w:val="00FA5818"/>
    <w:rsid w:val="00FA5C1D"/>
    <w:rsid w:val="00FA5D33"/>
    <w:rsid w:val="00FA6AB1"/>
    <w:rsid w:val="00FA6E1F"/>
    <w:rsid w:val="00FA6E6A"/>
    <w:rsid w:val="00FA7868"/>
    <w:rsid w:val="00FB021D"/>
    <w:rsid w:val="00FB0F87"/>
    <w:rsid w:val="00FB3C4E"/>
    <w:rsid w:val="00FB4750"/>
    <w:rsid w:val="00FB47A2"/>
    <w:rsid w:val="00FB5564"/>
    <w:rsid w:val="00FB7028"/>
    <w:rsid w:val="00FB7093"/>
    <w:rsid w:val="00FB7F98"/>
    <w:rsid w:val="00FC1631"/>
    <w:rsid w:val="00FC242F"/>
    <w:rsid w:val="00FC2484"/>
    <w:rsid w:val="00FC2BD9"/>
    <w:rsid w:val="00FC2D0F"/>
    <w:rsid w:val="00FC4AA8"/>
    <w:rsid w:val="00FC622D"/>
    <w:rsid w:val="00FC6A46"/>
    <w:rsid w:val="00FC79DA"/>
    <w:rsid w:val="00FD08D9"/>
    <w:rsid w:val="00FD235F"/>
    <w:rsid w:val="00FD4D1D"/>
    <w:rsid w:val="00FD626E"/>
    <w:rsid w:val="00FD64F7"/>
    <w:rsid w:val="00FD7415"/>
    <w:rsid w:val="00FE0199"/>
    <w:rsid w:val="00FE0647"/>
    <w:rsid w:val="00FE0B6C"/>
    <w:rsid w:val="00FE1553"/>
    <w:rsid w:val="00FE3B9C"/>
    <w:rsid w:val="00FE42B0"/>
    <w:rsid w:val="00FE5A40"/>
    <w:rsid w:val="00FE79B5"/>
    <w:rsid w:val="00FF0094"/>
    <w:rsid w:val="00FF097F"/>
    <w:rsid w:val="00FF200D"/>
    <w:rsid w:val="00FF3417"/>
    <w:rsid w:val="00FF412F"/>
    <w:rsid w:val="00FF4200"/>
    <w:rsid w:val="00FF589A"/>
    <w:rsid w:val="00FF6ECD"/>
    <w:rsid w:val="00FF7E9E"/>
    <w:rsid w:val="0100390C"/>
    <w:rsid w:val="013A0E1B"/>
    <w:rsid w:val="01453498"/>
    <w:rsid w:val="01791910"/>
    <w:rsid w:val="018207C5"/>
    <w:rsid w:val="019D115B"/>
    <w:rsid w:val="01BA56C5"/>
    <w:rsid w:val="01C43648"/>
    <w:rsid w:val="01E557E7"/>
    <w:rsid w:val="021F7210"/>
    <w:rsid w:val="022E1C2A"/>
    <w:rsid w:val="02372857"/>
    <w:rsid w:val="025A2F9E"/>
    <w:rsid w:val="02954528"/>
    <w:rsid w:val="02B7624C"/>
    <w:rsid w:val="02BF2AD7"/>
    <w:rsid w:val="02C40969"/>
    <w:rsid w:val="02F72AEC"/>
    <w:rsid w:val="02FC1AE4"/>
    <w:rsid w:val="031B6DD5"/>
    <w:rsid w:val="033435C8"/>
    <w:rsid w:val="03353A41"/>
    <w:rsid w:val="03882932"/>
    <w:rsid w:val="03A95345"/>
    <w:rsid w:val="03BE44FB"/>
    <w:rsid w:val="03D64DF8"/>
    <w:rsid w:val="03E272F9"/>
    <w:rsid w:val="03FA6E50"/>
    <w:rsid w:val="03FD4132"/>
    <w:rsid w:val="043F0BEF"/>
    <w:rsid w:val="044E0E32"/>
    <w:rsid w:val="046917C8"/>
    <w:rsid w:val="046948F3"/>
    <w:rsid w:val="047B2D9D"/>
    <w:rsid w:val="04912ACD"/>
    <w:rsid w:val="04A722F0"/>
    <w:rsid w:val="04A95FD5"/>
    <w:rsid w:val="04B05EB6"/>
    <w:rsid w:val="04B74C29"/>
    <w:rsid w:val="04C66C1A"/>
    <w:rsid w:val="04D72BD5"/>
    <w:rsid w:val="04E90B5B"/>
    <w:rsid w:val="04E946B7"/>
    <w:rsid w:val="04F0495F"/>
    <w:rsid w:val="04FD384B"/>
    <w:rsid w:val="05066DF9"/>
    <w:rsid w:val="054166BC"/>
    <w:rsid w:val="056A6836"/>
    <w:rsid w:val="05767713"/>
    <w:rsid w:val="05790131"/>
    <w:rsid w:val="05A52CD4"/>
    <w:rsid w:val="05D7202B"/>
    <w:rsid w:val="05E97064"/>
    <w:rsid w:val="05EA6938"/>
    <w:rsid w:val="05F477B7"/>
    <w:rsid w:val="06650974"/>
    <w:rsid w:val="067173C9"/>
    <w:rsid w:val="069F7723"/>
    <w:rsid w:val="06C90C44"/>
    <w:rsid w:val="06D0125C"/>
    <w:rsid w:val="06E4782C"/>
    <w:rsid w:val="07061550"/>
    <w:rsid w:val="0721638A"/>
    <w:rsid w:val="07262586"/>
    <w:rsid w:val="07287718"/>
    <w:rsid w:val="073666DA"/>
    <w:rsid w:val="07572125"/>
    <w:rsid w:val="076C0976"/>
    <w:rsid w:val="077539C2"/>
    <w:rsid w:val="078057A6"/>
    <w:rsid w:val="07893F2F"/>
    <w:rsid w:val="07A174CB"/>
    <w:rsid w:val="07A87241"/>
    <w:rsid w:val="07AC659B"/>
    <w:rsid w:val="07B45450"/>
    <w:rsid w:val="07C75183"/>
    <w:rsid w:val="07CD0B11"/>
    <w:rsid w:val="07D63618"/>
    <w:rsid w:val="07E017A1"/>
    <w:rsid w:val="07F43A9E"/>
    <w:rsid w:val="08144141"/>
    <w:rsid w:val="08186CD8"/>
    <w:rsid w:val="08274BAD"/>
    <w:rsid w:val="08470072"/>
    <w:rsid w:val="085E56AE"/>
    <w:rsid w:val="08687981"/>
    <w:rsid w:val="086F1B39"/>
    <w:rsid w:val="08766CE3"/>
    <w:rsid w:val="08874912"/>
    <w:rsid w:val="088D4241"/>
    <w:rsid w:val="088F37C7"/>
    <w:rsid w:val="089E3A0A"/>
    <w:rsid w:val="08AE3F90"/>
    <w:rsid w:val="08B11C07"/>
    <w:rsid w:val="08B63438"/>
    <w:rsid w:val="08BD68A7"/>
    <w:rsid w:val="090D306A"/>
    <w:rsid w:val="092B34F0"/>
    <w:rsid w:val="092E4D8E"/>
    <w:rsid w:val="094E673D"/>
    <w:rsid w:val="094F29F6"/>
    <w:rsid w:val="096C2B3B"/>
    <w:rsid w:val="097468F3"/>
    <w:rsid w:val="097A6225"/>
    <w:rsid w:val="09916EF4"/>
    <w:rsid w:val="09C15C02"/>
    <w:rsid w:val="09FA34EB"/>
    <w:rsid w:val="0A053D41"/>
    <w:rsid w:val="0A132C02"/>
    <w:rsid w:val="0A1B3564"/>
    <w:rsid w:val="0A1C72DC"/>
    <w:rsid w:val="0A287A2F"/>
    <w:rsid w:val="0A4800D1"/>
    <w:rsid w:val="0A557BB7"/>
    <w:rsid w:val="0A5A32F8"/>
    <w:rsid w:val="0A652A31"/>
    <w:rsid w:val="0A692E7A"/>
    <w:rsid w:val="0A8A5D79"/>
    <w:rsid w:val="0AA25A34"/>
    <w:rsid w:val="0AB47859"/>
    <w:rsid w:val="0AC21A36"/>
    <w:rsid w:val="0AD61B81"/>
    <w:rsid w:val="0B0A1F19"/>
    <w:rsid w:val="0B0F03B9"/>
    <w:rsid w:val="0B36617C"/>
    <w:rsid w:val="0B4A2AED"/>
    <w:rsid w:val="0B57681E"/>
    <w:rsid w:val="0B61144B"/>
    <w:rsid w:val="0BA73406"/>
    <w:rsid w:val="0BBA6DAD"/>
    <w:rsid w:val="0BC96FF0"/>
    <w:rsid w:val="0BD172B9"/>
    <w:rsid w:val="0BE45BD8"/>
    <w:rsid w:val="0BE93BEF"/>
    <w:rsid w:val="0BEB340A"/>
    <w:rsid w:val="0C0A1AE2"/>
    <w:rsid w:val="0C0E3F93"/>
    <w:rsid w:val="0C2506CA"/>
    <w:rsid w:val="0C364685"/>
    <w:rsid w:val="0C4A304C"/>
    <w:rsid w:val="0C4F5747"/>
    <w:rsid w:val="0C566AD6"/>
    <w:rsid w:val="0C5F2EAB"/>
    <w:rsid w:val="0C62191E"/>
    <w:rsid w:val="0C7358DA"/>
    <w:rsid w:val="0C9615C8"/>
    <w:rsid w:val="0CAD06C0"/>
    <w:rsid w:val="0CB0103F"/>
    <w:rsid w:val="0CBC5489"/>
    <w:rsid w:val="0CE2480D"/>
    <w:rsid w:val="0CE340E1"/>
    <w:rsid w:val="0CE916F8"/>
    <w:rsid w:val="0D381061"/>
    <w:rsid w:val="0D4A7030"/>
    <w:rsid w:val="0D4C612B"/>
    <w:rsid w:val="0D543BFA"/>
    <w:rsid w:val="0D6E42F3"/>
    <w:rsid w:val="0D870F11"/>
    <w:rsid w:val="0D8853B5"/>
    <w:rsid w:val="0D956B94"/>
    <w:rsid w:val="0D9D62C2"/>
    <w:rsid w:val="0DA467D8"/>
    <w:rsid w:val="0DBD78FC"/>
    <w:rsid w:val="0DE43DD8"/>
    <w:rsid w:val="0DE843A2"/>
    <w:rsid w:val="0E1E7A30"/>
    <w:rsid w:val="0E2C4F72"/>
    <w:rsid w:val="0E364E11"/>
    <w:rsid w:val="0E372937"/>
    <w:rsid w:val="0E5D6CF2"/>
    <w:rsid w:val="0E7476E7"/>
    <w:rsid w:val="0E7616B1"/>
    <w:rsid w:val="0E8611C8"/>
    <w:rsid w:val="0E8C4A31"/>
    <w:rsid w:val="0E917BF5"/>
    <w:rsid w:val="0E960DA4"/>
    <w:rsid w:val="0EB83A78"/>
    <w:rsid w:val="0ECC12D1"/>
    <w:rsid w:val="0ECC7523"/>
    <w:rsid w:val="0EE02FCE"/>
    <w:rsid w:val="0EE06B2A"/>
    <w:rsid w:val="0EF32D02"/>
    <w:rsid w:val="0EFE61C3"/>
    <w:rsid w:val="0EFE6317"/>
    <w:rsid w:val="0F24110D"/>
    <w:rsid w:val="0F27226E"/>
    <w:rsid w:val="0F434C0A"/>
    <w:rsid w:val="0F4F60D6"/>
    <w:rsid w:val="0F5F1EEF"/>
    <w:rsid w:val="0F655282"/>
    <w:rsid w:val="0F977D7B"/>
    <w:rsid w:val="0F984030"/>
    <w:rsid w:val="0FAB26CD"/>
    <w:rsid w:val="0FB352D7"/>
    <w:rsid w:val="0FC14BAE"/>
    <w:rsid w:val="0FD536FB"/>
    <w:rsid w:val="0FDA462E"/>
    <w:rsid w:val="102562D8"/>
    <w:rsid w:val="1026403A"/>
    <w:rsid w:val="103E61FE"/>
    <w:rsid w:val="104355C3"/>
    <w:rsid w:val="107C2883"/>
    <w:rsid w:val="10826892"/>
    <w:rsid w:val="109B6D62"/>
    <w:rsid w:val="10B34A9A"/>
    <w:rsid w:val="11131439"/>
    <w:rsid w:val="112C24FB"/>
    <w:rsid w:val="113157AE"/>
    <w:rsid w:val="11407D54"/>
    <w:rsid w:val="11603F18"/>
    <w:rsid w:val="1160532F"/>
    <w:rsid w:val="11717FD1"/>
    <w:rsid w:val="117B6FDE"/>
    <w:rsid w:val="118869FA"/>
    <w:rsid w:val="11895257"/>
    <w:rsid w:val="118E6D12"/>
    <w:rsid w:val="11C646FD"/>
    <w:rsid w:val="11D5049D"/>
    <w:rsid w:val="11E9219A"/>
    <w:rsid w:val="120E7E53"/>
    <w:rsid w:val="1222745A"/>
    <w:rsid w:val="122B27B2"/>
    <w:rsid w:val="12301ADC"/>
    <w:rsid w:val="123A700C"/>
    <w:rsid w:val="12850115"/>
    <w:rsid w:val="12CF4E33"/>
    <w:rsid w:val="12DA1AE3"/>
    <w:rsid w:val="131F3AA2"/>
    <w:rsid w:val="13AC7923"/>
    <w:rsid w:val="13B50586"/>
    <w:rsid w:val="13F20130"/>
    <w:rsid w:val="13F54E26"/>
    <w:rsid w:val="140426A2"/>
    <w:rsid w:val="143D67CD"/>
    <w:rsid w:val="144769FF"/>
    <w:rsid w:val="1457163D"/>
    <w:rsid w:val="146B333A"/>
    <w:rsid w:val="14A512BD"/>
    <w:rsid w:val="14B040EF"/>
    <w:rsid w:val="15264D8E"/>
    <w:rsid w:val="15545B7C"/>
    <w:rsid w:val="15785D0F"/>
    <w:rsid w:val="15A01BE5"/>
    <w:rsid w:val="15A9411A"/>
    <w:rsid w:val="15B52ECF"/>
    <w:rsid w:val="15B91CD3"/>
    <w:rsid w:val="15F5735F"/>
    <w:rsid w:val="16066474"/>
    <w:rsid w:val="16175528"/>
    <w:rsid w:val="164125A5"/>
    <w:rsid w:val="16571DC8"/>
    <w:rsid w:val="167B0653"/>
    <w:rsid w:val="16923636"/>
    <w:rsid w:val="16A94950"/>
    <w:rsid w:val="16AA0906"/>
    <w:rsid w:val="16B8213B"/>
    <w:rsid w:val="16D57191"/>
    <w:rsid w:val="16D70F4D"/>
    <w:rsid w:val="16F6136F"/>
    <w:rsid w:val="16F92E7F"/>
    <w:rsid w:val="16FD0098"/>
    <w:rsid w:val="171E6442"/>
    <w:rsid w:val="172D0D7B"/>
    <w:rsid w:val="17342109"/>
    <w:rsid w:val="173E758D"/>
    <w:rsid w:val="174E431E"/>
    <w:rsid w:val="174E4322"/>
    <w:rsid w:val="17521617"/>
    <w:rsid w:val="17BD4979"/>
    <w:rsid w:val="17C012EF"/>
    <w:rsid w:val="17DB38DF"/>
    <w:rsid w:val="17EC7A44"/>
    <w:rsid w:val="17F35B20"/>
    <w:rsid w:val="17F96393"/>
    <w:rsid w:val="18133ACD"/>
    <w:rsid w:val="1862744F"/>
    <w:rsid w:val="18664544"/>
    <w:rsid w:val="18F57676"/>
    <w:rsid w:val="18F953B8"/>
    <w:rsid w:val="190E24E6"/>
    <w:rsid w:val="192B08D4"/>
    <w:rsid w:val="193C2941"/>
    <w:rsid w:val="19605C43"/>
    <w:rsid w:val="197762DD"/>
    <w:rsid w:val="19971BB0"/>
    <w:rsid w:val="19B4308D"/>
    <w:rsid w:val="19CF2F48"/>
    <w:rsid w:val="19EB5772"/>
    <w:rsid w:val="1A240213"/>
    <w:rsid w:val="1A400DC5"/>
    <w:rsid w:val="1A472154"/>
    <w:rsid w:val="1A4E5290"/>
    <w:rsid w:val="1A4F0751"/>
    <w:rsid w:val="1A580DF8"/>
    <w:rsid w:val="1A756CC1"/>
    <w:rsid w:val="1A782D25"/>
    <w:rsid w:val="1A914743"/>
    <w:rsid w:val="1ABB7E7A"/>
    <w:rsid w:val="1AD334BF"/>
    <w:rsid w:val="1AE950FA"/>
    <w:rsid w:val="1B6D1746"/>
    <w:rsid w:val="1B7032B1"/>
    <w:rsid w:val="1B711290"/>
    <w:rsid w:val="1B803B6F"/>
    <w:rsid w:val="1BBE1FA1"/>
    <w:rsid w:val="1BD9327F"/>
    <w:rsid w:val="1BDE0896"/>
    <w:rsid w:val="1BE7599C"/>
    <w:rsid w:val="1BE97440"/>
    <w:rsid w:val="1BED2887"/>
    <w:rsid w:val="1C071B9A"/>
    <w:rsid w:val="1C1F5136"/>
    <w:rsid w:val="1C2C1601"/>
    <w:rsid w:val="1C2F2E9F"/>
    <w:rsid w:val="1C417326"/>
    <w:rsid w:val="1C427076"/>
    <w:rsid w:val="1C4C7CC3"/>
    <w:rsid w:val="1C784698"/>
    <w:rsid w:val="1C8A69E1"/>
    <w:rsid w:val="1CBA28AA"/>
    <w:rsid w:val="1CD75A11"/>
    <w:rsid w:val="1CF15B94"/>
    <w:rsid w:val="1CF4044F"/>
    <w:rsid w:val="1D007F39"/>
    <w:rsid w:val="1D047E88"/>
    <w:rsid w:val="1D156539"/>
    <w:rsid w:val="1D3764AF"/>
    <w:rsid w:val="1D4A7C0F"/>
    <w:rsid w:val="1D61442A"/>
    <w:rsid w:val="1D623D91"/>
    <w:rsid w:val="1D6F55A4"/>
    <w:rsid w:val="1DA358F3"/>
    <w:rsid w:val="1DB45D52"/>
    <w:rsid w:val="1DED20B4"/>
    <w:rsid w:val="1E077C8E"/>
    <w:rsid w:val="1E1423D7"/>
    <w:rsid w:val="1E307789"/>
    <w:rsid w:val="1E3231A6"/>
    <w:rsid w:val="1E42335E"/>
    <w:rsid w:val="1E5352A7"/>
    <w:rsid w:val="1E5906A7"/>
    <w:rsid w:val="1E5D1F46"/>
    <w:rsid w:val="1E652BA8"/>
    <w:rsid w:val="1E6E088F"/>
    <w:rsid w:val="1E7B6870"/>
    <w:rsid w:val="1EA5569B"/>
    <w:rsid w:val="1EB3600A"/>
    <w:rsid w:val="1ED65854"/>
    <w:rsid w:val="1EEE7042"/>
    <w:rsid w:val="1EF35383"/>
    <w:rsid w:val="1F0028D1"/>
    <w:rsid w:val="1F02211F"/>
    <w:rsid w:val="1F126F73"/>
    <w:rsid w:val="1F170346"/>
    <w:rsid w:val="1F1A472F"/>
    <w:rsid w:val="1F1C0F96"/>
    <w:rsid w:val="1F4E5D32"/>
    <w:rsid w:val="1F725038"/>
    <w:rsid w:val="1F9A0F77"/>
    <w:rsid w:val="1FBB33C8"/>
    <w:rsid w:val="1FCD30FB"/>
    <w:rsid w:val="1FCF7AFB"/>
    <w:rsid w:val="1FFB3446"/>
    <w:rsid w:val="1FFC12EA"/>
    <w:rsid w:val="1FFC753C"/>
    <w:rsid w:val="20036B1D"/>
    <w:rsid w:val="201A220D"/>
    <w:rsid w:val="20436F19"/>
    <w:rsid w:val="20474C5B"/>
    <w:rsid w:val="207B1149"/>
    <w:rsid w:val="208B6917"/>
    <w:rsid w:val="20B00359"/>
    <w:rsid w:val="20D61B3B"/>
    <w:rsid w:val="20DD2ECA"/>
    <w:rsid w:val="20EE50D7"/>
    <w:rsid w:val="20F87D04"/>
    <w:rsid w:val="21303DC9"/>
    <w:rsid w:val="21310AEB"/>
    <w:rsid w:val="21352D06"/>
    <w:rsid w:val="21475F62"/>
    <w:rsid w:val="21486EDD"/>
    <w:rsid w:val="215533A8"/>
    <w:rsid w:val="215A276C"/>
    <w:rsid w:val="216C7565"/>
    <w:rsid w:val="218E2416"/>
    <w:rsid w:val="21B7296D"/>
    <w:rsid w:val="21EA368F"/>
    <w:rsid w:val="21F4671D"/>
    <w:rsid w:val="22145011"/>
    <w:rsid w:val="22146DBF"/>
    <w:rsid w:val="221B1EC0"/>
    <w:rsid w:val="222334A6"/>
    <w:rsid w:val="22245FA1"/>
    <w:rsid w:val="22266AF2"/>
    <w:rsid w:val="22511DC1"/>
    <w:rsid w:val="22AA51F5"/>
    <w:rsid w:val="22BD28C6"/>
    <w:rsid w:val="22C47BC7"/>
    <w:rsid w:val="23452FA8"/>
    <w:rsid w:val="236560AB"/>
    <w:rsid w:val="23713D9D"/>
    <w:rsid w:val="2381161B"/>
    <w:rsid w:val="2381693A"/>
    <w:rsid w:val="239006C7"/>
    <w:rsid w:val="2393640A"/>
    <w:rsid w:val="239857CE"/>
    <w:rsid w:val="23B9512F"/>
    <w:rsid w:val="23DE58D7"/>
    <w:rsid w:val="23DF4CF4"/>
    <w:rsid w:val="23E65186"/>
    <w:rsid w:val="23E7405F"/>
    <w:rsid w:val="24466FD8"/>
    <w:rsid w:val="244D0366"/>
    <w:rsid w:val="244F0582"/>
    <w:rsid w:val="24547947"/>
    <w:rsid w:val="24612064"/>
    <w:rsid w:val="247578BD"/>
    <w:rsid w:val="24822706"/>
    <w:rsid w:val="248C70E1"/>
    <w:rsid w:val="248D111F"/>
    <w:rsid w:val="249B37C8"/>
    <w:rsid w:val="24BE74B6"/>
    <w:rsid w:val="24DF5ADD"/>
    <w:rsid w:val="25107F16"/>
    <w:rsid w:val="254625F0"/>
    <w:rsid w:val="256B319A"/>
    <w:rsid w:val="256F74FA"/>
    <w:rsid w:val="2585493F"/>
    <w:rsid w:val="25866F31"/>
    <w:rsid w:val="259049AF"/>
    <w:rsid w:val="25D81287"/>
    <w:rsid w:val="26343C96"/>
    <w:rsid w:val="264E03C6"/>
    <w:rsid w:val="266F0A68"/>
    <w:rsid w:val="26795443"/>
    <w:rsid w:val="267C3185"/>
    <w:rsid w:val="267E1B60"/>
    <w:rsid w:val="267F3064"/>
    <w:rsid w:val="26AB763C"/>
    <w:rsid w:val="26AC0E40"/>
    <w:rsid w:val="26B24DF9"/>
    <w:rsid w:val="26C16DEA"/>
    <w:rsid w:val="26EE3C38"/>
    <w:rsid w:val="26F31699"/>
    <w:rsid w:val="274F43F6"/>
    <w:rsid w:val="278843D0"/>
    <w:rsid w:val="278B7844"/>
    <w:rsid w:val="278C3449"/>
    <w:rsid w:val="27914A0E"/>
    <w:rsid w:val="27A97085"/>
    <w:rsid w:val="27AC17B9"/>
    <w:rsid w:val="27B92042"/>
    <w:rsid w:val="27BE67C9"/>
    <w:rsid w:val="27F31225"/>
    <w:rsid w:val="28090A48"/>
    <w:rsid w:val="28217234"/>
    <w:rsid w:val="284B1574"/>
    <w:rsid w:val="2859377E"/>
    <w:rsid w:val="285C326E"/>
    <w:rsid w:val="285C5F30"/>
    <w:rsid w:val="28D23530"/>
    <w:rsid w:val="28F0207E"/>
    <w:rsid w:val="29143B49"/>
    <w:rsid w:val="2929093D"/>
    <w:rsid w:val="29433BB0"/>
    <w:rsid w:val="29546686"/>
    <w:rsid w:val="295E6B72"/>
    <w:rsid w:val="29695805"/>
    <w:rsid w:val="29912F65"/>
    <w:rsid w:val="29BA6E37"/>
    <w:rsid w:val="2A1F4553"/>
    <w:rsid w:val="2A3A75DF"/>
    <w:rsid w:val="2A7D3457"/>
    <w:rsid w:val="2AAF3B29"/>
    <w:rsid w:val="2ABC4E3A"/>
    <w:rsid w:val="2AD57308"/>
    <w:rsid w:val="2AD96DF8"/>
    <w:rsid w:val="2B4F0E68"/>
    <w:rsid w:val="2B6820A6"/>
    <w:rsid w:val="2B894ABF"/>
    <w:rsid w:val="2B991FF2"/>
    <w:rsid w:val="2BBA71F5"/>
    <w:rsid w:val="2BCA44CB"/>
    <w:rsid w:val="2BD3551E"/>
    <w:rsid w:val="2BDB6BA0"/>
    <w:rsid w:val="2BEF0B9E"/>
    <w:rsid w:val="2C0004FA"/>
    <w:rsid w:val="2C484235"/>
    <w:rsid w:val="2C5030EA"/>
    <w:rsid w:val="2C567FD4"/>
    <w:rsid w:val="2C8114F5"/>
    <w:rsid w:val="2CAB751D"/>
    <w:rsid w:val="2CAD5E46"/>
    <w:rsid w:val="2CBE62A5"/>
    <w:rsid w:val="2CC82C80"/>
    <w:rsid w:val="2CD94E8D"/>
    <w:rsid w:val="2CF6099E"/>
    <w:rsid w:val="2D2154E0"/>
    <w:rsid w:val="2D241E80"/>
    <w:rsid w:val="2D60735C"/>
    <w:rsid w:val="2D6F2652"/>
    <w:rsid w:val="2DB61363"/>
    <w:rsid w:val="2DD91921"/>
    <w:rsid w:val="2DD935D3"/>
    <w:rsid w:val="2DE66F76"/>
    <w:rsid w:val="2E001AD0"/>
    <w:rsid w:val="2E126BCA"/>
    <w:rsid w:val="2E3010A6"/>
    <w:rsid w:val="2E36329E"/>
    <w:rsid w:val="2E383E35"/>
    <w:rsid w:val="2E3C1B78"/>
    <w:rsid w:val="2E3C1BBC"/>
    <w:rsid w:val="2E564673"/>
    <w:rsid w:val="2E627104"/>
    <w:rsid w:val="2E7310E3"/>
    <w:rsid w:val="2EAA5CB6"/>
    <w:rsid w:val="2EBA484A"/>
    <w:rsid w:val="2EBF4ACA"/>
    <w:rsid w:val="2EBF6305"/>
    <w:rsid w:val="2ECD5689"/>
    <w:rsid w:val="2EFC41EE"/>
    <w:rsid w:val="2F1228D8"/>
    <w:rsid w:val="2F366A04"/>
    <w:rsid w:val="2F6055E3"/>
    <w:rsid w:val="2F650C5A"/>
    <w:rsid w:val="2FB76FDC"/>
    <w:rsid w:val="2FC02334"/>
    <w:rsid w:val="2FD7142C"/>
    <w:rsid w:val="2FE73D65"/>
    <w:rsid w:val="2FF87D20"/>
    <w:rsid w:val="300114C0"/>
    <w:rsid w:val="30087265"/>
    <w:rsid w:val="30154375"/>
    <w:rsid w:val="30161F54"/>
    <w:rsid w:val="301B2D20"/>
    <w:rsid w:val="302477D8"/>
    <w:rsid w:val="30430644"/>
    <w:rsid w:val="304C7B53"/>
    <w:rsid w:val="3065199C"/>
    <w:rsid w:val="3078546E"/>
    <w:rsid w:val="309D61D2"/>
    <w:rsid w:val="30AD0B0B"/>
    <w:rsid w:val="30E62404"/>
    <w:rsid w:val="30E91A28"/>
    <w:rsid w:val="30EE2159"/>
    <w:rsid w:val="310426F5"/>
    <w:rsid w:val="310D2C36"/>
    <w:rsid w:val="31210BB1"/>
    <w:rsid w:val="31865A40"/>
    <w:rsid w:val="319C54C5"/>
    <w:rsid w:val="319E0453"/>
    <w:rsid w:val="31A43590"/>
    <w:rsid w:val="31C76DFE"/>
    <w:rsid w:val="3200767E"/>
    <w:rsid w:val="32396FA7"/>
    <w:rsid w:val="325B4596"/>
    <w:rsid w:val="325F5E35"/>
    <w:rsid w:val="329B78D9"/>
    <w:rsid w:val="32E53E60"/>
    <w:rsid w:val="32FE389F"/>
    <w:rsid w:val="3301294A"/>
    <w:rsid w:val="33114C55"/>
    <w:rsid w:val="33353039"/>
    <w:rsid w:val="33545CD9"/>
    <w:rsid w:val="335F1E64"/>
    <w:rsid w:val="33615BDC"/>
    <w:rsid w:val="33624B1A"/>
    <w:rsid w:val="33686F6B"/>
    <w:rsid w:val="336A3155"/>
    <w:rsid w:val="33754FA3"/>
    <w:rsid w:val="339636B4"/>
    <w:rsid w:val="33E16D1D"/>
    <w:rsid w:val="341964B7"/>
    <w:rsid w:val="343706EB"/>
    <w:rsid w:val="34637732"/>
    <w:rsid w:val="346C2A8B"/>
    <w:rsid w:val="347F40F6"/>
    <w:rsid w:val="34873421"/>
    <w:rsid w:val="348C6C89"/>
    <w:rsid w:val="3495510D"/>
    <w:rsid w:val="34AE4E51"/>
    <w:rsid w:val="34B53812"/>
    <w:rsid w:val="34C74165"/>
    <w:rsid w:val="34C957E7"/>
    <w:rsid w:val="34CA209B"/>
    <w:rsid w:val="34F8431E"/>
    <w:rsid w:val="350B22A4"/>
    <w:rsid w:val="354B6B44"/>
    <w:rsid w:val="35703BE5"/>
    <w:rsid w:val="3575596F"/>
    <w:rsid w:val="35771225"/>
    <w:rsid w:val="3598434D"/>
    <w:rsid w:val="35B069A7"/>
    <w:rsid w:val="35B2271F"/>
    <w:rsid w:val="35CF6FF8"/>
    <w:rsid w:val="35ED589A"/>
    <w:rsid w:val="361D460D"/>
    <w:rsid w:val="36211653"/>
    <w:rsid w:val="3629779E"/>
    <w:rsid w:val="3639699D"/>
    <w:rsid w:val="365804E7"/>
    <w:rsid w:val="366559E4"/>
    <w:rsid w:val="368C3850"/>
    <w:rsid w:val="369B1405"/>
    <w:rsid w:val="36A76752"/>
    <w:rsid w:val="36C34A09"/>
    <w:rsid w:val="36C579F2"/>
    <w:rsid w:val="36F34D9D"/>
    <w:rsid w:val="37014501"/>
    <w:rsid w:val="3703111F"/>
    <w:rsid w:val="37394EDD"/>
    <w:rsid w:val="37624C68"/>
    <w:rsid w:val="376E2676"/>
    <w:rsid w:val="377834F5"/>
    <w:rsid w:val="37820C94"/>
    <w:rsid w:val="37B409D1"/>
    <w:rsid w:val="37C329C2"/>
    <w:rsid w:val="37CA01F4"/>
    <w:rsid w:val="37CE0538"/>
    <w:rsid w:val="37D47B5E"/>
    <w:rsid w:val="37DA67DD"/>
    <w:rsid w:val="37EF7C5B"/>
    <w:rsid w:val="3848736B"/>
    <w:rsid w:val="386F2B4A"/>
    <w:rsid w:val="388365F5"/>
    <w:rsid w:val="38A5581F"/>
    <w:rsid w:val="38D317F4"/>
    <w:rsid w:val="38D806EF"/>
    <w:rsid w:val="38E3051F"/>
    <w:rsid w:val="38FA7508"/>
    <w:rsid w:val="38FF77EE"/>
    <w:rsid w:val="392032FC"/>
    <w:rsid w:val="39567866"/>
    <w:rsid w:val="39581830"/>
    <w:rsid w:val="396708A0"/>
    <w:rsid w:val="398322DC"/>
    <w:rsid w:val="39B20F40"/>
    <w:rsid w:val="39D03040"/>
    <w:rsid w:val="39D30EAD"/>
    <w:rsid w:val="39F06BFD"/>
    <w:rsid w:val="39F318CA"/>
    <w:rsid w:val="3A080B60"/>
    <w:rsid w:val="3A103EB8"/>
    <w:rsid w:val="3A2B1428"/>
    <w:rsid w:val="3A322081"/>
    <w:rsid w:val="3A451DB4"/>
    <w:rsid w:val="3A900F1E"/>
    <w:rsid w:val="3AC16F61"/>
    <w:rsid w:val="3AD34A1B"/>
    <w:rsid w:val="3B261CFB"/>
    <w:rsid w:val="3B2C6AD0"/>
    <w:rsid w:val="3B3C4395"/>
    <w:rsid w:val="3B6F58DE"/>
    <w:rsid w:val="3B800BCA"/>
    <w:rsid w:val="3B882877"/>
    <w:rsid w:val="3BB54DB0"/>
    <w:rsid w:val="3BB56AC5"/>
    <w:rsid w:val="3BCE7B87"/>
    <w:rsid w:val="3BD333EF"/>
    <w:rsid w:val="3C105A6B"/>
    <w:rsid w:val="3C125DCE"/>
    <w:rsid w:val="3C1852A6"/>
    <w:rsid w:val="3C304DE5"/>
    <w:rsid w:val="3C3E4D0D"/>
    <w:rsid w:val="3C422F3E"/>
    <w:rsid w:val="3C5C4B23"/>
    <w:rsid w:val="3C6504EB"/>
    <w:rsid w:val="3C683B38"/>
    <w:rsid w:val="3C713683"/>
    <w:rsid w:val="3C746980"/>
    <w:rsid w:val="3C797AF3"/>
    <w:rsid w:val="3C8A61A4"/>
    <w:rsid w:val="3C8B52A9"/>
    <w:rsid w:val="3C8B6ACE"/>
    <w:rsid w:val="3C9568F7"/>
    <w:rsid w:val="3CAB1C76"/>
    <w:rsid w:val="3CAD59EE"/>
    <w:rsid w:val="3CD25997"/>
    <w:rsid w:val="3CD94A35"/>
    <w:rsid w:val="3CE07B72"/>
    <w:rsid w:val="3CEA09F1"/>
    <w:rsid w:val="3D0870C9"/>
    <w:rsid w:val="3D3A1978"/>
    <w:rsid w:val="3D3B56F0"/>
    <w:rsid w:val="3D483FA5"/>
    <w:rsid w:val="3D591958"/>
    <w:rsid w:val="3D5F318D"/>
    <w:rsid w:val="3D6320AE"/>
    <w:rsid w:val="3D632551"/>
    <w:rsid w:val="3D6B67D2"/>
    <w:rsid w:val="3D70539A"/>
    <w:rsid w:val="3D73032B"/>
    <w:rsid w:val="3D766728"/>
    <w:rsid w:val="3D7A6218"/>
    <w:rsid w:val="3D7F04B3"/>
    <w:rsid w:val="3D7F382F"/>
    <w:rsid w:val="3D887631"/>
    <w:rsid w:val="3D9646D4"/>
    <w:rsid w:val="3DD516A1"/>
    <w:rsid w:val="3DE418E4"/>
    <w:rsid w:val="3DFC4E7F"/>
    <w:rsid w:val="3E0856D8"/>
    <w:rsid w:val="3E186EBA"/>
    <w:rsid w:val="3E1D6BA4"/>
    <w:rsid w:val="3E3D1DE7"/>
    <w:rsid w:val="3E546A69"/>
    <w:rsid w:val="3E8E1705"/>
    <w:rsid w:val="3E96695C"/>
    <w:rsid w:val="3EE31B9B"/>
    <w:rsid w:val="3EE6168C"/>
    <w:rsid w:val="3EEF22EE"/>
    <w:rsid w:val="3EF84757"/>
    <w:rsid w:val="3F0B4C4E"/>
    <w:rsid w:val="3F0C10F2"/>
    <w:rsid w:val="3F161F71"/>
    <w:rsid w:val="3F1F34F0"/>
    <w:rsid w:val="3F312C16"/>
    <w:rsid w:val="3F3C12AC"/>
    <w:rsid w:val="3F593C0C"/>
    <w:rsid w:val="3F634A8A"/>
    <w:rsid w:val="3F8E439A"/>
    <w:rsid w:val="3F982986"/>
    <w:rsid w:val="3F984F0D"/>
    <w:rsid w:val="3FC813FA"/>
    <w:rsid w:val="3FCA4B09"/>
    <w:rsid w:val="3FEE07F8"/>
    <w:rsid w:val="3FFB4CC3"/>
    <w:rsid w:val="400224F5"/>
    <w:rsid w:val="400F3235"/>
    <w:rsid w:val="405C7E57"/>
    <w:rsid w:val="406867FC"/>
    <w:rsid w:val="407C22A8"/>
    <w:rsid w:val="40931A53"/>
    <w:rsid w:val="40B53071"/>
    <w:rsid w:val="40E045E4"/>
    <w:rsid w:val="41083B3B"/>
    <w:rsid w:val="41744230"/>
    <w:rsid w:val="41875415"/>
    <w:rsid w:val="418A5041"/>
    <w:rsid w:val="419D4283"/>
    <w:rsid w:val="41A265EF"/>
    <w:rsid w:val="41D016DB"/>
    <w:rsid w:val="41E40104"/>
    <w:rsid w:val="41EE2D31"/>
    <w:rsid w:val="421F684B"/>
    <w:rsid w:val="423B3E49"/>
    <w:rsid w:val="42497F67"/>
    <w:rsid w:val="42562684"/>
    <w:rsid w:val="4258464E"/>
    <w:rsid w:val="42621029"/>
    <w:rsid w:val="427431DA"/>
    <w:rsid w:val="427521D5"/>
    <w:rsid w:val="427841F9"/>
    <w:rsid w:val="428B3394"/>
    <w:rsid w:val="429513FF"/>
    <w:rsid w:val="42A54AC6"/>
    <w:rsid w:val="42AF1AB8"/>
    <w:rsid w:val="42BD09E0"/>
    <w:rsid w:val="42F223AD"/>
    <w:rsid w:val="43010842"/>
    <w:rsid w:val="43056584"/>
    <w:rsid w:val="430D6FF5"/>
    <w:rsid w:val="43482915"/>
    <w:rsid w:val="434846C3"/>
    <w:rsid w:val="43525542"/>
    <w:rsid w:val="43963F1E"/>
    <w:rsid w:val="439671DC"/>
    <w:rsid w:val="43B92ECB"/>
    <w:rsid w:val="441822E7"/>
    <w:rsid w:val="44426629"/>
    <w:rsid w:val="444C03C6"/>
    <w:rsid w:val="44652ACA"/>
    <w:rsid w:val="44936155"/>
    <w:rsid w:val="44A21BB1"/>
    <w:rsid w:val="44A44849"/>
    <w:rsid w:val="44A771C7"/>
    <w:rsid w:val="44E601C7"/>
    <w:rsid w:val="450C60CA"/>
    <w:rsid w:val="451F76A5"/>
    <w:rsid w:val="452B615F"/>
    <w:rsid w:val="45917D94"/>
    <w:rsid w:val="459D3BC2"/>
    <w:rsid w:val="46184820"/>
    <w:rsid w:val="461E6DF1"/>
    <w:rsid w:val="46291A0F"/>
    <w:rsid w:val="46494FE1"/>
    <w:rsid w:val="464D0C32"/>
    <w:rsid w:val="466A4950"/>
    <w:rsid w:val="467557CF"/>
    <w:rsid w:val="467B0194"/>
    <w:rsid w:val="468E4AE3"/>
    <w:rsid w:val="46C61AAB"/>
    <w:rsid w:val="472114B3"/>
    <w:rsid w:val="472E0D2A"/>
    <w:rsid w:val="473A07C7"/>
    <w:rsid w:val="474004D4"/>
    <w:rsid w:val="47490A0A"/>
    <w:rsid w:val="476843AC"/>
    <w:rsid w:val="477F37B9"/>
    <w:rsid w:val="47971775"/>
    <w:rsid w:val="47AA2318"/>
    <w:rsid w:val="47BB2E28"/>
    <w:rsid w:val="47C167F2"/>
    <w:rsid w:val="47EE3067"/>
    <w:rsid w:val="481E1E96"/>
    <w:rsid w:val="48323EE8"/>
    <w:rsid w:val="48453261"/>
    <w:rsid w:val="48515DC8"/>
    <w:rsid w:val="486378A9"/>
    <w:rsid w:val="48825F81"/>
    <w:rsid w:val="489B1B33"/>
    <w:rsid w:val="48AE03C2"/>
    <w:rsid w:val="48AE5485"/>
    <w:rsid w:val="48B60321"/>
    <w:rsid w:val="48E42798"/>
    <w:rsid w:val="48EC1A58"/>
    <w:rsid w:val="49062518"/>
    <w:rsid w:val="49117305"/>
    <w:rsid w:val="49423962"/>
    <w:rsid w:val="496B110B"/>
    <w:rsid w:val="49706721"/>
    <w:rsid w:val="497E2BEC"/>
    <w:rsid w:val="49AD1724"/>
    <w:rsid w:val="49C02B87"/>
    <w:rsid w:val="49D433EE"/>
    <w:rsid w:val="4A3B0ADD"/>
    <w:rsid w:val="4A4C2CEB"/>
    <w:rsid w:val="4A5E73C4"/>
    <w:rsid w:val="4A655C81"/>
    <w:rsid w:val="4A770517"/>
    <w:rsid w:val="4A8330FE"/>
    <w:rsid w:val="4A8C758B"/>
    <w:rsid w:val="4A9F72BE"/>
    <w:rsid w:val="4AAF6DD6"/>
    <w:rsid w:val="4AB14E2D"/>
    <w:rsid w:val="4AB368C6"/>
    <w:rsid w:val="4AD50ED4"/>
    <w:rsid w:val="4AE05DDE"/>
    <w:rsid w:val="4AE747C1"/>
    <w:rsid w:val="4AF13892"/>
    <w:rsid w:val="4AF22945"/>
    <w:rsid w:val="4B0340A4"/>
    <w:rsid w:val="4B101F6A"/>
    <w:rsid w:val="4B197B96"/>
    <w:rsid w:val="4BAF3531"/>
    <w:rsid w:val="4BC468B1"/>
    <w:rsid w:val="4BD44D46"/>
    <w:rsid w:val="4BD73BBC"/>
    <w:rsid w:val="4BDA4326"/>
    <w:rsid w:val="4BDE34A9"/>
    <w:rsid w:val="4BFC604B"/>
    <w:rsid w:val="4C2542C6"/>
    <w:rsid w:val="4C435E96"/>
    <w:rsid w:val="4C842195"/>
    <w:rsid w:val="4C8844D8"/>
    <w:rsid w:val="4C8A69D2"/>
    <w:rsid w:val="4C95594A"/>
    <w:rsid w:val="4CB07870"/>
    <w:rsid w:val="4CC21042"/>
    <w:rsid w:val="4CC41C4C"/>
    <w:rsid w:val="4CE0596C"/>
    <w:rsid w:val="4CE54D31"/>
    <w:rsid w:val="4D217F10"/>
    <w:rsid w:val="4D2C2E13"/>
    <w:rsid w:val="4D2E4B65"/>
    <w:rsid w:val="4D5048A0"/>
    <w:rsid w:val="4D657A67"/>
    <w:rsid w:val="4DB36BDD"/>
    <w:rsid w:val="4DBE5CAD"/>
    <w:rsid w:val="4DD83BCC"/>
    <w:rsid w:val="4DE1199C"/>
    <w:rsid w:val="4DEB6377"/>
    <w:rsid w:val="4DF1636E"/>
    <w:rsid w:val="4E016821"/>
    <w:rsid w:val="4E0765A5"/>
    <w:rsid w:val="4E1115CD"/>
    <w:rsid w:val="4E125FF9"/>
    <w:rsid w:val="4E2E5373"/>
    <w:rsid w:val="4E54216E"/>
    <w:rsid w:val="4E745CB6"/>
    <w:rsid w:val="4E760D0B"/>
    <w:rsid w:val="4E797E26"/>
    <w:rsid w:val="4EC5501F"/>
    <w:rsid w:val="4EE27577"/>
    <w:rsid w:val="4F2D2E36"/>
    <w:rsid w:val="4F4665CF"/>
    <w:rsid w:val="4F49480A"/>
    <w:rsid w:val="4F561D44"/>
    <w:rsid w:val="4F6D0752"/>
    <w:rsid w:val="4F766114"/>
    <w:rsid w:val="4F786D37"/>
    <w:rsid w:val="4FD0705F"/>
    <w:rsid w:val="4FDE142C"/>
    <w:rsid w:val="5011774A"/>
    <w:rsid w:val="50146059"/>
    <w:rsid w:val="50395ABF"/>
    <w:rsid w:val="504D156B"/>
    <w:rsid w:val="505C6EFD"/>
    <w:rsid w:val="50630D8E"/>
    <w:rsid w:val="506F736F"/>
    <w:rsid w:val="5080549C"/>
    <w:rsid w:val="509E5922"/>
    <w:rsid w:val="50D43A3A"/>
    <w:rsid w:val="50DE6667"/>
    <w:rsid w:val="50EC3AC0"/>
    <w:rsid w:val="50FF2BEF"/>
    <w:rsid w:val="51044B29"/>
    <w:rsid w:val="51112598"/>
    <w:rsid w:val="515114EF"/>
    <w:rsid w:val="515A3F3F"/>
    <w:rsid w:val="515E7330"/>
    <w:rsid w:val="517514EA"/>
    <w:rsid w:val="51944BC6"/>
    <w:rsid w:val="51A11B6E"/>
    <w:rsid w:val="51AB05F0"/>
    <w:rsid w:val="51AC0513"/>
    <w:rsid w:val="51B24883"/>
    <w:rsid w:val="51B6604B"/>
    <w:rsid w:val="51D610EC"/>
    <w:rsid w:val="521F2A93"/>
    <w:rsid w:val="522B4F1F"/>
    <w:rsid w:val="522E717A"/>
    <w:rsid w:val="523C1897"/>
    <w:rsid w:val="526C7747"/>
    <w:rsid w:val="528C45CC"/>
    <w:rsid w:val="52B25C24"/>
    <w:rsid w:val="52C87D18"/>
    <w:rsid w:val="5325057D"/>
    <w:rsid w:val="53427D34"/>
    <w:rsid w:val="539B439B"/>
    <w:rsid w:val="539F20DD"/>
    <w:rsid w:val="53A30849"/>
    <w:rsid w:val="53A92F5C"/>
    <w:rsid w:val="53B43B75"/>
    <w:rsid w:val="53DE5743"/>
    <w:rsid w:val="53E329CC"/>
    <w:rsid w:val="53FA7313"/>
    <w:rsid w:val="54040192"/>
    <w:rsid w:val="545033D7"/>
    <w:rsid w:val="545C3887"/>
    <w:rsid w:val="545D78A2"/>
    <w:rsid w:val="548A4B3B"/>
    <w:rsid w:val="549239F0"/>
    <w:rsid w:val="54CF07A0"/>
    <w:rsid w:val="54FC282C"/>
    <w:rsid w:val="55006BAB"/>
    <w:rsid w:val="550A7209"/>
    <w:rsid w:val="551C775D"/>
    <w:rsid w:val="553D7E00"/>
    <w:rsid w:val="55525CA4"/>
    <w:rsid w:val="55545149"/>
    <w:rsid w:val="55603AEE"/>
    <w:rsid w:val="5560418C"/>
    <w:rsid w:val="55713605"/>
    <w:rsid w:val="55973987"/>
    <w:rsid w:val="559957C1"/>
    <w:rsid w:val="559D0BD6"/>
    <w:rsid w:val="55AC288F"/>
    <w:rsid w:val="55CE055B"/>
    <w:rsid w:val="55D32512"/>
    <w:rsid w:val="56091A90"/>
    <w:rsid w:val="561B17C3"/>
    <w:rsid w:val="561F5757"/>
    <w:rsid w:val="562D159C"/>
    <w:rsid w:val="564A6822"/>
    <w:rsid w:val="56546D4A"/>
    <w:rsid w:val="56D022B5"/>
    <w:rsid w:val="56F52014"/>
    <w:rsid w:val="571C70F4"/>
    <w:rsid w:val="574511ED"/>
    <w:rsid w:val="57511940"/>
    <w:rsid w:val="57742E61"/>
    <w:rsid w:val="57792C45"/>
    <w:rsid w:val="578F06BB"/>
    <w:rsid w:val="57A44166"/>
    <w:rsid w:val="57D85BBE"/>
    <w:rsid w:val="57DC6353"/>
    <w:rsid w:val="57F80965"/>
    <w:rsid w:val="58507E4A"/>
    <w:rsid w:val="587353B9"/>
    <w:rsid w:val="587578B0"/>
    <w:rsid w:val="588763EC"/>
    <w:rsid w:val="589C0C1E"/>
    <w:rsid w:val="58AC2BA6"/>
    <w:rsid w:val="58B303D9"/>
    <w:rsid w:val="58E67606"/>
    <w:rsid w:val="590D1897"/>
    <w:rsid w:val="59101387"/>
    <w:rsid w:val="59367672"/>
    <w:rsid w:val="5987789B"/>
    <w:rsid w:val="599876AE"/>
    <w:rsid w:val="599C08D7"/>
    <w:rsid w:val="59F20A8D"/>
    <w:rsid w:val="5A1B6236"/>
    <w:rsid w:val="5A204D11"/>
    <w:rsid w:val="5A271555"/>
    <w:rsid w:val="5A76346C"/>
    <w:rsid w:val="5A7B0A82"/>
    <w:rsid w:val="5A8319A8"/>
    <w:rsid w:val="5A8453A2"/>
    <w:rsid w:val="5A9A35FE"/>
    <w:rsid w:val="5AA4622B"/>
    <w:rsid w:val="5AB04BD0"/>
    <w:rsid w:val="5ACD1013"/>
    <w:rsid w:val="5AD563E4"/>
    <w:rsid w:val="5AFF7905"/>
    <w:rsid w:val="5B040A3C"/>
    <w:rsid w:val="5B383448"/>
    <w:rsid w:val="5B597015"/>
    <w:rsid w:val="5B5F2152"/>
    <w:rsid w:val="5B6B166F"/>
    <w:rsid w:val="5B9E711E"/>
    <w:rsid w:val="5BB57FC4"/>
    <w:rsid w:val="5BB85C75"/>
    <w:rsid w:val="5BBA55DA"/>
    <w:rsid w:val="5BBB7CD0"/>
    <w:rsid w:val="5BBF7D40"/>
    <w:rsid w:val="5BEF34D6"/>
    <w:rsid w:val="5BF46D3E"/>
    <w:rsid w:val="5C062BE6"/>
    <w:rsid w:val="5C1271C4"/>
    <w:rsid w:val="5C272C70"/>
    <w:rsid w:val="5C4C6B7A"/>
    <w:rsid w:val="5C735EB5"/>
    <w:rsid w:val="5C95407D"/>
    <w:rsid w:val="5C966568"/>
    <w:rsid w:val="5CBF10FA"/>
    <w:rsid w:val="5D0E5BDE"/>
    <w:rsid w:val="5D1551BE"/>
    <w:rsid w:val="5D504448"/>
    <w:rsid w:val="5D7111F5"/>
    <w:rsid w:val="5D7E0FB5"/>
    <w:rsid w:val="5DAD36A2"/>
    <w:rsid w:val="5DD010E5"/>
    <w:rsid w:val="5E062B6C"/>
    <w:rsid w:val="5E1216FE"/>
    <w:rsid w:val="5E2145D5"/>
    <w:rsid w:val="5E2532E6"/>
    <w:rsid w:val="5E5A37D0"/>
    <w:rsid w:val="5E624433"/>
    <w:rsid w:val="5E647C88"/>
    <w:rsid w:val="5E662E3D"/>
    <w:rsid w:val="5EA467FA"/>
    <w:rsid w:val="5EA762EA"/>
    <w:rsid w:val="5EA8689A"/>
    <w:rsid w:val="5EB033F0"/>
    <w:rsid w:val="5EB6652D"/>
    <w:rsid w:val="5EBB7FE7"/>
    <w:rsid w:val="5ED668DC"/>
    <w:rsid w:val="5EFA0B0F"/>
    <w:rsid w:val="5F3670FF"/>
    <w:rsid w:val="5F3C14E7"/>
    <w:rsid w:val="5F43646F"/>
    <w:rsid w:val="5F531FCE"/>
    <w:rsid w:val="5F7206A6"/>
    <w:rsid w:val="5F796DF2"/>
    <w:rsid w:val="5F830B05"/>
    <w:rsid w:val="5F85487D"/>
    <w:rsid w:val="5F8C7892"/>
    <w:rsid w:val="5F926F9A"/>
    <w:rsid w:val="5FA0070D"/>
    <w:rsid w:val="5FA7456C"/>
    <w:rsid w:val="5FA75A77"/>
    <w:rsid w:val="5FAD7C21"/>
    <w:rsid w:val="5FCB425A"/>
    <w:rsid w:val="5FDC0215"/>
    <w:rsid w:val="5FE61B61"/>
    <w:rsid w:val="5FE64BF0"/>
    <w:rsid w:val="60235E44"/>
    <w:rsid w:val="603142B4"/>
    <w:rsid w:val="606A75CF"/>
    <w:rsid w:val="60A71ADB"/>
    <w:rsid w:val="60C969EB"/>
    <w:rsid w:val="60D27197"/>
    <w:rsid w:val="60E90E3C"/>
    <w:rsid w:val="60F26B13"/>
    <w:rsid w:val="60FE7C06"/>
    <w:rsid w:val="61137C66"/>
    <w:rsid w:val="61281925"/>
    <w:rsid w:val="612C6DB7"/>
    <w:rsid w:val="61573FF7"/>
    <w:rsid w:val="615763BF"/>
    <w:rsid w:val="617A7CE6"/>
    <w:rsid w:val="618A0B45"/>
    <w:rsid w:val="61A60ADB"/>
    <w:rsid w:val="61CB0541"/>
    <w:rsid w:val="61D21F70"/>
    <w:rsid w:val="61DB4C28"/>
    <w:rsid w:val="61DF36AA"/>
    <w:rsid w:val="61E56882"/>
    <w:rsid w:val="61F1160C"/>
    <w:rsid w:val="622540F5"/>
    <w:rsid w:val="622A5268"/>
    <w:rsid w:val="62443927"/>
    <w:rsid w:val="6263240A"/>
    <w:rsid w:val="6296758D"/>
    <w:rsid w:val="62A852DD"/>
    <w:rsid w:val="62AA720C"/>
    <w:rsid w:val="62BF00A6"/>
    <w:rsid w:val="62C76F5B"/>
    <w:rsid w:val="62CD2097"/>
    <w:rsid w:val="62DA64E4"/>
    <w:rsid w:val="62F34051"/>
    <w:rsid w:val="62F83A45"/>
    <w:rsid w:val="62FC1D6B"/>
    <w:rsid w:val="63141A74"/>
    <w:rsid w:val="63646678"/>
    <w:rsid w:val="636C365E"/>
    <w:rsid w:val="638C3D00"/>
    <w:rsid w:val="63952BB5"/>
    <w:rsid w:val="63C67212"/>
    <w:rsid w:val="63D538F9"/>
    <w:rsid w:val="63E21F44"/>
    <w:rsid w:val="64121A53"/>
    <w:rsid w:val="644833A9"/>
    <w:rsid w:val="6449399F"/>
    <w:rsid w:val="644F7B8E"/>
    <w:rsid w:val="64836EB1"/>
    <w:rsid w:val="64850E7B"/>
    <w:rsid w:val="64C37BF6"/>
    <w:rsid w:val="64E75692"/>
    <w:rsid w:val="64ED7F25"/>
    <w:rsid w:val="64F4744C"/>
    <w:rsid w:val="65075D34"/>
    <w:rsid w:val="652C579B"/>
    <w:rsid w:val="653C50AB"/>
    <w:rsid w:val="65534AD5"/>
    <w:rsid w:val="65644F35"/>
    <w:rsid w:val="65744A4C"/>
    <w:rsid w:val="658253BB"/>
    <w:rsid w:val="658B078D"/>
    <w:rsid w:val="65A74E21"/>
    <w:rsid w:val="65D379C4"/>
    <w:rsid w:val="65DC0F6F"/>
    <w:rsid w:val="65E46529"/>
    <w:rsid w:val="65F52031"/>
    <w:rsid w:val="660364FC"/>
    <w:rsid w:val="66112985"/>
    <w:rsid w:val="66195D1F"/>
    <w:rsid w:val="66352F1F"/>
    <w:rsid w:val="664663E8"/>
    <w:rsid w:val="6654401A"/>
    <w:rsid w:val="66846F11"/>
    <w:rsid w:val="66871EA3"/>
    <w:rsid w:val="66D165D2"/>
    <w:rsid w:val="671539F5"/>
    <w:rsid w:val="67193AFD"/>
    <w:rsid w:val="671B7875"/>
    <w:rsid w:val="67395F4D"/>
    <w:rsid w:val="67BA52E0"/>
    <w:rsid w:val="67C577E1"/>
    <w:rsid w:val="67D85766"/>
    <w:rsid w:val="67DB403A"/>
    <w:rsid w:val="68055F4C"/>
    <w:rsid w:val="68057AA9"/>
    <w:rsid w:val="6818150B"/>
    <w:rsid w:val="68210EBB"/>
    <w:rsid w:val="68442EF0"/>
    <w:rsid w:val="684B5F38"/>
    <w:rsid w:val="68517B9D"/>
    <w:rsid w:val="688908DB"/>
    <w:rsid w:val="688A022F"/>
    <w:rsid w:val="68C43F8C"/>
    <w:rsid w:val="690B02EE"/>
    <w:rsid w:val="69272501"/>
    <w:rsid w:val="697F058F"/>
    <w:rsid w:val="69855479"/>
    <w:rsid w:val="69B12FFE"/>
    <w:rsid w:val="69C26753"/>
    <w:rsid w:val="69DF4B8A"/>
    <w:rsid w:val="69E14DA6"/>
    <w:rsid w:val="69E55F18"/>
    <w:rsid w:val="69F525FF"/>
    <w:rsid w:val="69F864CC"/>
    <w:rsid w:val="6A1360A0"/>
    <w:rsid w:val="6A1A0092"/>
    <w:rsid w:val="6A260884"/>
    <w:rsid w:val="6A507835"/>
    <w:rsid w:val="6A6631B8"/>
    <w:rsid w:val="6A70612A"/>
    <w:rsid w:val="6A7C062B"/>
    <w:rsid w:val="6A877238"/>
    <w:rsid w:val="6A95793E"/>
    <w:rsid w:val="6A9811DC"/>
    <w:rsid w:val="6A995680"/>
    <w:rsid w:val="6AA778F8"/>
    <w:rsid w:val="6AB9187F"/>
    <w:rsid w:val="6ABA1153"/>
    <w:rsid w:val="6ACD4FC1"/>
    <w:rsid w:val="6ACE0429"/>
    <w:rsid w:val="6AD04302"/>
    <w:rsid w:val="6B146AB5"/>
    <w:rsid w:val="6B163FCD"/>
    <w:rsid w:val="6B8237AB"/>
    <w:rsid w:val="6B8C2AEF"/>
    <w:rsid w:val="6B8D6867"/>
    <w:rsid w:val="6BAA0E8B"/>
    <w:rsid w:val="6BBB1626"/>
    <w:rsid w:val="6BC26511"/>
    <w:rsid w:val="6BF574DE"/>
    <w:rsid w:val="6BFD01D8"/>
    <w:rsid w:val="6C2947E2"/>
    <w:rsid w:val="6C303DC2"/>
    <w:rsid w:val="6C3D1C31"/>
    <w:rsid w:val="6C455FEF"/>
    <w:rsid w:val="6C5F4D83"/>
    <w:rsid w:val="6C6E48EB"/>
    <w:rsid w:val="6CFA1CDB"/>
    <w:rsid w:val="6D2D3E5E"/>
    <w:rsid w:val="6D3451EC"/>
    <w:rsid w:val="6D3F05F3"/>
    <w:rsid w:val="6D560EAF"/>
    <w:rsid w:val="6D5C4743"/>
    <w:rsid w:val="6D604F27"/>
    <w:rsid w:val="6D6C2BD8"/>
    <w:rsid w:val="6D711AC2"/>
    <w:rsid w:val="6D7872BE"/>
    <w:rsid w:val="6D981C1F"/>
    <w:rsid w:val="6DAC1227"/>
    <w:rsid w:val="6DE8556D"/>
    <w:rsid w:val="6E11406C"/>
    <w:rsid w:val="6E151448"/>
    <w:rsid w:val="6E667195"/>
    <w:rsid w:val="6E730CC4"/>
    <w:rsid w:val="6E781A51"/>
    <w:rsid w:val="6E815015"/>
    <w:rsid w:val="6EB80735"/>
    <w:rsid w:val="6EC4144C"/>
    <w:rsid w:val="6EC95E08"/>
    <w:rsid w:val="6EF410D7"/>
    <w:rsid w:val="6F072A92"/>
    <w:rsid w:val="6F176B74"/>
    <w:rsid w:val="6F1B0286"/>
    <w:rsid w:val="6F22257A"/>
    <w:rsid w:val="6F410095"/>
    <w:rsid w:val="6F4D3531"/>
    <w:rsid w:val="6F571EE4"/>
    <w:rsid w:val="6F6C5073"/>
    <w:rsid w:val="6F7C10CD"/>
    <w:rsid w:val="6FB70357"/>
    <w:rsid w:val="6FC05F8F"/>
    <w:rsid w:val="6FD607DD"/>
    <w:rsid w:val="70115CB9"/>
    <w:rsid w:val="702B51F4"/>
    <w:rsid w:val="702C6118"/>
    <w:rsid w:val="706A53C9"/>
    <w:rsid w:val="707C1572"/>
    <w:rsid w:val="707F70C6"/>
    <w:rsid w:val="70866D14"/>
    <w:rsid w:val="70C1148D"/>
    <w:rsid w:val="70FA04FB"/>
    <w:rsid w:val="7105445C"/>
    <w:rsid w:val="71080E6A"/>
    <w:rsid w:val="71121CE9"/>
    <w:rsid w:val="711C24DA"/>
    <w:rsid w:val="713F0604"/>
    <w:rsid w:val="71520337"/>
    <w:rsid w:val="715F2A54"/>
    <w:rsid w:val="717E112C"/>
    <w:rsid w:val="71940C37"/>
    <w:rsid w:val="71A14E1B"/>
    <w:rsid w:val="71B903B6"/>
    <w:rsid w:val="71BA7C8A"/>
    <w:rsid w:val="71E644D0"/>
    <w:rsid w:val="72054E52"/>
    <w:rsid w:val="72103694"/>
    <w:rsid w:val="7224305C"/>
    <w:rsid w:val="723B0DCB"/>
    <w:rsid w:val="72404633"/>
    <w:rsid w:val="724F2AC9"/>
    <w:rsid w:val="72554F0C"/>
    <w:rsid w:val="72AD0E60"/>
    <w:rsid w:val="72AF1B77"/>
    <w:rsid w:val="72B821FC"/>
    <w:rsid w:val="72D651FD"/>
    <w:rsid w:val="72DD1906"/>
    <w:rsid w:val="72E923EA"/>
    <w:rsid w:val="72F91763"/>
    <w:rsid w:val="72F922F4"/>
    <w:rsid w:val="73027B3B"/>
    <w:rsid w:val="730D6C0C"/>
    <w:rsid w:val="73124222"/>
    <w:rsid w:val="73165394"/>
    <w:rsid w:val="733A5527"/>
    <w:rsid w:val="735040D2"/>
    <w:rsid w:val="73506AF8"/>
    <w:rsid w:val="73814580"/>
    <w:rsid w:val="73AD7AA7"/>
    <w:rsid w:val="73D541D6"/>
    <w:rsid w:val="73D634A1"/>
    <w:rsid w:val="73DC65DE"/>
    <w:rsid w:val="73FD152F"/>
    <w:rsid w:val="73FE47A6"/>
    <w:rsid w:val="74132B02"/>
    <w:rsid w:val="743B5D19"/>
    <w:rsid w:val="746B4DE1"/>
    <w:rsid w:val="74890FF6"/>
    <w:rsid w:val="748B1959"/>
    <w:rsid w:val="74980757"/>
    <w:rsid w:val="74AA2238"/>
    <w:rsid w:val="74CB28DA"/>
    <w:rsid w:val="74E474F8"/>
    <w:rsid w:val="74E55980"/>
    <w:rsid w:val="750A2CD7"/>
    <w:rsid w:val="7519750B"/>
    <w:rsid w:val="751C3136"/>
    <w:rsid w:val="751F2C26"/>
    <w:rsid w:val="75297059"/>
    <w:rsid w:val="7533222E"/>
    <w:rsid w:val="754506F8"/>
    <w:rsid w:val="75842A89"/>
    <w:rsid w:val="75952EE8"/>
    <w:rsid w:val="75A650F5"/>
    <w:rsid w:val="75DB4288"/>
    <w:rsid w:val="762865F3"/>
    <w:rsid w:val="76297DEC"/>
    <w:rsid w:val="763B75EC"/>
    <w:rsid w:val="764E21C9"/>
    <w:rsid w:val="76531987"/>
    <w:rsid w:val="76763C9B"/>
    <w:rsid w:val="76AA190D"/>
    <w:rsid w:val="76B92C06"/>
    <w:rsid w:val="76B94B5B"/>
    <w:rsid w:val="76BD0317"/>
    <w:rsid w:val="76D57A40"/>
    <w:rsid w:val="771B10EA"/>
    <w:rsid w:val="77512E3F"/>
    <w:rsid w:val="775E11DE"/>
    <w:rsid w:val="778803B6"/>
    <w:rsid w:val="77924BEB"/>
    <w:rsid w:val="77B57CE6"/>
    <w:rsid w:val="77CB2BF1"/>
    <w:rsid w:val="77DA2E34"/>
    <w:rsid w:val="77E45A61"/>
    <w:rsid w:val="783B7D77"/>
    <w:rsid w:val="784F2557"/>
    <w:rsid w:val="78654DE1"/>
    <w:rsid w:val="78665094"/>
    <w:rsid w:val="786848E4"/>
    <w:rsid w:val="78874D6A"/>
    <w:rsid w:val="78B35B5F"/>
    <w:rsid w:val="78C23FF4"/>
    <w:rsid w:val="78DA2881"/>
    <w:rsid w:val="78E24DCB"/>
    <w:rsid w:val="78F45A6B"/>
    <w:rsid w:val="78F849C2"/>
    <w:rsid w:val="78FC310E"/>
    <w:rsid w:val="79045E32"/>
    <w:rsid w:val="79294073"/>
    <w:rsid w:val="792A0134"/>
    <w:rsid w:val="79701CA2"/>
    <w:rsid w:val="79773031"/>
    <w:rsid w:val="797C0A9B"/>
    <w:rsid w:val="79A47B9E"/>
    <w:rsid w:val="79AD6A52"/>
    <w:rsid w:val="79AE1324"/>
    <w:rsid w:val="79B9661A"/>
    <w:rsid w:val="79C478F8"/>
    <w:rsid w:val="79C73545"/>
    <w:rsid w:val="79CD432C"/>
    <w:rsid w:val="79E42B8D"/>
    <w:rsid w:val="79E57CFB"/>
    <w:rsid w:val="7A0643B5"/>
    <w:rsid w:val="7A0B3779"/>
    <w:rsid w:val="7A0B5527"/>
    <w:rsid w:val="7A1B7E60"/>
    <w:rsid w:val="7A344A7E"/>
    <w:rsid w:val="7A3E76AA"/>
    <w:rsid w:val="7A5E5F9F"/>
    <w:rsid w:val="7A7B13B1"/>
    <w:rsid w:val="7A831561"/>
    <w:rsid w:val="7A8B6668"/>
    <w:rsid w:val="7A8F6158"/>
    <w:rsid w:val="7AAC4F5C"/>
    <w:rsid w:val="7ABB0CFB"/>
    <w:rsid w:val="7AEF309B"/>
    <w:rsid w:val="7AEF6BF7"/>
    <w:rsid w:val="7B18614D"/>
    <w:rsid w:val="7B2B1E08"/>
    <w:rsid w:val="7B56326B"/>
    <w:rsid w:val="7B592AEB"/>
    <w:rsid w:val="7B5C2E58"/>
    <w:rsid w:val="7B7D06A6"/>
    <w:rsid w:val="7B931C78"/>
    <w:rsid w:val="7B9854E0"/>
    <w:rsid w:val="7BB10350"/>
    <w:rsid w:val="7BB33D4C"/>
    <w:rsid w:val="7BBA2624"/>
    <w:rsid w:val="7BD06A28"/>
    <w:rsid w:val="7BF00D90"/>
    <w:rsid w:val="7C0E57A2"/>
    <w:rsid w:val="7C142DB9"/>
    <w:rsid w:val="7C1639FF"/>
    <w:rsid w:val="7C2C400E"/>
    <w:rsid w:val="7C3A6A8B"/>
    <w:rsid w:val="7C661068"/>
    <w:rsid w:val="7C720C48"/>
    <w:rsid w:val="7CB93960"/>
    <w:rsid w:val="7CCF49B2"/>
    <w:rsid w:val="7CF404F4"/>
    <w:rsid w:val="7CF43450"/>
    <w:rsid w:val="7D07647A"/>
    <w:rsid w:val="7D20217D"/>
    <w:rsid w:val="7D251E74"/>
    <w:rsid w:val="7D2F59D0"/>
    <w:rsid w:val="7D311748"/>
    <w:rsid w:val="7D3B25C7"/>
    <w:rsid w:val="7D7D498E"/>
    <w:rsid w:val="7D8F09BA"/>
    <w:rsid w:val="7D913F95"/>
    <w:rsid w:val="7D93181C"/>
    <w:rsid w:val="7D9E69C0"/>
    <w:rsid w:val="7DF03702"/>
    <w:rsid w:val="7E0B3D48"/>
    <w:rsid w:val="7E1075B0"/>
    <w:rsid w:val="7E2C4AFF"/>
    <w:rsid w:val="7E3A462D"/>
    <w:rsid w:val="7E492AC2"/>
    <w:rsid w:val="7E686A2E"/>
    <w:rsid w:val="7E696CC0"/>
    <w:rsid w:val="7EC108AA"/>
    <w:rsid w:val="7ECD75C7"/>
    <w:rsid w:val="7EF02F3D"/>
    <w:rsid w:val="7F1B6380"/>
    <w:rsid w:val="7F21759B"/>
    <w:rsid w:val="7F26481D"/>
    <w:rsid w:val="7F460DAF"/>
    <w:rsid w:val="7F631C00"/>
    <w:rsid w:val="7F761695"/>
    <w:rsid w:val="7F7B569D"/>
    <w:rsid w:val="7F8847EF"/>
    <w:rsid w:val="7FE162E8"/>
    <w:rsid w:val="7FF151B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nhideWhenUsed="0" w:uiPriority="99" w:semiHidden="0" w:name="footnote text"/>
    <w:lsdException w:unhideWhenUsed="0" w:uiPriority="0" w:name="annotation text"/>
    <w:lsdException w:uiPriority="0" w:semiHidden="0" w:name="header"/>
    <w:lsdException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name="Document Map"/>
    <w:lsdException w:qFormat="1"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62"/>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63"/>
    <w:qFormat/>
    <w:uiPriority w:val="9"/>
    <w:pPr>
      <w:keepNext/>
      <w:keepLines/>
      <w:spacing w:before="260" w:beforeLines="0" w:after="260" w:afterLines="0" w:line="416" w:lineRule="auto"/>
      <w:outlineLvl w:val="1"/>
    </w:pPr>
    <w:rPr>
      <w:rFonts w:ascii="Cambria" w:hAnsi="Cambria"/>
      <w:b/>
      <w:bCs/>
      <w:sz w:val="32"/>
      <w:szCs w:val="32"/>
    </w:rPr>
  </w:style>
  <w:style w:type="paragraph" w:styleId="4">
    <w:name w:val="heading 3"/>
    <w:basedOn w:val="1"/>
    <w:next w:val="1"/>
    <w:link w:val="64"/>
    <w:qFormat/>
    <w:uiPriority w:val="0"/>
    <w:pPr>
      <w:keepNext/>
      <w:keepLines/>
      <w:widowControl/>
      <w:snapToGrid w:val="0"/>
      <w:spacing w:line="360" w:lineRule="auto"/>
      <w:jc w:val="left"/>
      <w:outlineLvl w:val="2"/>
    </w:pPr>
    <w:rPr>
      <w:rFonts w:ascii="宋体" w:hAnsi="宋体"/>
      <w:b/>
      <w:bCs/>
      <w:kern w:val="0"/>
      <w:sz w:val="28"/>
      <w:lang w:eastAsia="en-US" w:bidi="en-US"/>
    </w:rPr>
  </w:style>
  <w:style w:type="paragraph" w:styleId="5">
    <w:name w:val="heading 4"/>
    <w:basedOn w:val="1"/>
    <w:next w:val="1"/>
    <w:link w:val="65"/>
    <w:qFormat/>
    <w:uiPriority w:val="0"/>
    <w:pPr>
      <w:keepNext/>
      <w:keepLines/>
      <w:widowControl/>
      <w:spacing w:beforeLines="0" w:line="276" w:lineRule="auto"/>
      <w:jc w:val="left"/>
      <w:outlineLvl w:val="3"/>
    </w:pPr>
    <w:rPr>
      <w:rFonts w:ascii="Cambria" w:hAnsi="Cambria"/>
      <w:b/>
      <w:bCs/>
      <w:iCs/>
      <w:color w:val="4F81BD"/>
      <w:kern w:val="0"/>
      <w:sz w:val="22"/>
      <w:lang w:eastAsia="en-US" w:bidi="en-US"/>
    </w:rPr>
  </w:style>
  <w:style w:type="paragraph" w:styleId="6">
    <w:name w:val="heading 5"/>
    <w:basedOn w:val="1"/>
    <w:next w:val="1"/>
    <w:link w:val="66"/>
    <w:qFormat/>
    <w:uiPriority w:val="0"/>
    <w:pPr>
      <w:keepNext/>
      <w:keepLines/>
      <w:widowControl/>
      <w:spacing w:before="200" w:beforeLines="0" w:line="276" w:lineRule="auto"/>
      <w:jc w:val="left"/>
      <w:outlineLvl w:val="4"/>
    </w:pPr>
    <w:rPr>
      <w:rFonts w:ascii="Cambria" w:hAnsi="Cambria"/>
      <w:color w:val="243F60"/>
      <w:kern w:val="0"/>
      <w:sz w:val="22"/>
      <w:lang w:eastAsia="en-US" w:bidi="en-US"/>
    </w:rPr>
  </w:style>
  <w:style w:type="paragraph" w:styleId="7">
    <w:name w:val="heading 6"/>
    <w:basedOn w:val="1"/>
    <w:next w:val="1"/>
    <w:link w:val="67"/>
    <w:qFormat/>
    <w:uiPriority w:val="0"/>
    <w:pPr>
      <w:keepNext/>
      <w:keepLines/>
      <w:adjustRightInd w:val="0"/>
      <w:spacing w:before="240" w:beforeLines="0" w:after="64" w:afterLines="0" w:line="320" w:lineRule="atLeast"/>
      <w:textAlignment w:val="baseline"/>
      <w:outlineLvl w:val="5"/>
    </w:pPr>
    <w:rPr>
      <w:rFonts w:ascii="Arial" w:hAnsi="Arial" w:eastAsia="黑体"/>
      <w:b/>
      <w:kern w:val="0"/>
      <w:sz w:val="24"/>
      <w:szCs w:val="20"/>
    </w:rPr>
  </w:style>
  <w:style w:type="paragraph" w:styleId="8">
    <w:name w:val="heading 7"/>
    <w:basedOn w:val="1"/>
    <w:next w:val="1"/>
    <w:link w:val="68"/>
    <w:qFormat/>
    <w:uiPriority w:val="0"/>
    <w:pPr>
      <w:keepNext/>
      <w:keepLines/>
      <w:adjustRightInd w:val="0"/>
      <w:spacing w:before="240" w:beforeLines="0" w:after="64" w:afterLines="0" w:line="320" w:lineRule="atLeast"/>
      <w:textAlignment w:val="baseline"/>
      <w:outlineLvl w:val="6"/>
    </w:pPr>
    <w:rPr>
      <w:b/>
      <w:kern w:val="0"/>
      <w:sz w:val="24"/>
      <w:szCs w:val="20"/>
    </w:rPr>
  </w:style>
  <w:style w:type="paragraph" w:styleId="9">
    <w:name w:val="heading 8"/>
    <w:basedOn w:val="1"/>
    <w:next w:val="1"/>
    <w:link w:val="69"/>
    <w:qFormat/>
    <w:uiPriority w:val="0"/>
    <w:pPr>
      <w:keepNext/>
      <w:keepLines/>
      <w:adjustRightInd w:val="0"/>
      <w:spacing w:before="240" w:beforeLines="0" w:after="64" w:afterLines="0" w:line="320" w:lineRule="atLeast"/>
      <w:textAlignment w:val="baseline"/>
      <w:outlineLvl w:val="7"/>
    </w:pPr>
    <w:rPr>
      <w:rFonts w:ascii="Arial" w:hAnsi="Arial" w:eastAsia="黑体"/>
      <w:kern w:val="0"/>
      <w:sz w:val="24"/>
      <w:szCs w:val="20"/>
    </w:rPr>
  </w:style>
  <w:style w:type="paragraph" w:styleId="10">
    <w:name w:val="heading 9"/>
    <w:basedOn w:val="1"/>
    <w:next w:val="1"/>
    <w:link w:val="70"/>
    <w:qFormat/>
    <w:uiPriority w:val="0"/>
    <w:pPr>
      <w:keepNext/>
      <w:keepLines/>
      <w:adjustRightInd w:val="0"/>
      <w:spacing w:before="240" w:beforeLines="0" w:after="64" w:afterLines="0" w:line="320" w:lineRule="atLeast"/>
      <w:textAlignment w:val="baseline"/>
      <w:outlineLvl w:val="8"/>
    </w:pPr>
    <w:rPr>
      <w:rFonts w:ascii="Arial" w:hAnsi="Arial" w:eastAsia="黑体"/>
      <w:kern w:val="0"/>
      <w:szCs w:val="20"/>
    </w:rPr>
  </w:style>
  <w:style w:type="character" w:default="1" w:styleId="49">
    <w:name w:val="Default Paragraph Font"/>
    <w:semiHidden/>
    <w:uiPriority w:val="0"/>
  </w:style>
  <w:style w:type="table" w:default="1" w:styleId="47">
    <w:name w:val="Normal Table"/>
    <w:unhideWhenUsed/>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Style w:val="47"/>
      <w:tblCellMar>
        <w:top w:w="0" w:type="dxa"/>
        <w:left w:w="108" w:type="dxa"/>
        <w:bottom w:w="0" w:type="dxa"/>
        <w:right w:w="108" w:type="dxa"/>
      </w:tblCellMar>
    </w:tblPr>
  </w:style>
  <w:style w:type="paragraph" w:styleId="11">
    <w:name w:val="toc 7"/>
    <w:basedOn w:val="1"/>
    <w:next w:val="1"/>
    <w:unhideWhenUsed/>
    <w:uiPriority w:val="39"/>
    <w:pPr>
      <w:ind w:left="1260"/>
      <w:jc w:val="left"/>
    </w:pPr>
    <w:rPr>
      <w:rFonts w:ascii="Calibri" w:hAnsi="Calibri"/>
      <w:sz w:val="18"/>
      <w:szCs w:val="18"/>
    </w:rPr>
  </w:style>
  <w:style w:type="paragraph" w:styleId="12">
    <w:name w:val="Normal Indent"/>
    <w:basedOn w:val="1"/>
    <w:uiPriority w:val="0"/>
    <w:pPr>
      <w:ind w:firstLine="420" w:firstLineChars="200"/>
    </w:pPr>
  </w:style>
  <w:style w:type="paragraph" w:styleId="13">
    <w:name w:val="caption"/>
    <w:basedOn w:val="1"/>
    <w:next w:val="1"/>
    <w:qFormat/>
    <w:uiPriority w:val="0"/>
    <w:pPr>
      <w:adjustRightInd w:val="0"/>
      <w:spacing w:before="152" w:beforeLines="0" w:after="160" w:afterLines="0" w:line="360" w:lineRule="atLeast"/>
      <w:jc w:val="left"/>
      <w:textAlignment w:val="baseline"/>
    </w:pPr>
    <w:rPr>
      <w:rFonts w:ascii="Arial" w:hAnsi="Arial" w:eastAsia="黑体"/>
      <w:kern w:val="0"/>
      <w:sz w:val="24"/>
    </w:rPr>
  </w:style>
  <w:style w:type="paragraph" w:styleId="14">
    <w:name w:val="Document Map"/>
    <w:basedOn w:val="1"/>
    <w:link w:val="71"/>
    <w:semiHidden/>
    <w:uiPriority w:val="0"/>
    <w:pPr>
      <w:shd w:val="clear" w:color="auto" w:fill="000080"/>
    </w:pPr>
  </w:style>
  <w:style w:type="paragraph" w:styleId="15">
    <w:name w:val="toa heading"/>
    <w:next w:val="1"/>
    <w:qFormat/>
    <w:uiPriority w:val="99"/>
    <w:pPr>
      <w:widowControl w:val="0"/>
      <w:autoSpaceDE w:val="0"/>
      <w:autoSpaceDN w:val="0"/>
      <w:adjustRightInd w:val="0"/>
      <w:spacing w:before="120"/>
    </w:pPr>
    <w:rPr>
      <w:rFonts w:ascii="Arial" w:hAnsi="Arial"/>
      <w:sz w:val="24"/>
      <w:lang w:val="en-US" w:eastAsia="zh-CN" w:bidi="ar-SA"/>
    </w:rPr>
  </w:style>
  <w:style w:type="paragraph" w:styleId="16">
    <w:name w:val="annotation text"/>
    <w:basedOn w:val="1"/>
    <w:link w:val="72"/>
    <w:semiHidden/>
    <w:uiPriority w:val="0"/>
    <w:pPr>
      <w:jc w:val="left"/>
    </w:pPr>
  </w:style>
  <w:style w:type="paragraph" w:styleId="17">
    <w:name w:val="Body Text 3"/>
    <w:basedOn w:val="1"/>
    <w:link w:val="73"/>
    <w:uiPriority w:val="0"/>
    <w:pPr>
      <w:spacing w:after="120" w:afterLines="0"/>
    </w:pPr>
    <w:rPr>
      <w:sz w:val="16"/>
      <w:szCs w:val="16"/>
    </w:rPr>
  </w:style>
  <w:style w:type="paragraph" w:styleId="18">
    <w:name w:val="Body Text"/>
    <w:basedOn w:val="1"/>
    <w:next w:val="1"/>
    <w:link w:val="74"/>
    <w:uiPriority w:val="0"/>
    <w:rPr>
      <w:rFonts w:eastAsia="黑体"/>
      <w:sz w:val="36"/>
    </w:rPr>
  </w:style>
  <w:style w:type="paragraph" w:styleId="19">
    <w:name w:val="Body Text Indent"/>
    <w:basedOn w:val="1"/>
    <w:link w:val="75"/>
    <w:uiPriority w:val="0"/>
    <w:pPr>
      <w:spacing w:after="120" w:afterLines="0"/>
      <w:ind w:left="420" w:leftChars="200"/>
    </w:pPr>
  </w:style>
  <w:style w:type="paragraph" w:styleId="20">
    <w:name w:val="Block Text"/>
    <w:basedOn w:val="1"/>
    <w:uiPriority w:val="0"/>
    <w:pPr>
      <w:spacing w:after="120" w:afterLines="0"/>
      <w:ind w:left="1440" w:leftChars="700" w:right="1440" w:rightChars="700"/>
    </w:pPr>
  </w:style>
  <w:style w:type="paragraph" w:styleId="21">
    <w:name w:val="List Bullet 2"/>
    <w:basedOn w:val="1"/>
    <w:uiPriority w:val="0"/>
    <w:pPr>
      <w:numPr>
        <w:ilvl w:val="0"/>
        <w:numId w:val="1"/>
      </w:numPr>
    </w:pPr>
  </w:style>
  <w:style w:type="paragraph" w:styleId="22">
    <w:name w:val="toc 5"/>
    <w:basedOn w:val="1"/>
    <w:next w:val="1"/>
    <w:uiPriority w:val="39"/>
    <w:pPr>
      <w:ind w:left="840"/>
      <w:jc w:val="left"/>
    </w:pPr>
    <w:rPr>
      <w:rFonts w:ascii="Calibri" w:hAnsi="Calibri"/>
      <w:sz w:val="18"/>
      <w:szCs w:val="18"/>
    </w:rPr>
  </w:style>
  <w:style w:type="paragraph" w:styleId="23">
    <w:name w:val="toc 3"/>
    <w:basedOn w:val="1"/>
    <w:next w:val="1"/>
    <w:uiPriority w:val="39"/>
    <w:pPr>
      <w:ind w:left="420"/>
      <w:jc w:val="left"/>
    </w:pPr>
    <w:rPr>
      <w:rFonts w:ascii="Calibri" w:hAnsi="Calibri"/>
      <w:i/>
      <w:iCs/>
      <w:sz w:val="20"/>
      <w:szCs w:val="20"/>
    </w:rPr>
  </w:style>
  <w:style w:type="paragraph" w:styleId="24">
    <w:name w:val="Plain Text"/>
    <w:basedOn w:val="1"/>
    <w:link w:val="76"/>
    <w:qFormat/>
    <w:uiPriority w:val="0"/>
    <w:rPr>
      <w:rFonts w:ascii="宋体" w:hAnsi="Courier New"/>
      <w:szCs w:val="21"/>
    </w:rPr>
  </w:style>
  <w:style w:type="paragraph" w:styleId="25">
    <w:name w:val="toc 8"/>
    <w:basedOn w:val="1"/>
    <w:next w:val="1"/>
    <w:unhideWhenUsed/>
    <w:uiPriority w:val="39"/>
    <w:pPr>
      <w:ind w:left="1470"/>
      <w:jc w:val="left"/>
    </w:pPr>
    <w:rPr>
      <w:rFonts w:ascii="Calibri" w:hAnsi="Calibri"/>
      <w:sz w:val="18"/>
      <w:szCs w:val="18"/>
    </w:rPr>
  </w:style>
  <w:style w:type="paragraph" w:styleId="26">
    <w:name w:val="Date"/>
    <w:basedOn w:val="1"/>
    <w:next w:val="1"/>
    <w:link w:val="77"/>
    <w:uiPriority w:val="0"/>
    <w:pPr>
      <w:adjustRightInd w:val="0"/>
      <w:spacing w:line="360" w:lineRule="atLeast"/>
    </w:pPr>
    <w:rPr>
      <w:rFonts w:ascii="宋体"/>
      <w:kern w:val="0"/>
      <w:sz w:val="24"/>
      <w:szCs w:val="20"/>
    </w:rPr>
  </w:style>
  <w:style w:type="paragraph" w:styleId="27">
    <w:name w:val="Body Text Indent 2"/>
    <w:basedOn w:val="1"/>
    <w:link w:val="78"/>
    <w:uiPriority w:val="0"/>
    <w:pPr>
      <w:spacing w:after="120" w:afterLines="0" w:line="480" w:lineRule="auto"/>
      <w:ind w:left="420" w:leftChars="200"/>
    </w:pPr>
  </w:style>
  <w:style w:type="paragraph" w:styleId="28">
    <w:name w:val="endnote text"/>
    <w:basedOn w:val="1"/>
    <w:link w:val="79"/>
    <w:uiPriority w:val="0"/>
    <w:pPr>
      <w:snapToGrid w:val="0"/>
      <w:jc w:val="left"/>
    </w:pPr>
  </w:style>
  <w:style w:type="paragraph" w:styleId="29">
    <w:name w:val="Balloon Text"/>
    <w:basedOn w:val="1"/>
    <w:link w:val="80"/>
    <w:semiHidden/>
    <w:uiPriority w:val="0"/>
    <w:rPr>
      <w:sz w:val="18"/>
      <w:szCs w:val="18"/>
    </w:rPr>
  </w:style>
  <w:style w:type="paragraph" w:styleId="30">
    <w:name w:val="footer"/>
    <w:basedOn w:val="1"/>
    <w:link w:val="81"/>
    <w:unhideWhenUsed/>
    <w:uiPriority w:val="99"/>
    <w:pPr>
      <w:tabs>
        <w:tab w:val="center" w:pos="4153"/>
        <w:tab w:val="right" w:pos="8306"/>
      </w:tabs>
      <w:snapToGrid w:val="0"/>
      <w:jc w:val="left"/>
    </w:pPr>
    <w:rPr>
      <w:kern w:val="0"/>
      <w:sz w:val="18"/>
      <w:szCs w:val="18"/>
    </w:rPr>
  </w:style>
  <w:style w:type="paragraph" w:styleId="31">
    <w:name w:val="header"/>
    <w:basedOn w:val="1"/>
    <w:link w:val="82"/>
    <w:unhideWhenUsed/>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uiPriority w:val="39"/>
    <w:pPr>
      <w:spacing w:before="120" w:after="120"/>
      <w:jc w:val="left"/>
    </w:pPr>
    <w:rPr>
      <w:rFonts w:ascii="Calibri" w:hAnsi="Calibri"/>
      <w:b/>
      <w:bCs/>
      <w:caps/>
      <w:sz w:val="20"/>
      <w:szCs w:val="20"/>
    </w:rPr>
  </w:style>
  <w:style w:type="paragraph" w:styleId="33">
    <w:name w:val="toc 4"/>
    <w:basedOn w:val="1"/>
    <w:next w:val="1"/>
    <w:uiPriority w:val="39"/>
    <w:pPr>
      <w:ind w:left="630"/>
      <w:jc w:val="left"/>
    </w:pPr>
    <w:rPr>
      <w:rFonts w:ascii="Calibri" w:hAnsi="Calibri"/>
      <w:sz w:val="18"/>
      <w:szCs w:val="18"/>
    </w:rPr>
  </w:style>
  <w:style w:type="paragraph" w:styleId="34">
    <w:name w:val="List"/>
    <w:basedOn w:val="1"/>
    <w:uiPriority w:val="0"/>
    <w:pPr>
      <w:adjustRightInd w:val="0"/>
      <w:spacing w:line="360" w:lineRule="atLeast"/>
      <w:ind w:left="420" w:hanging="420"/>
      <w:jc w:val="left"/>
    </w:pPr>
    <w:rPr>
      <w:rFonts w:hint="eastAsia" w:ascii="宋体"/>
      <w:kern w:val="0"/>
      <w:sz w:val="24"/>
      <w:szCs w:val="20"/>
    </w:rPr>
  </w:style>
  <w:style w:type="paragraph" w:styleId="35">
    <w:name w:val="footnote text"/>
    <w:basedOn w:val="1"/>
    <w:link w:val="83"/>
    <w:uiPriority w:val="99"/>
    <w:pPr>
      <w:snapToGrid w:val="0"/>
      <w:jc w:val="left"/>
    </w:pPr>
    <w:rPr>
      <w:sz w:val="18"/>
      <w:szCs w:val="18"/>
    </w:rPr>
  </w:style>
  <w:style w:type="paragraph" w:styleId="36">
    <w:name w:val="toc 6"/>
    <w:basedOn w:val="1"/>
    <w:next w:val="1"/>
    <w:unhideWhenUsed/>
    <w:uiPriority w:val="39"/>
    <w:pPr>
      <w:ind w:left="1050"/>
      <w:jc w:val="left"/>
    </w:pPr>
    <w:rPr>
      <w:rFonts w:ascii="Calibri" w:hAnsi="Calibri"/>
      <w:sz w:val="18"/>
      <w:szCs w:val="18"/>
    </w:rPr>
  </w:style>
  <w:style w:type="paragraph" w:styleId="37">
    <w:name w:val="Body Text Indent 3"/>
    <w:basedOn w:val="1"/>
    <w:link w:val="84"/>
    <w:uiPriority w:val="0"/>
    <w:pPr>
      <w:spacing w:after="120" w:afterLines="0"/>
      <w:ind w:left="420" w:leftChars="200"/>
    </w:pPr>
    <w:rPr>
      <w:sz w:val="16"/>
      <w:szCs w:val="16"/>
    </w:rPr>
  </w:style>
  <w:style w:type="paragraph" w:styleId="38">
    <w:name w:val="toc 2"/>
    <w:basedOn w:val="1"/>
    <w:next w:val="1"/>
    <w:uiPriority w:val="39"/>
    <w:pPr>
      <w:ind w:left="210"/>
      <w:jc w:val="left"/>
    </w:pPr>
    <w:rPr>
      <w:rFonts w:ascii="Calibri" w:hAnsi="Calibri"/>
      <w:smallCaps/>
      <w:sz w:val="20"/>
      <w:szCs w:val="20"/>
    </w:rPr>
  </w:style>
  <w:style w:type="paragraph" w:styleId="39">
    <w:name w:val="toc 9"/>
    <w:basedOn w:val="1"/>
    <w:next w:val="1"/>
    <w:unhideWhenUsed/>
    <w:uiPriority w:val="39"/>
    <w:pPr>
      <w:ind w:left="1680"/>
      <w:jc w:val="left"/>
    </w:pPr>
    <w:rPr>
      <w:rFonts w:ascii="Calibri" w:hAnsi="Calibri"/>
      <w:sz w:val="18"/>
      <w:szCs w:val="18"/>
    </w:rPr>
  </w:style>
  <w:style w:type="paragraph" w:styleId="40">
    <w:name w:val="Body Text 2"/>
    <w:basedOn w:val="1"/>
    <w:link w:val="85"/>
    <w:uiPriority w:val="0"/>
    <w:pPr>
      <w:jc w:val="center"/>
    </w:pPr>
    <w:rPr>
      <w:rFonts w:eastAsia="黑体"/>
      <w:bCs/>
      <w:sz w:val="72"/>
    </w:rPr>
  </w:style>
  <w:style w:type="paragraph" w:styleId="41">
    <w:name w:val="Normal (Web)"/>
    <w:basedOn w:val="1"/>
    <w:uiPriority w:val="99"/>
    <w:pPr>
      <w:widowControl/>
      <w:spacing w:before="100" w:beforeLines="0" w:beforeAutospacing="1" w:after="100" w:afterLines="0" w:afterAutospacing="1"/>
      <w:jc w:val="left"/>
    </w:pPr>
    <w:rPr>
      <w:rFonts w:ascii="宋体" w:hAnsi="宋体"/>
      <w:color w:val="000000"/>
      <w:kern w:val="0"/>
      <w:sz w:val="24"/>
    </w:rPr>
  </w:style>
  <w:style w:type="paragraph" w:styleId="42">
    <w:name w:val="index 1"/>
    <w:basedOn w:val="1"/>
    <w:next w:val="1"/>
    <w:semiHidden/>
    <w:uiPriority w:val="0"/>
    <w:pPr>
      <w:spacing w:line="220" w:lineRule="exact"/>
      <w:jc w:val="center"/>
    </w:pPr>
    <w:rPr>
      <w:rFonts w:ascii="仿宋_GB2312" w:eastAsia="仿宋_GB2312"/>
      <w:szCs w:val="21"/>
    </w:rPr>
  </w:style>
  <w:style w:type="paragraph" w:styleId="43">
    <w:name w:val="Title"/>
    <w:basedOn w:val="1"/>
    <w:link w:val="86"/>
    <w:qFormat/>
    <w:uiPriority w:val="0"/>
    <w:pPr>
      <w:adjustRightInd w:val="0"/>
      <w:spacing w:before="240" w:beforeLines="0" w:after="60" w:afterLines="0" w:line="360" w:lineRule="atLeast"/>
      <w:jc w:val="center"/>
      <w:outlineLvl w:val="0"/>
    </w:pPr>
    <w:rPr>
      <w:rFonts w:ascii="Arial" w:hAnsi="Arial"/>
      <w:b/>
      <w:kern w:val="0"/>
      <w:sz w:val="32"/>
      <w:szCs w:val="20"/>
    </w:rPr>
  </w:style>
  <w:style w:type="paragraph" w:styleId="44">
    <w:name w:val="annotation subject"/>
    <w:basedOn w:val="16"/>
    <w:next w:val="16"/>
    <w:link w:val="87"/>
    <w:semiHidden/>
    <w:uiPriority w:val="0"/>
    <w:rPr>
      <w:b/>
      <w:bCs/>
    </w:rPr>
  </w:style>
  <w:style w:type="paragraph" w:styleId="45">
    <w:name w:val="Body Text First Indent"/>
    <w:basedOn w:val="18"/>
    <w:link w:val="88"/>
    <w:uiPriority w:val="0"/>
    <w:pPr>
      <w:tabs>
        <w:tab w:val="left" w:pos="1418"/>
      </w:tabs>
      <w:autoSpaceDE w:val="0"/>
      <w:autoSpaceDN w:val="0"/>
      <w:adjustRightInd w:val="0"/>
      <w:spacing w:before="120" w:beforeLines="0" w:after="120" w:afterLines="0"/>
      <w:ind w:left="1418" w:hanging="567"/>
      <w:jc w:val="left"/>
    </w:pPr>
    <w:rPr>
      <w:rFonts w:eastAsia="PMingLiU"/>
      <w:lang w:eastAsia="zh-TW"/>
    </w:rPr>
  </w:style>
  <w:style w:type="paragraph" w:styleId="46">
    <w:name w:val="Body Text First Indent 2"/>
    <w:basedOn w:val="19"/>
    <w:link w:val="89"/>
    <w:unhideWhenUsed/>
    <w:qFormat/>
    <w:uiPriority w:val="99"/>
    <w:pPr>
      <w:ind w:firstLine="420" w:firstLineChars="200"/>
    </w:pPr>
  </w:style>
  <w:style w:type="table" w:styleId="48">
    <w:name w:val="Table Grid"/>
    <w:basedOn w:val="47"/>
    <w:unhideWhenUsed/>
    <w:uiPriority w:val="99"/>
    <w:tblPr>
      <w:tblStyle w:val="4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endnote reference"/>
    <w:uiPriority w:val="0"/>
    <w:rPr>
      <w:vertAlign w:val="superscript"/>
    </w:rPr>
  </w:style>
  <w:style w:type="character" w:styleId="52">
    <w:name w:val="page number"/>
    <w:uiPriority w:val="0"/>
  </w:style>
  <w:style w:type="character" w:styleId="53">
    <w:name w:val="FollowedHyperlink"/>
    <w:uiPriority w:val="0"/>
    <w:rPr>
      <w:color w:val="333333"/>
      <w:u w:val="none"/>
    </w:rPr>
  </w:style>
  <w:style w:type="character" w:styleId="54">
    <w:name w:val="HTML Definition"/>
    <w:uiPriority w:val="0"/>
    <w:rPr>
      <w:i/>
      <w:iCs/>
    </w:rPr>
  </w:style>
  <w:style w:type="character" w:styleId="55">
    <w:name w:val="HTML Acronym"/>
    <w:uiPriority w:val="0"/>
    <w:rPr>
      <w:color w:val="222E3A"/>
      <w:sz w:val="25"/>
      <w:szCs w:val="25"/>
    </w:rPr>
  </w:style>
  <w:style w:type="character" w:styleId="56">
    <w:name w:val="Hyperlink"/>
    <w:uiPriority w:val="99"/>
    <w:rPr>
      <w:color w:val="333333"/>
      <w:u w:val="none"/>
    </w:rPr>
  </w:style>
  <w:style w:type="character" w:styleId="57">
    <w:name w:val="HTML Code"/>
    <w:uiPriority w:val="0"/>
    <w:rPr>
      <w:rFonts w:hint="default" w:ascii="monospace" w:hAnsi="monospace" w:eastAsia="monospace" w:cs="monospace"/>
      <w:sz w:val="21"/>
      <w:szCs w:val="21"/>
    </w:rPr>
  </w:style>
  <w:style w:type="character" w:styleId="58">
    <w:name w:val="annotation reference"/>
    <w:uiPriority w:val="0"/>
    <w:rPr>
      <w:sz w:val="21"/>
      <w:szCs w:val="21"/>
    </w:rPr>
  </w:style>
  <w:style w:type="character" w:styleId="59">
    <w:name w:val="footnote reference"/>
    <w:uiPriority w:val="99"/>
    <w:rPr>
      <w:vertAlign w:val="superscript"/>
    </w:rPr>
  </w:style>
  <w:style w:type="character" w:styleId="60">
    <w:name w:val="HTML Keyboard"/>
    <w:uiPriority w:val="0"/>
    <w:rPr>
      <w:rFonts w:ascii="monospace" w:hAnsi="monospace" w:eastAsia="monospace" w:cs="monospace"/>
      <w:sz w:val="21"/>
      <w:szCs w:val="21"/>
    </w:rPr>
  </w:style>
  <w:style w:type="character" w:styleId="61">
    <w:name w:val="HTML Sample"/>
    <w:uiPriority w:val="0"/>
    <w:rPr>
      <w:rFonts w:hint="default" w:ascii="monospace" w:hAnsi="monospace" w:eastAsia="monospace" w:cs="monospace"/>
      <w:sz w:val="21"/>
      <w:szCs w:val="21"/>
    </w:rPr>
  </w:style>
  <w:style w:type="character" w:customStyle="1" w:styleId="62">
    <w:name w:val="标题 1 Char"/>
    <w:link w:val="2"/>
    <w:qFormat/>
    <w:uiPriority w:val="9"/>
    <w:rPr>
      <w:rFonts w:eastAsia="宋体"/>
      <w:b/>
      <w:bCs/>
      <w:kern w:val="44"/>
      <w:sz w:val="44"/>
      <w:szCs w:val="44"/>
      <w:lang w:val="en-US" w:eastAsia="zh-CN" w:bidi="ar-SA"/>
    </w:rPr>
  </w:style>
  <w:style w:type="character" w:customStyle="1" w:styleId="63">
    <w:name w:val="标题 2 Char"/>
    <w:link w:val="3"/>
    <w:uiPriority w:val="9"/>
    <w:rPr>
      <w:rFonts w:ascii="Cambria" w:hAnsi="Cambria" w:eastAsia="宋体"/>
      <w:b/>
      <w:bCs/>
      <w:kern w:val="2"/>
      <w:sz w:val="32"/>
      <w:szCs w:val="32"/>
      <w:lang w:val="en-US" w:eastAsia="zh-CN" w:bidi="ar-SA"/>
    </w:rPr>
  </w:style>
  <w:style w:type="character" w:customStyle="1" w:styleId="64">
    <w:name w:val="标题 3 Char"/>
    <w:link w:val="4"/>
    <w:uiPriority w:val="0"/>
    <w:rPr>
      <w:rFonts w:ascii="宋体" w:hAnsi="宋体"/>
      <w:b/>
      <w:bCs/>
      <w:sz w:val="28"/>
      <w:szCs w:val="24"/>
      <w:lang w:eastAsia="en-US" w:bidi="en-US"/>
    </w:rPr>
  </w:style>
  <w:style w:type="character" w:customStyle="1" w:styleId="65">
    <w:name w:val="标题 4 Char"/>
    <w:link w:val="5"/>
    <w:uiPriority w:val="0"/>
    <w:rPr>
      <w:rFonts w:ascii="Cambria" w:hAnsi="Cambria" w:eastAsia="宋体"/>
      <w:b/>
      <w:bCs/>
      <w:iCs/>
      <w:color w:val="4F81BD"/>
      <w:sz w:val="22"/>
      <w:szCs w:val="24"/>
      <w:lang w:val="en-US" w:eastAsia="en-US" w:bidi="en-US"/>
    </w:rPr>
  </w:style>
  <w:style w:type="character" w:customStyle="1" w:styleId="66">
    <w:name w:val="标题 5 Char"/>
    <w:link w:val="6"/>
    <w:uiPriority w:val="0"/>
    <w:rPr>
      <w:rFonts w:ascii="Cambria" w:hAnsi="Cambria" w:eastAsia="宋体"/>
      <w:color w:val="243F60"/>
      <w:sz w:val="22"/>
      <w:szCs w:val="24"/>
      <w:lang w:val="en-US" w:eastAsia="en-US" w:bidi="en-US"/>
    </w:rPr>
  </w:style>
  <w:style w:type="character" w:customStyle="1" w:styleId="67">
    <w:name w:val="标题 6 Char"/>
    <w:link w:val="7"/>
    <w:uiPriority w:val="0"/>
    <w:rPr>
      <w:rFonts w:ascii="Arial" w:hAnsi="Arial" w:eastAsia="黑体"/>
      <w:b/>
      <w:sz w:val="24"/>
      <w:lang w:val="en-US" w:eastAsia="zh-CN" w:bidi="ar-SA"/>
    </w:rPr>
  </w:style>
  <w:style w:type="character" w:customStyle="1" w:styleId="68">
    <w:name w:val="标题 7 Char"/>
    <w:link w:val="8"/>
    <w:uiPriority w:val="0"/>
    <w:rPr>
      <w:rFonts w:eastAsia="宋体"/>
      <w:b/>
      <w:sz w:val="24"/>
      <w:lang w:val="en-US" w:eastAsia="zh-CN" w:bidi="ar-SA"/>
    </w:rPr>
  </w:style>
  <w:style w:type="character" w:customStyle="1" w:styleId="69">
    <w:name w:val="标题 8 Char"/>
    <w:link w:val="9"/>
    <w:uiPriority w:val="0"/>
    <w:rPr>
      <w:rFonts w:ascii="Arial" w:hAnsi="Arial" w:eastAsia="黑体"/>
      <w:sz w:val="24"/>
      <w:lang w:val="en-US" w:eastAsia="zh-CN" w:bidi="ar-SA"/>
    </w:rPr>
  </w:style>
  <w:style w:type="character" w:customStyle="1" w:styleId="70">
    <w:name w:val="标题 9 Char"/>
    <w:link w:val="10"/>
    <w:uiPriority w:val="0"/>
    <w:rPr>
      <w:rFonts w:ascii="Arial" w:hAnsi="Arial" w:eastAsia="黑体"/>
      <w:sz w:val="21"/>
      <w:lang w:val="en-US" w:eastAsia="zh-CN" w:bidi="ar-SA"/>
    </w:rPr>
  </w:style>
  <w:style w:type="character" w:customStyle="1" w:styleId="71">
    <w:name w:val="文档结构图 Char"/>
    <w:link w:val="14"/>
    <w:semiHidden/>
    <w:uiPriority w:val="0"/>
    <w:rPr>
      <w:rFonts w:eastAsia="宋体"/>
      <w:kern w:val="2"/>
      <w:sz w:val="21"/>
      <w:szCs w:val="24"/>
      <w:lang w:val="en-US" w:eastAsia="zh-CN" w:bidi="ar-SA"/>
    </w:rPr>
  </w:style>
  <w:style w:type="character" w:customStyle="1" w:styleId="72">
    <w:name w:val="批注文字 Char"/>
    <w:link w:val="16"/>
    <w:semiHidden/>
    <w:uiPriority w:val="0"/>
    <w:rPr>
      <w:rFonts w:eastAsia="宋体"/>
      <w:kern w:val="2"/>
      <w:sz w:val="21"/>
      <w:szCs w:val="24"/>
      <w:lang w:val="en-US" w:eastAsia="zh-CN" w:bidi="ar-SA"/>
    </w:rPr>
  </w:style>
  <w:style w:type="character" w:customStyle="1" w:styleId="73">
    <w:name w:val="正文文本 3 Char"/>
    <w:link w:val="17"/>
    <w:uiPriority w:val="0"/>
    <w:rPr>
      <w:rFonts w:eastAsia="宋体"/>
      <w:kern w:val="2"/>
      <w:sz w:val="16"/>
      <w:szCs w:val="16"/>
      <w:lang w:val="en-US" w:eastAsia="zh-CN" w:bidi="ar-SA"/>
    </w:rPr>
  </w:style>
  <w:style w:type="character" w:customStyle="1" w:styleId="74">
    <w:name w:val="正文文本 Char"/>
    <w:link w:val="18"/>
    <w:uiPriority w:val="0"/>
    <w:rPr>
      <w:rFonts w:eastAsia="黑体"/>
      <w:kern w:val="2"/>
      <w:sz w:val="36"/>
      <w:szCs w:val="24"/>
      <w:lang w:val="en-US" w:eastAsia="zh-CN" w:bidi="ar-SA"/>
    </w:rPr>
  </w:style>
  <w:style w:type="character" w:customStyle="1" w:styleId="75">
    <w:name w:val="正文文本缩进 Char"/>
    <w:link w:val="19"/>
    <w:uiPriority w:val="0"/>
    <w:rPr>
      <w:rFonts w:eastAsia="宋体"/>
      <w:kern w:val="2"/>
      <w:sz w:val="21"/>
      <w:szCs w:val="24"/>
      <w:lang w:val="en-US" w:eastAsia="zh-CN" w:bidi="ar-SA"/>
    </w:rPr>
  </w:style>
  <w:style w:type="character" w:customStyle="1" w:styleId="76">
    <w:name w:val="纯文本 Char"/>
    <w:link w:val="24"/>
    <w:qFormat/>
    <w:uiPriority w:val="0"/>
    <w:rPr>
      <w:rFonts w:ascii="宋体" w:hAnsi="Courier New" w:eastAsia="宋体"/>
      <w:kern w:val="2"/>
      <w:sz w:val="21"/>
      <w:szCs w:val="21"/>
      <w:lang w:val="en-US" w:eastAsia="zh-CN" w:bidi="ar-SA"/>
    </w:rPr>
  </w:style>
  <w:style w:type="character" w:customStyle="1" w:styleId="77">
    <w:name w:val="日期 Char"/>
    <w:link w:val="26"/>
    <w:uiPriority w:val="0"/>
    <w:rPr>
      <w:rFonts w:ascii="宋体" w:eastAsia="宋体"/>
      <w:sz w:val="24"/>
      <w:lang w:val="en-US" w:eastAsia="zh-CN" w:bidi="ar-SA"/>
    </w:rPr>
  </w:style>
  <w:style w:type="character" w:customStyle="1" w:styleId="78">
    <w:name w:val="正文文本缩进 2 Char"/>
    <w:link w:val="27"/>
    <w:uiPriority w:val="0"/>
    <w:rPr>
      <w:rFonts w:eastAsia="宋体"/>
      <w:kern w:val="2"/>
      <w:sz w:val="21"/>
      <w:szCs w:val="24"/>
      <w:lang w:val="en-US" w:eastAsia="zh-CN" w:bidi="ar-SA"/>
    </w:rPr>
  </w:style>
  <w:style w:type="character" w:customStyle="1" w:styleId="79">
    <w:name w:val="尾注文本 Char"/>
    <w:link w:val="28"/>
    <w:uiPriority w:val="0"/>
    <w:rPr>
      <w:kern w:val="2"/>
      <w:sz w:val="21"/>
      <w:szCs w:val="24"/>
    </w:rPr>
  </w:style>
  <w:style w:type="character" w:customStyle="1" w:styleId="80">
    <w:name w:val="批注框文本 Char"/>
    <w:link w:val="29"/>
    <w:semiHidden/>
    <w:uiPriority w:val="0"/>
    <w:rPr>
      <w:rFonts w:eastAsia="宋体"/>
      <w:kern w:val="2"/>
      <w:sz w:val="18"/>
      <w:szCs w:val="18"/>
      <w:lang w:val="en-US" w:eastAsia="zh-CN" w:bidi="ar-SA"/>
    </w:rPr>
  </w:style>
  <w:style w:type="character" w:customStyle="1" w:styleId="81">
    <w:name w:val="页脚 Char"/>
    <w:link w:val="30"/>
    <w:uiPriority w:val="99"/>
    <w:rPr>
      <w:rFonts w:eastAsia="宋体"/>
      <w:sz w:val="18"/>
      <w:szCs w:val="18"/>
      <w:lang w:val="en-US" w:eastAsia="zh-CN" w:bidi="ar-SA"/>
    </w:rPr>
  </w:style>
  <w:style w:type="character" w:customStyle="1" w:styleId="82">
    <w:name w:val="页眉 Char"/>
    <w:link w:val="31"/>
    <w:uiPriority w:val="0"/>
    <w:rPr>
      <w:rFonts w:eastAsia="宋体"/>
      <w:sz w:val="18"/>
      <w:szCs w:val="18"/>
      <w:lang w:val="en-US" w:eastAsia="zh-CN" w:bidi="ar-SA"/>
    </w:rPr>
  </w:style>
  <w:style w:type="character" w:customStyle="1" w:styleId="83">
    <w:name w:val="脚注文本 Char"/>
    <w:link w:val="35"/>
    <w:uiPriority w:val="99"/>
    <w:rPr>
      <w:kern w:val="2"/>
      <w:sz w:val="18"/>
      <w:szCs w:val="18"/>
    </w:rPr>
  </w:style>
  <w:style w:type="character" w:customStyle="1" w:styleId="84">
    <w:name w:val="正文文本缩进 3 Char"/>
    <w:link w:val="37"/>
    <w:uiPriority w:val="0"/>
    <w:rPr>
      <w:rFonts w:eastAsia="宋体"/>
      <w:kern w:val="2"/>
      <w:sz w:val="16"/>
      <w:szCs w:val="16"/>
      <w:lang w:val="en-US" w:eastAsia="zh-CN" w:bidi="ar-SA"/>
    </w:rPr>
  </w:style>
  <w:style w:type="character" w:customStyle="1" w:styleId="85">
    <w:name w:val="正文文本 2 Char"/>
    <w:link w:val="40"/>
    <w:uiPriority w:val="0"/>
    <w:rPr>
      <w:rFonts w:eastAsia="黑体"/>
      <w:bCs/>
      <w:kern w:val="2"/>
      <w:sz w:val="72"/>
      <w:szCs w:val="24"/>
      <w:lang w:val="en-US" w:eastAsia="zh-CN" w:bidi="ar-SA"/>
    </w:rPr>
  </w:style>
  <w:style w:type="character" w:customStyle="1" w:styleId="86">
    <w:name w:val="标题 Char"/>
    <w:link w:val="43"/>
    <w:uiPriority w:val="0"/>
    <w:rPr>
      <w:rFonts w:ascii="Arial" w:hAnsi="Arial" w:eastAsia="宋体"/>
      <w:b/>
      <w:sz w:val="32"/>
      <w:lang w:val="en-US" w:eastAsia="zh-CN" w:bidi="ar-SA"/>
    </w:rPr>
  </w:style>
  <w:style w:type="character" w:customStyle="1" w:styleId="87">
    <w:name w:val="批注主题 Char"/>
    <w:link w:val="44"/>
    <w:semiHidden/>
    <w:uiPriority w:val="0"/>
    <w:rPr>
      <w:rFonts w:eastAsia="宋体"/>
      <w:b/>
      <w:bCs/>
      <w:kern w:val="2"/>
      <w:sz w:val="21"/>
      <w:szCs w:val="24"/>
      <w:lang w:val="en-US" w:eastAsia="zh-CN" w:bidi="ar-SA"/>
    </w:rPr>
  </w:style>
  <w:style w:type="character" w:customStyle="1" w:styleId="88">
    <w:name w:val="正文首行缩进 Char"/>
    <w:link w:val="45"/>
    <w:uiPriority w:val="0"/>
    <w:rPr>
      <w:rFonts w:eastAsia="PMingLiU"/>
      <w:kern w:val="2"/>
      <w:sz w:val="36"/>
      <w:szCs w:val="24"/>
      <w:lang w:val="en-US" w:eastAsia="zh-TW" w:bidi="ar-SA"/>
    </w:rPr>
  </w:style>
  <w:style w:type="character" w:customStyle="1" w:styleId="89">
    <w:name w:val="正文首行缩进 2 Char"/>
    <w:link w:val="46"/>
    <w:uiPriority w:val="99"/>
    <w:rPr>
      <w:lang w:val="en-US" w:eastAsia="zh-CN" w:bidi="ar-SA"/>
    </w:rPr>
  </w:style>
  <w:style w:type="paragraph" w:customStyle="1" w:styleId="9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91">
    <w:name w:val="标题 3 字符"/>
    <w:uiPriority w:val="0"/>
    <w:rPr>
      <w:b/>
      <w:bCs/>
      <w:kern w:val="2"/>
      <w:sz w:val="32"/>
      <w:szCs w:val="32"/>
    </w:rPr>
  </w:style>
  <w:style w:type="paragraph" w:customStyle="1" w:styleId="92">
    <w:name w:val="列出段落1"/>
    <w:basedOn w:val="1"/>
    <w:uiPriority w:val="0"/>
    <w:pPr>
      <w:ind w:firstLine="420" w:firstLineChars="200"/>
    </w:pPr>
  </w:style>
  <w:style w:type="character" w:customStyle="1" w:styleId="93">
    <w:name w:val="脚注文本 字符1"/>
    <w:uiPriority w:val="0"/>
    <w:rPr>
      <w:kern w:val="2"/>
      <w:sz w:val="18"/>
      <w:szCs w:val="18"/>
    </w:rPr>
  </w:style>
  <w:style w:type="character" w:customStyle="1" w:styleId="94">
    <w:name w:val="font161"/>
    <w:uiPriority w:val="0"/>
    <w:rPr>
      <w:b/>
      <w:bCs/>
      <w:sz w:val="32"/>
      <w:szCs w:val="32"/>
    </w:rPr>
  </w:style>
  <w:style w:type="character" w:customStyle="1" w:styleId="95">
    <w:name w:val="Char Char11"/>
    <w:uiPriority w:val="0"/>
    <w:rPr>
      <w:rFonts w:ascii="宋体" w:eastAsia="宋体" w:cs="Times New Roman"/>
      <w:sz w:val="24"/>
      <w:lang w:val="en-US" w:eastAsia="zh-CN" w:bidi="ar-SA"/>
    </w:rPr>
  </w:style>
  <w:style w:type="character" w:customStyle="1" w:styleId="96">
    <w:name w:val="Heading 1 Char"/>
    <w:locked/>
    <w:uiPriority w:val="0"/>
    <w:rPr>
      <w:rFonts w:ascii="Times New Roman" w:hAnsi="Times New Roman" w:eastAsia="宋体" w:cs="Times New Roman"/>
      <w:b/>
      <w:bCs/>
      <w:kern w:val="44"/>
      <w:sz w:val="44"/>
      <w:szCs w:val="44"/>
    </w:rPr>
  </w:style>
  <w:style w:type="character" w:customStyle="1" w:styleId="97">
    <w:name w:val="Footer Char"/>
    <w:locked/>
    <w:uiPriority w:val="0"/>
    <w:rPr>
      <w:rFonts w:ascii="宋体" w:cs="Times New Roman"/>
      <w:sz w:val="24"/>
      <w:szCs w:val="24"/>
    </w:rPr>
  </w:style>
  <w:style w:type="character" w:customStyle="1" w:styleId="98">
    <w:name w:val="Char Char1"/>
    <w:uiPriority w:val="0"/>
    <w:rPr>
      <w:rFonts w:eastAsia="宋体"/>
      <w:kern w:val="2"/>
      <w:sz w:val="24"/>
      <w:lang w:val="en-US" w:eastAsia="zh-CN" w:bidi="ar-SA"/>
    </w:rPr>
  </w:style>
  <w:style w:type="character" w:customStyle="1" w:styleId="99">
    <w:name w:val="f14b1"/>
    <w:uiPriority w:val="0"/>
    <w:rPr>
      <w:rFonts w:cs="Times New Roman"/>
      <w:b/>
      <w:bCs/>
      <w:sz w:val="21"/>
      <w:szCs w:val="21"/>
    </w:rPr>
  </w:style>
  <w:style w:type="character" w:customStyle="1" w:styleId="100">
    <w:name w:val="Plain Text Char"/>
    <w:locked/>
    <w:uiPriority w:val="0"/>
    <w:rPr>
      <w:rFonts w:ascii="宋体" w:hAnsi="宋体" w:eastAsia="宋体" w:cs="宋体"/>
      <w:kern w:val="0"/>
      <w:sz w:val="24"/>
      <w:szCs w:val="24"/>
    </w:rPr>
  </w:style>
  <w:style w:type="character" w:customStyle="1" w:styleId="101">
    <w:name w:val="apple-converted-space"/>
    <w:uiPriority w:val="0"/>
  </w:style>
  <w:style w:type="character" w:customStyle="1" w:styleId="102">
    <w:name w:val="Heading 2 Char"/>
    <w:aliases w:val="节 Char"/>
    <w:locked/>
    <w:uiPriority w:val="0"/>
    <w:rPr>
      <w:rFonts w:ascii="宋体" w:hAnsi="宋体" w:eastAsia="宋体" w:cs="Times New Roman"/>
      <w:kern w:val="0"/>
      <w:sz w:val="20"/>
      <w:szCs w:val="20"/>
    </w:rPr>
  </w:style>
  <w:style w:type="character" w:customStyle="1" w:styleId="103">
    <w:name w:val="Char Char"/>
    <w:uiPriority w:val="0"/>
    <w:rPr>
      <w:rFonts w:ascii="Arial" w:hAnsi="Arial" w:eastAsia="黑体"/>
      <w:b/>
      <w:bCs/>
      <w:kern w:val="2"/>
      <w:sz w:val="32"/>
      <w:szCs w:val="32"/>
      <w:lang w:val="en-US" w:eastAsia="zh-CN" w:bidi="ar-SA"/>
    </w:rPr>
  </w:style>
  <w:style w:type="character" w:customStyle="1" w:styleId="104">
    <w:name w:val="Date Char"/>
    <w:locked/>
    <w:uiPriority w:val="0"/>
    <w:rPr>
      <w:rFonts w:eastAsia="宋体"/>
      <w:sz w:val="24"/>
    </w:rPr>
  </w:style>
  <w:style w:type="character" w:customStyle="1" w:styleId="105">
    <w:name w:val="样式 粉红"/>
    <w:uiPriority w:val="0"/>
    <w:rPr>
      <w:color w:val="auto"/>
      <w:u w:val="none"/>
    </w:rPr>
  </w:style>
  <w:style w:type="character" w:customStyle="1" w:styleId="106">
    <w:name w:val="标题 2 Char Char"/>
    <w:uiPriority w:val="0"/>
    <w:rPr>
      <w:rFonts w:ascii="Arial" w:hAnsi="Arial" w:eastAsia="黑体" w:cs="Times New Roman"/>
      <w:b/>
      <w:bCs/>
      <w:kern w:val="2"/>
      <w:sz w:val="32"/>
      <w:szCs w:val="32"/>
      <w:lang w:val="en-US" w:eastAsia="zh-CN" w:bidi="ar-SA"/>
    </w:rPr>
  </w:style>
  <w:style w:type="character" w:customStyle="1" w:styleId="107">
    <w:name w:val="缩进正文 Char"/>
    <w:link w:val="108"/>
    <w:locked/>
    <w:uiPriority w:val="0"/>
    <w:rPr>
      <w:rFonts w:ascii="宋体" w:hAnsi="宋体"/>
      <w:spacing w:val="30"/>
      <w:sz w:val="24"/>
      <w:szCs w:val="24"/>
      <w:lang w:val="en-GB" w:eastAsia="zh-CN" w:bidi="ar-SA"/>
    </w:rPr>
  </w:style>
  <w:style w:type="paragraph" w:customStyle="1" w:styleId="108">
    <w:name w:val="缩进正文"/>
    <w:link w:val="107"/>
    <w:uiPriority w:val="0"/>
    <w:pPr>
      <w:adjustRightInd w:val="0"/>
      <w:snapToGrid w:val="0"/>
      <w:spacing w:before="218" w:beforeLines="70" w:after="218" w:afterLines="70" w:line="360" w:lineRule="exact"/>
      <w:ind w:left="1021"/>
      <w:jc w:val="both"/>
      <w:textAlignment w:val="baseline"/>
    </w:pPr>
    <w:rPr>
      <w:rFonts w:ascii="宋体" w:hAnsi="宋体"/>
      <w:spacing w:val="30"/>
      <w:sz w:val="24"/>
      <w:szCs w:val="24"/>
      <w:lang w:val="en-GB" w:eastAsia="zh-CN" w:bidi="ar-SA"/>
    </w:rPr>
  </w:style>
  <w:style w:type="character" w:customStyle="1" w:styleId="109">
    <w:name w:val="样式3 Char Char"/>
    <w:link w:val="110"/>
    <w:locked/>
    <w:uiPriority w:val="0"/>
    <w:rPr>
      <w:rFonts w:ascii="宋体" w:hAnsi="宋体" w:eastAsia="黑体"/>
      <w:sz w:val="36"/>
      <w:szCs w:val="36"/>
      <w:lang w:bidi="ar-SA"/>
    </w:rPr>
  </w:style>
  <w:style w:type="paragraph" w:customStyle="1" w:styleId="110">
    <w:name w:val="样式3"/>
    <w:basedOn w:val="1"/>
    <w:link w:val="109"/>
    <w:uiPriority w:val="0"/>
    <w:pPr>
      <w:spacing w:line="940" w:lineRule="exact"/>
      <w:jc w:val="center"/>
    </w:pPr>
    <w:rPr>
      <w:rFonts w:ascii="宋体" w:hAnsi="宋体" w:eastAsia="黑体"/>
      <w:kern w:val="0"/>
      <w:sz w:val="36"/>
      <w:szCs w:val="36"/>
    </w:rPr>
  </w:style>
  <w:style w:type="character" w:customStyle="1" w:styleId="111">
    <w:name w:val="普通文字1 Char"/>
    <w:aliases w:val="普通文字2 Char,普通文字3 Char,普通文字4 Char,普通文字5 Char,普通文字6 Char,普通文字11 Char,普通文字21 Char,普通文字31 Char,普通文字41 Char,普通文字7 Char,普通文字 Char Char,孙普文字 Char,普通文字 Char1,正 文 1 Char,小 Char,纯文本 Char Char Char Char1,纯文本 Char Char Char1,纯文本 Char1 Char Char Char"/>
    <w:uiPriority w:val="0"/>
    <w:rPr>
      <w:rFonts w:ascii="宋体" w:hAnsi="Courier New" w:eastAsia="宋体"/>
      <w:kern w:val="2"/>
      <w:sz w:val="21"/>
      <w:lang w:val="en-US" w:eastAsia="zh-CN" w:bidi="ar-SA"/>
    </w:rPr>
  </w:style>
  <w:style w:type="character" w:customStyle="1" w:styleId="112">
    <w:name w:val="Char Char6"/>
    <w:uiPriority w:val="0"/>
    <w:rPr>
      <w:rFonts w:eastAsia="宋体"/>
      <w:b/>
      <w:bCs/>
      <w:kern w:val="2"/>
      <w:sz w:val="32"/>
      <w:szCs w:val="32"/>
      <w:lang w:val="en-US" w:eastAsia="zh-CN" w:bidi="ar-SA"/>
    </w:rPr>
  </w:style>
  <w:style w:type="character" w:customStyle="1" w:styleId="113">
    <w:name w:val="Heading 3 Char"/>
    <w:locked/>
    <w:uiPriority w:val="0"/>
    <w:rPr>
      <w:rFonts w:ascii="Cambria" w:hAnsi="Cambria" w:eastAsia="宋体" w:cs="Times New Roman"/>
      <w:b/>
      <w:bCs/>
      <w:color w:val="4F81BD"/>
      <w:kern w:val="0"/>
      <w:sz w:val="22"/>
      <w:lang w:eastAsia="en-US"/>
    </w:rPr>
  </w:style>
  <w:style w:type="character" w:customStyle="1" w:styleId="114">
    <w:name w:val="Header Char"/>
    <w:locked/>
    <w:uiPriority w:val="0"/>
    <w:rPr>
      <w:rFonts w:ascii="宋体" w:cs="Times New Roman"/>
      <w:sz w:val="24"/>
      <w:szCs w:val="24"/>
    </w:rPr>
  </w:style>
  <w:style w:type="paragraph" w:customStyle="1" w:styleId="115">
    <w:name w:val="2"/>
    <w:basedOn w:val="1"/>
    <w:next w:val="19"/>
    <w:uiPriority w:val="0"/>
    <w:pPr>
      <w:ind w:left="432"/>
    </w:pPr>
    <w:rPr>
      <w:szCs w:val="20"/>
    </w:rPr>
  </w:style>
  <w:style w:type="paragraph" w:customStyle="1" w:styleId="116">
    <w:name w:val="样式 标题 2 + (西文) 方正书宋简体 (中文) 方正黑体简体 非加粗 黑色 段前: 0 磅 段后: 0 磅 行..."/>
    <w:basedOn w:val="3"/>
    <w:uiPriority w:val="0"/>
    <w:pPr>
      <w:spacing w:before="0" w:beforeLines="0" w:after="0" w:afterLines="0" w:line="300" w:lineRule="exact"/>
      <w:jc w:val="left"/>
    </w:pPr>
    <w:rPr>
      <w:rFonts w:ascii="方正书宋简体" w:hAnsi="宋体" w:eastAsia="方正小标宋简体" w:cs="宋体"/>
      <w:b w:val="0"/>
      <w:bCs w:val="0"/>
      <w:color w:val="000000"/>
      <w:sz w:val="21"/>
      <w:szCs w:val="20"/>
    </w:rPr>
  </w:style>
  <w:style w:type="paragraph" w:customStyle="1" w:styleId="117">
    <w:name w:val="Char Char Char Char"/>
    <w:basedOn w:val="1"/>
    <w:uiPriority w:val="0"/>
    <w:rPr>
      <w:rFonts w:ascii="Tahoma" w:hAnsi="Tahoma"/>
      <w:sz w:val="24"/>
      <w:szCs w:val="20"/>
    </w:rPr>
  </w:style>
  <w:style w:type="paragraph" w:customStyle="1" w:styleId="118">
    <w:name w:val="1"/>
    <w:basedOn w:val="1"/>
    <w:uiPriority w:val="0"/>
  </w:style>
  <w:style w:type="paragraph" w:customStyle="1" w:styleId="119">
    <w:name w:val="样式 标题 2 + Times New Roman 四号 非加粗 段前: 5 磅 段后: 0 磅 行距: 固定值 20..."/>
    <w:basedOn w:val="3"/>
    <w:uiPriority w:val="0"/>
    <w:pPr>
      <w:spacing w:before="100" w:beforeLines="0" w:after="0" w:afterLines="0" w:line="400" w:lineRule="exact"/>
    </w:pPr>
    <w:rPr>
      <w:rFonts w:ascii="Times New Roman" w:hAnsi="Times New Roman" w:eastAsia="黑体" w:cs="宋体"/>
      <w:b w:val="0"/>
      <w:bCs w:val="0"/>
      <w:sz w:val="28"/>
      <w:szCs w:val="20"/>
    </w:rPr>
  </w:style>
  <w:style w:type="paragraph" w:customStyle="1" w:styleId="120">
    <w:name w:val="3"/>
    <w:basedOn w:val="1"/>
    <w:next w:val="17"/>
    <w:uiPriority w:val="0"/>
    <w:rPr>
      <w:rFonts w:ascii="宋体"/>
      <w:sz w:val="24"/>
      <w:szCs w:val="20"/>
    </w:rPr>
  </w:style>
  <w:style w:type="paragraph" w:customStyle="1" w:styleId="121">
    <w:name w:val="Char Char Char1"/>
    <w:basedOn w:val="1"/>
    <w:uiPriority w:val="0"/>
    <w:rPr>
      <w:szCs w:val="20"/>
    </w:rPr>
  </w:style>
  <w:style w:type="paragraph" w:customStyle="1" w:styleId="122">
    <w:name w:val="。"/>
    <w:basedOn w:val="1"/>
    <w:uiPriority w:val="0"/>
    <w:pPr>
      <w:adjustRightInd w:val="0"/>
      <w:spacing w:line="360" w:lineRule="atLeast"/>
      <w:ind w:right="679"/>
      <w:jc w:val="left"/>
      <w:textAlignment w:val="baseline"/>
    </w:pPr>
    <w:rPr>
      <w:rFonts w:ascii="宋体"/>
      <w:sz w:val="24"/>
    </w:rPr>
  </w:style>
  <w:style w:type="paragraph" w:customStyle="1" w:styleId="123">
    <w:name w:val="Char1"/>
    <w:basedOn w:val="1"/>
    <w:uiPriority w:val="0"/>
    <w:rPr>
      <w:rFonts w:ascii="Tahoma" w:hAnsi="Tahoma"/>
      <w:sz w:val="24"/>
      <w:szCs w:val="20"/>
    </w:rPr>
  </w:style>
  <w:style w:type="paragraph" w:customStyle="1" w:styleId="124">
    <w:name w:val="p17"/>
    <w:basedOn w:val="1"/>
    <w:uiPriority w:val="0"/>
    <w:pPr>
      <w:widowControl/>
    </w:pPr>
    <w:rPr>
      <w:kern w:val="0"/>
      <w:szCs w:val="21"/>
    </w:rPr>
  </w:style>
  <w:style w:type="paragraph" w:customStyle="1" w:styleId="125">
    <w:name w:val="5"/>
    <w:basedOn w:val="1"/>
    <w:uiPriority w:val="0"/>
    <w:rPr>
      <w:rFonts w:ascii="Tahoma" w:hAnsi="Tahoma"/>
      <w:sz w:val="24"/>
      <w:szCs w:val="20"/>
    </w:rPr>
  </w:style>
  <w:style w:type="paragraph" w:customStyle="1" w:styleId="126">
    <w:name w:val="样式1"/>
    <w:basedOn w:val="1"/>
    <w:next w:val="12"/>
    <w:uiPriority w:val="0"/>
    <w:rPr>
      <w:rFonts w:ascii="宋体" w:hAnsi="Arial Unicode MS"/>
      <w:color w:val="000000"/>
      <w:kern w:val="0"/>
      <w:sz w:val="24"/>
      <w:szCs w:val="36"/>
    </w:rPr>
  </w:style>
  <w:style w:type="paragraph" w:customStyle="1" w:styleId="127">
    <w:name w:val="列出段落2"/>
    <w:basedOn w:val="1"/>
    <w:uiPriority w:val="0"/>
    <w:pPr>
      <w:ind w:firstLine="420" w:firstLineChars="200"/>
    </w:pPr>
  </w:style>
  <w:style w:type="paragraph" w:customStyle="1" w:styleId="128">
    <w:name w:val="Char Char Char"/>
    <w:basedOn w:val="1"/>
    <w:uiPriority w:val="0"/>
    <w:rPr>
      <w:szCs w:val="20"/>
    </w:rPr>
  </w:style>
  <w:style w:type="paragraph" w:customStyle="1" w:styleId="129">
    <w:name w:val="表格"/>
    <w:basedOn w:val="1"/>
    <w:uiPriority w:val="0"/>
    <w:pPr>
      <w:jc w:val="center"/>
      <w:textAlignment w:val="center"/>
    </w:pPr>
    <w:rPr>
      <w:rFonts w:ascii="华文细黑" w:hAnsi="华文细黑"/>
      <w:kern w:val="0"/>
      <w:szCs w:val="20"/>
    </w:rPr>
  </w:style>
  <w:style w:type="paragraph" w:customStyle="1" w:styleId="130">
    <w:name w:val="Char Char Char Char Char Char2 Char1"/>
    <w:basedOn w:val="1"/>
    <w:uiPriority w:val="0"/>
    <w:pPr>
      <w:spacing w:line="360" w:lineRule="auto"/>
      <w:ind w:firstLine="200" w:firstLineChars="200"/>
    </w:pPr>
    <w:rPr>
      <w:rFonts w:ascii="宋体" w:hAnsi="宋体" w:cs="宋体"/>
      <w:sz w:val="24"/>
    </w:rPr>
  </w:style>
  <w:style w:type="paragraph" w:styleId="131">
    <w:name w:val="List Paragraph"/>
    <w:basedOn w:val="1"/>
    <w:qFormat/>
    <w:uiPriority w:val="34"/>
    <w:pPr>
      <w:ind w:firstLine="420" w:firstLineChars="200"/>
    </w:pPr>
  </w:style>
  <w:style w:type="paragraph" w:customStyle="1" w:styleId="132">
    <w:name w:val="样式 标题 2 + (西文) 方正书宋简体 (中文) 方正黑体简体 非加粗 黑色 行距: 固定值 15 磅1"/>
    <w:basedOn w:val="3"/>
    <w:uiPriority w:val="0"/>
    <w:pPr>
      <w:spacing w:before="0" w:beforeLines="0" w:after="0" w:afterLines="0" w:line="300" w:lineRule="exact"/>
      <w:jc w:val="left"/>
    </w:pPr>
    <w:rPr>
      <w:rFonts w:ascii="方正书宋简体" w:hAnsi="宋体" w:eastAsia="方正小标宋简体" w:cs="宋体"/>
      <w:b w:val="0"/>
      <w:bCs w:val="0"/>
      <w:color w:val="000000"/>
      <w:sz w:val="21"/>
      <w:szCs w:val="20"/>
    </w:rPr>
  </w:style>
  <w:style w:type="paragraph" w:customStyle="1" w:styleId="133">
    <w:name w:val="xl24"/>
    <w:basedOn w:val="1"/>
    <w:uiPriority w:val="0"/>
    <w:pPr>
      <w:widowControl/>
      <w:spacing w:before="100" w:beforeLines="0" w:after="100" w:afterLines="0"/>
      <w:jc w:val="center"/>
      <w:textAlignment w:val="center"/>
    </w:pPr>
    <w:rPr>
      <w:rFonts w:ascii="宋体" w:hAnsi="宋体"/>
      <w:kern w:val="0"/>
      <w:sz w:val="24"/>
      <w:szCs w:val="20"/>
    </w:rPr>
  </w:style>
  <w:style w:type="paragraph" w:customStyle="1" w:styleId="134">
    <w:name w:val="Char Char Char Char Char Char Char Char Char Char Char Char Char"/>
    <w:basedOn w:val="1"/>
    <w:uiPriority w:val="0"/>
    <w:rPr>
      <w:rFonts w:ascii="仿宋_GB2312" w:eastAsia="仿宋_GB2312"/>
      <w:b/>
      <w:sz w:val="32"/>
      <w:szCs w:val="32"/>
    </w:rPr>
  </w:style>
  <w:style w:type="paragraph" w:customStyle="1" w:styleId="135">
    <w:name w:val="表格文字"/>
    <w:basedOn w:val="1"/>
    <w:uiPriority w:val="0"/>
    <w:pPr>
      <w:adjustRightInd w:val="0"/>
      <w:spacing w:line="420" w:lineRule="atLeast"/>
      <w:jc w:val="left"/>
      <w:textAlignment w:val="baseline"/>
    </w:pPr>
    <w:rPr>
      <w:kern w:val="0"/>
      <w:szCs w:val="20"/>
    </w:rPr>
  </w:style>
  <w:style w:type="paragraph" w:customStyle="1" w:styleId="136">
    <w:name w:val="样式 标题 1 + 黑体 三号 非加粗 居中 段前: 6 磅 段后: 6 磅 行距: 固定值 20 磅"/>
    <w:basedOn w:val="2"/>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137">
    <w:name w:val="样式 标题 3 + (中文) 黑体 小四 非加粗 段前: 7.8 磅 段后: 0 磅 行距: 固定值 20 磅"/>
    <w:basedOn w:val="4"/>
    <w:uiPriority w:val="0"/>
    <w:pPr>
      <w:widowControl w:val="0"/>
      <w:spacing w:before="0" w:beforeLines="0" w:line="400" w:lineRule="exact"/>
      <w:jc w:val="both"/>
    </w:pPr>
    <w:rPr>
      <w:rFonts w:ascii="Times New Roman" w:hAnsi="Times New Roman" w:eastAsia="黑体"/>
      <w:b w:val="0"/>
      <w:bCs w:val="0"/>
      <w:color w:val="auto"/>
      <w:kern w:val="2"/>
      <w:sz w:val="24"/>
      <w:szCs w:val="20"/>
      <w:lang w:bidi="ar-SA"/>
    </w:rPr>
  </w:style>
  <w:style w:type="paragraph" w:customStyle="1" w:styleId="138">
    <w:name w:val="Char1 Char Char Char Char Char Char1 Char Char Char1"/>
    <w:basedOn w:val="1"/>
    <w:uiPriority w:val="0"/>
    <w:pPr>
      <w:spacing w:line="360" w:lineRule="auto"/>
      <w:ind w:firstLine="200" w:firstLineChars="200"/>
    </w:pPr>
    <w:rPr>
      <w:rFonts w:ascii="宋体" w:hAnsi="宋体" w:cs="宋体"/>
      <w:sz w:val="24"/>
    </w:rPr>
  </w:style>
  <w:style w:type="paragraph" w:styleId="139">
    <w:name w:val=""/>
    <w:basedOn w:val="2"/>
    <w:next w:val="1"/>
    <w:qFormat/>
    <w:uiPriority w:val="0"/>
    <w:pPr>
      <w:widowControl/>
      <w:spacing w:before="480" w:beforeLines="0" w:after="0" w:afterLines="0" w:line="276" w:lineRule="auto"/>
      <w:jc w:val="left"/>
      <w:outlineLvl w:val="9"/>
    </w:pPr>
    <w:rPr>
      <w:rFonts w:ascii="Cambria" w:hAnsi="Cambria"/>
      <w:color w:val="365F91"/>
      <w:kern w:val="0"/>
      <w:sz w:val="28"/>
      <w:szCs w:val="28"/>
    </w:rPr>
  </w:style>
  <w:style w:type="paragraph" w:customStyle="1" w:styleId="140">
    <w:name w:val="列出段落3"/>
    <w:basedOn w:val="1"/>
    <w:uiPriority w:val="0"/>
    <w:pPr>
      <w:ind w:firstLine="420" w:firstLineChars="200"/>
    </w:pPr>
  </w:style>
  <w:style w:type="paragraph" w:customStyle="1" w:styleId="141">
    <w:name w:val="6'"/>
    <w:basedOn w:val="1"/>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42">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143">
    <w:name w:val="XW正文"/>
    <w:basedOn w:val="19"/>
    <w:uiPriority w:val="0"/>
    <w:pPr>
      <w:adjustRightInd w:val="0"/>
      <w:snapToGrid w:val="0"/>
      <w:spacing w:after="0" w:afterLines="0" w:line="300" w:lineRule="auto"/>
      <w:ind w:left="0" w:leftChars="0" w:firstLine="520" w:firstLineChars="200"/>
      <w:jc w:val="left"/>
    </w:pPr>
    <w:rPr>
      <w:kern w:val="0"/>
    </w:rPr>
  </w:style>
  <w:style w:type="paragraph" w:customStyle="1" w:styleId="144">
    <w:name w:val="Blockquote"/>
    <w:basedOn w:val="1"/>
    <w:uiPriority w:val="0"/>
    <w:pPr>
      <w:autoSpaceDE w:val="0"/>
      <w:autoSpaceDN w:val="0"/>
      <w:adjustRightInd w:val="0"/>
      <w:spacing w:before="100" w:beforeLines="0" w:after="100" w:afterLines="0"/>
      <w:ind w:left="360" w:right="360"/>
      <w:jc w:val="left"/>
    </w:pPr>
    <w:rPr>
      <w:kern w:val="0"/>
      <w:sz w:val="24"/>
      <w:szCs w:val="20"/>
    </w:rPr>
  </w:style>
  <w:style w:type="paragraph" w:customStyle="1" w:styleId="145">
    <w:name w:val="金安桥正文"/>
    <w:basedOn w:val="19"/>
    <w:uiPriority w:val="0"/>
    <w:pPr>
      <w:adjustRightInd w:val="0"/>
      <w:spacing w:after="0" w:afterLines="0" w:line="300" w:lineRule="auto"/>
      <w:ind w:left="0" w:leftChars="0" w:firstLine="200" w:firstLineChars="200"/>
      <w:jc w:val="left"/>
    </w:pPr>
    <w:rPr>
      <w:kern w:val="0"/>
      <w:sz w:val="24"/>
      <w:szCs w:val="20"/>
    </w:rPr>
  </w:style>
  <w:style w:type="paragraph" w:customStyle="1" w:styleId="146">
    <w:name w:val="cntrt"/>
    <w:basedOn w:val="1"/>
    <w:uiPriority w:val="0"/>
    <w:pPr>
      <w:widowControl/>
      <w:jc w:val="left"/>
    </w:pPr>
    <w:rPr>
      <w:rFonts w:ascii="Arial" w:hAnsi="Arial" w:cs="Arial"/>
      <w:kern w:val="0"/>
      <w:sz w:val="20"/>
      <w:szCs w:val="20"/>
      <w:lang w:val="en-AU"/>
    </w:rPr>
  </w:style>
  <w:style w:type="paragraph" w:customStyle="1" w:styleId="147">
    <w:name w:val="Char"/>
    <w:basedOn w:val="1"/>
    <w:uiPriority w:val="0"/>
  </w:style>
  <w:style w:type="paragraph" w:customStyle="1" w:styleId="148">
    <w:name w:val="Char1 Char Char Char Char Char Char1 Char Char Char"/>
    <w:basedOn w:val="1"/>
    <w:uiPriority w:val="0"/>
    <w:pPr>
      <w:spacing w:line="360" w:lineRule="auto"/>
      <w:ind w:firstLine="200" w:firstLineChars="200"/>
    </w:pPr>
    <w:rPr>
      <w:rFonts w:ascii="宋体" w:hAnsi="宋体" w:cs="宋体"/>
      <w:sz w:val="24"/>
    </w:rPr>
  </w:style>
  <w:style w:type="paragraph" w:customStyle="1" w:styleId="149">
    <w:name w:val="默认段落字体 Para Char"/>
    <w:basedOn w:val="1"/>
    <w:uiPriority w:val="0"/>
    <w:rPr>
      <w:szCs w:val="20"/>
    </w:rPr>
  </w:style>
  <w:style w:type="paragraph" w:customStyle="1" w:styleId="150">
    <w:name w:val="Char Char Char Char Char Char2 Char"/>
    <w:basedOn w:val="1"/>
    <w:uiPriority w:val="0"/>
    <w:pPr>
      <w:spacing w:line="360" w:lineRule="auto"/>
      <w:ind w:firstLine="200" w:firstLineChars="200"/>
    </w:pPr>
    <w:rPr>
      <w:rFonts w:ascii="宋体" w:hAnsi="宋体" w:cs="宋体"/>
      <w:sz w:val="24"/>
    </w:rPr>
  </w:style>
  <w:style w:type="paragraph" w:customStyle="1" w:styleId="151">
    <w:name w:val="4"/>
    <w:basedOn w:val="1"/>
    <w:uiPriority w:val="0"/>
    <w:rPr>
      <w:rFonts w:ascii="Tahoma" w:hAnsi="Tahoma"/>
      <w:sz w:val="24"/>
      <w:szCs w:val="20"/>
    </w:rPr>
  </w:style>
  <w:style w:type="paragraph" w:customStyle="1" w:styleId="152">
    <w:name w:val="Char2"/>
    <w:basedOn w:val="1"/>
    <w:uiPriority w:val="0"/>
    <w:rPr>
      <w:rFonts w:ascii="Tahoma" w:hAnsi="Tahoma"/>
      <w:sz w:val="24"/>
      <w:szCs w:val="20"/>
    </w:rPr>
  </w:style>
  <w:style w:type="paragraph" w:customStyle="1" w:styleId="153">
    <w:name w:val="List Paragraph"/>
    <w:basedOn w:val="1"/>
    <w:uiPriority w:val="0"/>
    <w:pPr>
      <w:ind w:firstLine="420" w:firstLineChars="200"/>
    </w:pPr>
  </w:style>
  <w:style w:type="paragraph" w:customStyle="1" w:styleId="154">
    <w:name w:val="正文_0_0"/>
    <w:qFormat/>
    <w:uiPriority w:val="0"/>
    <w:pPr>
      <w:widowControl w:val="0"/>
      <w:jc w:val="both"/>
    </w:pPr>
    <w:rPr>
      <w:kern w:val="2"/>
      <w:sz w:val="21"/>
      <w:lang w:val="en-US" w:eastAsia="zh-CN" w:bidi="ar-SA"/>
    </w:rPr>
  </w:style>
  <w:style w:type="paragraph" w:customStyle="1" w:styleId="155">
    <w:name w:val="p0"/>
    <w:basedOn w:val="1"/>
    <w:uiPriority w:val="0"/>
    <w:pPr>
      <w:widowControl/>
    </w:pPr>
    <w:rPr>
      <w:kern w:val="0"/>
      <w:szCs w:val="21"/>
    </w:rPr>
  </w:style>
  <w:style w:type="paragraph" w:customStyle="1" w:styleId="156">
    <w:name w:val="p15"/>
    <w:basedOn w:val="1"/>
    <w:uiPriority w:val="0"/>
    <w:pPr>
      <w:widowControl/>
      <w:spacing w:before="100" w:line="400" w:lineRule="atLeast"/>
    </w:pPr>
    <w:rPr>
      <w:kern w:val="0"/>
      <w:sz w:val="28"/>
      <w:szCs w:val="28"/>
    </w:rPr>
  </w:style>
  <w:style w:type="paragraph" w:customStyle="1" w:styleId="157">
    <w:name w:val="p18"/>
    <w:basedOn w:val="1"/>
    <w:uiPriority w:val="0"/>
    <w:pPr>
      <w:widowControl/>
    </w:pPr>
    <w:rPr>
      <w:rFonts w:ascii="宋体" w:hAnsi="宋体" w:cs="宋体"/>
      <w:kern w:val="0"/>
      <w:szCs w:val="21"/>
    </w:rPr>
  </w:style>
  <w:style w:type="paragraph" w:customStyle="1" w:styleId="158">
    <w:name w:val="Default Paragraph Char Char Char Char"/>
    <w:basedOn w:val="1"/>
    <w:next w:val="1"/>
    <w:uiPriority w:val="0"/>
    <w:pPr>
      <w:widowControl/>
      <w:spacing w:line="360" w:lineRule="auto"/>
      <w:jc w:val="left"/>
    </w:pPr>
    <w:rPr>
      <w:kern w:val="0"/>
      <w:szCs w:val="20"/>
      <w:lang w:eastAsia="en-US"/>
    </w:rPr>
  </w:style>
  <w:style w:type="character" w:customStyle="1" w:styleId="159">
    <w:name w:val="正文文本缩进 2 Char1"/>
    <w:semiHidden/>
    <w:uiPriority w:val="99"/>
    <w:rPr>
      <w:kern w:val="2"/>
      <w:sz w:val="21"/>
      <w:szCs w:val="22"/>
    </w:rPr>
  </w:style>
  <w:style w:type="character" w:customStyle="1" w:styleId="160">
    <w:name w:val="页脚 Char1"/>
    <w:semiHidden/>
    <w:uiPriority w:val="99"/>
    <w:rPr>
      <w:kern w:val="2"/>
      <w:sz w:val="18"/>
      <w:szCs w:val="18"/>
    </w:rPr>
  </w:style>
  <w:style w:type="character" w:customStyle="1" w:styleId="161">
    <w:name w:val="正文文本缩进 Char1"/>
    <w:semiHidden/>
    <w:uiPriority w:val="99"/>
    <w:rPr>
      <w:kern w:val="2"/>
      <w:sz w:val="21"/>
      <w:szCs w:val="22"/>
    </w:rPr>
  </w:style>
  <w:style w:type="character" w:customStyle="1" w:styleId="162">
    <w:name w:val="正文文本 3 Char1"/>
    <w:semiHidden/>
    <w:uiPriority w:val="99"/>
    <w:rPr>
      <w:kern w:val="2"/>
      <w:sz w:val="16"/>
      <w:szCs w:val="16"/>
    </w:rPr>
  </w:style>
  <w:style w:type="character" w:customStyle="1" w:styleId="163">
    <w:name w:val="批注文字 Char1"/>
    <w:semiHidden/>
    <w:uiPriority w:val="0"/>
    <w:rPr>
      <w:rFonts w:ascii="Times New Roman" w:hAnsi="Times New Roman"/>
      <w:kern w:val="2"/>
      <w:sz w:val="21"/>
      <w:szCs w:val="24"/>
    </w:rPr>
  </w:style>
  <w:style w:type="character" w:customStyle="1" w:styleId="164">
    <w:name w:val="批注主题 Char1"/>
    <w:semiHidden/>
    <w:uiPriority w:val="99"/>
    <w:rPr>
      <w:rFonts w:ascii="Times New Roman" w:hAnsi="Times New Roman"/>
      <w:b/>
      <w:bCs/>
      <w:kern w:val="2"/>
      <w:sz w:val="21"/>
      <w:szCs w:val="24"/>
    </w:rPr>
  </w:style>
  <w:style w:type="character" w:customStyle="1" w:styleId="165">
    <w:name w:val="正文文本缩进 3 Char1"/>
    <w:semiHidden/>
    <w:uiPriority w:val="99"/>
    <w:rPr>
      <w:kern w:val="2"/>
      <w:sz w:val="16"/>
      <w:szCs w:val="16"/>
    </w:rPr>
  </w:style>
  <w:style w:type="character" w:customStyle="1" w:styleId="166">
    <w:name w:val="批注框文本 Char1"/>
    <w:semiHidden/>
    <w:uiPriority w:val="99"/>
    <w:rPr>
      <w:kern w:val="2"/>
      <w:sz w:val="18"/>
      <w:szCs w:val="18"/>
    </w:rPr>
  </w:style>
  <w:style w:type="character" w:customStyle="1" w:styleId="167">
    <w:name w:val="正文文本 Char1"/>
    <w:semiHidden/>
    <w:uiPriority w:val="99"/>
    <w:rPr>
      <w:kern w:val="2"/>
      <w:sz w:val="21"/>
      <w:szCs w:val="22"/>
    </w:rPr>
  </w:style>
  <w:style w:type="character" w:customStyle="1" w:styleId="168">
    <w:name w:val="文档结构图 Char1"/>
    <w:semiHidden/>
    <w:uiPriority w:val="99"/>
    <w:rPr>
      <w:rFonts w:ascii="宋体"/>
      <w:kern w:val="2"/>
      <w:sz w:val="18"/>
      <w:szCs w:val="18"/>
    </w:rPr>
  </w:style>
  <w:style w:type="character" w:customStyle="1" w:styleId="169">
    <w:name w:val="页眉 Char1"/>
    <w:semiHidden/>
    <w:uiPriority w:val="99"/>
    <w:rPr>
      <w:kern w:val="2"/>
      <w:sz w:val="18"/>
      <w:szCs w:val="18"/>
    </w:rPr>
  </w:style>
  <w:style w:type="character" w:customStyle="1" w:styleId="170">
    <w:name w:val="日期 Char1"/>
    <w:semiHidden/>
    <w:uiPriority w:val="99"/>
    <w:rPr>
      <w:kern w:val="2"/>
      <w:sz w:val="21"/>
      <w:szCs w:val="22"/>
    </w:rPr>
  </w:style>
  <w:style w:type="character" w:customStyle="1" w:styleId="171">
    <w:name w:val="标题 Char1"/>
    <w:uiPriority w:val="10"/>
    <w:rPr>
      <w:rFonts w:ascii="Cambria" w:hAnsi="Cambria" w:cs="Times New Roman"/>
      <w:b/>
      <w:bCs/>
      <w:kern w:val="2"/>
      <w:sz w:val="32"/>
      <w:szCs w:val="32"/>
    </w:rPr>
  </w:style>
  <w:style w:type="character" w:customStyle="1" w:styleId="172">
    <w:name w:val="纯文本 Char1"/>
    <w:semiHidden/>
    <w:uiPriority w:val="99"/>
    <w:rPr>
      <w:rFonts w:ascii="宋体" w:hAnsi="Courier New" w:cs="Courier New"/>
      <w:kern w:val="2"/>
      <w:sz w:val="21"/>
      <w:szCs w:val="21"/>
    </w:rPr>
  </w:style>
  <w:style w:type="character" w:customStyle="1" w:styleId="173">
    <w:name w:val="正文首行缩进 Char1"/>
    <w:semiHidden/>
    <w:uiPriority w:val="99"/>
  </w:style>
  <w:style w:type="character" w:customStyle="1" w:styleId="174">
    <w:name w:val="正文文本 2 Char1"/>
    <w:semiHidden/>
    <w:uiPriority w:val="99"/>
    <w:rPr>
      <w:kern w:val="2"/>
      <w:sz w:val="21"/>
      <w:szCs w:val="22"/>
    </w:rPr>
  </w:style>
  <w:style w:type="paragraph" w:customStyle="1" w:styleId="175">
    <w:name w:val="paragraphindent"/>
    <w:basedOn w:val="1"/>
    <w:uiPriority w:val="0"/>
    <w:pPr>
      <w:widowControl/>
      <w:spacing w:before="75" w:after="75"/>
      <w:jc w:val="left"/>
    </w:pPr>
    <w:rPr>
      <w:rFonts w:ascii="宋体" w:hAnsi="宋体" w:cs="宋体"/>
      <w:kern w:val="0"/>
      <w:sz w:val="24"/>
    </w:rPr>
  </w:style>
  <w:style w:type="character" w:customStyle="1" w:styleId="176">
    <w:name w:val="正文2 Char"/>
    <w:link w:val="177"/>
    <w:uiPriority w:val="0"/>
    <w:rPr>
      <w:rFonts w:ascii="宋体" w:eastAsia="楷体"/>
      <w:b/>
      <w:color w:val="0000FF"/>
      <w:kern w:val="2"/>
      <w:sz w:val="21"/>
      <w:szCs w:val="22"/>
      <w:lang w:val="en-US" w:eastAsia="zh-CN" w:bidi="ar-SA"/>
    </w:rPr>
  </w:style>
  <w:style w:type="paragraph" w:customStyle="1" w:styleId="177">
    <w:name w:val="正文2"/>
    <w:link w:val="176"/>
    <w:qFormat/>
    <w:uiPriority w:val="0"/>
    <w:pPr>
      <w:widowControl w:val="0"/>
      <w:adjustRightInd w:val="0"/>
      <w:spacing w:line="312" w:lineRule="atLeast"/>
      <w:jc w:val="both"/>
      <w:textAlignment w:val="baseline"/>
    </w:pPr>
    <w:rPr>
      <w:rFonts w:ascii="宋体" w:eastAsia="楷体"/>
      <w:b/>
      <w:color w:val="0000FF"/>
      <w:kern w:val="2"/>
      <w:sz w:val="21"/>
      <w:szCs w:val="22"/>
      <w:lang w:val="en-US" w:eastAsia="zh-CN" w:bidi="ar-SA"/>
    </w:rPr>
  </w:style>
  <w:style w:type="paragraph" w:styleId="178">
    <w:name w:val=""/>
    <w:unhideWhenUsed/>
    <w:uiPriority w:val="99"/>
    <w:rPr>
      <w:kern w:val="2"/>
      <w:sz w:val="21"/>
      <w:szCs w:val="24"/>
      <w:lang w:val="en-US" w:eastAsia="zh-CN" w:bidi="ar-SA"/>
    </w:rPr>
  </w:style>
  <w:style w:type="paragraph" w:customStyle="1" w:styleId="179">
    <w:name w:val="msolistparagraph"/>
    <w:basedOn w:val="1"/>
    <w:uiPriority w:val="0"/>
    <w:pPr>
      <w:keepNext w:val="0"/>
      <w:keepLines w:val="0"/>
      <w:widowControl w:val="0"/>
      <w:suppressLineNumbers w:val="0"/>
      <w:autoSpaceDE w:val="0"/>
      <w:autoSpaceDN w:val="0"/>
      <w:spacing w:before="0" w:beforeAutospacing="0" w:after="0" w:afterAutospacing="0"/>
      <w:ind w:left="205" w:right="169" w:firstLine="655"/>
      <w:jc w:val="left"/>
    </w:pPr>
    <w:rPr>
      <w:rFonts w:hint="eastAsia" w:ascii="仿宋" w:hAnsi="仿宋" w:eastAsia="仿宋" w:cs="仿宋"/>
      <w:kern w:val="0"/>
      <w:sz w:val="22"/>
      <w:szCs w:val="22"/>
      <w:u w:val="single" w:color="000000"/>
      <w:lang w:val="en-US" w:eastAsia="zh-CN" w:bidi="ar"/>
    </w:rPr>
  </w:style>
  <w:style w:type="character" w:customStyle="1" w:styleId="180">
    <w:name w:val="button"/>
    <w:uiPriority w:val="0"/>
  </w:style>
  <w:style w:type="paragraph" w:customStyle="1" w:styleId="181">
    <w:name w:val="D&amp;L"/>
    <w:basedOn w:val="31"/>
    <w:qFormat/>
    <w:uiPriority w:val="0"/>
    <w:pPr>
      <w:pBdr>
        <w:bottom w:val="thinThickSmallGap" w:color="auto" w:sz="18" w:space="1"/>
      </w:pBdr>
      <w:adjustRightInd w:val="0"/>
      <w:snapToGrid/>
      <w:spacing w:line="240" w:lineRule="atLeast"/>
      <w:textAlignment w:val="baseline"/>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102</Pages>
  <Words>7444</Words>
  <Characters>8373</Characters>
  <Lines>500</Lines>
  <Paragraphs>140</Paragraphs>
  <TotalTime>9</TotalTime>
  <ScaleCrop>false</ScaleCrop>
  <LinksUpToDate>false</LinksUpToDate>
  <CharactersWithSpaces>8458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2023-02-28T09:16:00Z</dcterms:created>
  <dc:creator>孟凡金</dc:creator>
  <cp:lastModifiedBy>小俞</cp:lastModifiedBy>
  <cp:lastPrinted>2020-06-16T06:07:00Z</cp:lastPrinted>
  <dcterms:modified xsi:type="dcterms:W3CDTF">2025-11-21T07:50:41Z</dcterms:modified>
  <dc:title>项目名称</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B32A7952F50742C8B32BFBED518B2FDB_13</vt:lpwstr>
  </property>
  <property fmtid="{D5CDD505-2E9C-101B-9397-08002B2CF9AE}" pid="4" name="KSOTemplateDocerSaveRecord">
    <vt:lpwstr>eyJoZGlkIjoiODViY2JkMjU3NGYzZTEwMzZmMGFkZWViYmNkYWU3NDIiLCJ1c2VySWQiOiIyODQyMDI3NDcifQ==</vt:lpwstr>
  </property>
</Properties>
</file>