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B470E">
      <w:pPr>
        <w:pStyle w:val="5"/>
        <w:rPr>
          <w:rFonts w:hint="eastAsia" w:ascii="宋体" w:hAnsi="宋体"/>
          <w:color w:val="000000"/>
        </w:rPr>
      </w:pPr>
    </w:p>
    <w:p w14:paraId="45C36409">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0E95086F">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4F5602C3">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527EFEAF">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标注</w:t>
      </w:r>
      <w:r>
        <w:rPr>
          <w:rFonts w:hint="eastAsia" w:ascii="仿宋" w:hAnsi="仿宋" w:eastAsia="仿宋" w:cs="仿宋"/>
          <w:color w:val="000000"/>
          <w:sz w:val="24"/>
          <w:szCs w:val="24"/>
          <w:lang w:val="en-US" w:eastAsia="zh-CN"/>
        </w:rPr>
        <w:t>中标</w:t>
      </w:r>
      <w:r>
        <w:rPr>
          <w:rFonts w:hint="eastAsia" w:ascii="仿宋" w:hAnsi="仿宋" w:eastAsia="仿宋" w:cs="仿宋"/>
          <w:color w:val="000000"/>
          <w:sz w:val="24"/>
          <w:szCs w:val="24"/>
        </w:rPr>
        <w:t>产品的名称、品牌、规格型号、数量、单价等将予以公布。</w:t>
      </w:r>
    </w:p>
    <w:p w14:paraId="3B222DE5">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DAD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003F90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34569F23">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325A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58719D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43C90A3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2DD063F">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1281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00C6C80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41C993C3">
            <w:pPr>
              <w:wordWrap w:val="0"/>
              <w:spacing w:line="360" w:lineRule="auto"/>
              <w:jc w:val="center"/>
              <w:rPr>
                <w:rFonts w:hint="eastAsia" w:ascii="仿宋" w:hAnsi="仿宋" w:eastAsia="仿宋" w:cs="仿宋"/>
                <w:b/>
                <w:bCs/>
                <w:kern w:val="0"/>
                <w:sz w:val="24"/>
              </w:rPr>
            </w:pPr>
          </w:p>
        </w:tc>
        <w:tc>
          <w:tcPr>
            <w:tcW w:w="7216" w:type="dxa"/>
            <w:noWrap w:val="0"/>
            <w:vAlign w:val="top"/>
          </w:tcPr>
          <w:p w14:paraId="450582DC">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18A4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56600F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117EC86B">
            <w:pPr>
              <w:wordWrap w:val="0"/>
              <w:spacing w:line="360" w:lineRule="auto"/>
              <w:jc w:val="center"/>
              <w:rPr>
                <w:rFonts w:hint="eastAsia" w:ascii="仿宋" w:hAnsi="仿宋" w:eastAsia="仿宋" w:cs="仿宋"/>
                <w:b/>
                <w:bCs/>
                <w:kern w:val="0"/>
                <w:sz w:val="24"/>
              </w:rPr>
            </w:pPr>
          </w:p>
        </w:tc>
        <w:tc>
          <w:tcPr>
            <w:tcW w:w="7216" w:type="dxa"/>
            <w:noWrap w:val="0"/>
            <w:vAlign w:val="top"/>
          </w:tcPr>
          <w:p w14:paraId="0224E4CB">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EE5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AEE3EA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2A0FE07A">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E4156C5">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6C0B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48539EB">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5</w:t>
            </w:r>
          </w:p>
        </w:tc>
        <w:tc>
          <w:tcPr>
            <w:tcW w:w="8745" w:type="dxa"/>
            <w:gridSpan w:val="2"/>
            <w:noWrap w:val="0"/>
            <w:vAlign w:val="top"/>
          </w:tcPr>
          <w:p w14:paraId="05324A70">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000000"/>
                <w:kern w:val="0"/>
                <w:sz w:val="24"/>
                <w:lang w:val="en-US" w:eastAsia="zh-CN" w:bidi="ar"/>
              </w:rPr>
              <w:t>投标人所投产品需要与</w:t>
            </w:r>
            <w:r>
              <w:rPr>
                <w:rFonts w:hint="eastAsia" w:ascii="仿宋" w:hAnsi="仿宋" w:eastAsia="仿宋" w:cs="仿宋"/>
                <w:b/>
                <w:bCs/>
                <w:color w:val="000000"/>
                <w:kern w:val="0"/>
                <w:sz w:val="24"/>
                <w:lang w:bidi="ar"/>
              </w:rPr>
              <w:t>科室现用的追溯系统匹配，完成系统对接，</w:t>
            </w:r>
            <w:r>
              <w:rPr>
                <w:rFonts w:hint="eastAsia" w:ascii="仿宋" w:hAnsi="仿宋" w:eastAsia="仿宋" w:cs="仿宋"/>
                <w:b/>
                <w:bCs/>
                <w:color w:val="000000"/>
                <w:kern w:val="0"/>
                <w:sz w:val="24"/>
                <w:lang w:val="en-US" w:eastAsia="zh-CN" w:bidi="ar"/>
              </w:rPr>
              <w:t>所需</w:t>
            </w:r>
            <w:r>
              <w:rPr>
                <w:rFonts w:hint="eastAsia" w:ascii="仿宋" w:hAnsi="仿宋" w:eastAsia="仿宋" w:cs="仿宋"/>
                <w:b/>
                <w:bCs/>
                <w:color w:val="000000"/>
                <w:kern w:val="0"/>
                <w:sz w:val="24"/>
                <w:lang w:bidi="ar"/>
              </w:rPr>
              <w:t>费用包含在投标总价中。</w:t>
            </w:r>
          </w:p>
        </w:tc>
      </w:tr>
    </w:tbl>
    <w:p w14:paraId="2F526A56">
      <w:pPr>
        <w:spacing w:line="360" w:lineRule="auto"/>
        <w:rPr>
          <w:rFonts w:hint="eastAsia" w:ascii="仿宋" w:hAnsi="仿宋" w:eastAsia="仿宋" w:cs="仿宋"/>
          <w:b/>
          <w:color w:val="000000"/>
          <w:sz w:val="24"/>
        </w:rPr>
      </w:pPr>
    </w:p>
    <w:p w14:paraId="39660870">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0F591DCD">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37DA7851">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870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CA8359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245C53E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08B6DBB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2B7C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F0F60E6">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20BCE098">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2C91A4C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D83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0CC9CA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029E459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0583730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151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812F8E5">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3E3852A3">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44CC5E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1.外形尺寸：长X宽≤1m×1m</w:t>
      </w:r>
    </w:p>
    <w:p w14:paraId="2187B2D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2.适用范围：供医用软式内窥镜可清洗部件的清洗、消毒用，可匹配使用医院现有的软式内镜消毒/灭菌剂。</w:t>
      </w:r>
    </w:p>
    <w:p w14:paraId="135DE0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3.操作界面：彩色液晶显示，触摸屏控制</w:t>
      </w:r>
    </w:p>
    <w:p w14:paraId="7FB436D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★4.全自动操作：一键式操作，设备自动完成内镜的测漏、清洗、管道刷洗、漂洗、消毒、终末漂洗，吹气酒精灌流等流程。</w:t>
      </w:r>
    </w:p>
    <w:p w14:paraId="21EADF5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5.测漏功能：具备测漏监控功能，如有漏气设备具有声光报警功能。</w:t>
      </w:r>
    </w:p>
    <w:p w14:paraId="3B13B69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★6.毛刷清洗功能：全自动内镜管道3腔清洗，自动进行管道切换，自动毛刷清洗、消毒</w:t>
      </w:r>
    </w:p>
    <w:p w14:paraId="0D3CDC9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★7.洗消效率：全流程单镜洗消效率≤20min。</w:t>
      </w:r>
    </w:p>
    <w:p w14:paraId="480DAE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8.酶液、酒精用量精度：≤5%</w:t>
      </w:r>
    </w:p>
    <w:p w14:paraId="6A9B0C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9.消毒剂使用记录：能设置消毒剂的重复使用次数，且在达到限定使用次数时自动报警提示更换新的消毒剂。</w:t>
      </w:r>
    </w:p>
    <w:p w14:paraId="1CCF40E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10.消毒剂浓度检测窗口：设备设置有专用消毒液取样窗口</w:t>
      </w:r>
    </w:p>
    <w:p w14:paraId="00CA3C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11.自身消毒：洗消机具有自身消毒功能，对内镜清洗、消毒、漂洗阶段所使用的洗消机的所有腔体、管道和水槽进行消毒。</w:t>
      </w:r>
    </w:p>
    <w:p w14:paraId="5EFDDD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12.具备可视化自动玻璃窗口，具备脚踏开关设计。</w:t>
      </w:r>
    </w:p>
    <w:p w14:paraId="4BD9DB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13.全封闭结构：内镜洗消槽采用全封闭结构，自动玻璃门闭合后会压合密封胶条</w:t>
      </w:r>
    </w:p>
    <w:p w14:paraId="6F6AE8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14.复杂腔体构型设计：水槽内部采用岛式设计，针对不同内镜，可自由添加7到10升的清洗液和消毒液，确保不同厂家的内镜均可以实现全浸泡清洗消毒。</w:t>
      </w:r>
    </w:p>
    <w:p w14:paraId="299079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15.旋转喷淋设计：设备设计有旋转式进水喷淋装置，可以全方位对内镜外表面进行消毒、冲洗、吹干。</w:t>
      </w:r>
    </w:p>
    <w:p w14:paraId="1C8985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16.多样化循环方式：根据不同的清洗需求，可选择不同清洗消毒模式</w:t>
      </w:r>
    </w:p>
    <w:p w14:paraId="71C94D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17.全过程自动监测：具备全过程故障报警功能并提示解决方法，智能预警，对不符合标准的操作及时干预。</w:t>
      </w:r>
    </w:p>
    <w:p w14:paraId="01DEC0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18.安全可靠：采用高效过滤系统的自身消毒程序</w:t>
      </w:r>
    </w:p>
    <w:p w14:paraId="2F164D3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★19.信息追溯系统：基于RFID物联网系统，对内镜清洗高效管理，清洗人员、清洗</w:t>
      </w:r>
      <w:bookmarkStart w:id="1" w:name="_GoBack"/>
      <w:bookmarkEnd w:id="1"/>
      <w:r>
        <w:rPr>
          <w:rFonts w:hint="eastAsia" w:ascii="仿宋" w:hAnsi="仿宋" w:eastAsia="仿宋" w:cs="仿宋"/>
          <w:b/>
          <w:bCs/>
          <w:color w:val="000000"/>
          <w:kern w:val="0"/>
          <w:sz w:val="24"/>
          <w:lang w:bidi="ar"/>
        </w:rPr>
        <w:t>时间登记和记录，36个月清洗记录存储时间，便于内镜清洗的流程的回溯和追溯</w:t>
      </w:r>
      <w:r>
        <w:rPr>
          <w:rFonts w:hint="eastAsia" w:ascii="仿宋" w:hAnsi="仿宋" w:eastAsia="仿宋" w:cs="仿宋"/>
          <w:b/>
          <w:bCs/>
          <w:color w:val="000000"/>
          <w:kern w:val="0"/>
          <w:sz w:val="24"/>
          <w:lang w:val="en-US" w:eastAsia="zh-CN" w:bidi="ar"/>
        </w:rPr>
        <w:t>。</w:t>
      </w:r>
    </w:p>
    <w:p w14:paraId="701523BB">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14D0869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5F7C88C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4EE4D7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D49DB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1D77D9B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143C3B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5C60AC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468E33F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173B39C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2A9D11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289D3E0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BC8FD8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32B6E2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ED61FB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0BDB3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32940D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530907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5ED6E9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57A182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6B2E1D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16752B5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15CD40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14A138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FC714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15EB044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D9E85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24DF12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307C9B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192B9813">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86443"/>
    <w:rsid w:val="34371E0F"/>
    <w:rsid w:val="50732774"/>
    <w:rsid w:val="5B877C1D"/>
    <w:rsid w:val="688D682C"/>
    <w:rsid w:val="69D6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4579</Words>
  <Characters>5170</Characters>
  <Lines>0</Lines>
  <Paragraphs>0</Paragraphs>
  <TotalTime>0</TotalTime>
  <ScaleCrop>false</ScaleCrop>
  <LinksUpToDate>false</LinksUpToDate>
  <CharactersWithSpaces>5210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2026-01-09T01:29:00Z</dcterms:created>
  <dc:creator>admin</dc:creator>
  <cp:lastModifiedBy>豆奶是个小胖子</cp:lastModifiedBy>
  <dcterms:modified xsi:type="dcterms:W3CDTF">2026-01-09T05:48:10Z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3A749E2720A04D3496B284B8C896E0E4_12</vt:lpwstr>
  </property>
</Properties>
</file>