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C7460">
      <w:pPr>
        <w:pStyle w:val="2"/>
        <w:wordWrap w:val="0"/>
        <w:rPr>
          <w:rFonts w:hint="eastAsia" w:ascii="方正小标宋_GBK" w:hAnsi="方正小标宋_GBK" w:eastAsia="华文中宋" w:cs="方正小标宋_GBK"/>
        </w:rPr>
      </w:pPr>
      <w:bookmarkStart w:id="32" w:name="_GoBack"/>
      <w:r>
        <w:rPr>
          <w:rFonts w:hint="eastAsia" w:ascii="方正小标宋_GBK" w:hAnsi="方正小标宋_GBK" w:eastAsia="华文中宋" w:cs="方正小标宋_GBK"/>
        </w:rPr>
        <w:t>采购需求</w:t>
      </w:r>
    </w:p>
    <w:p w14:paraId="1B1F667E">
      <w:pPr>
        <w:wordWrap w:val="0"/>
        <w:spacing w:line="360" w:lineRule="auto"/>
        <w:rPr>
          <w:rFonts w:hint="eastAsia" w:ascii="宋体" w:hAnsi="宋体" w:eastAsia="宋体"/>
          <w:b/>
          <w:sz w:val="24"/>
        </w:rPr>
      </w:pPr>
      <w:r>
        <w:rPr>
          <w:rFonts w:hint="eastAsia" w:ascii="宋体" w:hAnsi="宋体" w:eastAsia="宋体"/>
          <w:b/>
          <w:sz w:val="24"/>
        </w:rPr>
        <w:t>前注：</w:t>
      </w:r>
    </w:p>
    <w:p w14:paraId="63A718CA">
      <w:pPr>
        <w:wordWrap w:val="0"/>
        <w:spacing w:line="360" w:lineRule="auto"/>
        <w:ind w:firstLine="480" w:firstLineChars="200"/>
        <w:rPr>
          <w:rFonts w:hint="eastAsia" w:ascii="宋体" w:hAnsi="宋体" w:eastAsia="宋体" w:cs="宋体"/>
          <w:sz w:val="24"/>
          <w:szCs w:val="18"/>
        </w:rPr>
      </w:pPr>
      <w:bookmarkStart w:id="0" w:name="_Hlk16461016"/>
      <w:r>
        <w:rPr>
          <w:rFonts w:hint="eastAsia" w:ascii="宋体" w:hAnsi="宋体" w:eastAsia="宋体" w:cs="宋体"/>
          <w:sz w:val="24"/>
        </w:rPr>
        <w:t>1.</w:t>
      </w:r>
      <w:r>
        <w:rPr>
          <w:rFonts w:hint="eastAsia" w:ascii="宋体" w:hAnsi="宋体" w:eastAsia="宋体" w:cs="宋体"/>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80A3D9C">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2.下列采购需求中：</w:t>
      </w:r>
    </w:p>
    <w:p w14:paraId="75242824">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34C55B5">
      <w:pPr>
        <w:wordWrap w:val="0"/>
        <w:spacing w:line="360" w:lineRule="auto"/>
        <w:ind w:firstLine="480" w:firstLineChars="200"/>
        <w:rPr>
          <w:rFonts w:hint="eastAsia" w:ascii="宋体" w:hAnsi="宋体" w:eastAsia="宋体" w:cs="宋体"/>
          <w:sz w:val="24"/>
          <w:szCs w:val="18"/>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3546434">
      <w:pPr>
        <w:wordWrap w:val="0"/>
        <w:spacing w:line="360" w:lineRule="auto"/>
        <w:ind w:firstLine="480" w:firstLineChars="200"/>
        <w:jc w:val="left"/>
        <w:rPr>
          <w:rFonts w:hint="eastAsia" w:ascii="宋体" w:hAnsi="宋体" w:eastAsia="宋体" w:cs="宋体"/>
          <w:sz w:val="24"/>
          <w:szCs w:val="18"/>
        </w:rPr>
      </w:pPr>
      <w:r>
        <w:rPr>
          <w:rFonts w:hint="eastAsia" w:ascii="宋体" w:hAnsi="宋体" w:eastAsia="宋体" w:cs="宋体"/>
          <w:sz w:val="24"/>
          <w:szCs w:val="18"/>
        </w:rPr>
        <w:t>3.下列采购需求中：标注</w:t>
      </w:r>
      <w:r>
        <w:rPr>
          <w:rFonts w:hint="eastAsia" w:ascii="宋体" w:hAnsi="宋体" w:eastAsia="宋体" w:cs="宋体"/>
          <w:sz w:val="24"/>
          <w:szCs w:val="24"/>
        </w:rPr>
        <w:t>▲</w:t>
      </w:r>
      <w:r>
        <w:rPr>
          <w:rFonts w:hint="eastAsia" w:ascii="宋体" w:hAnsi="宋体" w:eastAsia="宋体" w:cs="宋体"/>
          <w:sz w:val="24"/>
          <w:szCs w:val="18"/>
        </w:rPr>
        <w:t>的产品（核心产品），投标人在投标文件《主要中标标的承诺函》中填写名称、品牌、规格、型号、数量、单价等信息。</w:t>
      </w:r>
    </w:p>
    <w:p w14:paraId="495BCFC2">
      <w:pPr>
        <w:pStyle w:val="3"/>
        <w:wordWrap w:val="0"/>
        <w:ind w:firstLine="0" w:firstLineChars="0"/>
        <w:rPr>
          <w:rFonts w:eastAsia="黑体"/>
        </w:rPr>
      </w:pPr>
      <w:bookmarkStart w:id="1" w:name="_Toc382548620"/>
      <w:bookmarkStart w:id="2" w:name="_Toc1064185329"/>
      <w:bookmarkStart w:id="3" w:name="_Toc1437377518_WPSOffice_Level2"/>
      <w:bookmarkStart w:id="4" w:name="_Toc1899401549"/>
      <w:bookmarkStart w:id="5" w:name="_Toc2025078090"/>
      <w:bookmarkStart w:id="6" w:name="_Toc292361325"/>
      <w:bookmarkStart w:id="7" w:name="_Toc337877615"/>
      <w:bookmarkStart w:id="8" w:name="_Toc1452677390"/>
      <w:r>
        <w:rPr>
          <w:rFonts w:hint="eastAsia" w:eastAsia="黑体"/>
        </w:rPr>
        <w:t>一、采购需求前附表</w:t>
      </w:r>
      <w:bookmarkEnd w:id="1"/>
      <w:bookmarkEnd w:id="2"/>
      <w:bookmarkEnd w:id="3"/>
      <w:bookmarkEnd w:id="4"/>
      <w:bookmarkEnd w:id="5"/>
      <w:bookmarkEnd w:id="6"/>
      <w:bookmarkEnd w:id="7"/>
      <w:bookmarkEnd w:id="8"/>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892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77B5E63">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
                <w:kern w:val="2"/>
              </w:rPr>
            </w:pPr>
            <w:r>
              <w:rPr>
                <w:rFonts w:hint="eastAsia" w:ascii="宋体" w:hAnsi="宋体" w:eastAsia="宋体" w:cs="宋体"/>
                <w:b/>
                <w:kern w:val="2"/>
              </w:rPr>
              <w:t>序号</w:t>
            </w:r>
          </w:p>
        </w:tc>
        <w:tc>
          <w:tcPr>
            <w:tcW w:w="2054" w:type="dxa"/>
            <w:vAlign w:val="center"/>
          </w:tcPr>
          <w:p w14:paraId="1801C661">
            <w:pPr>
              <w:pStyle w:val="13"/>
              <w:widowControl w:val="0"/>
              <w:wordWrap w:val="0"/>
              <w:spacing w:before="0" w:beforeAutospacing="0" w:after="0" w:afterAutospacing="0" w:line="360" w:lineRule="auto"/>
              <w:rPr>
                <w:rFonts w:hint="eastAsia" w:ascii="宋体" w:hAnsi="宋体" w:eastAsia="宋体" w:cs="宋体"/>
                <w:bCs w:val="0"/>
                <w:sz w:val="24"/>
              </w:rPr>
            </w:pPr>
            <w:r>
              <w:rPr>
                <w:rFonts w:hint="eastAsia" w:ascii="宋体" w:hAnsi="宋体" w:eastAsia="宋体" w:cs="宋体"/>
                <w:bCs w:val="0"/>
                <w:sz w:val="24"/>
              </w:rPr>
              <w:t>条款名称</w:t>
            </w:r>
          </w:p>
        </w:tc>
        <w:tc>
          <w:tcPr>
            <w:tcW w:w="5544" w:type="dxa"/>
            <w:vAlign w:val="center"/>
          </w:tcPr>
          <w:p w14:paraId="3F77F9A2">
            <w:pPr>
              <w:pStyle w:val="13"/>
              <w:widowControl w:val="0"/>
              <w:wordWrap w:val="0"/>
              <w:spacing w:before="0" w:beforeAutospacing="0" w:after="0" w:afterAutospacing="0" w:line="360" w:lineRule="auto"/>
              <w:rPr>
                <w:rFonts w:hint="eastAsia" w:ascii="宋体" w:hAnsi="宋体" w:eastAsia="宋体" w:cs="宋体"/>
                <w:bCs w:val="0"/>
                <w:sz w:val="24"/>
              </w:rPr>
            </w:pPr>
            <w:r>
              <w:rPr>
                <w:rFonts w:hint="eastAsia" w:ascii="宋体" w:hAnsi="宋体" w:eastAsia="宋体" w:cs="宋体"/>
                <w:bCs w:val="0"/>
                <w:sz w:val="24"/>
              </w:rPr>
              <w:t>内容、说明与要求</w:t>
            </w:r>
          </w:p>
        </w:tc>
      </w:tr>
      <w:tr w14:paraId="5613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1DA0343">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1</w:t>
            </w:r>
          </w:p>
        </w:tc>
        <w:tc>
          <w:tcPr>
            <w:tcW w:w="2054" w:type="dxa"/>
            <w:vAlign w:val="center"/>
          </w:tcPr>
          <w:p w14:paraId="4ED31361">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付款方式</w:t>
            </w:r>
          </w:p>
        </w:tc>
        <w:tc>
          <w:tcPr>
            <w:tcW w:w="5544" w:type="dxa"/>
            <w:vAlign w:val="center"/>
          </w:tcPr>
          <w:p w14:paraId="5769BCE5">
            <w:pPr>
              <w:pStyle w:val="13"/>
              <w:widowControl w:val="0"/>
              <w:wordWrap w:val="0"/>
              <w:spacing w:before="0" w:beforeAutospacing="0" w:after="0" w:afterAutospacing="0" w:line="360" w:lineRule="auto"/>
              <w:jc w:val="left"/>
              <w:rPr>
                <w:rFonts w:hint="eastAsia" w:ascii="宋体" w:hAnsi="宋体" w:eastAsia="宋体" w:cs="宋体"/>
                <w:b w:val="0"/>
                <w:bCs w:val="0"/>
                <w:sz w:val="24"/>
              </w:rPr>
            </w:pPr>
            <w:r>
              <w:rPr>
                <w:rFonts w:hint="eastAsia" w:ascii="宋体" w:hAnsi="宋体" w:eastAsia="宋体" w:cs="宋体"/>
                <w:b w:val="0"/>
                <w:bCs w:val="0"/>
                <w:sz w:val="24"/>
              </w:rPr>
              <w:t>项目验收合格后，一次性支付合同价款。</w:t>
            </w:r>
          </w:p>
        </w:tc>
      </w:tr>
      <w:tr w14:paraId="106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2026A70">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2</w:t>
            </w:r>
          </w:p>
        </w:tc>
        <w:tc>
          <w:tcPr>
            <w:tcW w:w="2054" w:type="dxa"/>
            <w:vAlign w:val="center"/>
          </w:tcPr>
          <w:p w14:paraId="4ADCBED7">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供货及安装地点</w:t>
            </w:r>
          </w:p>
        </w:tc>
        <w:tc>
          <w:tcPr>
            <w:tcW w:w="5544" w:type="dxa"/>
            <w:vAlign w:val="center"/>
          </w:tcPr>
          <w:p w14:paraId="316FBAF7">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安徽农业大学繁昌创新港，具体按采购人指定。</w:t>
            </w:r>
          </w:p>
        </w:tc>
      </w:tr>
      <w:tr w14:paraId="090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56E7AA84">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3</w:t>
            </w:r>
          </w:p>
        </w:tc>
        <w:tc>
          <w:tcPr>
            <w:tcW w:w="2054" w:type="dxa"/>
            <w:vAlign w:val="center"/>
          </w:tcPr>
          <w:p w14:paraId="409C1A9A">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供货及安装期限</w:t>
            </w:r>
          </w:p>
        </w:tc>
        <w:tc>
          <w:tcPr>
            <w:tcW w:w="5544" w:type="dxa"/>
            <w:vAlign w:val="center"/>
          </w:tcPr>
          <w:p w14:paraId="17135501">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合同生效后，90个日历日内完成供货、安装、调试、培训等所有工作内容。</w:t>
            </w:r>
          </w:p>
        </w:tc>
      </w:tr>
      <w:tr w14:paraId="603E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1C21F3D">
            <w:pPr>
              <w:pStyle w:val="12"/>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rPr>
            </w:pPr>
            <w:r>
              <w:rPr>
                <w:rFonts w:hint="eastAsia" w:ascii="宋体" w:hAnsi="宋体" w:eastAsia="宋体" w:cs="宋体"/>
                <w:bCs/>
                <w:kern w:val="2"/>
              </w:rPr>
              <w:t>4</w:t>
            </w:r>
          </w:p>
        </w:tc>
        <w:tc>
          <w:tcPr>
            <w:tcW w:w="2054" w:type="dxa"/>
            <w:vAlign w:val="center"/>
          </w:tcPr>
          <w:p w14:paraId="3B5AB874">
            <w:pPr>
              <w:pStyle w:val="13"/>
              <w:widowControl w:val="0"/>
              <w:wordWrap w:val="0"/>
              <w:spacing w:before="0" w:beforeAutospacing="0" w:after="0" w:afterAutospacing="0" w:line="360" w:lineRule="auto"/>
              <w:rPr>
                <w:rFonts w:hint="eastAsia" w:ascii="宋体" w:hAnsi="宋体" w:eastAsia="宋体" w:cs="宋体"/>
                <w:b w:val="0"/>
                <w:sz w:val="24"/>
              </w:rPr>
            </w:pPr>
            <w:r>
              <w:rPr>
                <w:rFonts w:hint="eastAsia" w:ascii="宋体" w:hAnsi="宋体" w:eastAsia="宋体" w:cs="宋体"/>
                <w:b w:val="0"/>
                <w:sz w:val="24"/>
              </w:rPr>
              <w:t>免费质保期</w:t>
            </w:r>
          </w:p>
        </w:tc>
        <w:tc>
          <w:tcPr>
            <w:tcW w:w="5544" w:type="dxa"/>
            <w:vAlign w:val="center"/>
          </w:tcPr>
          <w:p w14:paraId="1C66D44D">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自验收合格后1年，货物需求中另有规定的，按货物需求执行。</w:t>
            </w:r>
          </w:p>
          <w:p w14:paraId="2B5590D3">
            <w:pPr>
              <w:pStyle w:val="13"/>
              <w:widowControl w:val="0"/>
              <w:wordWrap w:val="0"/>
              <w:spacing w:before="0" w:beforeAutospacing="0" w:after="0" w:afterAutospacing="0" w:line="360" w:lineRule="auto"/>
              <w:jc w:val="left"/>
              <w:rPr>
                <w:rFonts w:hint="eastAsia" w:ascii="宋体" w:hAnsi="宋体" w:eastAsia="宋体" w:cs="宋体"/>
                <w:b w:val="0"/>
                <w:sz w:val="24"/>
              </w:rPr>
            </w:pPr>
            <w:r>
              <w:rPr>
                <w:rFonts w:hint="eastAsia" w:ascii="宋体" w:hAnsi="宋体" w:eastAsia="宋体" w:cs="宋体"/>
                <w:b w:val="0"/>
                <w:sz w:val="24"/>
              </w:rPr>
              <w:t>注：免费质保期从验收合格之日起开始计算。</w:t>
            </w:r>
          </w:p>
        </w:tc>
      </w:tr>
    </w:tbl>
    <w:p w14:paraId="0271EEB9">
      <w:pPr>
        <w:pStyle w:val="3"/>
        <w:wordWrap w:val="0"/>
        <w:ind w:firstLine="0" w:firstLineChars="0"/>
        <w:rPr>
          <w:rFonts w:eastAsia="黑体"/>
        </w:rPr>
      </w:pPr>
      <w:bookmarkStart w:id="9" w:name="_Toc369119811"/>
      <w:bookmarkStart w:id="10" w:name="_Toc58935147"/>
      <w:bookmarkStart w:id="11" w:name="_Toc302804901"/>
      <w:bookmarkStart w:id="12" w:name="_Toc717369146"/>
      <w:bookmarkStart w:id="13" w:name="_Toc1715351726"/>
      <w:bookmarkStart w:id="14" w:name="_Toc1191965283_WPSOffice_Level2"/>
      <w:bookmarkStart w:id="15" w:name="_Toc626387511"/>
      <w:bookmarkStart w:id="16" w:name="_Toc1693477008"/>
      <w:r>
        <w:rPr>
          <w:rFonts w:hint="eastAsia" w:eastAsia="黑体"/>
        </w:rPr>
        <w:t>二、货物需求</w:t>
      </w:r>
      <w:bookmarkEnd w:id="9"/>
      <w:bookmarkEnd w:id="10"/>
      <w:bookmarkEnd w:id="11"/>
      <w:bookmarkEnd w:id="12"/>
      <w:bookmarkEnd w:id="13"/>
      <w:bookmarkEnd w:id="14"/>
      <w:bookmarkEnd w:id="15"/>
      <w:bookmarkEnd w:id="16"/>
    </w:p>
    <w:p w14:paraId="300B16CE">
      <w:pPr>
        <w:pStyle w:val="9"/>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（一）货物需求说明</w:t>
      </w:r>
    </w:p>
    <w:tbl>
      <w:tblPr>
        <w:tblStyle w:val="10"/>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33A3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7F32E4A5">
            <w:pPr>
              <w:pStyle w:val="9"/>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需求内容类别</w:t>
            </w:r>
          </w:p>
        </w:tc>
        <w:tc>
          <w:tcPr>
            <w:tcW w:w="1277" w:type="dxa"/>
          </w:tcPr>
          <w:p w14:paraId="2E7B0F36">
            <w:pPr>
              <w:pStyle w:val="9"/>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标识符号</w:t>
            </w:r>
          </w:p>
        </w:tc>
        <w:tc>
          <w:tcPr>
            <w:tcW w:w="5692" w:type="dxa"/>
          </w:tcPr>
          <w:p w14:paraId="6B1AF368">
            <w:pPr>
              <w:pStyle w:val="9"/>
              <w:wordWrap w:val="0"/>
              <w:spacing w:line="500" w:lineRule="exact"/>
              <w:ind w:left="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投标要求</w:t>
            </w:r>
          </w:p>
        </w:tc>
      </w:tr>
      <w:tr w14:paraId="6229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8A1622B">
            <w:pPr>
              <w:pStyle w:val="9"/>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重要指标项</w:t>
            </w:r>
          </w:p>
        </w:tc>
        <w:tc>
          <w:tcPr>
            <w:tcW w:w="1277" w:type="dxa"/>
            <w:vAlign w:val="center"/>
          </w:tcPr>
          <w:p w14:paraId="2723150D">
            <w:pPr>
              <w:pStyle w:val="9"/>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w:t>
            </w:r>
          </w:p>
        </w:tc>
        <w:tc>
          <w:tcPr>
            <w:tcW w:w="5692" w:type="dxa"/>
            <w:vAlign w:val="center"/>
          </w:tcPr>
          <w:p w14:paraId="52087767">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评分项，详见“第四章评标方法和标准”中评分细则。</w:t>
            </w:r>
          </w:p>
        </w:tc>
      </w:tr>
      <w:tr w14:paraId="41B9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460FC752">
            <w:pPr>
              <w:pStyle w:val="9"/>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关键指标项</w:t>
            </w:r>
          </w:p>
        </w:tc>
        <w:tc>
          <w:tcPr>
            <w:tcW w:w="1277" w:type="dxa"/>
            <w:vAlign w:val="center"/>
          </w:tcPr>
          <w:p w14:paraId="3D6B1C55">
            <w:pPr>
              <w:pStyle w:val="9"/>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w:t>
            </w:r>
          </w:p>
        </w:tc>
        <w:tc>
          <w:tcPr>
            <w:tcW w:w="5692" w:type="dxa"/>
            <w:vAlign w:val="center"/>
          </w:tcPr>
          <w:p w14:paraId="3E8750A5">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符合性审查项，该指标项负偏离或未响应，将导致</w:t>
            </w:r>
            <w:r>
              <w:rPr>
                <w:rFonts w:hint="eastAsia" w:ascii="宋体" w:hAnsi="宋体" w:eastAsia="宋体" w:cs="宋体"/>
                <w:b/>
                <w:bCs/>
                <w:sz w:val="24"/>
                <w:szCs w:val="24"/>
              </w:rPr>
              <w:t>投标无效</w:t>
            </w:r>
            <w:r>
              <w:rPr>
                <w:rFonts w:hint="eastAsia" w:ascii="宋体" w:hAnsi="宋体" w:eastAsia="宋体" w:cs="宋体"/>
                <w:sz w:val="24"/>
                <w:szCs w:val="24"/>
              </w:rPr>
              <w:t>。</w:t>
            </w:r>
          </w:p>
        </w:tc>
      </w:tr>
      <w:tr w14:paraId="723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935C7FA">
            <w:pPr>
              <w:pStyle w:val="9"/>
              <w:wordWrap w:val="0"/>
              <w:spacing w:line="500" w:lineRule="exact"/>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t>无标识项</w:t>
            </w:r>
          </w:p>
        </w:tc>
        <w:tc>
          <w:tcPr>
            <w:tcW w:w="1277" w:type="dxa"/>
            <w:vAlign w:val="center"/>
          </w:tcPr>
          <w:p w14:paraId="3177F10E">
            <w:pPr>
              <w:pStyle w:val="9"/>
              <w:wordWrap w:val="0"/>
              <w:spacing w:line="500" w:lineRule="exact"/>
              <w:ind w:left="0" w:firstLine="0" w:firstLineChars="0"/>
              <w:jc w:val="center"/>
              <w:rPr>
                <w:rFonts w:hint="eastAsia" w:ascii="宋体" w:hAnsi="宋体" w:eastAsia="宋体" w:cs="宋体"/>
                <w:sz w:val="24"/>
                <w:szCs w:val="24"/>
              </w:rPr>
            </w:pPr>
          </w:p>
        </w:tc>
        <w:tc>
          <w:tcPr>
            <w:tcW w:w="5692" w:type="dxa"/>
            <w:vAlign w:val="center"/>
          </w:tcPr>
          <w:p w14:paraId="08722E4E">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bCs/>
                <w:sz w:val="24"/>
                <w:szCs w:val="24"/>
              </w:rPr>
              <w:t>符合性审查项，该指标项最大允许负偏离</w:t>
            </w:r>
            <w:r>
              <w:rPr>
                <w:rFonts w:hint="eastAsia" w:ascii="宋体" w:hAnsi="宋体" w:eastAsia="宋体" w:cs="宋体"/>
                <w:bCs/>
                <w:sz w:val="24"/>
                <w:szCs w:val="24"/>
                <w:u w:val="single"/>
              </w:rPr>
              <w:t xml:space="preserve"> 5 </w:t>
            </w:r>
            <w:r>
              <w:rPr>
                <w:rFonts w:hint="eastAsia" w:ascii="宋体" w:hAnsi="宋体" w:eastAsia="宋体" w:cs="宋体"/>
                <w:bCs/>
                <w:sz w:val="24"/>
                <w:szCs w:val="24"/>
              </w:rPr>
              <w:t>项，超过最大允许负偏离项数的，</w:t>
            </w:r>
            <w:r>
              <w:rPr>
                <w:rFonts w:hint="eastAsia" w:ascii="宋体" w:hAnsi="宋体" w:eastAsia="宋体" w:cs="宋体"/>
                <w:b/>
                <w:sz w:val="24"/>
                <w:szCs w:val="24"/>
              </w:rPr>
              <w:t>投标无效</w:t>
            </w:r>
            <w:r>
              <w:rPr>
                <w:rFonts w:hint="eastAsia" w:ascii="宋体" w:hAnsi="宋体" w:eastAsia="宋体" w:cs="宋体"/>
                <w:bCs/>
                <w:sz w:val="24"/>
                <w:szCs w:val="24"/>
              </w:rPr>
              <w:t>。</w:t>
            </w:r>
          </w:p>
        </w:tc>
      </w:tr>
      <w:tr w14:paraId="2692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41BBCB61">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注：</w:t>
            </w:r>
          </w:p>
          <w:p w14:paraId="38F45D0B">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.如某项标识中包含多条技术参数或要求，则该项标识所含内容均需满足或优于招标文件要求，否则不予认可。</w:t>
            </w:r>
          </w:p>
          <w:p w14:paraId="1F1A5DF5">
            <w:pPr>
              <w:pStyle w:val="9"/>
              <w:wordWrap w:val="0"/>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.“所属行业”栏标注为“/”的项为所投产品配套的工程或服务，无需在《中小企业声明函》中列明。</w:t>
            </w:r>
          </w:p>
        </w:tc>
      </w:tr>
    </w:tbl>
    <w:p w14:paraId="07F12FD8">
      <w:pPr>
        <w:pStyle w:val="9"/>
        <w:wordWrap w:val="0"/>
        <w:ind w:left="0" w:firstLine="0" w:firstLineChars="0"/>
        <w:rPr>
          <w:rFonts w:hint="eastAsia" w:ascii="宋体" w:hAnsi="宋体" w:eastAsia="宋体" w:cs="宋体"/>
          <w:b/>
          <w:bCs/>
          <w:sz w:val="24"/>
          <w:szCs w:val="24"/>
        </w:rPr>
      </w:pPr>
    </w:p>
    <w:p w14:paraId="267A74CC">
      <w:pPr>
        <w:pStyle w:val="9"/>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（二）货物需求清单</w:t>
      </w:r>
    </w:p>
    <w:p w14:paraId="60AC4BC6">
      <w:pPr>
        <w:pStyle w:val="9"/>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4DA8A36C">
      <w:pPr>
        <w:pStyle w:val="8"/>
        <w:ind w:left="482" w:hanging="482"/>
        <w:rPr>
          <w:rFonts w:hint="eastAsia" w:ascii="宋体" w:hAnsi="宋体" w:cs="宋体"/>
          <w:b/>
          <w:bCs/>
          <w:sz w:val="24"/>
        </w:rPr>
      </w:pPr>
    </w:p>
    <w:tbl>
      <w:tblPr>
        <w:tblStyle w:val="10"/>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0FEB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1BB98A49">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ADDIN CNKISM.UserStyle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
                <w:sz w:val="24"/>
                <w:szCs w:val="24"/>
              </w:rPr>
              <w:t>序号</w:t>
            </w:r>
          </w:p>
        </w:tc>
        <w:tc>
          <w:tcPr>
            <w:tcW w:w="1230" w:type="dxa"/>
            <w:vAlign w:val="center"/>
          </w:tcPr>
          <w:p w14:paraId="1D45E558">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货物名称</w:t>
            </w:r>
          </w:p>
        </w:tc>
        <w:tc>
          <w:tcPr>
            <w:tcW w:w="5175" w:type="dxa"/>
            <w:vAlign w:val="center"/>
          </w:tcPr>
          <w:p w14:paraId="413ACB84">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技术参数及要求</w:t>
            </w:r>
          </w:p>
        </w:tc>
        <w:tc>
          <w:tcPr>
            <w:tcW w:w="780" w:type="dxa"/>
            <w:vAlign w:val="center"/>
          </w:tcPr>
          <w:p w14:paraId="7B6B0A2E">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数量</w:t>
            </w:r>
          </w:p>
        </w:tc>
        <w:tc>
          <w:tcPr>
            <w:tcW w:w="795" w:type="dxa"/>
            <w:vAlign w:val="center"/>
          </w:tcPr>
          <w:p w14:paraId="0C3FA8BE">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所属行业</w:t>
            </w:r>
          </w:p>
        </w:tc>
        <w:tc>
          <w:tcPr>
            <w:tcW w:w="897" w:type="dxa"/>
            <w:vAlign w:val="center"/>
          </w:tcPr>
          <w:p w14:paraId="4C009E50">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备注（进口或强制节能）</w:t>
            </w:r>
          </w:p>
        </w:tc>
      </w:tr>
      <w:tr w14:paraId="271B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EA7CC9E">
            <w:pPr>
              <w:adjustRightInd w:val="0"/>
              <w:snapToGrid w:val="0"/>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30" w:type="dxa"/>
            <w:vAlign w:val="center"/>
          </w:tcPr>
          <w:p w14:paraId="3BB3FF1A">
            <w:pPr>
              <w:spacing w:line="5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▲智能结晶筛选平台</w:t>
            </w:r>
          </w:p>
        </w:tc>
        <w:tc>
          <w:tcPr>
            <w:tcW w:w="5175" w:type="dxa"/>
            <w:vAlign w:val="center"/>
          </w:tcPr>
          <w:p w14:paraId="67FC2FF8">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1.智能结晶筛选平台机架</w:t>
            </w:r>
          </w:p>
          <w:p w14:paraId="2E879C91">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1.1 供电标准为单相AC 220 V，50 Hz；</w:t>
            </w:r>
          </w:p>
          <w:p w14:paraId="0E567A7A">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1.2 整套单机筛选平台总运行功率 ≤ 5000 W；</w:t>
            </w:r>
          </w:p>
          <w:p w14:paraId="1E21FACF">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kern w:val="0"/>
                <w:sz w:val="24"/>
                <w:szCs w:val="24"/>
              </w:rPr>
              <w:t>1.3设备配套操控终端配置不低于：采用四核八线程处理器，配置≥8 GB内存、≥1TB 本地存储；</w:t>
            </w:r>
            <w:r>
              <w:rPr>
                <w:rFonts w:hint="eastAsia" w:asciiTheme="minorEastAsia" w:hAnsiTheme="minorEastAsia" w:eastAsiaTheme="minorEastAsia" w:cstheme="minorEastAsia"/>
                <w:b/>
                <w:bCs/>
                <w:sz w:val="24"/>
                <w:szCs w:val="24"/>
              </w:rPr>
              <w:t>（需在投标响应表中列出产品品牌和型号，否则视为本条参数不响应）</w:t>
            </w:r>
          </w:p>
          <w:p w14:paraId="1154DF72">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1.4配备 750 W 工业电源，可同步全模块数据实时采集、本地永久存储。</w:t>
            </w:r>
          </w:p>
          <w:p w14:paraId="0A4287EA">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2.六轴协作机械臂系统</w:t>
            </w:r>
          </w:p>
          <w:p w14:paraId="134ADD0D">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 2.1 工作半径：≥ 900 mm</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5E26DFDD">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2.2 重复定位精度：≤ ± 0.1 mm；</w:t>
            </w:r>
          </w:p>
          <w:p w14:paraId="5C71656A">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2.3 额定负载：≥ 5 kg；</w:t>
            </w:r>
          </w:p>
          <w:p w14:paraId="0F19D8BE">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2.4 防护等级：≥ IP54（抵御实验室粉尘、有机溶剂挥发腐蚀）；</w:t>
            </w:r>
          </w:p>
          <w:p w14:paraId="52012601">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2.5 安全系统：碰撞检测 + 物理急停双重防护，符合协作机器人安全标准，工站开门机械臂自动降速停机。</w:t>
            </w:r>
          </w:p>
          <w:p w14:paraId="76DC3A11">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3.针泵加液开关盖模块</w:t>
            </w:r>
          </w:p>
          <w:p w14:paraId="7541F6A6">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3.1 适配8 mL反应瓶快速加液和8mL反应瓶的开关盖；</w:t>
            </w:r>
          </w:p>
          <w:p w14:paraId="262F1BEF">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 3.2 最大支持独立加液通道≥3</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5A536E82">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3.3 单次最大移液10 mL，支持多次叠加移液；</w:t>
            </w:r>
          </w:p>
          <w:p w14:paraId="45131018">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3.4 单步移液分辨率 ≤ 3 μL；</w:t>
            </w:r>
          </w:p>
          <w:p w14:paraId="6D008A62">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 3.5 以去离子水为介质，100 μL准确度≤ ± 2.0%，精确度＜1.0%</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044EF9C0">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3.6 夹持重复精度≤±0.05mm，旋转重复精度≤±0.5°；</w:t>
            </w:r>
          </w:p>
          <w:p w14:paraId="690FD21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3.7瓶盖夹紧力≤ 100 N，瓶盖旋转扭力≤ 2 N·m；</w:t>
            </w:r>
          </w:p>
          <w:p w14:paraId="25CFA2EE">
            <w:pPr>
              <w:spacing w:after="60"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3.8夹爪具备力矩过载保护，支持掉落检测，</w:t>
            </w:r>
            <w:r>
              <w:rPr>
                <w:rFonts w:hint="eastAsia" w:asciiTheme="minorEastAsia" w:hAnsiTheme="minorEastAsia" w:eastAsiaTheme="minorEastAsia" w:cstheme="minorEastAsia"/>
                <w:bCs/>
                <w:kern w:val="0"/>
                <w:sz w:val="24"/>
                <w:szCs w:val="24"/>
              </w:rPr>
              <w:t>配套管路防漏液安全检测，管路漏液并触发软件报警。</w:t>
            </w:r>
          </w:p>
          <w:p w14:paraId="2466554D">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4.</w:t>
            </w:r>
            <w:r>
              <w:rPr>
                <w:rFonts w:hint="eastAsia" w:asciiTheme="minorEastAsia" w:hAnsiTheme="minorEastAsia" w:eastAsiaTheme="minorEastAsia" w:cstheme="minorEastAsia"/>
                <w:kern w:val="0"/>
                <w:sz w:val="24"/>
                <w:szCs w:val="24"/>
              </w:rPr>
              <w:t>自动开关盖模块</w:t>
            </w:r>
          </w:p>
          <w:p w14:paraId="3DC09A8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4.1 适配8/20/40 mL多规格反应瓶的自动化开关盖操作；</w:t>
            </w:r>
          </w:p>
          <w:p w14:paraId="0E29789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4.2 配置不少于24位瓶盖缓存区；</w:t>
            </w:r>
          </w:p>
          <w:p w14:paraId="50273D0B">
            <w:pPr>
              <w:spacing w:line="560" w:lineRule="exact"/>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4.3</w:t>
            </w:r>
            <w:r>
              <w:rPr>
                <w:rFonts w:hint="eastAsia" w:asciiTheme="minorEastAsia" w:hAnsiTheme="minorEastAsia" w:eastAsiaTheme="minorEastAsia" w:cstheme="minorEastAsia"/>
                <w:bCs/>
                <w:kern w:val="0"/>
                <w:sz w:val="24"/>
                <w:szCs w:val="24"/>
              </w:rPr>
              <w:t>夹持重复精度≤±0.05mm，旋转重复精度≤±0.5°</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2499706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4.4 最大旋转速度</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1000°/s；</w:t>
            </w:r>
          </w:p>
          <w:p w14:paraId="7C5CC79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4.5瓶盖夹紧力≤ 100 N，瓶盖旋转扭力≤ 2 N·m；</w:t>
            </w:r>
          </w:p>
          <w:p w14:paraId="0A53A007">
            <w:pPr>
              <w:spacing w:after="60"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4.6夹爪具备力矩过载保护，支持掉落检测。</w:t>
            </w:r>
          </w:p>
          <w:p w14:paraId="73535B0E">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移液模块系统</w:t>
            </w:r>
          </w:p>
          <w:p w14:paraId="05F35AC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 mL移液模块</w:t>
            </w:r>
          </w:p>
          <w:p w14:paraId="36F89EB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5.1 配置300 μL和1 mL tip头，单次移液范围至少能覆盖：10 ~ 1000 µL；</w:t>
            </w:r>
          </w:p>
          <w:p w14:paraId="630FDF1D">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5.2 移液准确度：10 µL ≤ ±8.5%，100 µL ≤ ±2.0%，1000 µL ≤ ±1.0%</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07F6614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5.3 移液精确度：10 µL ≤ 4.0%，100 µL ≤ 1.0%，1000 µL ≤ 0.8%；</w:t>
            </w:r>
          </w:p>
          <w:p w14:paraId="1AC08D3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5.4 测试环境：温度20 ℃ ± 5 ℃，液体温度波动范围：≤ ±0.5℃，以去离子水为测试介质；</w:t>
            </w:r>
          </w:p>
          <w:p w14:paraId="787E356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5.5 移液器具备耐有机溶剂、自动探液、防滴液、吸头装载感应、多次移液、缓慢滴加等功能；</w:t>
            </w:r>
          </w:p>
          <w:p w14:paraId="15026C6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 mL移液模块</w:t>
            </w:r>
          </w:p>
          <w:p w14:paraId="1542C50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5.6 配置5 mL tip头，单次移液范围至少能覆盖：100 ~ 5000 µL；</w:t>
            </w:r>
          </w:p>
          <w:p w14:paraId="48D7A7B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5.7 移液准确度：100 µL ≤ ±3.0%，500 µL ≤ ±2.0%，1000 µL ≤ ± 2.0%，5000 µL ≤ ±1.0%</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4814DD1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5.8 移液精确度：100 µL≤2.0%，500 µL ≤ 1.5%，1000 µL ≤ 1.0%，5000 µL ≤ 0.5%；</w:t>
            </w:r>
          </w:p>
          <w:p w14:paraId="1DC74760">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5.9 测试环境：温度20 ℃ ± 5 ℃，液体温度波动范围：≤ ±0.5℃，以去离子水为测试介质；</w:t>
            </w:r>
          </w:p>
          <w:p w14:paraId="211468F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5.10移液器具备耐有机溶剂、自动探液、防滴液、吸头装载感应、多次移液、缓慢滴加等功能。</w:t>
            </w:r>
          </w:p>
          <w:p w14:paraId="7FC783F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温控搅拌反应模块</w:t>
            </w:r>
          </w:p>
          <w:p w14:paraId="48CA112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（1）风冷温控反应模块</w:t>
            </w:r>
          </w:p>
          <w:p w14:paraId="53DF701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 反应瓶体积与通量：8 mL，总通量48个；</w:t>
            </w:r>
          </w:p>
          <w:p w14:paraId="06BAE82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6.2 控温方式：金属浴，电加热 + TEC冷却；</w:t>
            </w:r>
          </w:p>
          <w:p w14:paraId="7C09265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6.3 搅拌方式：磁力搅拌，搅拌速度：0 rpm-1200 rpm；</w:t>
            </w:r>
          </w:p>
          <w:p w14:paraId="5AA27BB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6.4 温度范围：室温~150 ℃；</w:t>
            </w:r>
          </w:p>
          <w:p w14:paraId="52DA1C2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6.5控温精度：±1.0 ℃</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0408F15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6.6安全防护：支持过温保护、防止干烧、自动断电、软件报警功能；</w:t>
            </w:r>
          </w:p>
          <w:p w14:paraId="5DA43D80">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（2）水冷温控反应模块</w:t>
            </w:r>
          </w:p>
          <w:p w14:paraId="277D012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6.7 反应瓶体积与通量：8 mL，总通量48个；</w:t>
            </w:r>
          </w:p>
          <w:p w14:paraId="67534DE0">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6.8 控温方式：金属浴，电加热 + TEC冷却；</w:t>
            </w:r>
          </w:p>
          <w:p w14:paraId="6E61059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6.9 搅拌方式：磁力搅拌，搅拌速度：0 rpm–1200 rpm；</w:t>
            </w:r>
          </w:p>
          <w:p w14:paraId="45BA806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6.10温度范围：-20~150 ℃；</w:t>
            </w:r>
          </w:p>
          <w:p w14:paraId="4BAE207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6.11控温精度：±1.0 ℃；</w:t>
            </w:r>
          </w:p>
          <w:p w14:paraId="646497E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6.12 支持过温保护功能；</w:t>
            </w:r>
          </w:p>
          <w:p w14:paraId="6940437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6.13 整机外部密闭氮气保护箱，持续通入干燥氮气隔绝外界水汽，低温实验时避免反应瓶外壁、内壁产生冷凝水；</w:t>
            </w:r>
          </w:p>
          <w:p w14:paraId="6872AEA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6.14安全防护：支持过温保护、防止干烧、自动断电、软件报警功能。</w:t>
            </w:r>
          </w:p>
          <w:p w14:paraId="4BA86E6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正压过滤模块</w:t>
            </w:r>
          </w:p>
          <w:p w14:paraId="2B1D923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7.1 兼容 5 mL标准注射器、0.45 μm滤膜、密封堵头整套过滤耗材，无需定制特殊配件；</w:t>
            </w:r>
          </w:p>
          <w:p w14:paraId="4C9626D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7.2 支持正压吹扫、管路自动溶剂清洗；</w:t>
            </w:r>
          </w:p>
          <w:p w14:paraId="22366AE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7.3最大压力≤ 0.5 MPa，压力超过阈值时会触发超压报警</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4ABD4E5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7.4 滤膜孔径支持0.45 μm。</w:t>
            </w:r>
          </w:p>
          <w:p w14:paraId="28DED30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视觉检测模块</w:t>
            </w:r>
          </w:p>
          <w:p w14:paraId="1A53671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8.1 底部相机分辨率 ≥ 5 MP ；</w:t>
            </w:r>
          </w:p>
          <w:p w14:paraId="7D1804A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8.2 侧面相机分辨率 ≥ 20 MP；</w:t>
            </w:r>
          </w:p>
          <w:p w14:paraId="0C2FFA2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8.3 底部视觉相机定位精度≤ ± 0.3 mm</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6A1EB1A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8.4 配备带已知间距网格的幕布或参照物，以支持照片中标尺标识功能。</w:t>
            </w:r>
          </w:p>
          <w:p w14:paraId="7E35A52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通用电爪工具</w:t>
            </w:r>
          </w:p>
          <w:p w14:paraId="45EAC8A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9.1 夹爪单边行程 ≥ 16 mm；</w:t>
            </w:r>
          </w:p>
          <w:p w14:paraId="1778668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9.2 最大夹持力 ≥ 375 N；</w:t>
            </w:r>
          </w:p>
          <w:p w14:paraId="3F7DCD48">
            <w:pPr>
              <w:pStyle w:val="14"/>
              <w:numPr>
                <w:ilvl w:val="1"/>
                <w:numId w:val="1"/>
              </w:numPr>
              <w:spacing w:line="560" w:lineRule="exact"/>
              <w:ind w:firstLineChars="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托盘夹爪定位精度≤ ±0.02 mm；</w:t>
            </w:r>
          </w:p>
          <w:p w14:paraId="3296EE9D">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9.4 内置夹持力矩过载保护。</w:t>
            </w:r>
          </w:p>
          <w:p w14:paraId="0B62E41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托盘夹爪工具</w:t>
            </w:r>
          </w:p>
          <w:p w14:paraId="7928336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10.1 重复定位精度 ≤ ±0.02 mm</w:t>
            </w:r>
            <w:r>
              <w:rPr>
                <w:rFonts w:hint="eastAsia" w:asciiTheme="minorEastAsia" w:hAnsiTheme="minorEastAsia" w:eastAsiaTheme="minorEastAsia" w:cstheme="minorEastAsia"/>
                <w:b/>
                <w:bCs/>
                <w:snapToGrid w:val="0"/>
                <w:kern w:val="0"/>
                <w:sz w:val="24"/>
                <w:szCs w:val="24"/>
              </w:rPr>
              <w:t>（投标文件中提供证明材料）</w:t>
            </w:r>
            <w:r>
              <w:rPr>
                <w:rFonts w:hint="eastAsia" w:asciiTheme="minorEastAsia" w:hAnsiTheme="minorEastAsia" w:eastAsiaTheme="minorEastAsia" w:cstheme="minorEastAsia"/>
                <w:snapToGrid w:val="0"/>
                <w:kern w:val="0"/>
                <w:sz w:val="24"/>
                <w:szCs w:val="24"/>
              </w:rPr>
              <w:t>；</w:t>
            </w:r>
          </w:p>
          <w:p w14:paraId="07E3FEF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10.2 夹爪行程 ≥ 16 mm；</w:t>
            </w:r>
          </w:p>
          <w:p w14:paraId="2D4EA79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10.3 最大夹持力 ≥ 375 N；</w:t>
            </w:r>
          </w:p>
          <w:p w14:paraId="1DD73843">
            <w:pPr>
              <w:spacing w:after="60"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10.4具备夹空报警，夹爪抓空后会马上触发设备暂停，软件报警功能。</w:t>
            </w:r>
          </w:p>
          <w:p w14:paraId="31BE912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w:t>
            </w:r>
            <w:r>
              <w:rPr>
                <w:rFonts w:hint="eastAsia" w:asciiTheme="minorEastAsia" w:hAnsiTheme="minorEastAsia" w:eastAsiaTheme="minorEastAsia" w:cstheme="minorEastAsia"/>
                <w:sz w:val="24"/>
                <w:szCs w:val="24"/>
              </w:rPr>
              <w:t>结晶数据处理系统</w:t>
            </w:r>
          </w:p>
          <w:p w14:paraId="4A92E82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 4U 机架式服务器，含准系统方案（机箱、主板、散热器等）；</w:t>
            </w:r>
          </w:p>
          <w:p w14:paraId="145D567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kern w:val="0"/>
                <w:sz w:val="24"/>
                <w:szCs w:val="24"/>
              </w:rPr>
              <w:t xml:space="preserve"> </w:t>
            </w:r>
            <w:r>
              <w:rPr>
                <w:rFonts w:hint="eastAsia" w:asciiTheme="minorEastAsia" w:hAnsiTheme="minorEastAsia" w:eastAsiaTheme="minorEastAsia" w:cstheme="minorEastAsia"/>
                <w:kern w:val="0"/>
                <w:sz w:val="24"/>
                <w:szCs w:val="24"/>
              </w:rPr>
              <w:t>11.2 处理器：配置2颗及以上高性能服务器专用处理器，单颗CPU核心48核，线程数≥96；主频≥2.7GHz，睿频3.2 GHz</w:t>
            </w:r>
            <w:r>
              <w:rPr>
                <w:rFonts w:hint="eastAsia" w:asciiTheme="minorEastAsia" w:hAnsiTheme="minorEastAsia" w:eastAsiaTheme="minorEastAsia" w:cstheme="minorEastAsia"/>
                <w:b/>
                <w:bCs/>
                <w:color w:val="auto"/>
                <w:sz w:val="24"/>
                <w:szCs w:val="24"/>
                <w:highlight w:val="none"/>
              </w:rPr>
              <w:t>（投标人需在6.2技术响应表中列出产品品牌和型号，否则视为本条参数不响应）</w:t>
            </w:r>
            <w:r>
              <w:rPr>
                <w:rFonts w:hint="eastAsia" w:asciiTheme="minorEastAsia" w:hAnsiTheme="minorEastAsia" w:eastAsiaTheme="minorEastAsia" w:cstheme="minorEastAsia"/>
                <w:kern w:val="0"/>
                <w:sz w:val="24"/>
                <w:szCs w:val="24"/>
              </w:rPr>
              <w:t>；</w:t>
            </w:r>
          </w:p>
          <w:p w14:paraId="411D31EE">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11.3 内存：配置≥256GB DDR5 RDIMM以上内存，配置≥16个内存插槽，最大可支持3TB内存容量；</w:t>
            </w:r>
          </w:p>
          <w:p w14:paraId="7A9299A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11.4 硬盘：配置一块≥960GB 固态硬盘，1块14TB SATA</w:t>
            </w:r>
            <w:r>
              <w:rPr>
                <w:rFonts w:asciiTheme="minorEastAsia" w:hAnsiTheme="minorEastAsia" w:eastAsiaTheme="minorEastAsia" w:cstheme="minorEastAsia"/>
                <w:kern w:val="0"/>
                <w:sz w:val="24"/>
                <w:szCs w:val="24"/>
              </w:rPr>
              <w:t>企业级服务器专用机械硬盘</w:t>
            </w:r>
            <w:r>
              <w:rPr>
                <w:rFonts w:hint="eastAsia" w:asciiTheme="minorEastAsia" w:hAnsiTheme="minorEastAsia" w:eastAsiaTheme="minorEastAsia" w:cstheme="minorEastAsia"/>
                <w:kern w:val="0"/>
                <w:sz w:val="24"/>
                <w:szCs w:val="24"/>
              </w:rPr>
              <w:t>；</w:t>
            </w:r>
          </w:p>
          <w:p w14:paraId="2AFEEB6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11.5 RAID卡：配置板载12Gb SAS RAID控制器，不占用标准PCI-E插槽，缓存不低于2G，支持RAID 0/1/10/5等；</w:t>
            </w:r>
          </w:p>
          <w:p w14:paraId="4A0BBC80">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11.6 扩展性：配置一张≥16G显存涡轮显卡；</w:t>
            </w:r>
          </w:p>
          <w:p w14:paraId="69AC373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11.7 电源：配置白金冗余电源2个及以上，单电源模块额定功率≥1200W；</w:t>
            </w:r>
          </w:p>
          <w:p w14:paraId="5674B42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11.8 实现基于Python、C/C++、Java、Fortran等代码的程序开发与基于CPU或GPU的长时间并行计算；提供仿真、深度学习等工具箱（caffeTorch、cxxnet、TensorFlow安装调试），需支持与思科交换机及NVIDIA ConnectX InfiniBand的互联互通,支持对客户端进行模块化部署，按照管理需求给客户端分配模块，客户端按照已勾选的功能模块进行安装和运行；</w:t>
            </w:r>
          </w:p>
          <w:p w14:paraId="6C02DE4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11.9 支持跨网段和跨平台的集中管理，支持硬件健康监测、备份还原功能，完成多任务多用户管理，提供局域网搭建，安装集群管理及作业调度系统PBS/Slurm管理模块,支持服务器全方位性能监控；</w:t>
            </w:r>
          </w:p>
          <w:p w14:paraId="54C3DF8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11.10 科学计算库：LAPACK、BLAS、ATLAS、ScaLAPACK、FFTW、OpenBLAS、Intel MKL等. 高性能编译器：GCC、高性能Python编译器：Codon、GFortran、G77、LLVM-GCC软件开发环境：C、C++、Fortran、Compiler、Python、JAVA 等编程环境；</w:t>
            </w:r>
          </w:p>
          <w:p w14:paraId="501E467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11.11 整机全新配件，</w:t>
            </w:r>
            <w:r>
              <w:rPr>
                <w:rFonts w:hint="eastAsia" w:asciiTheme="minorEastAsia" w:hAnsiTheme="minorEastAsia" w:eastAsiaTheme="minorEastAsia" w:cstheme="minorEastAsia"/>
                <w:b/>
                <w:bCs/>
                <w:kern w:val="0"/>
                <w:sz w:val="24"/>
                <w:szCs w:val="24"/>
              </w:rPr>
              <w:t>3年质保</w:t>
            </w:r>
            <w:r>
              <w:rPr>
                <w:rFonts w:hint="eastAsia" w:asciiTheme="minorEastAsia" w:hAnsiTheme="minorEastAsia" w:eastAsiaTheme="minorEastAsia" w:cstheme="minorEastAsia"/>
                <w:kern w:val="0"/>
                <w:sz w:val="24"/>
                <w:szCs w:val="24"/>
              </w:rPr>
              <w:t>，必须提供工程师上门安装调试服务。投标供应商严格按照品牌、型号投标。</w:t>
            </w:r>
          </w:p>
          <w:p w14:paraId="56D45DA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软件系统</w:t>
            </w:r>
          </w:p>
          <w:p w14:paraId="167A217F">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（1）任务管理模块</w:t>
            </w:r>
          </w:p>
          <w:p w14:paraId="4A80789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 支持创建、编辑实验任务；</w:t>
            </w:r>
          </w:p>
          <w:p w14:paraId="3A786C9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 支持查看实验任务列表，搜索实验任务；</w:t>
            </w:r>
          </w:p>
          <w:p w14:paraId="77781F3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12.3 支持暂停、恢复、删除、终止实验任务；</w:t>
            </w:r>
          </w:p>
          <w:p w14:paraId="58E8AC6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12.4 支持复制并通过模板创建实验任务；</w:t>
            </w:r>
          </w:p>
          <w:p w14:paraId="5E844DC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12.5 支持查看、导出实验任务详情；</w:t>
            </w:r>
          </w:p>
          <w:p w14:paraId="3372F72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（2）资源管理模块</w:t>
            </w:r>
          </w:p>
          <w:p w14:paraId="0FAF071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12.6 支持放入、编辑、移出资源；</w:t>
            </w:r>
          </w:p>
          <w:p w14:paraId="3B640AC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12.7 支持查看、清空站内和实验区资源；</w:t>
            </w:r>
          </w:p>
          <w:p w14:paraId="1874BB2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12.8 支持统计实验区内耗材数量；</w:t>
            </w:r>
          </w:p>
          <w:p w14:paraId="15D0D14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（3）筛选平台管理模块</w:t>
            </w:r>
          </w:p>
          <w:p w14:paraId="2160D1A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12.9 支持查看筛选平台状态，支持筛选平台初始化；</w:t>
            </w:r>
          </w:p>
          <w:p w14:paraId="115F2F3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（4）异常处理模块</w:t>
            </w:r>
          </w:p>
          <w:p w14:paraId="15DF1757">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12.10 系统运行过程中出现错误、故障时有相应的提示；</w:t>
            </w:r>
          </w:p>
          <w:p w14:paraId="3B181DE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12.11 系统具备故障处理功能，对于简单故障可自我修复或指导操作者自行修复；</w:t>
            </w:r>
          </w:p>
          <w:p w14:paraId="5F0B2E20">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（5）视觉检测模块</w:t>
            </w:r>
          </w:p>
          <w:p w14:paraId="2AE548F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12.12 支持视觉照片的查看和导出；</w:t>
            </w:r>
          </w:p>
          <w:p w14:paraId="6C9874A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12.13 支持照片与实验任务关联；</w:t>
            </w:r>
          </w:p>
          <w:p w14:paraId="57BFB3D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（6）统计模块</w:t>
            </w:r>
          </w:p>
          <w:p w14:paraId="660D95E2">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12.14 支持任务详情追踪；</w:t>
            </w:r>
          </w:p>
          <w:p w14:paraId="68BB1A9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12.15 支持实验报告生成；</w:t>
            </w:r>
          </w:p>
          <w:p w14:paraId="46FE2D7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12.16 具有资源耗材统计和任务缺料统计功能；</w:t>
            </w:r>
          </w:p>
          <w:p w14:paraId="15213DB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（7）知识库管理模块</w:t>
            </w:r>
          </w:p>
          <w:p w14:paraId="363C409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12.17具有化学品管理功能；</w:t>
            </w:r>
          </w:p>
          <w:p w14:paraId="1F20F1B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12.18提供常见有机溶剂的移液补偿值，支持新增移液补偿参数设置；</w:t>
            </w:r>
          </w:p>
          <w:p w14:paraId="4435792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（8）用户管理模块</w:t>
            </w:r>
          </w:p>
          <w:p w14:paraId="69B13A8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12.19支持用户添加，删除功能；</w:t>
            </w:r>
          </w:p>
          <w:p w14:paraId="545520B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12.20具有用户权限管理；</w:t>
            </w:r>
          </w:p>
          <w:p w14:paraId="38CE0AB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（9）其它辅助功能模块</w:t>
            </w:r>
          </w:p>
          <w:p w14:paraId="39F755F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12.21支持支持关联外部设备并获取相关实验报告或运行结果；</w:t>
            </w:r>
          </w:p>
          <w:p w14:paraId="1455D59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12.22支持软件远程升级或现场U盘升级；</w:t>
            </w:r>
          </w:p>
          <w:p w14:paraId="1B0B25E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12.23支持用户通过软件完成部分人工实验流程信息的回填及记录。</w:t>
            </w:r>
          </w:p>
          <w:p w14:paraId="32E98423">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13.安全防护模块</w:t>
            </w:r>
          </w:p>
          <w:p w14:paraId="66B3F62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13.1配置紧急停止功能，按下紧急停止按钮，机器停止运行；</w:t>
            </w:r>
          </w:p>
          <w:p w14:paraId="3872DA5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13.2配置暂停功能，暂停机械臂但不切断电源情况下，机器会完成正在进行的子任务后暂停在一个安全的位置，暂停状态下，设备外罩可以被打开。</w:t>
            </w:r>
          </w:p>
          <w:p w14:paraId="7FB520FD">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14.调试设备服务</w:t>
            </w:r>
          </w:p>
          <w:p w14:paraId="066DD38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14.1 供应商应负责结晶筛选平台的出厂预调试、现场安装、联机调试和试运行工作。设备到场后，应根据采购方实验需求完成模块校准、软件配置和流程测试，确保交付时设备处于可直接使用状态；</w:t>
            </w:r>
          </w:p>
          <w:p w14:paraId="6ABA7B0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14.2 供应商应配备专业调试和测试人员，在现场开展不少于2-3周的试运行验证，并围绕采购方围绕采购方约定的结晶实验流程完成不少于10批次稳定运行测试。测试结束后应提交完整测试报告，内容包括运行条件、实验批次、异常记录、问题整改及稳定性结论。连续测试稳定且满足实验需求后，方可进入验收；</w:t>
            </w:r>
          </w:p>
          <w:p w14:paraId="4ABCA8F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14.3 设备应具备后续软硬件升级和功能扩展能力。供应商应及时向采购方反馈软件更新、硬件升级、新增模块及功能拓展信息，具体升级内容、费用和实施方式可根据后续科研需求另行协商；</w:t>
            </w:r>
          </w:p>
          <w:p w14:paraId="428EF8B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14.4 设备应开放过程数据和结果数据的获取权限。过程数据包括温度、搅拌、加料、运行步骤、报警信息和异常日志等；结果数据包括实验是否完成、失败步骤、故障原因和运行记录等。相关数据应支持导出、备份和追溯分析。</w:t>
            </w:r>
          </w:p>
          <w:p w14:paraId="7D9E38F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kern w:val="0"/>
                <w:sz w:val="24"/>
                <w:szCs w:val="24"/>
              </w:rPr>
              <w:t>15</w:t>
            </w: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kern w:val="0"/>
                <w:sz w:val="24"/>
                <w:szCs w:val="24"/>
              </w:rPr>
              <w:t>配置清单</w:t>
            </w:r>
          </w:p>
          <w:p w14:paraId="4F771A5D">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 智能结晶筛选平台机架1套；</w:t>
            </w:r>
          </w:p>
          <w:p w14:paraId="0AD41BE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15.2 六轴协作机械臂1套；</w:t>
            </w:r>
          </w:p>
          <w:p w14:paraId="6C46D35C">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15.3 针泵加液开关盖模块1套；</w:t>
            </w:r>
          </w:p>
          <w:p w14:paraId="21A99A2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15.4 自动开关盖模块1套；</w:t>
            </w:r>
          </w:p>
          <w:p w14:paraId="742A4695">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15.5 1 mL移液模块1套；</w:t>
            </w:r>
          </w:p>
          <w:p w14:paraId="410E2A3E">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15.6 5 mL移液模块1套；</w:t>
            </w:r>
          </w:p>
          <w:p w14:paraId="2F2FE54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15.7 风冷温控反应模块1套；</w:t>
            </w:r>
          </w:p>
          <w:p w14:paraId="7D977BBB">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15.8 水冷温控反应模块1套；</w:t>
            </w:r>
          </w:p>
          <w:p w14:paraId="4737EB36">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15.9 正压过滤模块1套；</w:t>
            </w:r>
          </w:p>
          <w:p w14:paraId="30E98F6E">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15.10 视觉检测模块1套；</w:t>
            </w:r>
          </w:p>
          <w:p w14:paraId="066D06DA">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15.11 通用电爪工具1套；</w:t>
            </w:r>
          </w:p>
          <w:p w14:paraId="6541BA68">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15.12 托盘夹爪工具1套；</w:t>
            </w:r>
          </w:p>
          <w:p w14:paraId="7FB1AC04">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15.13 软件控制系统1套；</w:t>
            </w:r>
          </w:p>
          <w:p w14:paraId="3EE19CB9">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15.14安全防护模块</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kern w:val="0"/>
                <w:sz w:val="24"/>
                <w:szCs w:val="24"/>
              </w:rPr>
              <w:t>1套；</w:t>
            </w:r>
          </w:p>
          <w:p w14:paraId="30A2A251">
            <w:pPr>
              <w:spacing w:line="5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15.15 </w:t>
            </w:r>
            <w:r>
              <w:rPr>
                <w:rFonts w:hint="eastAsia" w:asciiTheme="minorEastAsia" w:hAnsiTheme="minorEastAsia" w:eastAsiaTheme="minorEastAsia" w:cstheme="minorEastAsia"/>
                <w:sz w:val="24"/>
                <w:szCs w:val="24"/>
              </w:rPr>
              <w:t>结晶数据处理系统</w:t>
            </w:r>
            <w:r>
              <w:rPr>
                <w:rFonts w:hint="eastAsia" w:asciiTheme="minorEastAsia" w:hAnsiTheme="minorEastAsia" w:eastAsiaTheme="minorEastAsia" w:cstheme="minorEastAsia"/>
                <w:kern w:val="0"/>
                <w:sz w:val="24"/>
                <w:szCs w:val="24"/>
              </w:rPr>
              <w:t>1套。</w:t>
            </w:r>
          </w:p>
        </w:tc>
        <w:tc>
          <w:tcPr>
            <w:tcW w:w="780" w:type="dxa"/>
            <w:vAlign w:val="center"/>
          </w:tcPr>
          <w:p w14:paraId="26315354">
            <w:pPr>
              <w:spacing w:line="5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1套</w:t>
            </w:r>
          </w:p>
        </w:tc>
        <w:tc>
          <w:tcPr>
            <w:tcW w:w="795" w:type="dxa"/>
            <w:vAlign w:val="center"/>
          </w:tcPr>
          <w:p w14:paraId="267AAEDE">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工业</w:t>
            </w:r>
          </w:p>
        </w:tc>
        <w:tc>
          <w:tcPr>
            <w:tcW w:w="897" w:type="dxa"/>
            <w:vAlign w:val="center"/>
          </w:tcPr>
          <w:p w14:paraId="033AB8F2">
            <w:pPr>
              <w:spacing w:line="5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w:t>
            </w:r>
          </w:p>
        </w:tc>
      </w:tr>
    </w:tbl>
    <w:p w14:paraId="1A9EF18F">
      <w:pPr>
        <w:pStyle w:val="8"/>
        <w:ind w:left="482" w:hanging="482"/>
        <w:rPr>
          <w:rFonts w:hint="eastAsia" w:ascii="宋体" w:hAnsi="宋体" w:cs="宋体"/>
          <w:b/>
          <w:bCs/>
          <w:sz w:val="24"/>
        </w:rPr>
      </w:pPr>
    </w:p>
    <w:p w14:paraId="635A87EB">
      <w:pPr>
        <w:pStyle w:val="3"/>
        <w:wordWrap w:val="0"/>
        <w:ind w:firstLine="0" w:firstLineChars="0"/>
        <w:rPr>
          <w:rFonts w:eastAsia="黑体"/>
        </w:rPr>
      </w:pPr>
      <w:bookmarkStart w:id="17" w:name="_Toc4843"/>
      <w:bookmarkStart w:id="18" w:name="_Toc7421"/>
      <w:r>
        <w:rPr>
          <w:rFonts w:hint="eastAsia" w:eastAsia="黑体"/>
        </w:rPr>
        <w:t>三、报价要求</w:t>
      </w:r>
      <w:bookmarkEnd w:id="17"/>
      <w:bookmarkEnd w:id="18"/>
    </w:p>
    <w:p w14:paraId="606F269E">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本项目报总价，投标报价包括本项目需求的全部货物及所需附件购置费、包装费、运输费、人工费、安装调试费、各种税费、资料费、售后服务费及完成项目应有的全部费用。</w:t>
      </w:r>
    </w:p>
    <w:p w14:paraId="3E7F4632">
      <w:pPr>
        <w:pStyle w:val="3"/>
        <w:wordWrap w:val="0"/>
        <w:ind w:firstLine="0" w:firstLineChars="0"/>
        <w:rPr>
          <w:rFonts w:eastAsia="黑体"/>
        </w:rPr>
      </w:pPr>
      <w:r>
        <w:rPr>
          <w:rFonts w:hint="eastAsia" w:eastAsia="黑体"/>
        </w:rPr>
        <w:t>四、备品备件及专用工具</w:t>
      </w:r>
    </w:p>
    <w:p w14:paraId="73DB2F44">
      <w:pPr>
        <w:wordWrap w:val="0"/>
        <w:spacing w:line="360" w:lineRule="auto"/>
        <w:ind w:firstLine="480" w:firstLineChars="200"/>
        <w:rPr>
          <w:rFonts w:hint="eastAsia" w:ascii="宋体" w:hAnsi="宋体" w:eastAsia="宋体" w:cs="宋体"/>
          <w:sz w:val="24"/>
        </w:rPr>
      </w:pPr>
      <w:bookmarkStart w:id="19" w:name="_Toc445554752"/>
      <w:bookmarkStart w:id="20" w:name="_Toc455587277"/>
      <w:bookmarkStart w:id="21" w:name="_Toc455587093"/>
      <w:r>
        <w:rPr>
          <w:rFonts w:hint="eastAsia" w:ascii="宋体" w:hAnsi="宋体" w:eastAsia="宋体" w:cs="宋体"/>
          <w:sz w:val="24"/>
        </w:rPr>
        <w:t>1、备品备件：中标人提供能够满足质量保证期内的设备维修要求的备品备件，备品备件应是新品。</w:t>
      </w:r>
    </w:p>
    <w:p w14:paraId="7B8DC2B3">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2、专用工具：中标人提供设备安装、调试、维修、保养所必要的专用工具、仪器、仪表等工具。</w:t>
      </w:r>
    </w:p>
    <w:bookmarkEnd w:id="19"/>
    <w:bookmarkEnd w:id="20"/>
    <w:bookmarkEnd w:id="21"/>
    <w:p w14:paraId="1EAF2108">
      <w:pPr>
        <w:pStyle w:val="3"/>
        <w:wordWrap w:val="0"/>
        <w:ind w:firstLine="0" w:firstLineChars="0"/>
        <w:rPr>
          <w:rFonts w:eastAsia="黑体"/>
        </w:rPr>
      </w:pPr>
      <w:bookmarkStart w:id="22" w:name="_Toc532199625"/>
      <w:bookmarkStart w:id="23" w:name="_Toc445554753"/>
      <w:bookmarkStart w:id="24" w:name="_Toc455587094"/>
      <w:bookmarkStart w:id="25" w:name="_Toc455587278"/>
      <w:r>
        <w:rPr>
          <w:rFonts w:hint="eastAsia" w:eastAsia="黑体"/>
        </w:rPr>
        <w:t>五、安装调试、验收试验及质量保证</w:t>
      </w:r>
      <w:bookmarkEnd w:id="22"/>
    </w:p>
    <w:p w14:paraId="4CB94345">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1、中标人在设备安装地点负责安装、调试。</w:t>
      </w:r>
    </w:p>
    <w:p w14:paraId="10969287">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2、具体设备验收标准和程序按采购人要求执行，下列验收程序可参照执行：</w:t>
      </w:r>
    </w:p>
    <w:p w14:paraId="6029DB32">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10B5D333">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43398B0">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2.3 中标人应根据采购人使用单位的技术要求提供相应的产品。由中标人所提供的设备部件间的连线和插接件均应视为设备内部器件，包含在相应的设备之中。</w:t>
      </w:r>
    </w:p>
    <w:p w14:paraId="38D887F0">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2.4 运行测试及最终验收。在系统安装、调试结束后，采购人对其进行全面的测试，对测试中暴露出来的问题，中标人应及时进行整改，系统最终测试完毕经验收合格后，采购人应向中标人签发最终验收证明。</w:t>
      </w:r>
    </w:p>
    <w:p w14:paraId="0B0C1649">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2.5 中标人应向采购人提供安装调试过程中的各种文档资料,以便采购人今后能掌握操作和维护方法。</w:t>
      </w:r>
    </w:p>
    <w:p w14:paraId="6D10304D">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3、如设备在验收时有一个或多个指标未能达到要求而属于中标人责任时，则中标人自费采取有效措施，在采购人规定时间内使之达到保证指标。如在采购人规定的时间内仍达不到合格标准时，则中标人应向采购人赔偿。</w:t>
      </w:r>
    </w:p>
    <w:p w14:paraId="4387F38F">
      <w:pPr>
        <w:pStyle w:val="3"/>
        <w:wordWrap w:val="0"/>
        <w:ind w:firstLine="0" w:firstLineChars="0"/>
        <w:rPr>
          <w:rFonts w:eastAsia="黑体"/>
        </w:rPr>
      </w:pPr>
      <w:bookmarkStart w:id="26" w:name="_Toc532199626"/>
      <w:r>
        <w:rPr>
          <w:rFonts w:hint="eastAsia" w:eastAsia="黑体"/>
        </w:rPr>
        <w:t>六、包装运输</w:t>
      </w:r>
      <w:bookmarkEnd w:id="23"/>
      <w:bookmarkEnd w:id="24"/>
      <w:bookmarkEnd w:id="25"/>
      <w:bookmarkEnd w:id="26"/>
    </w:p>
    <w:p w14:paraId="256BBC41">
      <w:pPr>
        <w:wordWrap w:val="0"/>
        <w:spacing w:line="360" w:lineRule="auto"/>
        <w:ind w:firstLine="480" w:firstLineChars="200"/>
        <w:rPr>
          <w:rFonts w:hint="eastAsia" w:ascii="宋体" w:hAnsi="宋体" w:eastAsia="宋体" w:cs="宋体"/>
          <w:sz w:val="24"/>
        </w:rPr>
      </w:pPr>
      <w:bookmarkStart w:id="27" w:name="_Toc445554754"/>
      <w:bookmarkStart w:id="28" w:name="_Toc455587279"/>
      <w:bookmarkStart w:id="29" w:name="_Toc455587095"/>
      <w:r>
        <w:rPr>
          <w:rFonts w:hint="eastAsia" w:ascii="宋体" w:hAnsi="宋体" w:eastAsia="宋体" w:cs="宋体"/>
          <w:sz w:val="24"/>
        </w:rPr>
        <w:t>1、中标人负责设备包装、办理运输和保险，将设备安全运抵交货地点。</w:t>
      </w:r>
    </w:p>
    <w:p w14:paraId="03A26545">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2、设备制造完成并通过试验后应及时包装，否则应得到切实的保护，确保其不受污损。</w:t>
      </w:r>
    </w:p>
    <w:p w14:paraId="012C46E2">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3、在包装箱外应标明采购人的订货号、发货号。</w:t>
      </w:r>
    </w:p>
    <w:p w14:paraId="77B14428">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4、各种包装应能确保各零部件在运输过程中不致遭到损坏、丢失、变形、受潮和腐蚀。</w:t>
      </w:r>
    </w:p>
    <w:p w14:paraId="39EF0C14">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5、包装箱上应有明显的包装储运图示标志。</w:t>
      </w:r>
    </w:p>
    <w:p w14:paraId="3F86FBCD">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6、整体产品或分别运输的部件都要适应运输和装载的要求。</w:t>
      </w:r>
    </w:p>
    <w:p w14:paraId="5E5197B7">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7、随产品提供的技术资料应完整无缺。</w:t>
      </w:r>
    </w:p>
    <w:p w14:paraId="13EEFF3D">
      <w:pPr>
        <w:pStyle w:val="3"/>
        <w:wordWrap w:val="0"/>
        <w:ind w:firstLine="0" w:firstLineChars="0"/>
        <w:rPr>
          <w:rFonts w:eastAsia="黑体"/>
        </w:rPr>
      </w:pPr>
      <w:bookmarkStart w:id="30" w:name="_Toc532199627"/>
      <w:r>
        <w:rPr>
          <w:rFonts w:hint="eastAsia" w:eastAsia="黑体"/>
        </w:rPr>
        <w:t>七、技术培训</w:t>
      </w:r>
      <w:bookmarkEnd w:id="27"/>
      <w:bookmarkEnd w:id="28"/>
      <w:bookmarkEnd w:id="29"/>
      <w:bookmarkEnd w:id="30"/>
    </w:p>
    <w:p w14:paraId="2A274F78">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1、为使合同设备能正常安装和运行，由中标人提供相应的技术培训，培训费用包含在投标报价内。</w:t>
      </w:r>
    </w:p>
    <w:p w14:paraId="20489495">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2、培训的时间、人数、地点等具体内容由买卖双方商定，内容至少包括：设备原理、使用、维护、运行操作、常见故障处理等。</w:t>
      </w:r>
    </w:p>
    <w:p w14:paraId="58B3C6C5">
      <w:pPr>
        <w:pStyle w:val="3"/>
        <w:wordWrap w:val="0"/>
        <w:ind w:firstLine="0" w:firstLineChars="0"/>
        <w:rPr>
          <w:rFonts w:eastAsia="黑体"/>
        </w:rPr>
      </w:pPr>
      <w:bookmarkStart w:id="31" w:name="_Toc532199628"/>
      <w:r>
        <w:rPr>
          <w:rFonts w:hint="eastAsia" w:eastAsia="黑体"/>
        </w:rPr>
        <w:t>八、质保及售后服务</w:t>
      </w:r>
    </w:p>
    <w:p w14:paraId="5130C4A7">
      <w:pPr>
        <w:wordWrap w:val="0"/>
        <w:spacing w:line="360" w:lineRule="auto"/>
        <w:ind w:firstLine="480" w:firstLineChars="200"/>
        <w:rPr>
          <w:rFonts w:hint="eastAsia" w:ascii="宋体" w:hAnsi="宋体" w:eastAsia="宋体" w:cs="宋体"/>
          <w:sz w:val="24"/>
        </w:rPr>
      </w:pPr>
      <w:r>
        <w:rPr>
          <w:rFonts w:hint="eastAsia" w:ascii="宋体" w:hAnsi="宋体" w:eastAsia="宋体" w:cs="宋体"/>
          <w:sz w:val="24"/>
        </w:rPr>
        <w:t>1、自双方签订《验收报告》起进入质保期。</w:t>
      </w:r>
    </w:p>
    <w:p w14:paraId="2F531EC7">
      <w:pPr>
        <w:wordWrap w:val="0"/>
        <w:spacing w:line="360" w:lineRule="auto"/>
        <w:ind w:firstLine="480" w:firstLineChars="200"/>
        <w:rPr>
          <w:rFonts w:hint="eastAsia" w:ascii="宋体" w:hAnsi="宋体" w:eastAsia="宋体"/>
          <w:b/>
          <w:sz w:val="24"/>
          <w:szCs w:val="18"/>
        </w:rPr>
      </w:pPr>
      <w:r>
        <w:rPr>
          <w:rFonts w:hint="eastAsia" w:ascii="宋体" w:hAnsi="宋体" w:eastAsia="宋体" w:cs="宋体"/>
          <w:sz w:val="24"/>
        </w:rPr>
        <w:t>2、在质保期间内，非采购人过失和故意并且在正常使用的情况下发现商品有缺陷，中标人应修理或替换该设备；在质保期间内，非采购人过失和故意并且在正常使用的情况下设备发生故障，中标人应及时提供服务。</w:t>
      </w:r>
      <w:bookmarkEnd w:id="31"/>
    </w:p>
    <w:bookmarkEnd w:id="0"/>
    <w:p w14:paraId="71526E4B">
      <w:pPr>
        <w:rPr>
          <w:rFonts w:hint="eastAsia"/>
        </w:rPr>
      </w:pPr>
    </w:p>
    <w:bookmarkEnd w:id="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1C1368"/>
    <w:multiLevelType w:val="multilevel"/>
    <w:tmpl w:val="181C1368"/>
    <w:lvl w:ilvl="0" w:tentative="0">
      <w:start w:val="9"/>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71E"/>
    <w:rsid w:val="00153265"/>
    <w:rsid w:val="001F171E"/>
    <w:rsid w:val="00281887"/>
    <w:rsid w:val="09BE65AD"/>
    <w:rsid w:val="31C872C0"/>
    <w:rsid w:val="553D692B"/>
    <w:rsid w:val="6C934082"/>
    <w:rsid w:val="70003C32"/>
    <w:rsid w:val="77F71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Indent"/>
    <w:basedOn w:val="1"/>
    <w:next w:val="6"/>
    <w:unhideWhenUsed/>
    <w:qFormat/>
    <w:uiPriority w:val="99"/>
    <w:pPr>
      <w:ind w:firstLine="645"/>
    </w:pPr>
    <w:rPr>
      <w:rFonts w:ascii="楷体_GB2312" w:eastAsia="楷体_GB2312"/>
      <w:sz w:val="32"/>
    </w:rPr>
  </w:style>
  <w:style w:type="paragraph" w:styleId="6">
    <w:name w:val="envelope return"/>
    <w:basedOn w:val="1"/>
    <w:qFormat/>
    <w:uiPriority w:val="99"/>
    <w:pPr>
      <w:snapToGrid w:val="0"/>
    </w:pPr>
    <w:rPr>
      <w:rFonts w:ascii="Arial" w:hAnsi="Arial" w:cs="Arial"/>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9">
    <w:name w:val="Body Text First Indent 2"/>
    <w:basedOn w:val="5"/>
    <w:unhideWhenUsed/>
    <w:qFormat/>
    <w:uiPriority w:val="99"/>
    <w:pPr>
      <w:ind w:left="420" w:firstLine="420" w:firstLineChars="200"/>
    </w:pPr>
    <w:rPr>
      <w:rFonts w:ascii="Times New Roman" w:cs="Times New Roman"/>
    </w:rPr>
  </w:style>
  <w:style w:type="paragraph" w:customStyle="1" w:styleId="12">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b/>
      <w:bCs/>
      <w:kern w:val="0"/>
      <w:sz w:val="28"/>
      <w:szCs w:val="28"/>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paragraph" w:customStyle="1" w:styleId="15">
    <w:name w:val="Revision"/>
    <w:hidden/>
    <w:unhideWhenUsed/>
    <w:qFormat/>
    <w:uiPriority w:val="99"/>
    <w:rPr>
      <w:rFonts w:ascii="@仿宋_GB2312" w:hAnsi="@仿宋_GB2312" w:eastAsia="@仿宋_GB2312" w:cs="@仿宋_GB2312"/>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5869</Words>
  <Characters>6730</Characters>
  <Lines>233</Lines>
  <Paragraphs>239</Paragraphs>
  <TotalTime>3</TotalTime>
  <ScaleCrop>false</ScaleCrop>
  <LinksUpToDate>false</LinksUpToDate>
  <CharactersWithSpaces>7006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2026-07-30T10:18:00Z</dcterms:created>
  <dc:creator>Lenovo</dc:creator>
  <cp:lastModifiedBy>省招</cp:lastModifiedBy>
  <dcterms:modified xsi:type="dcterms:W3CDTF">2026-08-27T03:03:29Z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eyJoZGlkIjoiMmM2MTA4NWRhZjRiYWU5NDgyMzc3NDQyMDk2Y2ZlODgiLCJ1c2VySWQiOiI4ODgyMDUxMzUifQ==</vt:lpwstr>
  </property>
  <property fmtid="{D5CDD505-2E9C-101B-9397-08002B2CF9AE}" pid="4" name="ICV">
    <vt:lpwstr>1AAAFA99E387410DB889A038BF7C1A9E_13</vt:lpwstr>
  </property>
</Properties>
</file>