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4FD64">
      <w:pPr>
        <w:rPr>
          <w:rFonts w:hint="eastAsia" w:ascii="仿宋" w:hAnsi="仿宋" w:eastAsia="仿宋" w:cs="宋体"/>
          <w:kern w:val="0"/>
          <w:sz w:val="28"/>
          <w:szCs w:val="28"/>
        </w:rPr>
      </w:pPr>
      <w:bookmarkStart w:id="0" w:name="_GoBack"/>
      <w:r>
        <w:rPr>
          <w:rFonts w:hint="eastAsia" w:ascii="仿宋" w:hAnsi="仿宋" w:eastAsia="仿宋" w:cs="宋体"/>
          <w:kern w:val="0"/>
          <w:sz w:val="28"/>
          <w:szCs w:val="28"/>
        </w:rPr>
        <w:t>中标、成交供应商的评审总得分</w:t>
      </w:r>
    </w:p>
    <w:bookmarkEnd w:id="0"/>
    <w:p w14:paraId="7ED1F3BE">
      <w:pPr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7CCB64CA">
      <w:pPr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中保誉和集团有限公司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  94.53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65956"/>
    <w:rsid w:val="3826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2026-08-06T09:41:00Z</dcterms:created>
  <dc:creator>小俞</dc:creator>
  <cp:lastModifiedBy>小俞</cp:lastModifiedBy>
  <dcterms:modified xsi:type="dcterms:W3CDTF">2026-08-06T09:42:35Z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012623DEC14B443BB5968470587F3E20_11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