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E7D41">
      <w:pPr>
        <w:snapToGrid w:val="0"/>
        <w:spacing w:before="0" w:beforeAutospacing="0" w:after="0" w:line="360" w:lineRule="auto"/>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前注：</w:t>
      </w:r>
    </w:p>
    <w:p w14:paraId="5D6D89CF">
      <w:pPr>
        <w:snapToGrid w:val="0"/>
        <w:spacing w:before="0" w:beforeAutospacing="0" w:after="0" w:line="360" w:lineRule="auto"/>
        <w:ind w:firstLine="480" w:firstLineChars="200"/>
        <w:rPr>
          <w:rFonts w:hint="eastAsia" w:ascii="宋体" w:hAnsi="宋体" w:cs="宋体"/>
          <w:color w:val="000000" w:themeColor="text1"/>
          <w:sz w:val="24"/>
          <w:szCs w:val="24"/>
          <w14:textFill>
            <w14:solidFill>
              <w14:schemeClr w14:val="tx1"/>
            </w14:solidFill>
          </w14:textFill>
        </w:rPr>
      </w:pPr>
      <w:bookmarkStart w:id="0" w:name="_Hlk16461016"/>
      <w:r>
        <w:rPr>
          <w:rFonts w:hint="eastAsia" w:ascii="宋体" w:hAnsi="宋体" w:cs="宋体"/>
          <w:color w:val="000000" w:themeColor="text1"/>
          <w:sz w:val="24"/>
          <w:szCs w:val="24"/>
          <w14:textFill>
            <w14:solidFill>
              <w14:schemeClr w14:val="tx1"/>
            </w14:solidFill>
          </w14:textFill>
        </w:rPr>
        <w:t>1.根据《关于规范政府采购进口产品有关工作的通知》及政府采购管理部门的相关规定，下列采购需求中标注进口产品的货物（科研仪器设备）均已履行相关论证手续，经核准采购进口产品，但不限制满足招标文件要求的国内产品参与竞争。未标注进口产品的货物均为拒绝采购进口产品。</w:t>
      </w:r>
    </w:p>
    <w:p w14:paraId="68952E2A">
      <w:pPr>
        <w:snapToGrid w:val="0"/>
        <w:spacing w:before="0" w:beforeAutospacing="0" w:after="0" w:line="360" w:lineRule="auto"/>
        <w:ind w:firstLine="435"/>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2.下列采购需求中：</w:t>
      </w:r>
    </w:p>
    <w:p w14:paraId="2C084C86">
      <w:pPr>
        <w:snapToGrid w:val="0"/>
        <w:spacing w:before="0" w:beforeAutospacing="0" w:after="0" w:line="360" w:lineRule="auto"/>
        <w:ind w:firstLine="435"/>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45628886">
      <w:pPr>
        <w:snapToGrid w:val="0"/>
        <w:spacing w:before="0" w:beforeAutospacing="0" w:after="0"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EA077B3">
      <w:pPr>
        <w:snapToGrid w:val="0"/>
        <w:spacing w:before="0" w:beforeAutospacing="0" w:after="0"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3.下列采购需求中：标注▲的产品（核心产品），投标人在投标文件《主要中标标的承诺函》中填写名称、品牌、规格、型号、数量、单价等信息。</w:t>
      </w:r>
    </w:p>
    <w:p w14:paraId="525AD100">
      <w:pPr>
        <w:pStyle w:val="2"/>
        <w:snapToGrid w:val="0"/>
        <w:spacing w:before="0" w:beforeAutospacing="0" w:after="0"/>
        <w:ind w:firstLine="0" w:firstLineChars="0"/>
        <w:rPr>
          <w:rFonts w:ascii="宋体" w:hAnsi="宋体" w:eastAsia="宋体"/>
          <w:color w:val="000000" w:themeColor="text1"/>
          <w:sz w:val="24"/>
          <w:szCs w:val="24"/>
          <w14:textFill>
            <w14:solidFill>
              <w14:schemeClr w14:val="tx1"/>
            </w14:solidFill>
          </w14:textFill>
        </w:rPr>
      </w:pPr>
      <w:bookmarkStart w:id="1" w:name="_Toc2025078090"/>
      <w:bookmarkStart w:id="2" w:name="_Toc1899401549"/>
      <w:bookmarkStart w:id="3" w:name="_Toc382548620"/>
      <w:bookmarkStart w:id="4" w:name="_Toc1064185329"/>
      <w:bookmarkStart w:id="5" w:name="_Toc337877615"/>
      <w:bookmarkStart w:id="6" w:name="_Toc1437377518_WPSOffice_Level2"/>
      <w:bookmarkStart w:id="7" w:name="_Toc1452677390"/>
      <w:bookmarkStart w:id="8" w:name="_Toc292361325"/>
      <w:r>
        <w:rPr>
          <w:rFonts w:hint="eastAsia" w:ascii="宋体" w:hAnsi="宋体" w:eastAsia="宋体"/>
          <w:color w:val="000000" w:themeColor="text1"/>
          <w:sz w:val="24"/>
          <w:szCs w:val="24"/>
          <w14:textFill>
            <w14:solidFill>
              <w14:schemeClr w14:val="tx1"/>
            </w14:solidFill>
          </w14:textFill>
        </w:rPr>
        <w:t>一、采购需求前附表</w:t>
      </w:r>
      <w:bookmarkEnd w:id="1"/>
      <w:bookmarkEnd w:id="2"/>
      <w:bookmarkEnd w:id="3"/>
      <w:bookmarkEnd w:id="4"/>
      <w:bookmarkEnd w:id="5"/>
      <w:bookmarkEnd w:id="6"/>
      <w:bookmarkEnd w:id="7"/>
      <w:bookmarkEnd w:id="8"/>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2054"/>
        <w:gridCol w:w="5544"/>
      </w:tblGrid>
      <w:tr w14:paraId="1A0C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noWrap w:val="0"/>
            <w:vAlign w:val="center"/>
          </w:tcPr>
          <w:p w14:paraId="1BD9655A">
            <w:pPr>
              <w:pStyle w:val="10"/>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
                <w:color w:val="000000" w:themeColor="text1"/>
                <w:kern w:val="2"/>
                <w14:textFill>
                  <w14:solidFill>
                    <w14:schemeClr w14:val="tx1"/>
                  </w14:solidFill>
                </w14:textFill>
              </w:rPr>
            </w:pPr>
            <w:r>
              <w:rPr>
                <w:rFonts w:hint="eastAsia" w:ascii="宋体" w:hAnsi="宋体" w:eastAsia="宋体" w:cs="宋体"/>
                <w:b/>
                <w:color w:val="000000" w:themeColor="text1"/>
                <w:kern w:val="2"/>
                <w14:textFill>
                  <w14:solidFill>
                    <w14:schemeClr w14:val="tx1"/>
                  </w14:solidFill>
                </w14:textFill>
              </w:rPr>
              <w:t>序号</w:t>
            </w:r>
          </w:p>
        </w:tc>
        <w:tc>
          <w:tcPr>
            <w:tcW w:w="2054" w:type="dxa"/>
            <w:noWrap w:val="0"/>
            <w:vAlign w:val="center"/>
          </w:tcPr>
          <w:p w14:paraId="14202043">
            <w:pPr>
              <w:pStyle w:val="11"/>
              <w:widowControl w:val="0"/>
              <w:snapToGrid w:val="0"/>
              <w:spacing w:before="0" w:beforeAutospacing="0" w:after="0" w:afterAutospacing="0" w:line="300" w:lineRule="auto"/>
              <w:rPr>
                <w:rFonts w:hint="eastAsia" w:ascii="宋体" w:hAnsi="宋体" w:cs="宋体"/>
                <w:bCs w:val="0"/>
                <w:color w:val="000000" w:themeColor="text1"/>
                <w:sz w:val="24"/>
                <w14:textFill>
                  <w14:solidFill>
                    <w14:schemeClr w14:val="tx1"/>
                  </w14:solidFill>
                </w14:textFill>
              </w:rPr>
            </w:pPr>
            <w:r>
              <w:rPr>
                <w:rFonts w:hint="eastAsia" w:ascii="宋体" w:hAnsi="宋体" w:cs="宋体"/>
                <w:bCs w:val="0"/>
                <w:color w:val="000000" w:themeColor="text1"/>
                <w:sz w:val="24"/>
                <w14:textFill>
                  <w14:solidFill>
                    <w14:schemeClr w14:val="tx1"/>
                  </w14:solidFill>
                </w14:textFill>
              </w:rPr>
              <w:t>条款名称</w:t>
            </w:r>
          </w:p>
        </w:tc>
        <w:tc>
          <w:tcPr>
            <w:tcW w:w="5544" w:type="dxa"/>
            <w:noWrap w:val="0"/>
            <w:vAlign w:val="center"/>
          </w:tcPr>
          <w:p w14:paraId="1A7F9E2C">
            <w:pPr>
              <w:pStyle w:val="11"/>
              <w:widowControl w:val="0"/>
              <w:snapToGrid w:val="0"/>
              <w:spacing w:before="0" w:beforeAutospacing="0" w:after="0" w:afterAutospacing="0" w:line="300" w:lineRule="auto"/>
              <w:rPr>
                <w:rFonts w:hint="eastAsia" w:ascii="宋体" w:hAnsi="宋体" w:cs="宋体"/>
                <w:bCs w:val="0"/>
                <w:color w:val="000000" w:themeColor="text1"/>
                <w:sz w:val="24"/>
                <w14:textFill>
                  <w14:solidFill>
                    <w14:schemeClr w14:val="tx1"/>
                  </w14:solidFill>
                </w14:textFill>
              </w:rPr>
            </w:pPr>
            <w:r>
              <w:rPr>
                <w:rFonts w:hint="eastAsia" w:ascii="宋体" w:hAnsi="宋体" w:cs="宋体"/>
                <w:bCs w:val="0"/>
                <w:color w:val="000000" w:themeColor="text1"/>
                <w:sz w:val="24"/>
                <w14:textFill>
                  <w14:solidFill>
                    <w14:schemeClr w14:val="tx1"/>
                  </w14:solidFill>
                </w14:textFill>
              </w:rPr>
              <w:t>内容、说明与要求</w:t>
            </w:r>
          </w:p>
        </w:tc>
      </w:tr>
      <w:tr w14:paraId="3656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noWrap w:val="0"/>
            <w:vAlign w:val="center"/>
          </w:tcPr>
          <w:p w14:paraId="32ED2DB1">
            <w:pPr>
              <w:pStyle w:val="10"/>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color w:val="000000" w:themeColor="text1"/>
                <w:kern w:val="2"/>
                <w14:textFill>
                  <w14:solidFill>
                    <w14:schemeClr w14:val="tx1"/>
                  </w14:solidFill>
                </w14:textFill>
              </w:rPr>
            </w:pPr>
            <w:r>
              <w:rPr>
                <w:rFonts w:hint="eastAsia" w:ascii="宋体" w:hAnsi="宋体" w:eastAsia="宋体" w:cs="宋体"/>
                <w:bCs/>
                <w:color w:val="000000" w:themeColor="text1"/>
                <w:kern w:val="2"/>
                <w14:textFill>
                  <w14:solidFill>
                    <w14:schemeClr w14:val="tx1"/>
                  </w14:solidFill>
                </w14:textFill>
              </w:rPr>
              <w:t>1</w:t>
            </w:r>
          </w:p>
        </w:tc>
        <w:tc>
          <w:tcPr>
            <w:tcW w:w="2054" w:type="dxa"/>
            <w:noWrap w:val="0"/>
            <w:vAlign w:val="center"/>
          </w:tcPr>
          <w:p w14:paraId="3F41E3EE">
            <w:pPr>
              <w:pStyle w:val="11"/>
              <w:widowControl w:val="0"/>
              <w:snapToGrid w:val="0"/>
              <w:spacing w:before="0" w:beforeAutospacing="0" w:after="0" w:afterAutospacing="0" w:line="300" w:lineRule="auto"/>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付款方式</w:t>
            </w:r>
          </w:p>
        </w:tc>
        <w:tc>
          <w:tcPr>
            <w:tcW w:w="5544" w:type="dxa"/>
            <w:noWrap w:val="0"/>
            <w:vAlign w:val="center"/>
          </w:tcPr>
          <w:p w14:paraId="78E0BB45">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合同签订生效并具备实施条件后支付合同款的70%为预付款（中标人须提供等额预付款担保），验收合格后，付清剩余合同尾款。</w:t>
            </w:r>
          </w:p>
          <w:p w14:paraId="0E8DE3E3">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注：</w:t>
            </w:r>
          </w:p>
          <w:p w14:paraId="617CEFD7">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（1）本项目要求中标人提供预付款保函或其他担保措施。</w:t>
            </w:r>
          </w:p>
          <w:p w14:paraId="5A040B8C">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（2）付款前中标人须按要求开具有效的发票。</w:t>
            </w:r>
          </w:p>
          <w:p w14:paraId="576204A6">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（3）预付款保函形式：银行保函、担保机构担保。</w:t>
            </w:r>
          </w:p>
          <w:p w14:paraId="43EDFE96">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4）预付款保函递交要求：①如采用银行保函，银行保函应为银行出具的见索即付无条件保函。且应将原件交至采购人保管。②如采用担保机构担保，应为经金融监督管理局备案的融资担保机构出具的见索即付无条件担保，且应将原件交至采购人保管。</w:t>
            </w:r>
          </w:p>
          <w:p w14:paraId="194D57B1">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（5）在签订合同时，中标人书面明确表示无需预付款或者主动要求降低预付款比例的，采购人可不适用前述预付款规定。</w:t>
            </w:r>
          </w:p>
        </w:tc>
      </w:tr>
      <w:tr w14:paraId="50FE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018" w:type="dxa"/>
            <w:noWrap w:val="0"/>
            <w:vAlign w:val="center"/>
          </w:tcPr>
          <w:p w14:paraId="4742E7B9">
            <w:pPr>
              <w:pStyle w:val="10"/>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color w:val="000000" w:themeColor="text1"/>
                <w:kern w:val="2"/>
                <w14:textFill>
                  <w14:solidFill>
                    <w14:schemeClr w14:val="tx1"/>
                  </w14:solidFill>
                </w14:textFill>
              </w:rPr>
            </w:pPr>
            <w:r>
              <w:rPr>
                <w:rFonts w:hint="eastAsia" w:ascii="宋体" w:hAnsi="宋体" w:eastAsia="宋体" w:cs="宋体"/>
                <w:bCs/>
                <w:color w:val="000000" w:themeColor="text1"/>
                <w:kern w:val="2"/>
                <w14:textFill>
                  <w14:solidFill>
                    <w14:schemeClr w14:val="tx1"/>
                  </w14:solidFill>
                </w14:textFill>
              </w:rPr>
              <w:t>2</w:t>
            </w:r>
          </w:p>
        </w:tc>
        <w:tc>
          <w:tcPr>
            <w:tcW w:w="2054" w:type="dxa"/>
            <w:noWrap w:val="0"/>
            <w:vAlign w:val="center"/>
          </w:tcPr>
          <w:p w14:paraId="345F0617">
            <w:pPr>
              <w:pStyle w:val="11"/>
              <w:widowControl w:val="0"/>
              <w:snapToGrid w:val="0"/>
              <w:spacing w:before="0" w:beforeAutospacing="0" w:after="0" w:afterAutospacing="0" w:line="300" w:lineRule="auto"/>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供货及安装地点</w:t>
            </w:r>
          </w:p>
        </w:tc>
        <w:tc>
          <w:tcPr>
            <w:tcW w:w="5544" w:type="dxa"/>
            <w:noWrap w:val="0"/>
            <w:vAlign w:val="center"/>
          </w:tcPr>
          <w:p w14:paraId="2A4B6AED">
            <w:pPr>
              <w:pStyle w:val="11"/>
              <w:widowControl w:val="0"/>
              <w:snapToGrid w:val="0"/>
              <w:spacing w:before="0" w:beforeAutospacing="0" w:after="0" w:afterAutospacing="0" w:line="30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安徽理工大学，具体按采购人指定。</w:t>
            </w:r>
          </w:p>
        </w:tc>
      </w:tr>
      <w:tr w14:paraId="7328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018" w:type="dxa"/>
            <w:noWrap w:val="0"/>
            <w:vAlign w:val="center"/>
          </w:tcPr>
          <w:p w14:paraId="3DF17F75">
            <w:pPr>
              <w:pStyle w:val="10"/>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color w:val="000000" w:themeColor="text1"/>
                <w:kern w:val="2"/>
                <w14:textFill>
                  <w14:solidFill>
                    <w14:schemeClr w14:val="tx1"/>
                  </w14:solidFill>
                </w14:textFill>
              </w:rPr>
            </w:pPr>
            <w:r>
              <w:rPr>
                <w:rFonts w:hint="eastAsia" w:ascii="宋体" w:hAnsi="宋体" w:eastAsia="宋体" w:cs="宋体"/>
                <w:bCs/>
                <w:color w:val="000000" w:themeColor="text1"/>
                <w:kern w:val="2"/>
                <w14:textFill>
                  <w14:solidFill>
                    <w14:schemeClr w14:val="tx1"/>
                  </w14:solidFill>
                </w14:textFill>
              </w:rPr>
              <w:t>3</w:t>
            </w:r>
          </w:p>
        </w:tc>
        <w:tc>
          <w:tcPr>
            <w:tcW w:w="2054" w:type="dxa"/>
            <w:noWrap w:val="0"/>
            <w:vAlign w:val="center"/>
          </w:tcPr>
          <w:p w14:paraId="6477BC8C">
            <w:pPr>
              <w:pStyle w:val="11"/>
              <w:widowControl w:val="0"/>
              <w:snapToGrid w:val="0"/>
              <w:spacing w:before="0" w:beforeAutospacing="0" w:after="0" w:afterAutospacing="0" w:line="300" w:lineRule="auto"/>
              <w:rPr>
                <w:rFonts w:hint="eastAsia" w:ascii="宋体" w:hAnsi="宋体" w:cs="宋体"/>
                <w:b w:val="0"/>
                <w:color w:val="000000" w:themeColor="text1"/>
                <w:sz w:val="24"/>
                <w:highlight w:val="none"/>
                <w14:textFill>
                  <w14:solidFill>
                    <w14:schemeClr w14:val="tx1"/>
                  </w14:solidFill>
                </w14:textFill>
              </w:rPr>
            </w:pPr>
            <w:r>
              <w:rPr>
                <w:rFonts w:hint="eastAsia" w:ascii="宋体" w:hAnsi="宋体" w:cs="宋体"/>
                <w:b w:val="0"/>
                <w:color w:val="000000" w:themeColor="text1"/>
                <w:sz w:val="24"/>
                <w:highlight w:val="none"/>
                <w14:textFill>
                  <w14:solidFill>
                    <w14:schemeClr w14:val="tx1"/>
                  </w14:solidFill>
                </w14:textFill>
              </w:rPr>
              <w:t>供货及安装期限</w:t>
            </w:r>
          </w:p>
        </w:tc>
        <w:tc>
          <w:tcPr>
            <w:tcW w:w="5544" w:type="dxa"/>
            <w:noWrap w:val="0"/>
            <w:vAlign w:val="center"/>
          </w:tcPr>
          <w:p w14:paraId="2271EADA">
            <w:pPr>
              <w:pStyle w:val="11"/>
              <w:widowControl w:val="0"/>
              <w:snapToGrid w:val="0"/>
              <w:spacing w:before="0" w:beforeAutospacing="0" w:after="0" w:afterAutospacing="0" w:line="300" w:lineRule="auto"/>
              <w:jc w:val="left"/>
              <w:rPr>
                <w:rFonts w:hint="eastAsia" w:ascii="宋体" w:hAnsi="宋体" w:cs="宋体"/>
                <w:b w:val="0"/>
                <w:color w:val="000000" w:themeColor="text1"/>
                <w:sz w:val="24"/>
                <w:highlight w:val="none"/>
                <w14:textFill>
                  <w14:solidFill>
                    <w14:schemeClr w14:val="tx1"/>
                  </w14:solidFill>
                </w14:textFill>
              </w:rPr>
            </w:pPr>
            <w:r>
              <w:rPr>
                <w:rFonts w:hint="eastAsia" w:ascii="宋体" w:hAnsi="宋体" w:cs="宋体"/>
                <w:b w:val="0"/>
                <w:color w:val="000000" w:themeColor="text1"/>
                <w:sz w:val="24"/>
                <w:highlight w:val="none"/>
                <w14:textFill>
                  <w14:solidFill>
                    <w14:schemeClr w14:val="tx1"/>
                  </w14:solidFill>
                </w14:textFill>
              </w:rPr>
              <w:t>合同生效后，90个日历日内完成供货、安装、调试、培训等所有工作内容。</w:t>
            </w:r>
          </w:p>
        </w:tc>
      </w:tr>
      <w:tr w14:paraId="6EFA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noWrap w:val="0"/>
            <w:vAlign w:val="center"/>
          </w:tcPr>
          <w:p w14:paraId="47CE983F">
            <w:pPr>
              <w:pStyle w:val="10"/>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color w:val="000000" w:themeColor="text1"/>
                <w:kern w:val="2"/>
                <w14:textFill>
                  <w14:solidFill>
                    <w14:schemeClr w14:val="tx1"/>
                  </w14:solidFill>
                </w14:textFill>
              </w:rPr>
            </w:pPr>
            <w:r>
              <w:rPr>
                <w:rFonts w:hint="eastAsia" w:ascii="宋体" w:hAnsi="宋体" w:eastAsia="宋体" w:cs="宋体"/>
                <w:bCs/>
                <w:color w:val="000000" w:themeColor="text1"/>
                <w:kern w:val="2"/>
                <w14:textFill>
                  <w14:solidFill>
                    <w14:schemeClr w14:val="tx1"/>
                  </w14:solidFill>
                </w14:textFill>
              </w:rPr>
              <w:t>4</w:t>
            </w:r>
          </w:p>
        </w:tc>
        <w:tc>
          <w:tcPr>
            <w:tcW w:w="2054" w:type="dxa"/>
            <w:noWrap w:val="0"/>
            <w:vAlign w:val="center"/>
          </w:tcPr>
          <w:p w14:paraId="4C506EB8">
            <w:pPr>
              <w:pStyle w:val="11"/>
              <w:widowControl w:val="0"/>
              <w:snapToGrid w:val="0"/>
              <w:spacing w:before="0" w:beforeAutospacing="0" w:after="0" w:afterAutospacing="0" w:line="300" w:lineRule="auto"/>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免费质保期</w:t>
            </w:r>
          </w:p>
        </w:tc>
        <w:tc>
          <w:tcPr>
            <w:tcW w:w="5544" w:type="dxa"/>
            <w:noWrap w:val="0"/>
            <w:vAlign w:val="center"/>
          </w:tcPr>
          <w:p w14:paraId="1C916580">
            <w:pPr>
              <w:pStyle w:val="11"/>
              <w:widowControl w:val="0"/>
              <w:snapToGrid w:val="0"/>
              <w:spacing w:before="0" w:beforeAutospacing="0" w:after="0" w:afterAutospacing="0" w:line="300" w:lineRule="auto"/>
              <w:jc w:val="left"/>
              <w:rPr>
                <w:rFonts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自验收合格之日起，不少于1年。货物需求清单中另有要求的，按</w:t>
            </w:r>
            <w:r>
              <w:rPr>
                <w:rFonts w:hint="eastAsia" w:ascii="宋体" w:hAnsi="宋体" w:cs="宋体"/>
                <w:b w:val="0"/>
                <w:color w:val="000000" w:themeColor="text1"/>
                <w:sz w:val="24"/>
                <w:szCs w:val="24"/>
                <w14:textFill>
                  <w14:solidFill>
                    <w14:schemeClr w14:val="tx1"/>
                  </w14:solidFill>
                </w14:textFill>
              </w:rPr>
              <w:t>货物需求清单要求执行。</w:t>
            </w:r>
          </w:p>
          <w:p w14:paraId="5909E626">
            <w:pPr>
              <w:pStyle w:val="11"/>
              <w:widowControl w:val="0"/>
              <w:snapToGrid w:val="0"/>
              <w:spacing w:before="0" w:beforeAutospacing="0" w:after="0" w:afterAutospacing="0" w:line="300" w:lineRule="auto"/>
              <w:jc w:val="left"/>
              <w:rPr>
                <w:rFonts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注：免费质保期从验收合格之日起开始计算。</w:t>
            </w:r>
          </w:p>
        </w:tc>
      </w:tr>
    </w:tbl>
    <w:p w14:paraId="62D15773">
      <w:pPr>
        <w:pStyle w:val="2"/>
        <w:adjustRightInd w:val="0"/>
        <w:snapToGrid w:val="0"/>
        <w:spacing w:before="0" w:beforeAutospacing="0" w:after="0"/>
        <w:ind w:firstLine="0" w:firstLineChars="0"/>
        <w:rPr>
          <w:rFonts w:hint="eastAsia" w:ascii="宋体" w:hAnsi="宋体" w:eastAsia="宋体"/>
          <w:color w:val="000000" w:themeColor="text1"/>
          <w:sz w:val="24"/>
          <w:szCs w:val="24"/>
          <w14:textFill>
            <w14:solidFill>
              <w14:schemeClr w14:val="tx1"/>
            </w14:solidFill>
          </w14:textFill>
        </w:rPr>
      </w:pPr>
      <w:bookmarkStart w:id="9" w:name="_Toc717369146"/>
      <w:bookmarkStart w:id="10" w:name="_Toc302804901"/>
      <w:bookmarkStart w:id="11" w:name="_Toc58935147"/>
      <w:bookmarkStart w:id="12" w:name="_Toc369119811"/>
      <w:bookmarkStart w:id="13" w:name="_Toc626387511"/>
      <w:bookmarkStart w:id="14" w:name="_Toc1191965283_WPSOffice_Level2"/>
      <w:bookmarkStart w:id="15" w:name="_Toc1715351726"/>
      <w:bookmarkStart w:id="16" w:name="_Toc1693477008"/>
      <w:bookmarkStart w:id="17" w:name="OLE_LINK9"/>
      <w:r>
        <w:rPr>
          <w:rFonts w:hint="eastAsia" w:ascii="宋体" w:hAnsi="宋体" w:eastAsia="宋体"/>
          <w:color w:val="000000" w:themeColor="text1"/>
          <w:sz w:val="24"/>
          <w:szCs w:val="24"/>
          <w14:textFill>
            <w14:solidFill>
              <w14:schemeClr w14:val="tx1"/>
            </w14:solidFill>
          </w14:textFill>
        </w:rPr>
        <w:t>二、货物需求</w:t>
      </w:r>
      <w:bookmarkEnd w:id="9"/>
      <w:bookmarkEnd w:id="10"/>
      <w:bookmarkEnd w:id="11"/>
      <w:bookmarkEnd w:id="12"/>
      <w:bookmarkEnd w:id="13"/>
      <w:bookmarkEnd w:id="14"/>
      <w:bookmarkEnd w:id="15"/>
      <w:bookmarkEnd w:id="16"/>
    </w:p>
    <w:p w14:paraId="74777A98">
      <w:pPr>
        <w:pStyle w:val="6"/>
        <w:adjustRightInd w:val="0"/>
        <w:snapToGrid w:val="0"/>
        <w:spacing w:before="0" w:beforeAutospacing="0" w:after="0" w:line="360" w:lineRule="auto"/>
        <w:ind w:left="0" w:firstLine="0" w:firstLineChars="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（一）货物需求说明</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38CC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794" w:type="dxa"/>
            <w:noWrap w:val="0"/>
            <w:vAlign w:val="center"/>
          </w:tcPr>
          <w:p w14:paraId="6BC84B2F">
            <w:pPr>
              <w:wordWrap w:val="0"/>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标识类型</w:t>
            </w:r>
          </w:p>
        </w:tc>
        <w:tc>
          <w:tcPr>
            <w:tcW w:w="1365" w:type="dxa"/>
            <w:noWrap w:val="0"/>
            <w:vAlign w:val="center"/>
          </w:tcPr>
          <w:p w14:paraId="05CA3209">
            <w:pPr>
              <w:wordWrap w:val="0"/>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标识符号</w:t>
            </w:r>
          </w:p>
        </w:tc>
        <w:tc>
          <w:tcPr>
            <w:tcW w:w="5363" w:type="dxa"/>
            <w:noWrap w:val="0"/>
            <w:vAlign w:val="center"/>
          </w:tcPr>
          <w:p w14:paraId="2B11E554">
            <w:pPr>
              <w:wordWrap w:val="0"/>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标识符号含义</w:t>
            </w:r>
          </w:p>
        </w:tc>
      </w:tr>
      <w:tr w14:paraId="61E1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794" w:type="dxa"/>
            <w:noWrap w:val="0"/>
            <w:vAlign w:val="center"/>
          </w:tcPr>
          <w:p w14:paraId="712AEAD4">
            <w:pPr>
              <w:wordWrap w:val="0"/>
              <w:spacing w:before="0" w:beforeAutospacing="0" w:after="0" w:line="30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重要指标项</w:t>
            </w:r>
          </w:p>
        </w:tc>
        <w:tc>
          <w:tcPr>
            <w:tcW w:w="1365" w:type="dxa"/>
            <w:noWrap w:val="0"/>
            <w:vAlign w:val="center"/>
          </w:tcPr>
          <w:p w14:paraId="1E078B02">
            <w:pPr>
              <w:wordWrap w:val="0"/>
              <w:spacing w:before="0" w:beforeAutospacing="0" w:after="0" w:line="300" w:lineRule="auto"/>
              <w:jc w:val="center"/>
              <w:rPr>
                <w:rFonts w:hint="eastAsia"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w:t>
            </w:r>
          </w:p>
        </w:tc>
        <w:tc>
          <w:tcPr>
            <w:tcW w:w="5363" w:type="dxa"/>
            <w:noWrap w:val="0"/>
            <w:vAlign w:val="center"/>
          </w:tcPr>
          <w:p w14:paraId="72F692AF">
            <w:pPr>
              <w:wordWrap w:val="0"/>
              <w:spacing w:before="0" w:beforeAutospacing="0" w:after="0" w:line="300" w:lineRule="auto"/>
              <w:jc w:val="left"/>
              <w:rPr>
                <w:rFonts w:hint="eastAsia"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评分项，</w:t>
            </w:r>
            <w:r>
              <w:rPr>
                <w:rFonts w:hint="eastAsia" w:ascii="宋体" w:hAnsi="宋体" w:cs="宋体"/>
                <w:color w:val="000000" w:themeColor="text1"/>
                <w:lang w:bidi="ar"/>
                <w14:textFill>
                  <w14:solidFill>
                    <w14:schemeClr w14:val="tx1"/>
                  </w14:solidFill>
                </w14:textFill>
              </w:rPr>
              <w:t>详见评标办法和标准。</w:t>
            </w:r>
          </w:p>
        </w:tc>
      </w:tr>
      <w:tr w14:paraId="2531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794" w:type="dxa"/>
            <w:noWrap w:val="0"/>
            <w:vAlign w:val="center"/>
          </w:tcPr>
          <w:p w14:paraId="44CB1463">
            <w:pPr>
              <w:wordWrap w:val="0"/>
              <w:spacing w:before="0" w:beforeAutospacing="0" w:after="0" w:line="30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核心指标项</w:t>
            </w:r>
          </w:p>
        </w:tc>
        <w:tc>
          <w:tcPr>
            <w:tcW w:w="1365" w:type="dxa"/>
            <w:noWrap w:val="0"/>
            <w:vAlign w:val="center"/>
          </w:tcPr>
          <w:p w14:paraId="1120DB6F">
            <w:pPr>
              <w:wordWrap w:val="0"/>
              <w:spacing w:before="0" w:beforeAutospacing="0" w:after="0" w:line="30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c>
          <w:tcPr>
            <w:tcW w:w="5363" w:type="dxa"/>
            <w:noWrap w:val="0"/>
            <w:vAlign w:val="center"/>
          </w:tcPr>
          <w:p w14:paraId="64617475">
            <w:pPr>
              <w:wordWrap w:val="0"/>
              <w:spacing w:before="0" w:beforeAutospacing="0" w:after="0" w:line="300" w:lineRule="auto"/>
              <w:rPr>
                <w:rFonts w:ascii="宋体" w:hAnsi="宋体" w:cs="宋体"/>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符合性审查项，不允许负偏离，否则投标无效。</w:t>
            </w:r>
          </w:p>
        </w:tc>
      </w:tr>
      <w:tr w14:paraId="5B3F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794" w:type="dxa"/>
            <w:noWrap w:val="0"/>
            <w:vAlign w:val="center"/>
          </w:tcPr>
          <w:p w14:paraId="59395B68">
            <w:pPr>
              <w:wordWrap w:val="0"/>
              <w:spacing w:before="0" w:beforeAutospacing="0" w:after="0" w:line="300" w:lineRule="auto"/>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无标识项</w:t>
            </w:r>
          </w:p>
        </w:tc>
        <w:tc>
          <w:tcPr>
            <w:tcW w:w="1365" w:type="dxa"/>
            <w:noWrap w:val="0"/>
            <w:vAlign w:val="center"/>
          </w:tcPr>
          <w:p w14:paraId="7EA26BDF">
            <w:pPr>
              <w:pStyle w:val="6"/>
              <w:wordWrap w:val="0"/>
              <w:spacing w:line="300" w:lineRule="auto"/>
              <w:ind w:left="0" w:firstLine="0" w:firstLineChars="0"/>
              <w:jc w:val="center"/>
              <w:rPr>
                <w:rFonts w:hint="eastAsia" w:ascii="宋体" w:hAnsi="宋体" w:cs="宋体"/>
                <w:bCs/>
                <w:color w:val="000000" w:themeColor="text1"/>
                <w:szCs w:val="21"/>
                <w14:textFill>
                  <w14:solidFill>
                    <w14:schemeClr w14:val="tx1"/>
                  </w14:solidFill>
                </w14:textFill>
              </w:rPr>
            </w:pPr>
          </w:p>
        </w:tc>
        <w:tc>
          <w:tcPr>
            <w:tcW w:w="5363" w:type="dxa"/>
            <w:noWrap w:val="0"/>
            <w:vAlign w:val="center"/>
          </w:tcPr>
          <w:p w14:paraId="47E4E674">
            <w:pPr>
              <w:pStyle w:val="6"/>
              <w:wordWrap w:val="0"/>
              <w:spacing w:line="300" w:lineRule="auto"/>
              <w:ind w:left="0" w:firstLine="0" w:firstLineChars="0"/>
              <w:jc w:val="left"/>
              <w:rPr>
                <w:rFonts w:ascii="宋体" w:hAnsi="宋体" w:cs="宋体"/>
                <w:bCs/>
                <w:color w:val="000000" w:themeColor="text1"/>
                <w:szCs w:val="21"/>
                <w14:textFill>
                  <w14:solidFill>
                    <w14:schemeClr w14:val="tx1"/>
                  </w14:solidFill>
                </w14:textFill>
              </w:rPr>
            </w:pPr>
            <w:r>
              <w:rPr>
                <w:rFonts w:hint="eastAsia" w:ascii="宋体" w:hAnsi="宋体" w:eastAsia="宋体" w:cs="宋体"/>
                <w:b/>
                <w:bCs/>
                <w:color w:val="000000" w:themeColor="text1"/>
                <w:sz w:val="21"/>
                <w:szCs w:val="21"/>
                <w:lang w:bidi="ar"/>
                <w14:textFill>
                  <w14:solidFill>
                    <w14:schemeClr w14:val="tx1"/>
                  </w14:solidFill>
                </w14:textFill>
              </w:rPr>
              <w:t>符合性审查项，该指标项最大允许负偏离5项，超过最大允许负偏离项数的，投标无效。</w:t>
            </w:r>
          </w:p>
        </w:tc>
      </w:tr>
      <w:tr w14:paraId="2CBB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522" w:type="dxa"/>
            <w:gridSpan w:val="3"/>
            <w:noWrap w:val="0"/>
            <w:vAlign w:val="center"/>
          </w:tcPr>
          <w:p w14:paraId="1853104D">
            <w:pPr>
              <w:wordWrap w:val="0"/>
              <w:spacing w:before="0" w:beforeAutospacing="0" w:after="0" w:line="300" w:lineRule="auto"/>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w:t>
            </w:r>
          </w:p>
          <w:p w14:paraId="49697611">
            <w:pPr>
              <w:wordWrap w:val="0"/>
              <w:spacing w:before="0" w:beforeAutospacing="0" w:after="0" w:line="300" w:lineRule="auto"/>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（1）标识条款中如包含多条子项技术参数或要求，则需满足或优于该标识条款内所有子项技术参数或要求方</w:t>
            </w:r>
            <w:r>
              <w:rPr>
                <w:rFonts w:hint="eastAsia" w:ascii="宋体" w:hAnsi="宋体" w:cs="宋体"/>
                <w:color w:val="000000" w:themeColor="text1"/>
                <w:lang w:val="en-US" w:eastAsia="zh-CN"/>
                <w14:textFill>
                  <w14:solidFill>
                    <w14:schemeClr w14:val="tx1"/>
                  </w14:solidFill>
                </w14:textFill>
              </w:rPr>
              <w:t>予以认可</w:t>
            </w:r>
            <w:r>
              <w:rPr>
                <w:rFonts w:hint="eastAsia" w:ascii="宋体" w:hAnsi="宋体" w:cs="宋体"/>
                <w:color w:val="000000" w:themeColor="text1"/>
                <w14:textFill>
                  <w14:solidFill>
                    <w14:schemeClr w14:val="tx1"/>
                  </w14:solidFill>
                </w14:textFill>
              </w:rPr>
              <w:t>。</w:t>
            </w:r>
            <w:bookmarkStart w:id="36" w:name="_GoBack"/>
            <w:bookmarkEnd w:id="36"/>
          </w:p>
          <w:p w14:paraId="2019F844">
            <w:pPr>
              <w:wordWrap w:val="0"/>
              <w:spacing w:before="0" w:beforeAutospacing="0" w:after="0" w:line="300" w:lineRule="auto"/>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r>
              <w:rPr>
                <w:rFonts w:hint="eastAsia" w:ascii="宋体" w:hAnsi="宋体" w:cs="宋体"/>
                <w:color w:val="000000" w:themeColor="text1"/>
                <w:kern w:val="0"/>
                <w14:textFill>
                  <w14:solidFill>
                    <w14:schemeClr w14:val="tx1"/>
                  </w14:solidFill>
                </w14:textFill>
              </w:rPr>
              <w:t>下述技术参数所涉及的具体物理尺寸：货物需求清单中明确允许偏离范围的，按货物需求清单</w:t>
            </w:r>
            <w:r>
              <w:rPr>
                <w:rFonts w:hint="eastAsia" w:ascii="宋体" w:hAnsi="宋体" w:cs="宋体"/>
                <w:color w:val="000000" w:themeColor="text1"/>
                <w14:textFill>
                  <w14:solidFill>
                    <w14:schemeClr w14:val="tx1"/>
                  </w14:solidFill>
                </w14:textFill>
              </w:rPr>
              <w:t>要求</w:t>
            </w:r>
            <w:r>
              <w:rPr>
                <w:rFonts w:hint="eastAsia" w:ascii="宋体" w:hAnsi="宋体" w:cs="宋体"/>
                <w:color w:val="000000" w:themeColor="text1"/>
                <w:kern w:val="0"/>
                <w14:textFill>
                  <w14:solidFill>
                    <w14:schemeClr w14:val="tx1"/>
                  </w14:solidFill>
                </w14:textFill>
              </w:rPr>
              <w:t>执行；货物需求清单中未明确允许偏离范围的，允许±5%偏离。</w:t>
            </w:r>
          </w:p>
          <w:p w14:paraId="38AB12B0">
            <w:pPr>
              <w:wordWrap w:val="0"/>
              <w:spacing w:before="0" w:beforeAutospacing="0" w:after="0" w:line="300" w:lineRule="auto"/>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（3）针对下表货物需求清单中要求在投标文件中提供证明材料的参数，货物需求清单中明确证明材料类型的，按货物需求清单中的要求提供；货物需求清单中未明确证明材料类型的，</w:t>
            </w:r>
            <w:r>
              <w:rPr>
                <w:rFonts w:hint="eastAsia" w:ascii="宋体" w:hAnsi="宋体" w:cs="宋体"/>
                <w:b/>
                <w:bCs/>
                <w:color w:val="000000" w:themeColor="text1"/>
                <w14:textFill>
                  <w14:solidFill>
                    <w14:schemeClr w14:val="tx1"/>
                  </w14:solidFill>
                </w14:textFill>
              </w:rPr>
              <w:t>证明材料包括产品技术白皮书、产品技术说明书、产品彩页（产品功能截图）、厂家（制造商）官网截图、第三方机构出具的检测报告，提供其中之一即可。未按以上要求提供证明材料的视为负偏离或未响应（为便于评审，建议投标人对证明材料中的关键参数进行标注）</w:t>
            </w:r>
            <w:r>
              <w:rPr>
                <w:rFonts w:hint="eastAsia" w:ascii="宋体" w:hAnsi="宋体" w:cs="宋体"/>
                <w:color w:val="000000" w:themeColor="text1"/>
                <w14:textFill>
                  <w14:solidFill>
                    <w14:schemeClr w14:val="tx1"/>
                  </w14:solidFill>
                </w14:textFill>
              </w:rPr>
              <w:t>。</w:t>
            </w:r>
          </w:p>
          <w:p w14:paraId="1BC39469">
            <w:pPr>
              <w:wordWrap w:val="0"/>
              <w:spacing w:before="0" w:beforeAutospacing="0" w:after="0" w:line="300" w:lineRule="auto"/>
              <w:jc w:val="left"/>
              <w:rPr>
                <w:rFonts w:hint="eastAsia" w:ascii="宋体" w:hAnsi="宋体" w:cs="宋体"/>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（4）“所属行业”栏标注为“/”的项为所投产品配套的工程或服务，无需在《中小企业声明函》中列明。</w:t>
            </w:r>
          </w:p>
        </w:tc>
      </w:tr>
    </w:tbl>
    <w:p w14:paraId="41CD0A02">
      <w:pPr>
        <w:pStyle w:val="6"/>
        <w:adjustRightInd w:val="0"/>
        <w:snapToGrid w:val="0"/>
        <w:spacing w:before="0" w:beforeAutospacing="0" w:after="0" w:line="360" w:lineRule="auto"/>
        <w:ind w:left="0" w:firstLine="482"/>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（二）货物需求清单</w:t>
      </w:r>
    </w:p>
    <w:tbl>
      <w:tblPr>
        <w:tblStyle w:val="7"/>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709"/>
        <w:gridCol w:w="4607"/>
        <w:gridCol w:w="532"/>
        <w:gridCol w:w="571"/>
        <w:gridCol w:w="712"/>
        <w:gridCol w:w="900"/>
      </w:tblGrid>
      <w:tr w14:paraId="6E39A6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52A9F41A">
            <w:pPr>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bCs/>
                <w:color w:val="000000" w:themeColor="text1"/>
                <w:lang w:bidi="ar"/>
                <w14:textFill>
                  <w14:solidFill>
                    <w14:schemeClr w14:val="tx1"/>
                  </w14:solidFill>
                </w14:textFill>
              </w:rPr>
              <w:t>序号</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6681A80C">
            <w:pPr>
              <w:widowControl/>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bCs/>
                <w:color w:val="000000" w:themeColor="text1"/>
                <w:lang w:bidi="ar"/>
                <w14:textFill>
                  <w14:solidFill>
                    <w14:schemeClr w14:val="tx1"/>
                  </w14:solidFill>
                </w14:textFill>
              </w:rPr>
              <w:t>货物名称</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4B3E1A3D">
            <w:pPr>
              <w:widowControl/>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bCs/>
                <w:color w:val="000000" w:themeColor="text1"/>
                <w:lang w:bidi="ar"/>
                <w14:textFill>
                  <w14:solidFill>
                    <w14:schemeClr w14:val="tx1"/>
                  </w14:solidFill>
                </w14:textFill>
              </w:rPr>
              <w:t>技术参数及要求</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6C42C686">
            <w:pPr>
              <w:widowControl/>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bCs/>
                <w:color w:val="000000" w:themeColor="text1"/>
                <w:lang w:bidi="ar"/>
                <w14:textFill>
                  <w14:solidFill>
                    <w14:schemeClr w14:val="tx1"/>
                  </w14:solidFill>
                </w14:textFill>
              </w:rPr>
              <w:t>单位</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093781B3">
            <w:pPr>
              <w:widowControl/>
              <w:spacing w:before="0" w:beforeAutospacing="0" w:after="0" w:line="30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bCs/>
                <w:color w:val="000000" w:themeColor="text1"/>
                <w:lang w:bidi="ar"/>
                <w14:textFill>
                  <w14:solidFill>
                    <w14:schemeClr w14:val="tx1"/>
                  </w14:solidFill>
                </w14:textFill>
              </w:rPr>
              <w:t>数量</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5E20115C">
            <w:pPr>
              <w:widowControl/>
              <w:spacing w:before="0" w:beforeAutospacing="0" w:after="0" w:line="300" w:lineRule="auto"/>
              <w:jc w:val="center"/>
              <w:rPr>
                <w:rFonts w:hint="eastAsia" w:ascii="宋体" w:hAnsi="宋体" w:cs="宋体"/>
                <w:b/>
                <w:color w:val="000000" w:themeColor="text1"/>
                <w:lang w:bidi="ar"/>
                <w14:textFill>
                  <w14:solidFill>
                    <w14:schemeClr w14:val="tx1"/>
                  </w14:solidFill>
                </w14:textFill>
              </w:rPr>
            </w:pPr>
            <w:r>
              <w:rPr>
                <w:rFonts w:hint="eastAsia" w:ascii="宋体" w:hAnsi="宋体" w:cs="宋体"/>
                <w:b/>
                <w:bCs/>
                <w:color w:val="000000" w:themeColor="text1"/>
                <w14:textFill>
                  <w14:solidFill>
                    <w14:schemeClr w14:val="tx1"/>
                  </w14:solidFill>
                </w14:textFill>
              </w:rPr>
              <w:t>所属行业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7AB5A4CA">
            <w:pPr>
              <w:adjustRightInd w:val="0"/>
              <w:spacing w:before="0" w:beforeAutospacing="0" w:after="0" w:line="300" w:lineRule="auto"/>
              <w:jc w:val="center"/>
              <w:rPr>
                <w:rFonts w:hint="eastAsia" w:ascii="宋体" w:hAnsi="宋体" w:cs="宋体"/>
                <w:b/>
                <w:color w:val="000000" w:themeColor="text1"/>
                <w:lang w:bidi="ar"/>
                <w14:textFill>
                  <w14:solidFill>
                    <w14:schemeClr w14:val="tx1"/>
                  </w14:solidFill>
                </w14:textFill>
              </w:rPr>
            </w:pPr>
            <w:r>
              <w:rPr>
                <w:rFonts w:hint="eastAsia" w:ascii="宋体" w:hAnsi="宋体" w:cs="宋体"/>
                <w:b/>
                <w:bCs/>
                <w:color w:val="000000" w:themeColor="text1"/>
                <w14:textFill>
                  <w14:solidFill>
                    <w14:schemeClr w14:val="tx1"/>
                  </w14:solidFill>
                </w14:textFill>
              </w:rPr>
              <w:t>备注（进口或强制节能）</w:t>
            </w:r>
          </w:p>
        </w:tc>
      </w:tr>
      <w:tr w14:paraId="396C8A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46448AC7">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22752" behindDoc="0" locked="0" layoutInCell="1" allowOverlap="1">
                  <wp:simplePos x="0" y="0"/>
                  <wp:positionH relativeFrom="column">
                    <wp:posOffset>152400</wp:posOffset>
                  </wp:positionH>
                  <wp:positionV relativeFrom="paragraph">
                    <wp:posOffset>0</wp:posOffset>
                  </wp:positionV>
                  <wp:extent cx="219710" cy="277495"/>
                  <wp:effectExtent l="0" t="0" r="0" b="0"/>
                  <wp:wrapNone/>
                  <wp:docPr id="5" name="图片_9_SpCnt_5"/>
                  <wp:cNvGraphicFramePr/>
                  <a:graphic xmlns:a="http://schemas.openxmlformats.org/drawingml/2006/main">
                    <a:graphicData uri="http://schemas.openxmlformats.org/drawingml/2006/picture">
                      <pic:pic xmlns:pic="http://schemas.openxmlformats.org/drawingml/2006/picture">
                        <pic:nvPicPr>
                          <pic:cNvPr id="5" name="图片_9_SpCnt_5"/>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23776" behindDoc="0" locked="0" layoutInCell="1" allowOverlap="1">
                  <wp:simplePos x="0" y="0"/>
                  <wp:positionH relativeFrom="column">
                    <wp:posOffset>224790</wp:posOffset>
                  </wp:positionH>
                  <wp:positionV relativeFrom="paragraph">
                    <wp:posOffset>-342900</wp:posOffset>
                  </wp:positionV>
                  <wp:extent cx="219710" cy="278765"/>
                  <wp:effectExtent l="0" t="0" r="0" b="0"/>
                  <wp:wrapNone/>
                  <wp:docPr id="6" name="图片_2_SpCnt_23"/>
                  <wp:cNvGraphicFramePr/>
                  <a:graphic xmlns:a="http://schemas.openxmlformats.org/drawingml/2006/main">
                    <a:graphicData uri="http://schemas.openxmlformats.org/drawingml/2006/picture">
                      <pic:pic xmlns:pic="http://schemas.openxmlformats.org/drawingml/2006/picture">
                        <pic:nvPicPr>
                          <pic:cNvPr id="6" name="图片_2_SpCnt_23"/>
                          <pic:cNvPicPr/>
                        </pic:nvPicPr>
                        <pic:blipFill>
                          <a:blip r:embed="rId6"/>
                          <a:stretch>
                            <a:fillRect/>
                          </a:stretch>
                        </pic:blipFill>
                        <pic:spPr>
                          <a:xfrm>
                            <a:off x="0" y="0"/>
                            <a:ext cx="219710" cy="278765"/>
                          </a:xfrm>
                          <a:prstGeom prst="rect">
                            <a:avLst/>
                          </a:prstGeom>
                          <a:noFill/>
                          <a:ln>
                            <a:noFill/>
                          </a:ln>
                        </pic:spPr>
                      </pic:pic>
                    </a:graphicData>
                  </a:graphic>
                </wp:anchor>
              </w:drawing>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1BCEB92C">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219710" cy="278765"/>
                  <wp:effectExtent l="0" t="0" r="0" b="0"/>
                  <wp:wrapNone/>
                  <wp:docPr id="11" name="图片_2"/>
                  <wp:cNvGraphicFramePr/>
                  <a:graphic xmlns:a="http://schemas.openxmlformats.org/drawingml/2006/main">
                    <a:graphicData uri="http://schemas.openxmlformats.org/drawingml/2006/picture">
                      <pic:pic xmlns:pic="http://schemas.openxmlformats.org/drawingml/2006/picture">
                        <pic:nvPicPr>
                          <pic:cNvPr id="11" name="图片_2"/>
                          <pic:cNvPicPr/>
                        </pic:nvPicPr>
                        <pic:blipFill>
                          <a:blip r:embed="rId6"/>
                          <a:stretch>
                            <a:fillRect/>
                          </a:stretch>
                        </pic:blipFill>
                        <pic:spPr>
                          <a:xfrm>
                            <a:off x="0" y="0"/>
                            <a:ext cx="219710" cy="27876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219710" cy="278765"/>
                  <wp:effectExtent l="0" t="0" r="0" b="0"/>
                  <wp:wrapNone/>
                  <wp:docPr id="3" name="图片_2_SpCnt_1"/>
                  <wp:cNvGraphicFramePr/>
                  <a:graphic xmlns:a="http://schemas.openxmlformats.org/drawingml/2006/main">
                    <a:graphicData uri="http://schemas.openxmlformats.org/drawingml/2006/picture">
                      <pic:pic xmlns:pic="http://schemas.openxmlformats.org/drawingml/2006/picture">
                        <pic:nvPicPr>
                          <pic:cNvPr id="3" name="图片_2_SpCnt_1"/>
                          <pic:cNvPicPr/>
                        </pic:nvPicPr>
                        <pic:blipFill>
                          <a:blip r:embed="rId6"/>
                          <a:stretch>
                            <a:fillRect/>
                          </a:stretch>
                        </pic:blipFill>
                        <pic:spPr>
                          <a:xfrm>
                            <a:off x="0" y="0"/>
                            <a:ext cx="219710" cy="27876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243840" cy="247650"/>
                  <wp:effectExtent l="0" t="0" r="0" b="0"/>
                  <wp:wrapNone/>
                  <wp:docPr id="12" name="图片_2_SpCnt_2"/>
                  <wp:cNvGraphicFramePr/>
                  <a:graphic xmlns:a="http://schemas.openxmlformats.org/drawingml/2006/main">
                    <a:graphicData uri="http://schemas.openxmlformats.org/drawingml/2006/picture">
                      <pic:pic xmlns:pic="http://schemas.openxmlformats.org/drawingml/2006/picture">
                        <pic:nvPicPr>
                          <pic:cNvPr id="12" name="图片_2_SpCnt_2"/>
                          <pic:cNvPicPr/>
                        </pic:nvPicPr>
                        <pic:blipFill>
                          <a:blip r:embed="rId7"/>
                          <a:stretch>
                            <a:fillRect/>
                          </a:stretch>
                        </pic:blipFill>
                        <pic:spPr>
                          <a:xfrm>
                            <a:off x="0" y="0"/>
                            <a:ext cx="243840" cy="24765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220345" cy="279400"/>
                  <wp:effectExtent l="0" t="0" r="0" b="0"/>
                  <wp:wrapNone/>
                  <wp:docPr id="15" name="图片_2_SpCnt_3"/>
                  <wp:cNvGraphicFramePr/>
                  <a:graphic xmlns:a="http://schemas.openxmlformats.org/drawingml/2006/main">
                    <a:graphicData uri="http://schemas.openxmlformats.org/drawingml/2006/picture">
                      <pic:pic xmlns:pic="http://schemas.openxmlformats.org/drawingml/2006/picture">
                        <pic:nvPicPr>
                          <pic:cNvPr id="15" name="图片_2_SpCnt_3"/>
                          <pic:cNvPicPr/>
                        </pic:nvPicPr>
                        <pic:blipFill>
                          <a:blip r:embed="rId6"/>
                          <a:stretch>
                            <a:fillRect/>
                          </a:stretch>
                        </pic:blipFill>
                        <pic:spPr>
                          <a:xfrm>
                            <a:off x="0" y="0"/>
                            <a:ext cx="220345" cy="27940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219710" cy="278765"/>
                  <wp:effectExtent l="0" t="0" r="0" b="0"/>
                  <wp:wrapNone/>
                  <wp:docPr id="14" name="图片_2_SpCnt_4"/>
                  <wp:cNvGraphicFramePr/>
                  <a:graphic xmlns:a="http://schemas.openxmlformats.org/drawingml/2006/main">
                    <a:graphicData uri="http://schemas.openxmlformats.org/drawingml/2006/picture">
                      <pic:pic xmlns:pic="http://schemas.openxmlformats.org/drawingml/2006/picture">
                        <pic:nvPicPr>
                          <pic:cNvPr id="14" name="图片_2_SpCnt_4"/>
                          <pic:cNvPicPr/>
                        </pic:nvPicPr>
                        <pic:blipFill>
                          <a:blip r:embed="rId6"/>
                          <a:stretch>
                            <a:fillRect/>
                          </a:stretch>
                        </pic:blipFill>
                        <pic:spPr>
                          <a:xfrm>
                            <a:off x="0" y="0"/>
                            <a:ext cx="219710" cy="27876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8176" behindDoc="0" locked="0" layoutInCell="1" allowOverlap="1">
                  <wp:simplePos x="0" y="0"/>
                  <wp:positionH relativeFrom="column">
                    <wp:posOffset>0</wp:posOffset>
                  </wp:positionH>
                  <wp:positionV relativeFrom="paragraph">
                    <wp:posOffset>0</wp:posOffset>
                  </wp:positionV>
                  <wp:extent cx="220345" cy="279400"/>
                  <wp:effectExtent l="0" t="0" r="0" b="0"/>
                  <wp:wrapNone/>
                  <wp:docPr id="9" name="图片_2_SpCnt_5"/>
                  <wp:cNvGraphicFramePr/>
                  <a:graphic xmlns:a="http://schemas.openxmlformats.org/drawingml/2006/main">
                    <a:graphicData uri="http://schemas.openxmlformats.org/drawingml/2006/picture">
                      <pic:pic xmlns:pic="http://schemas.openxmlformats.org/drawingml/2006/picture">
                        <pic:nvPicPr>
                          <pic:cNvPr id="9" name="图片_2_SpCnt_5"/>
                          <pic:cNvPicPr/>
                        </pic:nvPicPr>
                        <pic:blipFill>
                          <a:blip r:embed="rId6"/>
                          <a:stretch>
                            <a:fillRect/>
                          </a:stretch>
                        </pic:blipFill>
                        <pic:spPr>
                          <a:xfrm>
                            <a:off x="0" y="0"/>
                            <a:ext cx="220345" cy="27940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219710" cy="277495"/>
                  <wp:effectExtent l="0" t="0" r="0" b="0"/>
                  <wp:wrapNone/>
                  <wp:docPr id="13" name="图片_11"/>
                  <wp:cNvGraphicFramePr/>
                  <a:graphic xmlns:a="http://schemas.openxmlformats.org/drawingml/2006/main">
                    <a:graphicData uri="http://schemas.openxmlformats.org/drawingml/2006/picture">
                      <pic:pic xmlns:pic="http://schemas.openxmlformats.org/drawingml/2006/picture">
                        <pic:nvPicPr>
                          <pic:cNvPr id="13" name="图片_11"/>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224790" cy="269875"/>
                  <wp:effectExtent l="0" t="0" r="0" b="0"/>
                  <wp:wrapNone/>
                  <wp:docPr id="2" name="图片_2_SpCnt_6"/>
                  <wp:cNvGraphicFramePr/>
                  <a:graphic xmlns:a="http://schemas.openxmlformats.org/drawingml/2006/main">
                    <a:graphicData uri="http://schemas.openxmlformats.org/drawingml/2006/picture">
                      <pic:pic xmlns:pic="http://schemas.openxmlformats.org/drawingml/2006/picture">
                        <pic:nvPicPr>
                          <pic:cNvPr id="2" name="图片_2_SpCnt_6"/>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224790" cy="269875"/>
                  <wp:effectExtent l="0" t="0" r="0" b="0"/>
                  <wp:wrapNone/>
                  <wp:docPr id="4" name="图片_9"/>
                  <wp:cNvGraphicFramePr/>
                  <a:graphic xmlns:a="http://schemas.openxmlformats.org/drawingml/2006/main">
                    <a:graphicData uri="http://schemas.openxmlformats.org/drawingml/2006/picture">
                      <pic:pic xmlns:pic="http://schemas.openxmlformats.org/drawingml/2006/picture">
                        <pic:nvPicPr>
                          <pic:cNvPr id="4" name="图片_9"/>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2272" behindDoc="0" locked="0" layoutInCell="1" allowOverlap="1">
                  <wp:simplePos x="0" y="0"/>
                  <wp:positionH relativeFrom="column">
                    <wp:posOffset>0</wp:posOffset>
                  </wp:positionH>
                  <wp:positionV relativeFrom="paragraph">
                    <wp:posOffset>0</wp:posOffset>
                  </wp:positionV>
                  <wp:extent cx="224790" cy="269875"/>
                  <wp:effectExtent l="0" t="0" r="0" b="0"/>
                  <wp:wrapNone/>
                  <wp:docPr id="10" name="图片_9_SpCnt_1"/>
                  <wp:cNvGraphicFramePr/>
                  <a:graphic xmlns:a="http://schemas.openxmlformats.org/drawingml/2006/main">
                    <a:graphicData uri="http://schemas.openxmlformats.org/drawingml/2006/picture">
                      <pic:pic xmlns:pic="http://schemas.openxmlformats.org/drawingml/2006/picture">
                        <pic:nvPicPr>
                          <pic:cNvPr id="10" name="图片_9_SpCnt_1"/>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3296" behindDoc="0" locked="0" layoutInCell="1" allowOverlap="1">
                  <wp:simplePos x="0" y="0"/>
                  <wp:positionH relativeFrom="column">
                    <wp:posOffset>0</wp:posOffset>
                  </wp:positionH>
                  <wp:positionV relativeFrom="paragraph">
                    <wp:posOffset>0</wp:posOffset>
                  </wp:positionV>
                  <wp:extent cx="224790" cy="269875"/>
                  <wp:effectExtent l="0" t="0" r="0" b="0"/>
                  <wp:wrapNone/>
                  <wp:docPr id="7" name="图片_2_SpCnt_7"/>
                  <wp:cNvGraphicFramePr/>
                  <a:graphic xmlns:a="http://schemas.openxmlformats.org/drawingml/2006/main">
                    <a:graphicData uri="http://schemas.openxmlformats.org/drawingml/2006/picture">
                      <pic:pic xmlns:pic="http://schemas.openxmlformats.org/drawingml/2006/picture">
                        <pic:nvPicPr>
                          <pic:cNvPr id="7" name="图片_2_SpCnt_7"/>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219710" cy="278765"/>
                  <wp:effectExtent l="0" t="0" r="0" b="0"/>
                  <wp:wrapNone/>
                  <wp:docPr id="8" name="图片_2_SpCnt_8"/>
                  <wp:cNvGraphicFramePr/>
                  <a:graphic xmlns:a="http://schemas.openxmlformats.org/drawingml/2006/main">
                    <a:graphicData uri="http://schemas.openxmlformats.org/drawingml/2006/picture">
                      <pic:pic xmlns:pic="http://schemas.openxmlformats.org/drawingml/2006/picture">
                        <pic:nvPicPr>
                          <pic:cNvPr id="8" name="图片_2_SpCnt_8"/>
                          <pic:cNvPicPr/>
                        </pic:nvPicPr>
                        <pic:blipFill>
                          <a:blip r:embed="rId6"/>
                          <a:stretch>
                            <a:fillRect/>
                          </a:stretch>
                        </pic:blipFill>
                        <pic:spPr>
                          <a:xfrm>
                            <a:off x="0" y="0"/>
                            <a:ext cx="219710" cy="27876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5344" behindDoc="0" locked="0" layoutInCell="1" allowOverlap="1">
                  <wp:simplePos x="0" y="0"/>
                  <wp:positionH relativeFrom="column">
                    <wp:posOffset>0</wp:posOffset>
                  </wp:positionH>
                  <wp:positionV relativeFrom="paragraph">
                    <wp:posOffset>0</wp:posOffset>
                  </wp:positionV>
                  <wp:extent cx="219710" cy="277495"/>
                  <wp:effectExtent l="0" t="0" r="0" b="0"/>
                  <wp:wrapNone/>
                  <wp:docPr id="1" name="图片_9_SpCnt_2"/>
                  <wp:cNvGraphicFramePr/>
                  <a:graphic xmlns:a="http://schemas.openxmlformats.org/drawingml/2006/main">
                    <a:graphicData uri="http://schemas.openxmlformats.org/drawingml/2006/picture">
                      <pic:pic xmlns:pic="http://schemas.openxmlformats.org/drawingml/2006/picture">
                        <pic:nvPicPr>
                          <pic:cNvPr id="1" name="图片_9_SpCnt_2"/>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6368" behindDoc="0" locked="0" layoutInCell="1" allowOverlap="1">
                  <wp:simplePos x="0" y="0"/>
                  <wp:positionH relativeFrom="column">
                    <wp:posOffset>0</wp:posOffset>
                  </wp:positionH>
                  <wp:positionV relativeFrom="paragraph">
                    <wp:posOffset>0</wp:posOffset>
                  </wp:positionV>
                  <wp:extent cx="224790" cy="269875"/>
                  <wp:effectExtent l="0" t="0" r="0" b="0"/>
                  <wp:wrapNone/>
                  <wp:docPr id="69" name="图片_2_SpCnt_9"/>
                  <wp:cNvGraphicFramePr/>
                  <a:graphic xmlns:a="http://schemas.openxmlformats.org/drawingml/2006/main">
                    <a:graphicData uri="http://schemas.openxmlformats.org/drawingml/2006/picture">
                      <pic:pic xmlns:pic="http://schemas.openxmlformats.org/drawingml/2006/picture">
                        <pic:nvPicPr>
                          <pic:cNvPr id="69" name="图片_2_SpCnt_9"/>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7392" behindDoc="0" locked="0" layoutInCell="1" allowOverlap="1">
                  <wp:simplePos x="0" y="0"/>
                  <wp:positionH relativeFrom="column">
                    <wp:posOffset>0</wp:posOffset>
                  </wp:positionH>
                  <wp:positionV relativeFrom="paragraph">
                    <wp:posOffset>0</wp:posOffset>
                  </wp:positionV>
                  <wp:extent cx="224790" cy="269875"/>
                  <wp:effectExtent l="0" t="0" r="0" b="0"/>
                  <wp:wrapNone/>
                  <wp:docPr id="60" name="图片_2_SpCnt_10"/>
                  <wp:cNvGraphicFramePr/>
                  <a:graphic xmlns:a="http://schemas.openxmlformats.org/drawingml/2006/main">
                    <a:graphicData uri="http://schemas.openxmlformats.org/drawingml/2006/picture">
                      <pic:pic xmlns:pic="http://schemas.openxmlformats.org/drawingml/2006/picture">
                        <pic:nvPicPr>
                          <pic:cNvPr id="60" name="图片_2_SpCnt_10"/>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8416" behindDoc="0" locked="0" layoutInCell="1" allowOverlap="1">
                  <wp:simplePos x="0" y="0"/>
                  <wp:positionH relativeFrom="column">
                    <wp:posOffset>0</wp:posOffset>
                  </wp:positionH>
                  <wp:positionV relativeFrom="paragraph">
                    <wp:posOffset>0</wp:posOffset>
                  </wp:positionV>
                  <wp:extent cx="243840" cy="247650"/>
                  <wp:effectExtent l="0" t="0" r="0" b="0"/>
                  <wp:wrapNone/>
                  <wp:docPr id="56" name="图片_2_SpCnt_11"/>
                  <wp:cNvGraphicFramePr/>
                  <a:graphic xmlns:a="http://schemas.openxmlformats.org/drawingml/2006/main">
                    <a:graphicData uri="http://schemas.openxmlformats.org/drawingml/2006/picture">
                      <pic:pic xmlns:pic="http://schemas.openxmlformats.org/drawingml/2006/picture">
                        <pic:nvPicPr>
                          <pic:cNvPr id="56" name="图片_2_SpCnt_11"/>
                          <pic:cNvPicPr/>
                        </pic:nvPicPr>
                        <pic:blipFill>
                          <a:blip r:embed="rId7"/>
                          <a:stretch>
                            <a:fillRect/>
                          </a:stretch>
                        </pic:blipFill>
                        <pic:spPr>
                          <a:xfrm>
                            <a:off x="0" y="0"/>
                            <a:ext cx="243840" cy="24765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09440" behindDoc="0" locked="0" layoutInCell="1" allowOverlap="1">
                  <wp:simplePos x="0" y="0"/>
                  <wp:positionH relativeFrom="column">
                    <wp:posOffset>0</wp:posOffset>
                  </wp:positionH>
                  <wp:positionV relativeFrom="paragraph">
                    <wp:posOffset>0</wp:posOffset>
                  </wp:positionV>
                  <wp:extent cx="220345" cy="279400"/>
                  <wp:effectExtent l="0" t="0" r="0" b="0"/>
                  <wp:wrapNone/>
                  <wp:docPr id="57" name="图片_2_SpCnt_12"/>
                  <wp:cNvGraphicFramePr/>
                  <a:graphic xmlns:a="http://schemas.openxmlformats.org/drawingml/2006/main">
                    <a:graphicData uri="http://schemas.openxmlformats.org/drawingml/2006/picture">
                      <pic:pic xmlns:pic="http://schemas.openxmlformats.org/drawingml/2006/picture">
                        <pic:nvPicPr>
                          <pic:cNvPr id="57" name="图片_2_SpCnt_12"/>
                          <pic:cNvPicPr/>
                        </pic:nvPicPr>
                        <pic:blipFill>
                          <a:blip r:embed="rId6"/>
                          <a:stretch>
                            <a:fillRect/>
                          </a:stretch>
                        </pic:blipFill>
                        <pic:spPr>
                          <a:xfrm>
                            <a:off x="0" y="0"/>
                            <a:ext cx="220345" cy="27940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0464" behindDoc="0" locked="0" layoutInCell="1" allowOverlap="1">
                  <wp:simplePos x="0" y="0"/>
                  <wp:positionH relativeFrom="column">
                    <wp:posOffset>0</wp:posOffset>
                  </wp:positionH>
                  <wp:positionV relativeFrom="paragraph">
                    <wp:posOffset>0</wp:posOffset>
                  </wp:positionV>
                  <wp:extent cx="224790" cy="269875"/>
                  <wp:effectExtent l="0" t="0" r="0" b="0"/>
                  <wp:wrapNone/>
                  <wp:docPr id="66" name="图片_2_SpCnt_13"/>
                  <wp:cNvGraphicFramePr/>
                  <a:graphic xmlns:a="http://schemas.openxmlformats.org/drawingml/2006/main">
                    <a:graphicData uri="http://schemas.openxmlformats.org/drawingml/2006/picture">
                      <pic:pic xmlns:pic="http://schemas.openxmlformats.org/drawingml/2006/picture">
                        <pic:nvPicPr>
                          <pic:cNvPr id="66" name="图片_2_SpCnt_13"/>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1488" behindDoc="0" locked="0" layoutInCell="1" allowOverlap="1">
                  <wp:simplePos x="0" y="0"/>
                  <wp:positionH relativeFrom="column">
                    <wp:posOffset>0</wp:posOffset>
                  </wp:positionH>
                  <wp:positionV relativeFrom="paragraph">
                    <wp:posOffset>0</wp:posOffset>
                  </wp:positionV>
                  <wp:extent cx="219710" cy="277495"/>
                  <wp:effectExtent l="0" t="0" r="0" b="0"/>
                  <wp:wrapNone/>
                  <wp:docPr id="67" name="图片_11_SpCnt_1"/>
                  <wp:cNvGraphicFramePr/>
                  <a:graphic xmlns:a="http://schemas.openxmlformats.org/drawingml/2006/main">
                    <a:graphicData uri="http://schemas.openxmlformats.org/drawingml/2006/picture">
                      <pic:pic xmlns:pic="http://schemas.openxmlformats.org/drawingml/2006/picture">
                        <pic:nvPicPr>
                          <pic:cNvPr id="67" name="图片_11_SpCnt_1"/>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2512" behindDoc="0" locked="0" layoutInCell="1" allowOverlap="1">
                  <wp:simplePos x="0" y="0"/>
                  <wp:positionH relativeFrom="column">
                    <wp:posOffset>0</wp:posOffset>
                  </wp:positionH>
                  <wp:positionV relativeFrom="paragraph">
                    <wp:posOffset>0</wp:posOffset>
                  </wp:positionV>
                  <wp:extent cx="224790" cy="269875"/>
                  <wp:effectExtent l="0" t="0" r="0" b="0"/>
                  <wp:wrapNone/>
                  <wp:docPr id="68" name="图片_9_SpCnt_3"/>
                  <wp:cNvGraphicFramePr/>
                  <a:graphic xmlns:a="http://schemas.openxmlformats.org/drawingml/2006/main">
                    <a:graphicData uri="http://schemas.openxmlformats.org/drawingml/2006/picture">
                      <pic:pic xmlns:pic="http://schemas.openxmlformats.org/drawingml/2006/picture">
                        <pic:nvPicPr>
                          <pic:cNvPr id="68" name="图片_9_SpCnt_3"/>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3536" behindDoc="0" locked="0" layoutInCell="1" allowOverlap="1">
                  <wp:simplePos x="0" y="0"/>
                  <wp:positionH relativeFrom="column">
                    <wp:posOffset>0</wp:posOffset>
                  </wp:positionH>
                  <wp:positionV relativeFrom="paragraph">
                    <wp:posOffset>0</wp:posOffset>
                  </wp:positionV>
                  <wp:extent cx="219710" cy="277495"/>
                  <wp:effectExtent l="0" t="0" r="0" b="0"/>
                  <wp:wrapNone/>
                  <wp:docPr id="64" name="图片_9_SpCnt_4"/>
                  <wp:cNvGraphicFramePr/>
                  <a:graphic xmlns:a="http://schemas.openxmlformats.org/drawingml/2006/main">
                    <a:graphicData uri="http://schemas.openxmlformats.org/drawingml/2006/picture">
                      <pic:pic xmlns:pic="http://schemas.openxmlformats.org/drawingml/2006/picture">
                        <pic:nvPicPr>
                          <pic:cNvPr id="64" name="图片_9_SpCnt_4"/>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224790" cy="269875"/>
                  <wp:effectExtent l="0" t="0" r="0" b="0"/>
                  <wp:wrapNone/>
                  <wp:docPr id="70" name="图片_2_SpCnt_14"/>
                  <wp:cNvGraphicFramePr/>
                  <a:graphic xmlns:a="http://schemas.openxmlformats.org/drawingml/2006/main">
                    <a:graphicData uri="http://schemas.openxmlformats.org/drawingml/2006/picture">
                      <pic:pic xmlns:pic="http://schemas.openxmlformats.org/drawingml/2006/picture">
                        <pic:nvPicPr>
                          <pic:cNvPr id="70" name="图片_2_SpCnt_14"/>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5584" behindDoc="0" locked="0" layoutInCell="1" allowOverlap="1">
                  <wp:simplePos x="0" y="0"/>
                  <wp:positionH relativeFrom="column">
                    <wp:posOffset>0</wp:posOffset>
                  </wp:positionH>
                  <wp:positionV relativeFrom="paragraph">
                    <wp:posOffset>0</wp:posOffset>
                  </wp:positionV>
                  <wp:extent cx="224790" cy="269875"/>
                  <wp:effectExtent l="0" t="0" r="0" b="0"/>
                  <wp:wrapNone/>
                  <wp:docPr id="62" name="图片_2_SpCnt_15"/>
                  <wp:cNvGraphicFramePr/>
                  <a:graphic xmlns:a="http://schemas.openxmlformats.org/drawingml/2006/main">
                    <a:graphicData uri="http://schemas.openxmlformats.org/drawingml/2006/picture">
                      <pic:pic xmlns:pic="http://schemas.openxmlformats.org/drawingml/2006/picture">
                        <pic:nvPicPr>
                          <pic:cNvPr id="62" name="图片_2_SpCnt_15"/>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6608" behindDoc="0" locked="0" layoutInCell="1" allowOverlap="1">
                  <wp:simplePos x="0" y="0"/>
                  <wp:positionH relativeFrom="column">
                    <wp:posOffset>0</wp:posOffset>
                  </wp:positionH>
                  <wp:positionV relativeFrom="paragraph">
                    <wp:posOffset>0</wp:posOffset>
                  </wp:positionV>
                  <wp:extent cx="224790" cy="269875"/>
                  <wp:effectExtent l="0" t="0" r="0" b="0"/>
                  <wp:wrapNone/>
                  <wp:docPr id="61" name="图片_2_SpCnt_16"/>
                  <wp:cNvGraphicFramePr/>
                  <a:graphic xmlns:a="http://schemas.openxmlformats.org/drawingml/2006/main">
                    <a:graphicData uri="http://schemas.openxmlformats.org/drawingml/2006/picture">
                      <pic:pic xmlns:pic="http://schemas.openxmlformats.org/drawingml/2006/picture">
                        <pic:nvPicPr>
                          <pic:cNvPr id="61" name="图片_2_SpCnt_16"/>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7632" behindDoc="0" locked="0" layoutInCell="1" allowOverlap="1">
                  <wp:simplePos x="0" y="0"/>
                  <wp:positionH relativeFrom="column">
                    <wp:posOffset>0</wp:posOffset>
                  </wp:positionH>
                  <wp:positionV relativeFrom="paragraph">
                    <wp:posOffset>0</wp:posOffset>
                  </wp:positionV>
                  <wp:extent cx="219710" cy="278765"/>
                  <wp:effectExtent l="0" t="0" r="0" b="0"/>
                  <wp:wrapNone/>
                  <wp:docPr id="55" name="图片_2_SpCnt_17"/>
                  <wp:cNvGraphicFramePr/>
                  <a:graphic xmlns:a="http://schemas.openxmlformats.org/drawingml/2006/main">
                    <a:graphicData uri="http://schemas.openxmlformats.org/drawingml/2006/picture">
                      <pic:pic xmlns:pic="http://schemas.openxmlformats.org/drawingml/2006/picture">
                        <pic:nvPicPr>
                          <pic:cNvPr id="55" name="图片_2_SpCnt_17"/>
                          <pic:cNvPicPr/>
                        </pic:nvPicPr>
                        <pic:blipFill>
                          <a:blip r:embed="rId6"/>
                          <a:stretch>
                            <a:fillRect/>
                          </a:stretch>
                        </pic:blipFill>
                        <pic:spPr>
                          <a:xfrm>
                            <a:off x="0" y="0"/>
                            <a:ext cx="219710" cy="27876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8656" behindDoc="0" locked="0" layoutInCell="1" allowOverlap="1">
                  <wp:simplePos x="0" y="0"/>
                  <wp:positionH relativeFrom="column">
                    <wp:posOffset>0</wp:posOffset>
                  </wp:positionH>
                  <wp:positionV relativeFrom="paragraph">
                    <wp:posOffset>0</wp:posOffset>
                  </wp:positionV>
                  <wp:extent cx="219710" cy="278765"/>
                  <wp:effectExtent l="0" t="0" r="0" b="0"/>
                  <wp:wrapNone/>
                  <wp:docPr id="71" name="图片_2_SpCnt_18"/>
                  <wp:cNvGraphicFramePr/>
                  <a:graphic xmlns:a="http://schemas.openxmlformats.org/drawingml/2006/main">
                    <a:graphicData uri="http://schemas.openxmlformats.org/drawingml/2006/picture">
                      <pic:pic xmlns:pic="http://schemas.openxmlformats.org/drawingml/2006/picture">
                        <pic:nvPicPr>
                          <pic:cNvPr id="71" name="图片_2_SpCnt_18"/>
                          <pic:cNvPicPr/>
                        </pic:nvPicPr>
                        <pic:blipFill>
                          <a:blip r:embed="rId6"/>
                          <a:stretch>
                            <a:fillRect/>
                          </a:stretch>
                        </pic:blipFill>
                        <pic:spPr>
                          <a:xfrm>
                            <a:off x="0" y="0"/>
                            <a:ext cx="219710" cy="27876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19680" behindDoc="0" locked="0" layoutInCell="1" allowOverlap="1">
                  <wp:simplePos x="0" y="0"/>
                  <wp:positionH relativeFrom="column">
                    <wp:posOffset>0</wp:posOffset>
                  </wp:positionH>
                  <wp:positionV relativeFrom="paragraph">
                    <wp:posOffset>0</wp:posOffset>
                  </wp:positionV>
                  <wp:extent cx="224790" cy="269875"/>
                  <wp:effectExtent l="0" t="0" r="0" b="0"/>
                  <wp:wrapNone/>
                  <wp:docPr id="58" name="图片_2_SpCnt_19"/>
                  <wp:cNvGraphicFramePr/>
                  <a:graphic xmlns:a="http://schemas.openxmlformats.org/drawingml/2006/main">
                    <a:graphicData uri="http://schemas.openxmlformats.org/drawingml/2006/picture">
                      <pic:pic xmlns:pic="http://schemas.openxmlformats.org/drawingml/2006/picture">
                        <pic:nvPicPr>
                          <pic:cNvPr id="58" name="图片_2_SpCnt_19"/>
                          <pic:cNvPicPr/>
                        </pic:nvPicPr>
                        <pic:blipFill>
                          <a:blip r:embed="rId8"/>
                          <a:stretch>
                            <a:fillRect/>
                          </a:stretch>
                        </pic:blipFill>
                        <pic:spPr>
                          <a:xfrm>
                            <a:off x="0" y="0"/>
                            <a:ext cx="224790" cy="26987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20704" behindDoc="0" locked="0" layoutInCell="1" allowOverlap="1">
                  <wp:simplePos x="0" y="0"/>
                  <wp:positionH relativeFrom="column">
                    <wp:posOffset>0</wp:posOffset>
                  </wp:positionH>
                  <wp:positionV relativeFrom="paragraph">
                    <wp:posOffset>0</wp:posOffset>
                  </wp:positionV>
                  <wp:extent cx="219710" cy="277495"/>
                  <wp:effectExtent l="0" t="0" r="0" b="0"/>
                  <wp:wrapNone/>
                  <wp:docPr id="63" name="图片_11_SpCnt_2"/>
                  <wp:cNvGraphicFramePr/>
                  <a:graphic xmlns:a="http://schemas.openxmlformats.org/drawingml/2006/main">
                    <a:graphicData uri="http://schemas.openxmlformats.org/drawingml/2006/picture">
                      <pic:pic xmlns:pic="http://schemas.openxmlformats.org/drawingml/2006/picture">
                        <pic:nvPicPr>
                          <pic:cNvPr id="63" name="图片_11_SpCnt_2"/>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721728" behindDoc="0" locked="0" layoutInCell="1" allowOverlap="1">
                  <wp:simplePos x="0" y="0"/>
                  <wp:positionH relativeFrom="column">
                    <wp:posOffset>0</wp:posOffset>
                  </wp:positionH>
                  <wp:positionV relativeFrom="paragraph">
                    <wp:posOffset>0</wp:posOffset>
                  </wp:positionV>
                  <wp:extent cx="243840" cy="247650"/>
                  <wp:effectExtent l="0" t="0" r="0" b="0"/>
                  <wp:wrapNone/>
                  <wp:docPr id="59" name="图片_2_SpCnt_20"/>
                  <wp:cNvGraphicFramePr/>
                  <a:graphic xmlns:a="http://schemas.openxmlformats.org/drawingml/2006/main">
                    <a:graphicData uri="http://schemas.openxmlformats.org/drawingml/2006/picture">
                      <pic:pic xmlns:pic="http://schemas.openxmlformats.org/drawingml/2006/picture">
                        <pic:nvPicPr>
                          <pic:cNvPr id="59" name="图片_2_SpCnt_20"/>
                          <pic:cNvPicPr/>
                        </pic:nvPicPr>
                        <pic:blipFill>
                          <a:blip r:embed="rId7"/>
                          <a:stretch>
                            <a:fillRect/>
                          </a:stretch>
                        </pic:blipFill>
                        <pic:spPr>
                          <a:xfrm>
                            <a:off x="0" y="0"/>
                            <a:ext cx="243840" cy="247650"/>
                          </a:xfrm>
                          <a:prstGeom prst="rect">
                            <a:avLst/>
                          </a:prstGeom>
                          <a:noFill/>
                          <a:ln>
                            <a:noFill/>
                          </a:ln>
                        </pic:spPr>
                      </pic:pic>
                    </a:graphicData>
                  </a:graphic>
                </wp:anchor>
              </w:drawing>
            </w:r>
            <w:r>
              <w:rPr>
                <w:rFonts w:hint="eastAsia" w:ascii="宋体" w:hAnsi="宋体" w:cs="宋体"/>
                <w:color w:val="000000" w:themeColor="text1"/>
                <w:kern w:val="0"/>
                <w:lang w:bidi="ar"/>
                <w14:textFill>
                  <w14:solidFill>
                    <w14:schemeClr w14:val="tx1"/>
                  </w14:solidFill>
                </w14:textFill>
              </w:rPr>
              <w:t>气体动力学实验风洞系统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749830D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724800" behindDoc="0" locked="0" layoutInCell="1" allowOverlap="1">
                  <wp:simplePos x="0" y="0"/>
                  <wp:positionH relativeFrom="column">
                    <wp:posOffset>0</wp:posOffset>
                  </wp:positionH>
                  <wp:positionV relativeFrom="paragraph">
                    <wp:posOffset>0</wp:posOffset>
                  </wp:positionV>
                  <wp:extent cx="123825" cy="171450"/>
                  <wp:effectExtent l="0" t="0" r="0" b="0"/>
                  <wp:wrapNone/>
                  <wp:docPr id="6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4"/>
                          <pic:cNvPicPr>
                            <a:picLocks noChangeAspect="1"/>
                          </pic:cNvPicPr>
                        </pic:nvPicPr>
                        <pic:blipFill>
                          <a:blip r:embed="rId9"/>
                          <a:stretch>
                            <a:fillRect/>
                          </a:stretch>
                        </pic:blipFill>
                        <pic:spPr>
                          <a:xfrm>
                            <a:off x="0" y="0"/>
                            <a:ext cx="123825" cy="171450"/>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725824" behindDoc="0" locked="0" layoutInCell="1" allowOverlap="1">
                  <wp:simplePos x="0" y="0"/>
                  <wp:positionH relativeFrom="column">
                    <wp:posOffset>0</wp:posOffset>
                  </wp:positionH>
                  <wp:positionV relativeFrom="paragraph">
                    <wp:posOffset>0</wp:posOffset>
                  </wp:positionV>
                  <wp:extent cx="123825" cy="171450"/>
                  <wp:effectExtent l="0" t="0" r="0" b="0"/>
                  <wp:wrapNone/>
                  <wp:docPr id="2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3"/>
                          <pic:cNvPicPr>
                            <a:picLocks noChangeAspect="1"/>
                          </pic:cNvPicPr>
                        </pic:nvPicPr>
                        <pic:blipFill>
                          <a:blip r:embed="rId9"/>
                          <a:stretch>
                            <a:fillRect/>
                          </a:stretch>
                        </pic:blipFill>
                        <pic:spPr>
                          <a:xfrm>
                            <a:off x="0" y="0"/>
                            <a:ext cx="123825" cy="171450"/>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726848" behindDoc="0" locked="0" layoutInCell="1" allowOverlap="1">
                  <wp:simplePos x="0" y="0"/>
                  <wp:positionH relativeFrom="column">
                    <wp:posOffset>0</wp:posOffset>
                  </wp:positionH>
                  <wp:positionV relativeFrom="paragraph">
                    <wp:posOffset>0</wp:posOffset>
                  </wp:positionV>
                  <wp:extent cx="175895" cy="211455"/>
                  <wp:effectExtent l="0" t="0" r="0" b="0"/>
                  <wp:wrapNone/>
                  <wp:docPr id="3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2"/>
                          <pic:cNvPicPr>
                            <a:picLocks noChangeAspect="1"/>
                          </pic:cNvPicPr>
                        </pic:nvPicPr>
                        <pic:blipFill>
                          <a:blip r:embed="rId8"/>
                          <a:stretch>
                            <a:fillRect/>
                          </a:stretch>
                        </pic:blipFill>
                        <pic:spPr>
                          <a:xfrm>
                            <a:off x="0" y="0"/>
                            <a:ext cx="175895" cy="211455"/>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727872" behindDoc="0" locked="0" layoutInCell="1" allowOverlap="1">
                  <wp:simplePos x="0" y="0"/>
                  <wp:positionH relativeFrom="column">
                    <wp:posOffset>0</wp:posOffset>
                  </wp:positionH>
                  <wp:positionV relativeFrom="paragraph">
                    <wp:posOffset>0</wp:posOffset>
                  </wp:positionV>
                  <wp:extent cx="123825" cy="171450"/>
                  <wp:effectExtent l="0" t="0" r="0" b="0"/>
                  <wp:wrapNone/>
                  <wp:docPr id="2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1"/>
                          <pic:cNvPicPr>
                            <a:picLocks noChangeAspect="1"/>
                          </pic:cNvPicPr>
                        </pic:nvPicPr>
                        <pic:blipFill>
                          <a:blip r:embed="rId9"/>
                          <a:stretch>
                            <a:fillRect/>
                          </a:stretch>
                        </pic:blipFill>
                        <pic:spPr>
                          <a:xfrm>
                            <a:off x="0" y="0"/>
                            <a:ext cx="123825" cy="171450"/>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728896" behindDoc="0" locked="0" layoutInCell="1" allowOverlap="1">
                  <wp:simplePos x="0" y="0"/>
                  <wp:positionH relativeFrom="column">
                    <wp:posOffset>381000</wp:posOffset>
                  </wp:positionH>
                  <wp:positionV relativeFrom="paragraph">
                    <wp:posOffset>0</wp:posOffset>
                  </wp:positionV>
                  <wp:extent cx="175895" cy="41275"/>
                  <wp:effectExtent l="0" t="0" r="0" b="0"/>
                  <wp:wrapNone/>
                  <wp:docPr id="3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6"/>
                          <pic:cNvPicPr>
                            <a:picLocks noChangeAspect="1"/>
                          </pic:cNvPicPr>
                        </pic:nvPicPr>
                        <pic:blipFill>
                          <a:blip r:embed="rId10"/>
                          <a:stretch>
                            <a:fillRect/>
                          </a:stretch>
                        </pic:blipFill>
                        <pic:spPr>
                          <a:xfrm>
                            <a:off x="0" y="0"/>
                            <a:ext cx="175895" cy="41275"/>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729920" behindDoc="0" locked="0" layoutInCell="1" allowOverlap="1">
                  <wp:simplePos x="0" y="0"/>
                  <wp:positionH relativeFrom="column">
                    <wp:posOffset>381000</wp:posOffset>
                  </wp:positionH>
                  <wp:positionV relativeFrom="paragraph">
                    <wp:posOffset>0</wp:posOffset>
                  </wp:positionV>
                  <wp:extent cx="175895" cy="41275"/>
                  <wp:effectExtent l="0" t="0" r="0" b="0"/>
                  <wp:wrapNone/>
                  <wp:docPr id="2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5"/>
                          <pic:cNvPicPr>
                            <a:picLocks noChangeAspect="1"/>
                          </pic:cNvPicPr>
                        </pic:nvPicPr>
                        <pic:blipFill>
                          <a:blip r:embed="rId10"/>
                          <a:stretch>
                            <a:fillRect/>
                          </a:stretch>
                        </pic:blipFill>
                        <pic:spPr>
                          <a:xfrm>
                            <a:off x="0" y="0"/>
                            <a:ext cx="175895" cy="41275"/>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730944" behindDoc="0" locked="0" layoutInCell="1" allowOverlap="1">
                  <wp:simplePos x="0" y="0"/>
                  <wp:positionH relativeFrom="column">
                    <wp:posOffset>381000</wp:posOffset>
                  </wp:positionH>
                  <wp:positionV relativeFrom="paragraph">
                    <wp:posOffset>0</wp:posOffset>
                  </wp:positionV>
                  <wp:extent cx="175895" cy="41275"/>
                  <wp:effectExtent l="0" t="0" r="0" b="0"/>
                  <wp:wrapNone/>
                  <wp:docPr id="4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4"/>
                          <pic:cNvPicPr>
                            <a:picLocks noChangeAspect="1"/>
                          </pic:cNvPicPr>
                        </pic:nvPicPr>
                        <pic:blipFill>
                          <a:blip r:embed="rId10"/>
                          <a:stretch>
                            <a:fillRect/>
                          </a:stretch>
                        </pic:blipFill>
                        <pic:spPr>
                          <a:xfrm>
                            <a:off x="0" y="0"/>
                            <a:ext cx="175895" cy="41275"/>
                          </a:xfrm>
                          <a:prstGeom prst="rect">
                            <a:avLst/>
                          </a:prstGeom>
                          <a:noFill/>
                          <a:ln>
                            <a:noFill/>
                          </a:ln>
                        </pic:spPr>
                      </pic:pic>
                    </a:graphicData>
                  </a:graphic>
                </wp:anchor>
              </w:drawing>
            </w:r>
            <w:r>
              <w:rPr>
                <w:rFonts w:hint="eastAsia" w:ascii="宋体" w:hAnsi="宋体" w:cs="宋体"/>
                <w:color w:val="000000" w:themeColor="text1"/>
                <w:kern w:val="0"/>
                <w:lang w:bidi="ar"/>
                <w14:textFill>
                  <w14:solidFill>
                    <w14:schemeClr w14:val="tx1"/>
                  </w14:solidFill>
                </w14:textFill>
              </w:rPr>
              <w:t>1、设备功能与组成</w:t>
            </w:r>
          </w:p>
          <w:p w14:paraId="0C5ACDE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 包括气源系统、风洞筒体；</w:t>
            </w:r>
          </w:p>
          <w:p w14:paraId="345055C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 气源系统由离心鼓风机、变频器与消声设备组成，鼓风机和变频器集成于集装箱中，集装箱内部安装消音板，整套气源系统为集成式模块化设计；</w:t>
            </w:r>
          </w:p>
          <w:p w14:paraId="04EA471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 风洞筒体由入口扩散段、消音段、稳流段、收缩段和试验段组成，试验段具备安装姿态调节所需接口；</w:t>
            </w:r>
          </w:p>
          <w:p w14:paraId="30D680F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1.4 风洞配差压式传感器进行风速测量；</w:t>
            </w:r>
          </w:p>
          <w:p w14:paraId="1C45106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2、设备主要指标</w:t>
            </w:r>
          </w:p>
          <w:p w14:paraId="2C9B145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2.1 风洞气源为离心式鼓风机，驱动电机为变频电机，风压≥30000 Pa，风量≥25000 m</w:t>
            </w:r>
            <w:r>
              <w:rPr>
                <w:rFonts w:hint="eastAsia" w:ascii="宋体" w:hAnsi="宋体" w:cs="宋体"/>
                <w:color w:val="000000" w:themeColor="text1"/>
                <w:kern w:val="0"/>
                <w:vertAlign w:val="superscript"/>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/h；</w:t>
            </w:r>
          </w:p>
          <w:p w14:paraId="5BE9D43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2.2 气源总功率在满足安装场地供电能力的前提下≥400±20kw；</w:t>
            </w:r>
          </w:p>
          <w:p w14:paraId="73AD271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2.3 长时间运行风洞出口温度≤70℃；</w:t>
            </w:r>
          </w:p>
          <w:p w14:paraId="193C08C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2.4 试验段出口尺寸≥260mm×80mm，出口马赫数在0.1到0.7可调；</w:t>
            </w:r>
          </w:p>
          <w:p w14:paraId="2C56C59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2.5 速度调节方式为变频器调节转速控制风机流量，辅助放风阀排气；</w:t>
            </w:r>
          </w:p>
          <w:p w14:paraId="6489533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2.6 稳定段配备蜂窝器和阻尼网；</w:t>
            </w:r>
          </w:p>
          <w:p w14:paraId="1D2AA43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2.7 消声段配有消声措施，测控间人员工作位置，气源引起的噪声≤85dB；</w:t>
            </w:r>
          </w:p>
          <w:p w14:paraId="2CB87FF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2.8 风洞湍流度≤2%；</w:t>
            </w:r>
          </w:p>
          <w:p w14:paraId="0DA5A78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2.9 气源具有温度监测功能；</w:t>
            </w:r>
          </w:p>
          <w:p w14:paraId="243A26C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2.10 气源控制系统：风速控制，调节方式包括风速（闭环）及转速（开环），风速/转速连续平滑调整；</w:t>
            </w:r>
          </w:p>
          <w:p w14:paraId="7E8C7A7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2.11 气源紧急停机机制：气源过热、喘振等异常状态自我保护机制及通知系统；</w:t>
            </w:r>
          </w:p>
          <w:p w14:paraId="436313F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2.12 排气100%无油。</w:t>
            </w:r>
          </w:p>
          <w:p w14:paraId="6A2EE94F">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2.13 压力扫描阀：提供</w:t>
            </w:r>
            <w:r>
              <w:rPr>
                <w:rFonts w:ascii="宋体" w:hAnsi="宋体" w:cs="宋体"/>
                <w:color w:val="000000" w:themeColor="text1"/>
                <w:kern w:val="0"/>
                <w:lang w:bidi="ar"/>
                <w14:textFill>
                  <w14:solidFill>
                    <w14:schemeClr w14:val="tx1"/>
                  </w14:solidFill>
                </w14:textFill>
              </w:rPr>
              <w:t>16通道压力采集/台+1通道大气压力采集+1通道环境温度采集</w:t>
            </w:r>
            <w:r>
              <w:rPr>
                <w:rFonts w:hint="eastAsia" w:ascii="宋体" w:hAnsi="宋体" w:cs="宋体"/>
                <w:color w:val="000000" w:themeColor="text1"/>
                <w:kern w:val="0"/>
                <w:lang w:eastAsia="zh-CN" w:bidi="ar"/>
                <w14:textFill>
                  <w14:solidFill>
                    <w14:schemeClr w14:val="tx1"/>
                  </w14:solidFill>
                </w14:textFill>
              </w:rPr>
              <w:t>，</w:t>
            </w:r>
            <w:r>
              <w:rPr>
                <w:rFonts w:ascii="宋体" w:hAnsi="宋体" w:cs="宋体"/>
                <w:color w:val="000000" w:themeColor="text1"/>
                <w:kern w:val="0"/>
                <w:lang w:bidi="ar"/>
                <w14:textFill>
                  <w14:solidFill>
                    <w14:schemeClr w14:val="tx1"/>
                  </w14:solidFill>
                </w14:textFill>
              </w:rPr>
              <w:t>精度为±0.05%F.S.</w:t>
            </w: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扫描频率</w:t>
            </w:r>
            <w:r>
              <w:rPr>
                <w:rFonts w:ascii="宋体" w:hAnsi="宋体" w:cs="宋体"/>
                <w:color w:val="000000" w:themeColor="text1"/>
                <w:kern w:val="0"/>
                <w:lang w:bidi="ar"/>
                <w14:textFill>
                  <w14:solidFill>
                    <w14:schemeClr w14:val="tx1"/>
                  </w14:solidFill>
                </w14:textFill>
              </w:rPr>
              <w:t>1000Hz</w:t>
            </w:r>
            <w:r>
              <w:rPr>
                <w:rFonts w:hint="eastAsia" w:ascii="宋体" w:hAnsi="宋体" w:cs="宋体"/>
                <w:color w:val="000000" w:themeColor="text1"/>
                <w:kern w:val="0"/>
                <w:lang w:bidi="ar"/>
                <w14:textFill>
                  <w14:solidFill>
                    <w14:schemeClr w14:val="tx1"/>
                  </w14:solidFill>
                </w14:textFill>
              </w:rPr>
              <w:t>并</w:t>
            </w:r>
            <w:r>
              <w:rPr>
                <w:rFonts w:ascii="宋体" w:hAnsi="宋体" w:cs="宋体"/>
                <w:color w:val="000000" w:themeColor="text1"/>
                <w:kern w:val="0"/>
                <w:lang w:bidi="ar"/>
                <w14:textFill>
                  <w14:solidFill>
                    <w14:schemeClr w14:val="tx1"/>
                  </w14:solidFill>
                </w14:textFill>
              </w:rPr>
              <w:t>支持自定义设置</w:t>
            </w:r>
            <w:r>
              <w:rPr>
                <w:rFonts w:hint="eastAsia" w:ascii="宋体" w:hAnsi="宋体" w:cs="宋体"/>
                <w:b/>
                <w:bCs/>
                <w:color w:val="000000" w:themeColor="text1"/>
                <w:kern w:val="0"/>
                <w:lang w:bidi="ar"/>
                <w14:textFill>
                  <w14:solidFill>
                    <w14:schemeClr w14:val="tx1"/>
                  </w14:solidFill>
                </w14:textFill>
              </w:rPr>
              <w:t>（投标文件中提供彩页扫描件）</w:t>
            </w:r>
            <w:r>
              <w:rPr>
                <w:rFonts w:hint="eastAsia" w:ascii="宋体" w:hAnsi="宋体" w:cs="宋体"/>
                <w:color w:val="000000" w:themeColor="text1"/>
                <w:kern w:val="0"/>
                <w:lang w:eastAsia="zh-CN" w:bidi="ar"/>
                <w14:textFill>
                  <w14:solidFill>
                    <w14:schemeClr w14:val="tx1"/>
                  </w14:solidFill>
                </w14:textFill>
              </w:rPr>
              <w:t>。</w:t>
            </w:r>
            <w:r>
              <w:rPr>
                <w:rFonts w:ascii="宋体" w:hAnsi="宋体" w:cs="宋体"/>
                <w:color w:val="000000" w:themeColor="text1"/>
                <w:kern w:val="0"/>
                <w:lang w:bidi="ar"/>
                <w14:textFill>
                  <w14:solidFill>
                    <w14:schemeClr w14:val="tx1"/>
                  </w14:solidFill>
                </w14:textFill>
              </w:rPr>
              <w:t>过载能力3X</w:t>
            </w:r>
            <w:r>
              <w:rPr>
                <w:rFonts w:hint="eastAsia" w:ascii="宋体" w:hAnsi="宋体" w:cs="宋体"/>
                <w:color w:val="000000" w:themeColor="text1"/>
                <w:kern w:val="0"/>
                <w:lang w:bidi="ar"/>
                <w14:textFill>
                  <w14:solidFill>
                    <w14:schemeClr w14:val="tx1"/>
                  </w14:solidFill>
                </w14:textFill>
              </w:rPr>
              <w:t>；</w:t>
            </w:r>
            <w:r>
              <w:rPr>
                <w:rFonts w:ascii="宋体" w:hAnsi="宋体" w:cs="宋体"/>
                <w:color w:val="000000" w:themeColor="text1"/>
                <w:kern w:val="0"/>
                <w:lang w:bidi="ar"/>
                <w14:textFill>
                  <w14:solidFill>
                    <w14:schemeClr w14:val="tx1"/>
                  </w14:solidFill>
                </w14:textFill>
              </w:rPr>
              <w:t>零点校准，测试/校准切换采用气动模式，内部有免维护的气动阀路系统</w:t>
            </w:r>
            <w:r>
              <w:rPr>
                <w:rFonts w:hint="eastAsia" w:ascii="宋体" w:hAnsi="宋体" w:cs="宋体"/>
                <w:color w:val="000000" w:themeColor="text1"/>
                <w:kern w:val="0"/>
                <w:lang w:bidi="ar"/>
                <w14:textFill>
                  <w14:solidFill>
                    <w14:schemeClr w14:val="tx1"/>
                  </w14:solidFill>
                </w14:textFill>
              </w:rPr>
              <w:t>；</w:t>
            </w:r>
            <w:r>
              <w:rPr>
                <w:rFonts w:ascii="宋体" w:hAnsi="宋体" w:cs="宋体"/>
                <w:color w:val="000000" w:themeColor="text1"/>
                <w:kern w:val="0"/>
                <w:lang w:bidi="ar"/>
                <w14:textFill>
                  <w14:solidFill>
                    <w14:schemeClr w14:val="tx1"/>
                  </w14:solidFill>
                </w14:textFill>
              </w:rPr>
              <w:t>软件内置多孔探针算法，可连接位移机构自动化控制及采集</w:t>
            </w:r>
            <w:r>
              <w:rPr>
                <w:rFonts w:hint="eastAsia" w:ascii="宋体" w:hAnsi="宋体" w:cs="宋体"/>
                <w:color w:val="000000" w:themeColor="text1"/>
                <w:kern w:val="0"/>
                <w:lang w:bidi="ar"/>
                <w14:textFill>
                  <w14:solidFill>
                    <w14:schemeClr w14:val="tx1"/>
                  </w14:solidFill>
                </w14:textFill>
              </w:rPr>
              <w:t>。</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535FAB52">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283C7CB7">
            <w:pPr>
              <w:widowControl/>
              <w:spacing w:before="0" w:beforeAutospacing="0" w:after="0" w:line="300" w:lineRule="auto"/>
              <w:jc w:val="center"/>
              <w:rPr>
                <w:rFonts w:hint="eastAsia" w:ascii="宋体" w:hAnsi="宋体" w:cs="宋体"/>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8BEEC62">
            <w:pPr>
              <w:widowControl/>
              <w:spacing w:before="0" w:beforeAutospacing="0" w:after="0" w:line="300" w:lineRule="auto"/>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121360EA">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79AB3F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51AC014B">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bookmarkStart w:id="18" w:name="OLE_LINK3"/>
          </w:p>
        </w:tc>
        <w:tc>
          <w:tcPr>
            <w:tcW w:w="717" w:type="dxa"/>
            <w:tcBorders>
              <w:top w:val="single" w:color="auto" w:sz="4" w:space="0"/>
              <w:left w:val="single" w:color="auto" w:sz="4" w:space="0"/>
              <w:bottom w:val="single" w:color="auto" w:sz="4" w:space="0"/>
              <w:right w:val="single" w:color="auto" w:sz="4" w:space="0"/>
            </w:tcBorders>
            <w:noWrap w:val="0"/>
            <w:vAlign w:val="center"/>
          </w:tcPr>
          <w:p w14:paraId="6C870406">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热质联用系统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74165FAD">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2"/>
                <w:rFonts w:hint="default" w:ascii="宋体" w:hAnsi="宋体" w:eastAsia="宋体" w:cs="宋体"/>
                <w:color w:val="000000" w:themeColor="text1"/>
                <w:sz w:val="21"/>
                <w:szCs w:val="21"/>
                <w:lang w:bidi="ar"/>
                <w14:textFill>
                  <w14:solidFill>
                    <w14:schemeClr w14:val="tx1"/>
                  </w14:solidFill>
                </w14:textFill>
              </w:rPr>
              <w:t>一、热分析单元</w:t>
            </w:r>
          </w:p>
          <w:p w14:paraId="788CD90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分析类型：同步热分析系统</w:t>
            </w:r>
          </w:p>
          <w:p w14:paraId="066FE481">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二、</w:t>
            </w:r>
            <w:r>
              <w:rPr>
                <w:rStyle w:val="12"/>
                <w:rFonts w:hint="default" w:ascii="宋体" w:hAnsi="宋体" w:eastAsia="宋体" w:cs="宋体"/>
                <w:color w:val="000000" w:themeColor="text1"/>
                <w:sz w:val="21"/>
                <w:szCs w:val="21"/>
                <w:lang w:bidi="ar"/>
                <w14:textFill>
                  <w14:solidFill>
                    <w14:schemeClr w14:val="tx1"/>
                  </w14:solidFill>
                </w14:textFill>
              </w:rPr>
              <w:t>技术参数</w:t>
            </w:r>
          </w:p>
          <w:p w14:paraId="35BCEC7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w:t>
            </w:r>
            <w:r>
              <w:rPr>
                <w:rStyle w:val="13"/>
                <w:rFonts w:hint="default" w:ascii="宋体" w:hAnsi="宋体" w:eastAsia="宋体" w:cs="宋体"/>
                <w:color w:val="000000" w:themeColor="text1"/>
                <w:sz w:val="21"/>
                <w:szCs w:val="21"/>
                <w:lang w:bidi="ar"/>
                <w14:textFill>
                  <w14:solidFill>
                    <w14:schemeClr w14:val="tx1"/>
                  </w14:solidFill>
                </w14:textFill>
              </w:rPr>
              <w:t>温度范围：覆盖室温～1550℃；</w:t>
            </w:r>
          </w:p>
          <w:p w14:paraId="6D3D31B8">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温度分辨率</w:t>
            </w:r>
            <w:r>
              <w:rPr>
                <w:rFonts w:ascii="宋体" w:hAnsi="宋体" w:cs="宋体"/>
                <w:color w:val="000000" w:themeColor="text1"/>
                <w:lang w:val="en"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0.1℃；</w:t>
            </w:r>
          </w:p>
          <w:p w14:paraId="6C5132E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温度准确度：0.1℃；</w:t>
            </w:r>
          </w:p>
          <w:p w14:paraId="7E2513F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4.</w:t>
            </w:r>
            <w:r>
              <w:rPr>
                <w:rStyle w:val="13"/>
                <w:rFonts w:hint="default" w:ascii="宋体" w:hAnsi="宋体" w:eastAsia="宋体" w:cs="宋体"/>
                <w:color w:val="000000" w:themeColor="text1"/>
                <w:sz w:val="21"/>
                <w:szCs w:val="21"/>
                <w:lang w:bidi="ar"/>
                <w14:textFill>
                  <w14:solidFill>
                    <w14:schemeClr w14:val="tx1"/>
                  </w14:solidFill>
                </w14:textFill>
              </w:rPr>
              <w:t>升温速率：0.1℃～100℃/min（可自定义）；</w:t>
            </w:r>
          </w:p>
          <w:p w14:paraId="6ECB5FA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5.★</w:t>
            </w:r>
            <w:r>
              <w:rPr>
                <w:rStyle w:val="13"/>
                <w:rFonts w:hint="default" w:ascii="宋体" w:hAnsi="宋体" w:eastAsia="宋体" w:cs="宋体"/>
                <w:color w:val="000000" w:themeColor="text1"/>
                <w:sz w:val="21"/>
                <w:szCs w:val="21"/>
                <w:lang w:bidi="ar"/>
                <w14:textFill>
                  <w14:solidFill>
                    <w14:schemeClr w14:val="tx1"/>
                  </w14:solidFill>
                </w14:textFill>
              </w:rPr>
              <w:t>两种炉体升温控温模式：①根据样品热电偶控制升温②根据炉温热电偶控制升温，并且两种工作模式可通过软件设置任意切换</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（投标文件中提供软件操作界面截图，佐证具备两种温控功能）</w:t>
            </w:r>
            <w:r>
              <w:rPr>
                <w:rStyle w:val="13"/>
                <w:rFonts w:hint="default" w:ascii="宋体" w:hAnsi="宋体" w:eastAsia="宋体" w:cs="宋体"/>
                <w:color w:val="000000" w:themeColor="text1"/>
                <w:sz w:val="21"/>
                <w:szCs w:val="21"/>
                <w:lang w:bidi="ar"/>
                <w14:textFill>
                  <w14:solidFill>
                    <w14:schemeClr w14:val="tx1"/>
                  </w14:solidFill>
                </w14:textFill>
              </w:rPr>
              <w:t>；具有全自动温度，质量校准系统；</w:t>
            </w:r>
          </w:p>
          <w:p w14:paraId="3573338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6.</w:t>
            </w:r>
            <w:r>
              <w:rPr>
                <w:rFonts w:ascii="宋体" w:hAnsi="宋体" w:cs="宋体"/>
                <w:b/>
                <w:bCs/>
                <w:color w:val="000000" w:themeColor="text1"/>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在任意温度点下可恒温时间≥72小时</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(投标文件中提供证明文件)</w:t>
            </w:r>
            <w:r>
              <w:rPr>
                <w:rStyle w:val="13"/>
                <w:rFonts w:hint="default" w:ascii="宋体" w:hAnsi="宋体" w:eastAsia="宋体" w:cs="宋体"/>
                <w:color w:val="000000" w:themeColor="text1"/>
                <w:sz w:val="21"/>
                <w:szCs w:val="21"/>
                <w:lang w:bidi="ar"/>
                <w14:textFill>
                  <w14:solidFill>
                    <w14:schemeClr w14:val="tx1"/>
                  </w14:solidFill>
                </w14:textFill>
              </w:rPr>
              <w:t>；</w:t>
            </w:r>
          </w:p>
          <w:p w14:paraId="0CE5A18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7.★</w:t>
            </w:r>
            <w:r>
              <w:rPr>
                <w:rStyle w:val="13"/>
                <w:rFonts w:hint="default" w:ascii="宋体" w:hAnsi="宋体" w:eastAsia="宋体" w:cs="宋体"/>
                <w:color w:val="000000" w:themeColor="text1"/>
                <w:sz w:val="21"/>
                <w:szCs w:val="21"/>
                <w:lang w:bidi="ar"/>
                <w14:textFill>
                  <w14:solidFill>
                    <w14:schemeClr w14:val="tx1"/>
                  </w14:solidFill>
                </w14:textFill>
              </w:rPr>
              <w:t>具有步冷曲线绘制功能、结晶动力学计算功能</w:t>
            </w:r>
            <w:r>
              <w:rPr>
                <w:rStyle w:val="13"/>
                <w:rFonts w:hint="default" w:ascii="宋体" w:hAnsi="宋体" w:eastAsia="宋体" w:cs="宋体"/>
                <w:b/>
                <w:bCs/>
                <w:color w:val="000000" w:themeColor="text1"/>
                <w:sz w:val="21"/>
                <w:szCs w:val="21"/>
                <w:lang w:bidi="ar"/>
                <w14:textFill>
                  <w14:solidFill>
                    <w14:schemeClr w14:val="tx1"/>
                  </w14:solidFill>
                </w14:textFill>
              </w:rPr>
              <w:t>（投标文件提供步冷曲线绘制界面和结晶动力学计算功能截图）</w:t>
            </w:r>
            <w:r>
              <w:rPr>
                <w:rStyle w:val="13"/>
                <w:rFonts w:hint="default" w:ascii="宋体" w:hAnsi="宋体" w:eastAsia="宋体" w:cs="宋体"/>
                <w:color w:val="000000" w:themeColor="text1"/>
                <w:sz w:val="21"/>
                <w:szCs w:val="21"/>
                <w:lang w:bidi="ar"/>
                <w14:textFill>
                  <w14:solidFill>
                    <w14:schemeClr w14:val="tx1"/>
                  </w14:solidFill>
                </w14:textFill>
              </w:rPr>
              <w:t>；</w:t>
            </w:r>
          </w:p>
          <w:p w14:paraId="62D2A4F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8.</w:t>
            </w:r>
            <w:r>
              <w:rPr>
                <w:rStyle w:val="13"/>
                <w:rFonts w:hint="default" w:ascii="宋体" w:hAnsi="宋体" w:eastAsia="宋体" w:cs="宋体"/>
                <w:color w:val="000000" w:themeColor="text1"/>
                <w:sz w:val="21"/>
                <w:szCs w:val="21"/>
                <w:lang w:bidi="ar"/>
                <w14:textFill>
                  <w14:solidFill>
                    <w14:schemeClr w14:val="tx1"/>
                  </w14:solidFill>
                </w14:textFill>
              </w:rPr>
              <w:t>TG量程：覆盖1mg～200mg（更换支撑杆实现0-5g可调）；</w:t>
            </w:r>
          </w:p>
          <w:p w14:paraId="58C8EB1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9.</w:t>
            </w:r>
            <w:r>
              <w:rPr>
                <w:rStyle w:val="13"/>
                <w:rFonts w:hint="default" w:ascii="宋体" w:hAnsi="宋体" w:eastAsia="宋体" w:cs="宋体"/>
                <w:color w:val="000000" w:themeColor="text1"/>
                <w:sz w:val="21"/>
                <w:szCs w:val="21"/>
                <w:lang w:bidi="ar"/>
                <w14:textFill>
                  <w14:solidFill>
                    <w14:schemeClr w14:val="tx1"/>
                  </w14:solidFill>
                </w14:textFill>
              </w:rPr>
              <w:t>解析度：≤0.1μg；</w:t>
            </w:r>
          </w:p>
          <w:p w14:paraId="39759884">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10.</w:t>
            </w:r>
            <w:r>
              <w:rPr>
                <w:rStyle w:val="13"/>
                <w:rFonts w:hint="default" w:ascii="宋体" w:hAnsi="宋体" w:eastAsia="宋体" w:cs="宋体"/>
                <w:color w:val="000000" w:themeColor="text1"/>
                <w:sz w:val="21"/>
                <w:szCs w:val="21"/>
                <w:lang w:bidi="ar"/>
                <w14:textFill>
                  <w14:solidFill>
                    <w14:schemeClr w14:val="tx1"/>
                  </w14:solidFill>
                </w14:textFill>
              </w:rPr>
              <w:t>噪声：＜0.1µg。</w:t>
            </w:r>
          </w:p>
          <w:p w14:paraId="1836AB7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11.</w:t>
            </w:r>
            <w:r>
              <w:rPr>
                <w:rStyle w:val="13"/>
                <w:rFonts w:hint="default" w:ascii="宋体" w:hAnsi="宋体" w:eastAsia="宋体" w:cs="宋体"/>
                <w:color w:val="000000" w:themeColor="text1"/>
                <w:sz w:val="21"/>
                <w:szCs w:val="21"/>
                <w:lang w:bidi="ar"/>
                <w14:textFill>
                  <w14:solidFill>
                    <w14:schemeClr w14:val="tx1"/>
                  </w14:solidFill>
                </w14:textFill>
              </w:rPr>
              <w:t>DTA量程：±10µv～±2000µv(无量程控制)；</w:t>
            </w:r>
          </w:p>
          <w:p w14:paraId="794D6BF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12.</w:t>
            </w:r>
            <w:r>
              <w:rPr>
                <w:rStyle w:val="13"/>
                <w:rFonts w:hint="default" w:ascii="宋体" w:hAnsi="宋体" w:eastAsia="宋体" w:cs="宋体"/>
                <w:color w:val="000000" w:themeColor="text1"/>
                <w:sz w:val="21"/>
                <w:szCs w:val="21"/>
                <w:lang w:bidi="ar"/>
                <w14:textFill>
                  <w14:solidFill>
                    <w14:schemeClr w14:val="tx1"/>
                  </w14:solidFill>
                </w14:textFill>
              </w:rPr>
              <w:t>解析度：0.01µv；</w:t>
            </w:r>
          </w:p>
          <w:p w14:paraId="67C6150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13.</w:t>
            </w:r>
            <w:r>
              <w:rPr>
                <w:rStyle w:val="13"/>
                <w:rFonts w:hint="default" w:ascii="宋体" w:hAnsi="宋体" w:eastAsia="宋体" w:cs="宋体"/>
                <w:color w:val="000000" w:themeColor="text1"/>
                <w:sz w:val="21"/>
                <w:szCs w:val="21"/>
                <w:lang w:bidi="ar"/>
                <w14:textFill>
                  <w14:solidFill>
                    <w14:schemeClr w14:val="tx1"/>
                  </w14:solidFill>
                </w14:textFill>
              </w:rPr>
              <w:t>DSC量程：±1mW～±500mW；</w:t>
            </w:r>
          </w:p>
          <w:p w14:paraId="7FB91F07">
            <w:pPr>
              <w:widowControl/>
              <w:wordWrap w:val="0"/>
              <w:spacing w:before="0" w:beforeAutospacing="0" w:after="0" w:line="300" w:lineRule="auto"/>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14.</w:t>
            </w:r>
            <w:r>
              <w:rPr>
                <w:rStyle w:val="13"/>
                <w:rFonts w:hint="default" w:ascii="宋体" w:hAnsi="宋体" w:eastAsia="宋体" w:cs="宋体"/>
                <w:color w:val="000000" w:themeColor="text1"/>
                <w:sz w:val="21"/>
                <w:szCs w:val="21"/>
                <w:lang w:bidi="ar"/>
                <w14:textFill>
                  <w14:solidFill>
                    <w14:schemeClr w14:val="tx1"/>
                  </w14:solidFill>
                </w14:textFill>
              </w:rPr>
              <w:t>精度：±0.1µW；软件功能：横坐标轴可选择温度或时间作标尺，纵坐标轴可选择绝对重量或百分比作标尺；可完成 DTA、TG、DTG、DDTG 常规数据处理；可完成DTA峰面积、热焓计算、数据比较、多种算法计算活化能、玻璃化温度、比较法测量比热等数据处理；标配软件自带自定义公式编辑和录入功能，及时提供对应计算功能；全部测量过程自动完成，自动绘图，系统采集试样过程中，可任意时刻截图，根据输出信号大小自动变换量程，气氛控制系统：采用两路高精度质量流量控制器，支持稳压稳流控制，实验过程中两路气氛全自动切换；流量控制精度≤±0.5%F.S，流量重复性≤±0.2%F.S，阶跃流量调节响应时间≤1s；</w:t>
            </w:r>
          </w:p>
          <w:p w14:paraId="55BAF39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15.</w:t>
            </w:r>
            <w:r>
              <w:rPr>
                <w:rStyle w:val="13"/>
                <w:rFonts w:hint="default" w:ascii="宋体" w:hAnsi="宋体" w:eastAsia="宋体" w:cs="宋体"/>
                <w:color w:val="000000" w:themeColor="text1"/>
                <w:sz w:val="21"/>
                <w:szCs w:val="21"/>
                <w:lang w:bidi="ar"/>
                <w14:textFill>
                  <w14:solidFill>
                    <w14:schemeClr w14:val="tx1"/>
                  </w14:solidFill>
                </w14:textFill>
              </w:rPr>
              <w:t>气氛:惰性、氧化性、还原性、静态、动态；预留恒温控制器接口、恒温气相色谱质谱连接头，恒温带性能稳定，可进行焦油及各种反应气体的二次检测。</w:t>
            </w:r>
          </w:p>
          <w:p w14:paraId="68E30B3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16.</w:t>
            </w:r>
            <w:r>
              <w:rPr>
                <w:rStyle w:val="13"/>
                <w:rFonts w:hint="default" w:ascii="宋体" w:hAnsi="宋体" w:eastAsia="宋体" w:cs="宋体"/>
                <w:color w:val="000000" w:themeColor="text1"/>
                <w:sz w:val="21"/>
                <w:szCs w:val="21"/>
                <w:lang w:bidi="ar"/>
                <w14:textFill>
                  <w14:solidFill>
                    <w14:schemeClr w14:val="tx1"/>
                  </w14:solidFill>
                </w14:textFill>
              </w:rPr>
              <w:t>控温范围：覆盖25～200℃，控温精度：±0.1℃；预留真空机组接口（仪器本身有真空密封措施）选配真空机组后可达2.5×10-2pa；</w:t>
            </w:r>
          </w:p>
          <w:p w14:paraId="69FB80B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17.★</w:t>
            </w:r>
            <w:r>
              <w:rPr>
                <w:rStyle w:val="13"/>
                <w:rFonts w:hint="default" w:ascii="宋体" w:hAnsi="宋体" w:eastAsia="宋体" w:cs="宋体"/>
                <w:color w:val="000000" w:themeColor="text1"/>
                <w:sz w:val="21"/>
                <w:szCs w:val="21"/>
                <w:lang w:bidi="ar"/>
                <w14:textFill>
                  <w14:solidFill>
                    <w14:schemeClr w14:val="tx1"/>
                  </w14:solidFill>
                </w14:textFill>
              </w:rPr>
              <w:t>预留尾气处理单元接口：尾气处理单元由加热炉密封腔体的排气通道上安装的冷凝器和气液分离器组成，反应所生成的残余物经过通道排至冷凝器中降温处理，再直通分离器处理收集；</w:t>
            </w:r>
          </w:p>
          <w:p w14:paraId="049BC802">
            <w:pPr>
              <w:widowControl/>
              <w:wordWrap w:val="0"/>
              <w:spacing w:before="0" w:beforeAutospacing="0" w:after="0" w:line="300" w:lineRule="auto"/>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b/>
                <w:bCs/>
                <w:color w:val="000000" w:themeColor="text1"/>
                <w:lang w:bidi="ar"/>
                <w14:textFill>
                  <w14:solidFill>
                    <w14:schemeClr w14:val="tx1"/>
                  </w14:solidFill>
                </w14:textFill>
              </w:rPr>
              <w:t>18.</w:t>
            </w:r>
            <w:r>
              <w:rPr>
                <w:rFonts w:ascii="宋体" w:hAnsi="宋体" w:cs="宋体"/>
                <w:color w:val="000000" w:themeColor="text1"/>
                <w:lang w:bidi="ar"/>
                <w14:textFill>
                  <w14:solidFill>
                    <w14:schemeClr w14:val="tx1"/>
                  </w14:solidFill>
                </w14:textFill>
              </w:rPr>
              <w:t>★设备整机原生配套</w:t>
            </w:r>
            <w:r>
              <w:rPr>
                <w:rFonts w:hint="eastAsia" w:ascii="宋体" w:hAnsi="宋体" w:cs="宋体"/>
                <w:color w:val="000000" w:themeColor="text1"/>
                <w:lang w:bidi="ar"/>
                <w14:textFill>
                  <w14:solidFill>
                    <w14:schemeClr w14:val="tx1"/>
                  </w14:solidFill>
                </w14:textFill>
              </w:rPr>
              <w:t>24</w:t>
            </w:r>
            <w:r>
              <w:rPr>
                <w:rFonts w:ascii="宋体" w:hAnsi="宋体" w:cs="宋体"/>
                <w:color w:val="000000" w:themeColor="text1"/>
                <w:lang w:bidi="ar"/>
                <w14:textFill>
                  <w14:solidFill>
                    <w14:schemeClr w14:val="tx1"/>
                  </w14:solidFill>
                </w14:textFill>
              </w:rPr>
              <w:t>位全自动进样模块</w:t>
            </w:r>
            <w:r>
              <w:rPr>
                <w:rFonts w:hint="eastAsia" w:ascii="宋体" w:hAnsi="宋体" w:cs="宋体"/>
                <w:b/>
                <w:bCs/>
                <w:color w:val="000000" w:themeColor="text1"/>
                <w:lang w:bidi="ar"/>
                <w14:textFill>
                  <w14:solidFill>
                    <w14:schemeClr w14:val="tx1"/>
                  </w14:solidFill>
                </w14:textFill>
              </w:rPr>
              <w:t>（投标文件中提供实物照片，佐证24位进样）</w:t>
            </w:r>
            <w:r>
              <w:rPr>
                <w:rFonts w:ascii="宋体" w:hAnsi="宋体" w:cs="宋体"/>
                <w:color w:val="000000" w:themeColor="text1"/>
                <w:lang w:bidi="ar"/>
                <w14:textFill>
                  <w14:solidFill>
                    <w14:schemeClr w14:val="tx1"/>
                  </w14:solidFill>
                </w14:textFill>
              </w:rPr>
              <w:t>，天平、炉体、主控电路、配套分析软件内置完整进样控制驱动程序，主机一体化集成安装，无需更换天平、传感器、炉体等核心部件；具备样品全自动连续进样测试功能。</w:t>
            </w:r>
            <w:r>
              <w:rPr>
                <w:rStyle w:val="13"/>
                <w:rFonts w:hint="default" w:ascii="宋体" w:hAnsi="宋体" w:eastAsia="宋体" w:cs="宋体"/>
                <w:color w:val="000000" w:themeColor="text1"/>
                <w:sz w:val="21"/>
                <w:szCs w:val="21"/>
                <w:lang w:bidi="ar"/>
                <w14:textFill>
                  <w14:solidFill>
                    <w14:schemeClr w14:val="tx1"/>
                  </w14:solidFill>
                </w14:textFill>
              </w:rPr>
              <w:t>设备整机原生配套样品反应观察窗组件，整机软硬件底层完全兼容，无需改造核心部件；设备运行时可全程直观观测样品升温反应全过程状态变化。</w:t>
            </w:r>
          </w:p>
          <w:p w14:paraId="246D5580">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三、</w:t>
            </w:r>
            <w:r>
              <w:rPr>
                <w:rStyle w:val="12"/>
                <w:rFonts w:hint="default" w:ascii="宋体" w:hAnsi="宋体" w:eastAsia="宋体" w:cs="宋体"/>
                <w:color w:val="000000" w:themeColor="text1"/>
                <w:sz w:val="21"/>
                <w:szCs w:val="21"/>
                <w:lang w:bidi="ar"/>
                <w14:textFill>
                  <w14:solidFill>
                    <w14:schemeClr w14:val="tx1"/>
                  </w14:solidFill>
                </w14:textFill>
              </w:rPr>
              <w:t>配件及资料</w:t>
            </w:r>
          </w:p>
          <w:p w14:paraId="4D895B01">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1.坩埚配置均包含在合同供货总价内，完整提供：标准陶瓷坩埚（0.06ml、0.12ml）、铝坩埚、石墨坩埚、石英坩埚、铂金坩埚，到货验收时全部清点交付，不得缺配。</w:t>
            </w:r>
          </w:p>
          <w:p w14:paraId="7F3B89D1">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9"/>
                <w:rFonts w:hint="eastAsia" w:ascii="宋体" w:hAnsi="宋体" w:cs="宋体"/>
                <w:color w:val="000000" w:themeColor="text1"/>
                <w:lang w:bidi="ar"/>
                <w14:textFill>
                  <w14:solidFill>
                    <w14:schemeClr w14:val="tx1"/>
                  </w14:solidFill>
                </w14:textFill>
              </w:rPr>
              <w:t>2.</w:t>
            </w:r>
            <w:r>
              <w:rPr>
                <w:rFonts w:hint="eastAsia" w:ascii="宋体" w:hAnsi="宋体" w:cs="宋体"/>
                <w:color w:val="000000" w:themeColor="text1"/>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配仿真软件1套，功能：软件采用3D虚拟仿真技术，包含：实验原理，实验仪器简介，实物仿真操作，数据分析处理演示，在线模拟实验和实验报告等功能。</w:t>
            </w:r>
          </w:p>
          <w:p w14:paraId="4A8D2115">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2"/>
                <w:rFonts w:hint="default" w:ascii="宋体" w:hAnsi="宋体" w:eastAsia="宋体" w:cs="宋体"/>
                <w:color w:val="000000" w:themeColor="text1"/>
                <w:sz w:val="21"/>
                <w:szCs w:val="21"/>
                <w:lang w:bidi="ar"/>
                <w14:textFill>
                  <w14:solidFill>
                    <w14:schemeClr w14:val="tx1"/>
                  </w14:solidFill>
                </w14:textFill>
              </w:rPr>
              <w:t>四、质谱单元</w:t>
            </w:r>
          </w:p>
          <w:p w14:paraId="0D156E29">
            <w:pPr>
              <w:widowControl/>
              <w:wordWrap w:val="0"/>
              <w:spacing w:before="0" w:beforeAutospacing="0" w:after="0" w:line="300" w:lineRule="auto"/>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离子源：高离子传输效率聚焦型全惰性EI离子源，配备多级离子聚焦光学透镜，电离腔体整体惰性钝化处理；离子源控温范围覆盖≥100℃-350℃，电子能量0-250eV连续可调。；灯丝发射电流：覆盖0-300µA；质量过滤器：四极杆；质量数范围：覆盖1.5-1100u；质量轴稳定性：优于±0.10u/48小时；检测器：具有电子倍增器的三重离轴检测器，多级离轴偏转抑制中性噪声，电子倍增器连续运行寿命≥12000小时，长期测试裂解样品增益衰减慢；扫描速度：超高质量扫描速度≥24000u/秒；全扫描模式（SCAN）最长时间无限制；前级泵采用≥130L/min机械泵，高真空采用≥70L/s涡轮分子泵。</w:t>
            </w:r>
          </w:p>
          <w:p w14:paraId="3E1C26D1">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2"/>
                <w:rFonts w:hint="default" w:ascii="宋体" w:hAnsi="宋体" w:eastAsia="宋体" w:cs="宋体"/>
                <w:color w:val="000000" w:themeColor="text1"/>
                <w:sz w:val="21"/>
                <w:szCs w:val="21"/>
                <w:lang w:bidi="ar"/>
                <w14:textFill>
                  <w14:solidFill>
                    <w14:schemeClr w14:val="tx1"/>
                  </w14:solidFill>
                </w14:textFill>
              </w:rPr>
              <w:t>五、数据处理系统</w:t>
            </w:r>
          </w:p>
          <w:p w14:paraId="5BBA4F17">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高速数据采集处理平台采用多核并行处理架构与高速电子线路设计，可完成质谱超高速扫描海量数据同步运算；搭载仪器深度定制专属分析软件，支持SIM/Scan同步采集模式，高速全扫描模式可在完整分析周期内实现全质量范围检测，且不会造成检测灵敏度明显衰减；配套完整NIST标准质谱谱库。配套原厂专用控制软件1套仪器标准附件包1套，配套专属控制与数据处理软件，支持实验参数编辑编程、多维度数据拟合分析、自动生成检测报表，软件可高效承载质谱海量高速数据流实时存储、同步解析、长时间连续采集，运行流畅无卡顿、无数据丢失。</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58A94E65">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65A8AD7F">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1EFD2826">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25F6B252">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bookmarkEnd w:id="18"/>
      <w:tr w14:paraId="415E25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4E62C2AA">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5298D21B">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220345" cy="283845"/>
                  <wp:effectExtent l="0" t="0" r="0" b="0"/>
                  <wp:wrapNone/>
                  <wp:docPr id="28" name="图片_2_SpCnt_25"/>
                  <wp:cNvGraphicFramePr/>
                  <a:graphic xmlns:a="http://schemas.openxmlformats.org/drawingml/2006/main">
                    <a:graphicData uri="http://schemas.openxmlformats.org/drawingml/2006/picture">
                      <pic:pic xmlns:pic="http://schemas.openxmlformats.org/drawingml/2006/picture">
                        <pic:nvPicPr>
                          <pic:cNvPr id="28" name="图片_2_SpCnt_25"/>
                          <pic:cNvPicPr/>
                        </pic:nvPicPr>
                        <pic:blipFill>
                          <a:blip r:embed="rId6"/>
                          <a:stretch>
                            <a:fillRect/>
                          </a:stretch>
                        </pic:blipFill>
                        <pic:spPr>
                          <a:xfrm>
                            <a:off x="0" y="0"/>
                            <a:ext cx="220345" cy="28384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29235" cy="274320"/>
                  <wp:effectExtent l="0" t="0" r="0" b="0"/>
                  <wp:wrapNone/>
                  <wp:docPr id="40" name="图片_9_SpCnt_7"/>
                  <wp:cNvGraphicFramePr/>
                  <a:graphic xmlns:a="http://schemas.openxmlformats.org/drawingml/2006/main">
                    <a:graphicData uri="http://schemas.openxmlformats.org/drawingml/2006/picture">
                      <pic:pic xmlns:pic="http://schemas.openxmlformats.org/drawingml/2006/picture">
                        <pic:nvPicPr>
                          <pic:cNvPr id="40" name="图片_9_SpCnt_7"/>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229235" cy="274320"/>
                  <wp:effectExtent l="0" t="0" r="0" b="0"/>
                  <wp:wrapNone/>
                  <wp:docPr id="19" name="图片_2_SpCnt_26"/>
                  <wp:cNvGraphicFramePr/>
                  <a:graphic xmlns:a="http://schemas.openxmlformats.org/drawingml/2006/main">
                    <a:graphicData uri="http://schemas.openxmlformats.org/drawingml/2006/picture">
                      <pic:pic xmlns:pic="http://schemas.openxmlformats.org/drawingml/2006/picture">
                        <pic:nvPicPr>
                          <pic:cNvPr id="19" name="图片_2_SpCnt_26"/>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219710" cy="283210"/>
                  <wp:effectExtent l="0" t="0" r="0" b="0"/>
                  <wp:wrapNone/>
                  <wp:docPr id="20" name="图片_2_SpCnt_27"/>
                  <wp:cNvGraphicFramePr/>
                  <a:graphic xmlns:a="http://schemas.openxmlformats.org/drawingml/2006/main">
                    <a:graphicData uri="http://schemas.openxmlformats.org/drawingml/2006/picture">
                      <pic:pic xmlns:pic="http://schemas.openxmlformats.org/drawingml/2006/picture">
                        <pic:nvPicPr>
                          <pic:cNvPr id="20" name="图片_2_SpCnt_27"/>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229235" cy="274320"/>
                  <wp:effectExtent l="0" t="0" r="0" b="0"/>
                  <wp:wrapNone/>
                  <wp:docPr id="21" name="图片_2_SpCnt_28"/>
                  <wp:cNvGraphicFramePr/>
                  <a:graphic xmlns:a="http://schemas.openxmlformats.org/drawingml/2006/main">
                    <a:graphicData uri="http://schemas.openxmlformats.org/drawingml/2006/picture">
                      <pic:pic xmlns:pic="http://schemas.openxmlformats.org/drawingml/2006/picture">
                        <pic:nvPicPr>
                          <pic:cNvPr id="21" name="图片_2_SpCnt_28"/>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229235" cy="274320"/>
                  <wp:effectExtent l="0" t="0" r="0" b="0"/>
                  <wp:wrapNone/>
                  <wp:docPr id="18" name="图片_2_SpCnt_29"/>
                  <wp:cNvGraphicFramePr/>
                  <a:graphic xmlns:a="http://schemas.openxmlformats.org/drawingml/2006/main">
                    <a:graphicData uri="http://schemas.openxmlformats.org/drawingml/2006/picture">
                      <pic:pic xmlns:pic="http://schemas.openxmlformats.org/drawingml/2006/picture">
                        <pic:nvPicPr>
                          <pic:cNvPr id="18" name="图片_2_SpCnt_29"/>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220345" cy="283845"/>
                  <wp:effectExtent l="0" t="0" r="0" b="0"/>
                  <wp:wrapNone/>
                  <wp:docPr id="16" name="图片_2_SpCnt_30"/>
                  <wp:cNvGraphicFramePr/>
                  <a:graphic xmlns:a="http://schemas.openxmlformats.org/drawingml/2006/main">
                    <a:graphicData uri="http://schemas.openxmlformats.org/drawingml/2006/picture">
                      <pic:pic xmlns:pic="http://schemas.openxmlformats.org/drawingml/2006/picture">
                        <pic:nvPicPr>
                          <pic:cNvPr id="16" name="图片_2_SpCnt_30"/>
                          <pic:cNvPicPr/>
                        </pic:nvPicPr>
                        <pic:blipFill>
                          <a:blip r:embed="rId6"/>
                          <a:stretch>
                            <a:fillRect/>
                          </a:stretch>
                        </pic:blipFill>
                        <pic:spPr>
                          <a:xfrm>
                            <a:off x="0" y="0"/>
                            <a:ext cx="220345" cy="28384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229235" cy="274320"/>
                  <wp:effectExtent l="0" t="0" r="0" b="0"/>
                  <wp:wrapNone/>
                  <wp:docPr id="29" name="图片_2_SpCnt_31"/>
                  <wp:cNvGraphicFramePr/>
                  <a:graphic xmlns:a="http://schemas.openxmlformats.org/drawingml/2006/main">
                    <a:graphicData uri="http://schemas.openxmlformats.org/drawingml/2006/picture">
                      <pic:pic xmlns:pic="http://schemas.openxmlformats.org/drawingml/2006/picture">
                        <pic:nvPicPr>
                          <pic:cNvPr id="29" name="图片_2_SpCnt_31"/>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248285" cy="247650"/>
                  <wp:effectExtent l="0" t="0" r="0" b="0"/>
                  <wp:wrapNone/>
                  <wp:docPr id="24" name="图片_2_SpCnt_32"/>
                  <wp:cNvGraphicFramePr/>
                  <a:graphic xmlns:a="http://schemas.openxmlformats.org/drawingml/2006/main">
                    <a:graphicData uri="http://schemas.openxmlformats.org/drawingml/2006/picture">
                      <pic:pic xmlns:pic="http://schemas.openxmlformats.org/drawingml/2006/picture">
                        <pic:nvPicPr>
                          <pic:cNvPr id="24" name="图片_2_SpCnt_32"/>
                          <pic:cNvPicPr/>
                        </pic:nvPicPr>
                        <pic:blipFill>
                          <a:blip r:embed="rId7"/>
                          <a:stretch>
                            <a:fillRect/>
                          </a:stretch>
                        </pic:blipFill>
                        <pic:spPr>
                          <a:xfrm>
                            <a:off x="0" y="0"/>
                            <a:ext cx="248285" cy="24765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219710" cy="277495"/>
                  <wp:effectExtent l="0" t="0" r="0" b="0"/>
                  <wp:wrapNone/>
                  <wp:docPr id="39" name="图片_11_SpCnt_3"/>
                  <wp:cNvGraphicFramePr/>
                  <a:graphic xmlns:a="http://schemas.openxmlformats.org/drawingml/2006/main">
                    <a:graphicData uri="http://schemas.openxmlformats.org/drawingml/2006/picture">
                      <pic:pic xmlns:pic="http://schemas.openxmlformats.org/drawingml/2006/picture">
                        <pic:nvPicPr>
                          <pic:cNvPr id="39" name="图片_11_SpCnt_3"/>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219710" cy="277495"/>
                  <wp:effectExtent l="0" t="0" r="0" b="0"/>
                  <wp:wrapNone/>
                  <wp:docPr id="37" name="图片_9_SpCnt_8"/>
                  <wp:cNvGraphicFramePr/>
                  <a:graphic xmlns:a="http://schemas.openxmlformats.org/drawingml/2006/main">
                    <a:graphicData uri="http://schemas.openxmlformats.org/drawingml/2006/picture">
                      <pic:pic xmlns:pic="http://schemas.openxmlformats.org/drawingml/2006/picture">
                        <pic:nvPicPr>
                          <pic:cNvPr id="37" name="图片_9_SpCnt_8"/>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219710" cy="283210"/>
                  <wp:effectExtent l="0" t="0" r="0" b="0"/>
                  <wp:wrapNone/>
                  <wp:docPr id="31" name="图片_2_SpCnt_33"/>
                  <wp:cNvGraphicFramePr/>
                  <a:graphic xmlns:a="http://schemas.openxmlformats.org/drawingml/2006/main">
                    <a:graphicData uri="http://schemas.openxmlformats.org/drawingml/2006/picture">
                      <pic:pic xmlns:pic="http://schemas.openxmlformats.org/drawingml/2006/picture">
                        <pic:nvPicPr>
                          <pic:cNvPr id="31" name="图片_2_SpCnt_33"/>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229235" cy="274320"/>
                  <wp:effectExtent l="0" t="0" r="0" b="0"/>
                  <wp:wrapNone/>
                  <wp:docPr id="44" name="图片_9_SpCnt_9"/>
                  <wp:cNvGraphicFramePr/>
                  <a:graphic xmlns:a="http://schemas.openxmlformats.org/drawingml/2006/main">
                    <a:graphicData uri="http://schemas.openxmlformats.org/drawingml/2006/picture">
                      <pic:pic xmlns:pic="http://schemas.openxmlformats.org/drawingml/2006/picture">
                        <pic:nvPicPr>
                          <pic:cNvPr id="44" name="图片_9_SpCnt_9"/>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219710" cy="283210"/>
                  <wp:effectExtent l="0" t="0" r="0" b="0"/>
                  <wp:wrapNone/>
                  <wp:docPr id="41" name="图片_2_SpCnt_34"/>
                  <wp:cNvGraphicFramePr/>
                  <a:graphic xmlns:a="http://schemas.openxmlformats.org/drawingml/2006/main">
                    <a:graphicData uri="http://schemas.openxmlformats.org/drawingml/2006/picture">
                      <pic:pic xmlns:pic="http://schemas.openxmlformats.org/drawingml/2006/picture">
                        <pic:nvPicPr>
                          <pic:cNvPr id="41" name="图片_2_SpCnt_34"/>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229235" cy="274320"/>
                  <wp:effectExtent l="0" t="0" r="0" b="0"/>
                  <wp:wrapNone/>
                  <wp:docPr id="17" name="图片_2_SpCnt_35"/>
                  <wp:cNvGraphicFramePr/>
                  <a:graphic xmlns:a="http://schemas.openxmlformats.org/drawingml/2006/main">
                    <a:graphicData uri="http://schemas.openxmlformats.org/drawingml/2006/picture">
                      <pic:pic xmlns:pic="http://schemas.openxmlformats.org/drawingml/2006/picture">
                        <pic:nvPicPr>
                          <pic:cNvPr id="17" name="图片_2_SpCnt_35"/>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219710" cy="283210"/>
                  <wp:effectExtent l="0" t="0" r="0" b="0"/>
                  <wp:wrapNone/>
                  <wp:docPr id="45" name="图片_2_SpCnt_36"/>
                  <wp:cNvGraphicFramePr/>
                  <a:graphic xmlns:a="http://schemas.openxmlformats.org/drawingml/2006/main">
                    <a:graphicData uri="http://schemas.openxmlformats.org/drawingml/2006/picture">
                      <pic:pic xmlns:pic="http://schemas.openxmlformats.org/drawingml/2006/picture">
                        <pic:nvPicPr>
                          <pic:cNvPr id="45" name="图片_2_SpCnt_36"/>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248285" cy="247650"/>
                  <wp:effectExtent l="0" t="0" r="0" b="0"/>
                  <wp:wrapNone/>
                  <wp:docPr id="25" name="图片_2_SpCnt_37"/>
                  <wp:cNvGraphicFramePr/>
                  <a:graphic xmlns:a="http://schemas.openxmlformats.org/drawingml/2006/main">
                    <a:graphicData uri="http://schemas.openxmlformats.org/drawingml/2006/picture">
                      <pic:pic xmlns:pic="http://schemas.openxmlformats.org/drawingml/2006/picture">
                        <pic:nvPicPr>
                          <pic:cNvPr id="25" name="图片_2_SpCnt_37"/>
                          <pic:cNvPicPr/>
                        </pic:nvPicPr>
                        <pic:blipFill>
                          <a:blip r:embed="rId7"/>
                          <a:stretch>
                            <a:fillRect/>
                          </a:stretch>
                        </pic:blipFill>
                        <pic:spPr>
                          <a:xfrm>
                            <a:off x="0" y="0"/>
                            <a:ext cx="248285" cy="24765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229235" cy="274320"/>
                  <wp:effectExtent l="0" t="0" r="0" b="0"/>
                  <wp:wrapNone/>
                  <wp:docPr id="27" name="图片_2_SpCnt_38"/>
                  <wp:cNvGraphicFramePr/>
                  <a:graphic xmlns:a="http://schemas.openxmlformats.org/drawingml/2006/main">
                    <a:graphicData uri="http://schemas.openxmlformats.org/drawingml/2006/picture">
                      <pic:pic xmlns:pic="http://schemas.openxmlformats.org/drawingml/2006/picture">
                        <pic:nvPicPr>
                          <pic:cNvPr id="27" name="图片_2_SpCnt_38"/>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219710" cy="277495"/>
                  <wp:effectExtent l="0" t="0" r="0" b="0"/>
                  <wp:wrapNone/>
                  <wp:docPr id="47" name="图片_11_SpCnt_4"/>
                  <wp:cNvGraphicFramePr/>
                  <a:graphic xmlns:a="http://schemas.openxmlformats.org/drawingml/2006/main">
                    <a:graphicData uri="http://schemas.openxmlformats.org/drawingml/2006/picture">
                      <pic:pic xmlns:pic="http://schemas.openxmlformats.org/drawingml/2006/picture">
                        <pic:nvPicPr>
                          <pic:cNvPr id="47" name="图片_11_SpCnt_4"/>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219710" cy="283210"/>
                  <wp:effectExtent l="0" t="0" r="0" b="0"/>
                  <wp:wrapNone/>
                  <wp:docPr id="30" name="图片_2_SpCnt_39"/>
                  <wp:cNvGraphicFramePr/>
                  <a:graphic xmlns:a="http://schemas.openxmlformats.org/drawingml/2006/main">
                    <a:graphicData uri="http://schemas.openxmlformats.org/drawingml/2006/picture">
                      <pic:pic xmlns:pic="http://schemas.openxmlformats.org/drawingml/2006/picture">
                        <pic:nvPicPr>
                          <pic:cNvPr id="30" name="图片_2_SpCnt_39"/>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219710" cy="283210"/>
                  <wp:effectExtent l="0" t="0" r="0" b="0"/>
                  <wp:wrapNone/>
                  <wp:docPr id="43" name="图片_2_SpCnt_40"/>
                  <wp:cNvGraphicFramePr/>
                  <a:graphic xmlns:a="http://schemas.openxmlformats.org/drawingml/2006/main">
                    <a:graphicData uri="http://schemas.openxmlformats.org/drawingml/2006/picture">
                      <pic:pic xmlns:pic="http://schemas.openxmlformats.org/drawingml/2006/picture">
                        <pic:nvPicPr>
                          <pic:cNvPr id="43" name="图片_2_SpCnt_40"/>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219710" cy="277495"/>
                  <wp:effectExtent l="0" t="0" r="0" b="0"/>
                  <wp:wrapNone/>
                  <wp:docPr id="32" name="图片_9_SpCnt_10"/>
                  <wp:cNvGraphicFramePr/>
                  <a:graphic xmlns:a="http://schemas.openxmlformats.org/drawingml/2006/main">
                    <a:graphicData uri="http://schemas.openxmlformats.org/drawingml/2006/picture">
                      <pic:pic xmlns:pic="http://schemas.openxmlformats.org/drawingml/2006/picture">
                        <pic:nvPicPr>
                          <pic:cNvPr id="32" name="图片_9_SpCnt_10"/>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219710" cy="283210"/>
                  <wp:effectExtent l="0" t="0" r="0" b="0"/>
                  <wp:wrapNone/>
                  <wp:docPr id="42" name="图片_2_SpCnt_41"/>
                  <wp:cNvGraphicFramePr/>
                  <a:graphic xmlns:a="http://schemas.openxmlformats.org/drawingml/2006/main">
                    <a:graphicData uri="http://schemas.openxmlformats.org/drawingml/2006/picture">
                      <pic:pic xmlns:pic="http://schemas.openxmlformats.org/drawingml/2006/picture">
                        <pic:nvPicPr>
                          <pic:cNvPr id="42" name="图片_2_SpCnt_41"/>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220345" cy="283845"/>
                  <wp:effectExtent l="0" t="0" r="0" b="0"/>
                  <wp:wrapNone/>
                  <wp:docPr id="33" name="图片_2_SpCnt_42"/>
                  <wp:cNvGraphicFramePr/>
                  <a:graphic xmlns:a="http://schemas.openxmlformats.org/drawingml/2006/main">
                    <a:graphicData uri="http://schemas.openxmlformats.org/drawingml/2006/picture">
                      <pic:pic xmlns:pic="http://schemas.openxmlformats.org/drawingml/2006/picture">
                        <pic:nvPicPr>
                          <pic:cNvPr id="33" name="图片_2_SpCnt_42"/>
                          <pic:cNvPicPr/>
                        </pic:nvPicPr>
                        <pic:blipFill>
                          <a:blip r:embed="rId6"/>
                          <a:stretch>
                            <a:fillRect/>
                          </a:stretch>
                        </pic:blipFill>
                        <pic:spPr>
                          <a:xfrm>
                            <a:off x="0" y="0"/>
                            <a:ext cx="220345" cy="28384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229235" cy="274320"/>
                  <wp:effectExtent l="0" t="0" r="0" b="0"/>
                  <wp:wrapNone/>
                  <wp:docPr id="34" name="图片_9_SpCnt_11"/>
                  <wp:cNvGraphicFramePr/>
                  <a:graphic xmlns:a="http://schemas.openxmlformats.org/drawingml/2006/main">
                    <a:graphicData uri="http://schemas.openxmlformats.org/drawingml/2006/picture">
                      <pic:pic xmlns:pic="http://schemas.openxmlformats.org/drawingml/2006/picture">
                        <pic:nvPicPr>
                          <pic:cNvPr id="34" name="图片_9_SpCnt_11"/>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229235" cy="274320"/>
                  <wp:effectExtent l="0" t="0" r="0" b="0"/>
                  <wp:wrapNone/>
                  <wp:docPr id="35" name="图片_2_SpCnt_43"/>
                  <wp:cNvGraphicFramePr/>
                  <a:graphic xmlns:a="http://schemas.openxmlformats.org/drawingml/2006/main">
                    <a:graphicData uri="http://schemas.openxmlformats.org/drawingml/2006/picture">
                      <pic:pic xmlns:pic="http://schemas.openxmlformats.org/drawingml/2006/picture">
                        <pic:nvPicPr>
                          <pic:cNvPr id="35" name="图片_2_SpCnt_43"/>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229235" cy="274320"/>
                  <wp:effectExtent l="0" t="0" r="0" b="0"/>
                  <wp:wrapNone/>
                  <wp:docPr id="48" name="图片_2_SpCnt_44"/>
                  <wp:cNvGraphicFramePr/>
                  <a:graphic xmlns:a="http://schemas.openxmlformats.org/drawingml/2006/main">
                    <a:graphicData uri="http://schemas.openxmlformats.org/drawingml/2006/picture">
                      <pic:pic xmlns:pic="http://schemas.openxmlformats.org/drawingml/2006/picture">
                        <pic:nvPicPr>
                          <pic:cNvPr id="48" name="图片_2_SpCnt_44"/>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229235" cy="274320"/>
                  <wp:effectExtent l="0" t="0" r="0" b="0"/>
                  <wp:wrapNone/>
                  <wp:docPr id="50" name="图片_2_SpCnt_45"/>
                  <wp:cNvGraphicFramePr/>
                  <a:graphic xmlns:a="http://schemas.openxmlformats.org/drawingml/2006/main">
                    <a:graphicData uri="http://schemas.openxmlformats.org/drawingml/2006/picture">
                      <pic:pic xmlns:pic="http://schemas.openxmlformats.org/drawingml/2006/picture">
                        <pic:nvPicPr>
                          <pic:cNvPr id="50" name="图片_2_SpCnt_45"/>
                          <pic:cNvPicPr/>
                        </pic:nvPicPr>
                        <pic:blipFill>
                          <a:blip r:embed="rId8"/>
                          <a:stretch>
                            <a:fillRect/>
                          </a:stretch>
                        </pic:blipFill>
                        <pic:spPr>
                          <a:xfrm>
                            <a:off x="0" y="0"/>
                            <a:ext cx="229235" cy="27432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219710" cy="277495"/>
                  <wp:effectExtent l="0" t="0" r="0" b="0"/>
                  <wp:wrapNone/>
                  <wp:docPr id="49" name="图片_9_SpCnt_12"/>
                  <wp:cNvGraphicFramePr/>
                  <a:graphic xmlns:a="http://schemas.openxmlformats.org/drawingml/2006/main">
                    <a:graphicData uri="http://schemas.openxmlformats.org/drawingml/2006/picture">
                      <pic:pic xmlns:pic="http://schemas.openxmlformats.org/drawingml/2006/picture">
                        <pic:nvPicPr>
                          <pic:cNvPr id="49" name="图片_9_SpCnt_12"/>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219710" cy="283210"/>
                  <wp:effectExtent l="0" t="0" r="0" b="0"/>
                  <wp:wrapNone/>
                  <wp:docPr id="52" name="图片_2_SpCnt_46"/>
                  <wp:cNvGraphicFramePr/>
                  <a:graphic xmlns:a="http://schemas.openxmlformats.org/drawingml/2006/main">
                    <a:graphicData uri="http://schemas.openxmlformats.org/drawingml/2006/picture">
                      <pic:pic xmlns:pic="http://schemas.openxmlformats.org/drawingml/2006/picture">
                        <pic:nvPicPr>
                          <pic:cNvPr id="52" name="图片_2_SpCnt_46"/>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248285" cy="247650"/>
                  <wp:effectExtent l="0" t="0" r="0" b="0"/>
                  <wp:wrapNone/>
                  <wp:docPr id="54" name="图片_2_SpCnt_47"/>
                  <wp:cNvGraphicFramePr/>
                  <a:graphic xmlns:a="http://schemas.openxmlformats.org/drawingml/2006/main">
                    <a:graphicData uri="http://schemas.openxmlformats.org/drawingml/2006/picture">
                      <pic:pic xmlns:pic="http://schemas.openxmlformats.org/drawingml/2006/picture">
                        <pic:nvPicPr>
                          <pic:cNvPr id="54" name="图片_2_SpCnt_47"/>
                          <pic:cNvPicPr/>
                        </pic:nvPicPr>
                        <pic:blipFill>
                          <a:blip r:embed="rId7"/>
                          <a:stretch>
                            <a:fillRect/>
                          </a:stretch>
                        </pic:blipFill>
                        <pic:spPr>
                          <a:xfrm>
                            <a:off x="0" y="0"/>
                            <a:ext cx="248285" cy="247650"/>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219710" cy="277495"/>
                  <wp:effectExtent l="0" t="0" r="0" b="0"/>
                  <wp:wrapNone/>
                  <wp:docPr id="53" name="图片_11_SpCnt_5"/>
                  <wp:cNvGraphicFramePr/>
                  <a:graphic xmlns:a="http://schemas.openxmlformats.org/drawingml/2006/main">
                    <a:graphicData uri="http://schemas.openxmlformats.org/drawingml/2006/picture">
                      <pic:pic xmlns:pic="http://schemas.openxmlformats.org/drawingml/2006/picture">
                        <pic:nvPicPr>
                          <pic:cNvPr id="53" name="图片_11_SpCnt_5"/>
                          <pic:cNvPicPr/>
                        </pic:nvPicPr>
                        <pic:blipFill>
                          <a:blip r:embed="rId6"/>
                          <a:stretch>
                            <a:fillRect/>
                          </a:stretch>
                        </pic:blipFill>
                        <pic:spPr>
                          <a:xfrm>
                            <a:off x="0" y="0"/>
                            <a:ext cx="219710" cy="277495"/>
                          </a:xfrm>
                          <a:prstGeom prst="rect">
                            <a:avLst/>
                          </a:prstGeom>
                          <a:noFill/>
                          <a:ln>
                            <a:noFill/>
                          </a:ln>
                        </pic:spPr>
                      </pic:pic>
                    </a:graphicData>
                  </a:graphic>
                </wp:anchor>
              </w:drawing>
            </w:r>
            <w:r>
              <w:rPr>
                <w:rFonts w:hint="eastAsia" w:ascii="宋体" w:hAnsi="宋体" w:cs="宋体"/>
                <w:color w:val="000000" w:themeColor="text1"/>
                <w:kern w:val="0"/>
                <w:bdr w:val="single" w:color="000000" w:sz="4" w:space="0"/>
                <w:lang w:bidi="ar"/>
                <w14:textFill>
                  <w14:solidFill>
                    <w14:schemeClr w14:val="tx1"/>
                  </w14:solidFill>
                </w14:textFill>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219710" cy="283210"/>
                  <wp:effectExtent l="0" t="0" r="0" b="0"/>
                  <wp:wrapNone/>
                  <wp:docPr id="51" name="图片_2_SpCnt_48"/>
                  <wp:cNvGraphicFramePr/>
                  <a:graphic xmlns:a="http://schemas.openxmlformats.org/drawingml/2006/main">
                    <a:graphicData uri="http://schemas.openxmlformats.org/drawingml/2006/picture">
                      <pic:pic xmlns:pic="http://schemas.openxmlformats.org/drawingml/2006/picture">
                        <pic:nvPicPr>
                          <pic:cNvPr id="51" name="图片_2_SpCnt_48"/>
                          <pic:cNvPicPr/>
                        </pic:nvPicPr>
                        <pic:blipFill>
                          <a:blip r:embed="rId6"/>
                          <a:stretch>
                            <a:fillRect/>
                          </a:stretch>
                        </pic:blipFill>
                        <pic:spPr>
                          <a:xfrm>
                            <a:off x="0" y="0"/>
                            <a:ext cx="219710" cy="283210"/>
                          </a:xfrm>
                          <a:prstGeom prst="rect">
                            <a:avLst/>
                          </a:prstGeom>
                          <a:noFill/>
                          <a:ln>
                            <a:noFill/>
                          </a:ln>
                        </pic:spPr>
                      </pic:pic>
                    </a:graphicData>
                  </a:graphic>
                </wp:anchor>
              </w:drawing>
            </w:r>
            <w:r>
              <w:rPr>
                <w:rFonts w:hint="eastAsia" w:ascii="宋体" w:hAnsi="宋体" w:cs="宋体"/>
                <w:color w:val="000000" w:themeColor="text1"/>
                <w:kern w:val="0"/>
                <w:lang w:bidi="ar"/>
                <w14:textFill>
                  <w14:solidFill>
                    <w14:schemeClr w14:val="tx1"/>
                  </w14:solidFill>
                </w14:textFill>
              </w:rPr>
              <w:t>烟气分析仪</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5A59135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1.设备用途</w:t>
            </w:r>
          </w:p>
          <w:p w14:paraId="0B85D3A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设备主要适用于内燃机排放、实验室检测、工业炉窑、等离子体燃烧等场合要求。</w:t>
            </w:r>
          </w:p>
          <w:p w14:paraId="460E322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2.主要组分测试原理</w:t>
            </w:r>
          </w:p>
          <w:p w14:paraId="66F7DDF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NDIR红外检测：CO、CO2、CH4、CxHy</w:t>
            </w:r>
          </w:p>
          <w:p w14:paraId="697C7D7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热导原理：H2</w:t>
            </w:r>
          </w:p>
          <w:p w14:paraId="1AC3389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电化学原理：O2、NO、NO2</w:t>
            </w:r>
          </w:p>
          <w:p w14:paraId="7AA25BE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UV紫外吸收：SO2</w:t>
            </w:r>
          </w:p>
          <w:p w14:paraId="0413651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3.技术指标要求</w:t>
            </w:r>
          </w:p>
          <w:p w14:paraId="7AE432D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1）O2: 0～21.00%,精度：≤0.2% 分辨率:0.1%；</w:t>
            </w:r>
          </w:p>
          <w:p w14:paraId="1928B81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2）CO：0～2/50/100%多段量程可选，动态曲线量程（内置5段以上点位校准），精度:≤1%量程，分辨率:0.01%；</w:t>
            </w:r>
          </w:p>
          <w:p w14:paraId="4D2FC73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3）CO2：0～10/20/100%多段量程可选，动态曲线量程（内置5段以上点位校准），精度:≤1%量程，分辨率:0.01%；</w:t>
            </w:r>
          </w:p>
          <w:p w14:paraId="7701B5C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4）CH4：0～2/50/100%多段量程，可选动态曲线量程（内置5段以上点位校准）；精度:≤1%量程；分辨率:0.01%；</w:t>
            </w:r>
          </w:p>
          <w:p w14:paraId="7E1521D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5）H2：0～2/50/100%多段量程可选，动态曲线量程（内置5段以上点位校准）；精度:≤1%量程；分辨率:0.01%；</w:t>
            </w:r>
          </w:p>
          <w:p w14:paraId="741A51C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6）NO:0～5000ppm, 精度：≤测量值2%  分辨率:0.1ppm；</w:t>
            </w:r>
          </w:p>
          <w:p w14:paraId="16F3CE9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7）NO2:0-500ppm,  精度：≤测量值2%  分辨率:0.1ppm；</w:t>
            </w:r>
          </w:p>
          <w:p w14:paraId="1F3C181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8）SO2:0~5000ppm，精度：≤测量值2%  分辨率:0.1ppm；</w:t>
            </w:r>
          </w:p>
          <w:p w14:paraId="03207EC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9）CxHy：0～2/50/100%多段量程，可选动态曲线量程（内置5段以上点位校准）；≤测量值1%；分辨率:0.01%</w:t>
            </w:r>
          </w:p>
          <w:p w14:paraId="554231D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10） 配备设备：≥4通道等离子体光谱仪 ；</w:t>
            </w:r>
          </w:p>
          <w:p w14:paraId="390AF0B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 内置探测器：≥2048像素CMOS探测器；</w:t>
            </w:r>
          </w:p>
          <w:p w14:paraId="7BAC95F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 光学光路：≥75mm焦距对称CT光路 ；</w:t>
            </w:r>
          </w:p>
          <w:p w14:paraId="776695F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 光谱范围：覆盖220-936 nm ；</w:t>
            </w:r>
          </w:p>
          <w:p w14:paraId="05EBF1E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14） 信噪比：300:1 19 分辨率：0.09-0.13nm@220-436nm、0.18nm@580-690nm、0.25nm@750-936nm；</w:t>
            </w:r>
          </w:p>
          <w:p w14:paraId="79A90C2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 数据采集速度：≥0.38ms/幅光谱 ；</w:t>
            </w:r>
          </w:p>
          <w:p w14:paraId="757E381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16） 积分时间：覆盖9μs - 10min，支持软件调节 ；</w:t>
            </w:r>
          </w:p>
          <w:p w14:paraId="26ADBE9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17） 外触发性能：外触发延时0.9μs，延迟精度0.02μs</w:t>
            </w:r>
          </w:p>
          <w:p w14:paraId="5E39A12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4、功能要求</w:t>
            </w:r>
          </w:p>
          <w:p w14:paraId="1ECC8A9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★1）测量准确度高：多组分测量气间无交叉干扰，CnHm对CO、O2、CH4尤其是H2测量结果无干扰；受外界影响小，气体采样流量变化对H2热导传感器测量结果无影响。 </w:t>
            </w:r>
          </w:p>
          <w:p w14:paraId="431BAF5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2）数据管理简捷：自动存储测量数据，具备查询、删除功能，可通过多种接口传输到上级集中控制系统。</w:t>
            </w:r>
          </w:p>
          <w:p w14:paraId="7802FE1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★3）分析仪通过独立冷却装置降低样气露点、除湿，确保样气稳定。实时监测冷凝水，达到上限自动开启蠕动泵排放冷凝水到仪器外端。</w:t>
            </w:r>
          </w:p>
          <w:p w14:paraId="76F60C3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4）具有量程多段校准功能，可实现≥5段量程独立校准。</w:t>
            </w:r>
          </w:p>
          <w:p w14:paraId="5887143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5）分析仪内置彩色触摸屏，能够实时显示测量数据浓度，同时显示整个测量趋势曲线图，测量数据具备实时存储功能和打印功能；</w:t>
            </w:r>
          </w:p>
          <w:p w14:paraId="673FA8A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6）内置软件程序可对分析仪进行显示及操作控制，分析仪具有多种数据端口传输模式可供用户使用；</w:t>
            </w:r>
          </w:p>
          <w:p w14:paraId="14689D6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7）仪器预热时间≤20分钟；</w:t>
            </w:r>
          </w:p>
          <w:p w14:paraId="3BD4742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8）采样气泵功率≥1.5L/min、响应时间快速;</w:t>
            </w:r>
          </w:p>
          <w:p w14:paraId="5801A88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9）具有自动零点校准，自检功能</w:t>
            </w:r>
          </w:p>
          <w:p w14:paraId="4E0CFE0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10）采样探管长度</w:t>
            </w:r>
            <w:r>
              <w:rPr>
                <w:rFonts w:hint="eastAsia" w:ascii="宋体" w:hAnsi="宋体" w:cs="宋体"/>
                <w:color w:val="000000" w:themeColor="text1"/>
                <w:kern w:val="0"/>
                <w:lang w:bidi="ar"/>
                <w14:textFill>
                  <w14:solidFill>
                    <w14:schemeClr w14:val="tx1"/>
                  </w14:solidFill>
                </w14:textFill>
              </w:rPr>
              <w:t>≥500mm，耐温≥1200℃,探管镍铬合金材料或310S不锈钢材质。</w:t>
            </w:r>
          </w:p>
          <w:p w14:paraId="56BBE02D">
            <w:pPr>
              <w:widowControl/>
              <w:spacing w:before="0" w:beforeAutospacing="0" w:after="0" w:line="300" w:lineRule="auto"/>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★11）分析仪配套数据采集记录仪，具有数据采集、图形处理功能</w:t>
            </w:r>
            <w:r>
              <w:rPr>
                <w:rFonts w:hint="eastAsia" w:ascii="宋体" w:hAnsi="宋体" w:cs="宋体"/>
                <w:b/>
                <w:bCs/>
                <w:color w:val="000000" w:themeColor="text1"/>
                <w:kern w:val="0"/>
                <w:lang w:bidi="ar"/>
                <w14:textFill>
                  <w14:solidFill>
                    <w14:schemeClr w14:val="tx1"/>
                  </w14:solidFill>
                </w14:textFill>
              </w:rPr>
              <w:t>（投标文件中提供计算机软件著作权登记证书</w:t>
            </w:r>
            <w:r>
              <w:rPr>
                <w:rFonts w:hint="eastAsia" w:ascii="宋体" w:hAnsi="宋体" w:cs="宋体"/>
                <w:b/>
                <w:bCs/>
                <w:color w:val="000000" w:themeColor="text1"/>
                <w:kern w:val="0"/>
                <w:lang w:val="en-US" w:eastAsia="zh-CN" w:bidi="ar"/>
                <w14:textFill>
                  <w14:solidFill>
                    <w14:schemeClr w14:val="tx1"/>
                  </w14:solidFill>
                </w14:textFill>
              </w:rPr>
              <w:t>扫描件</w:t>
            </w:r>
            <w:r>
              <w:rPr>
                <w:rFonts w:hint="eastAsia" w:ascii="宋体" w:hAnsi="宋体" w:cs="宋体"/>
                <w:b/>
                <w:bCs/>
                <w:color w:val="000000" w:themeColor="text1"/>
                <w:kern w:val="0"/>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w:t>
            </w:r>
          </w:p>
          <w:p w14:paraId="7D6F7294">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★12）分析仪采用烟气分析仪检测系统中文操作软件。</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22C5B64D">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5D6B89D8">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BAB09A9">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3F22920">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353BC6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5520D802">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34A05E3B">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燃料电池发电全检测型实验系统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2151E5FA">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hint="eastAsia" w:ascii="Times New Roman" w:hAnsi="Times New Roman"/>
                <w:color w:val="000000" w:themeColor="text1"/>
                <w:kern w:val="0"/>
                <w:lang w:val="en-US" w:eastAsia="zh-CN" w:bidi="ar"/>
                <w14:textFill>
                  <w14:solidFill>
                    <w14:schemeClr w14:val="tx1"/>
                  </w14:solidFill>
                </w14:textFill>
              </w:rPr>
              <w:t>一、</w:t>
            </w:r>
            <w:r>
              <w:rPr>
                <w:rFonts w:ascii="Times New Roman" w:hAnsi="Times New Roman"/>
                <w:color w:val="000000" w:themeColor="text1"/>
                <w:kern w:val="0"/>
                <w:lang w:bidi="ar"/>
                <w14:textFill>
                  <w14:solidFill>
                    <w14:schemeClr w14:val="tx1"/>
                  </w14:solidFill>
                </w14:textFill>
              </w:rPr>
              <w:t>设备能够实现燃料电池系统的电压、电流、功率、氢气流量、氢气压力、电堆温度、环境温度的检测与显示；</w:t>
            </w:r>
            <w:r>
              <w:rPr>
                <w:rFonts w:ascii="Times New Roman" w:hAnsi="Times New Roman"/>
                <w:color w:val="000000" w:themeColor="text1"/>
                <w14:textFill>
                  <w14:solidFill>
                    <w14:schemeClr w14:val="tx1"/>
                  </w14:solidFill>
                </w14:textFill>
              </w:rPr>
              <w:t>支持单电池、</w:t>
            </w:r>
            <w:r>
              <w:rPr>
                <w:rFonts w:hint="eastAsia" w:ascii="Times New Roman" w:hAnsi="Times New Roman"/>
                <w:color w:val="000000" w:themeColor="text1"/>
                <w14:textFill>
                  <w14:solidFill>
                    <w14:schemeClr w14:val="tx1"/>
                  </w14:solidFill>
                </w14:textFill>
              </w:rPr>
              <w:t>电</w:t>
            </w:r>
            <w:r>
              <w:rPr>
                <w:rFonts w:ascii="Times New Roman" w:hAnsi="Times New Roman"/>
                <w:color w:val="000000" w:themeColor="text1"/>
                <w14:textFill>
                  <w14:solidFill>
                    <w14:schemeClr w14:val="tx1"/>
                  </w14:solidFill>
                </w14:textFill>
              </w:rPr>
              <w:t>堆的极化曲线、电化学阻抗谱（EIS）等测试；</w:t>
            </w:r>
            <w:r>
              <w:rPr>
                <w:rFonts w:hint="eastAsia" w:ascii="Times New Roman" w:hAnsi="Times New Roman"/>
                <w:color w:val="000000" w:themeColor="text1"/>
                <w14:textFill>
                  <w14:solidFill>
                    <w14:schemeClr w14:val="tx1"/>
                  </w14:solidFill>
                </w14:textFill>
              </w:rPr>
              <w:t>实现</w:t>
            </w:r>
            <w:r>
              <w:rPr>
                <w:rFonts w:ascii="Times New Roman" w:hAnsi="Times New Roman"/>
                <w:color w:val="000000" w:themeColor="text1"/>
                <w:kern w:val="0"/>
                <w:lang w:bidi="ar"/>
                <w14:textFill>
                  <w14:solidFill>
                    <w14:schemeClr w14:val="tx1"/>
                  </w14:solidFill>
                </w14:textFill>
              </w:rPr>
              <w:t>电堆温度和尾气排放控制。</w:t>
            </w:r>
          </w:p>
          <w:p w14:paraId="0B3BF402">
            <w:pPr>
              <w:widowControl/>
              <w:spacing w:before="0" w:beforeAutospacing="0" w:after="0" w:line="300" w:lineRule="auto"/>
              <w:jc w:val="left"/>
              <w:rPr>
                <w:rFonts w:hint="default" w:ascii="Times New Roman" w:hAnsi="Times New Roman" w:eastAsia="宋体"/>
                <w:b/>
                <w:bCs/>
                <w:color w:val="000000" w:themeColor="text1"/>
                <w:kern w:val="0"/>
                <w:lang w:val="en-US" w:eastAsia="zh-CN" w:bidi="ar"/>
                <w14:textFill>
                  <w14:solidFill>
                    <w14:schemeClr w14:val="tx1"/>
                  </w14:solidFill>
                </w14:textFill>
              </w:rPr>
            </w:pPr>
            <w:r>
              <w:rPr>
                <w:rFonts w:hint="eastAsia" w:ascii="Times New Roman" w:hAnsi="Times New Roman"/>
                <w:b/>
                <w:bCs/>
                <w:color w:val="000000" w:themeColor="text1"/>
                <w:kern w:val="0"/>
                <w:lang w:val="en-US" w:eastAsia="zh-CN" w:bidi="ar"/>
                <w14:textFill>
                  <w14:solidFill>
                    <w14:schemeClr w14:val="tx1"/>
                  </w14:solidFill>
                </w14:textFill>
              </w:rPr>
              <w:t>二、参数要求</w:t>
            </w:r>
          </w:p>
          <w:p w14:paraId="160E3226">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电堆功率</w:t>
            </w:r>
            <w:r>
              <w:rPr>
                <w:rFonts w:ascii="Times New Roman" w:hAnsi="Times New Roman"/>
                <w:color w:val="000000" w:themeColor="text1"/>
                <w:kern w:val="0"/>
                <w:lang w:bidi="ar"/>
                <w14:textFill>
                  <w14:solidFill>
                    <w14:schemeClr w14:val="tx1"/>
                  </w14:solidFill>
                </w14:textFill>
              </w:rPr>
              <w:t>：1kW；</w:t>
            </w:r>
          </w:p>
          <w:p w14:paraId="15166751">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2.电堆工作温度：覆盖</w:t>
            </w:r>
            <w:r>
              <w:rPr>
                <w:rFonts w:ascii="Times New Roman" w:hAnsi="Times New Roman"/>
                <w:color w:val="000000" w:themeColor="text1"/>
                <w14:textFill>
                  <w14:solidFill>
                    <w14:schemeClr w14:val="tx1"/>
                  </w14:solidFill>
                </w14:textFill>
              </w:rPr>
              <w:t>600</w:t>
            </w:r>
            <w:r>
              <w:rPr>
                <w:rFonts w:ascii="Times New Roman" w:hAnsi="Times New Roman"/>
                <w:color w:val="000000" w:themeColor="text1"/>
                <w:kern w:val="0"/>
                <w:lang w:bidi="ar"/>
                <w14:textFill>
                  <w14:solidFill>
                    <w14:schemeClr w14:val="tx1"/>
                  </w14:solidFill>
                </w14:textFill>
              </w:rPr>
              <w:t>℃</w:t>
            </w:r>
            <w:r>
              <w:rPr>
                <w:rFonts w:ascii="Times New Roman" w:hAnsi="Times New Roman"/>
                <w:color w:val="000000" w:themeColor="text1"/>
                <w14:textFill>
                  <w14:solidFill>
                    <w14:schemeClr w14:val="tx1"/>
                  </w14:solidFill>
                </w14:textFill>
              </w:rPr>
              <w:t>-1000</w:t>
            </w:r>
            <w:r>
              <w:rPr>
                <w:rFonts w:ascii="Times New Roman" w:hAnsi="Times New Roman"/>
                <w:color w:val="000000" w:themeColor="text1"/>
                <w:kern w:val="0"/>
                <w:lang w:bidi="ar"/>
                <w14:textFill>
                  <w14:solidFill>
                    <w14:schemeClr w14:val="tx1"/>
                  </w14:solidFill>
                </w14:textFill>
              </w:rPr>
              <w:t>℃；</w:t>
            </w:r>
          </w:p>
          <w:p w14:paraId="496B36B1">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3.升温速率：覆盖1℃/min-10℃/min；</w:t>
            </w:r>
          </w:p>
          <w:p w14:paraId="66275A07">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4.电压范围：0-150V；</w:t>
            </w:r>
          </w:p>
          <w:p w14:paraId="588DECC4">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5.电流范围：0-240A；</w:t>
            </w:r>
          </w:p>
          <w:p w14:paraId="1AA6F99A">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6.辅助温控（循环冷却介质</w:t>
            </w:r>
            <w:r>
              <w:rPr>
                <w:rFonts w:hint="eastAsia" w:ascii="Times New Roman" w:hAnsi="Times New Roman"/>
                <w:color w:val="000000" w:themeColor="text1"/>
                <w:kern w:val="0"/>
                <w:lang w:bidi="ar"/>
                <w14:textFill>
                  <w14:solidFill>
                    <w14:schemeClr w14:val="tx1"/>
                  </w14:solidFill>
                </w14:textFill>
              </w:rPr>
              <w:t>）</w:t>
            </w:r>
            <w:r>
              <w:rPr>
                <w:rFonts w:ascii="Times New Roman" w:hAnsi="Times New Roman"/>
                <w:color w:val="000000" w:themeColor="text1"/>
                <w:kern w:val="0"/>
                <w:lang w:bidi="ar"/>
                <w14:textFill>
                  <w14:solidFill>
                    <w14:schemeClr w14:val="tx1"/>
                  </w14:solidFill>
                </w14:textFill>
              </w:rPr>
              <w:t>：电堆进出口温度</w:t>
            </w:r>
            <w:r>
              <w:rPr>
                <w:rFonts w:ascii="Times New Roman" w:hAnsi="Times New Roman"/>
                <w:color w:val="000000" w:themeColor="text1"/>
                <w14:textFill>
                  <w14:solidFill>
                    <w14:schemeClr w14:val="tx1"/>
                  </w14:solidFill>
                </w14:textFill>
              </w:rPr>
              <w:t>30-90℃</w:t>
            </w:r>
            <w:r>
              <w:rPr>
                <w:rFonts w:hint="eastAsia" w:ascii="Times New Roman" w:hAnsi="Times New Roman"/>
                <w:color w:val="000000" w:themeColor="text1"/>
                <w14:textFill>
                  <w14:solidFill>
                    <w14:schemeClr w14:val="tx1"/>
                  </w14:solidFill>
                </w14:textFill>
              </w:rPr>
              <w:t>；</w:t>
            </w:r>
          </w:p>
          <w:p w14:paraId="77850B36">
            <w:pPr>
              <w:widowControl/>
              <w:spacing w:before="0" w:beforeAutospacing="0" w:after="0" w:line="300"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7.反应气体压力控制：0.1-2.0MPa；</w:t>
            </w:r>
          </w:p>
          <w:p w14:paraId="42DE8EEB">
            <w:pPr>
              <w:widowControl/>
              <w:spacing w:before="0" w:beforeAutospacing="0" w:after="0" w:line="300"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8.反应气体及冷却液流量：10L/min-200L/min；</w:t>
            </w:r>
          </w:p>
          <w:p w14:paraId="11F63852">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9.系统设计软件联锁和硬件联锁二种安全保护模式</w:t>
            </w:r>
            <w:r>
              <w:rPr>
                <w:rFonts w:hint="eastAsia" w:ascii="Times New Roman" w:hAnsi="Times New Roman"/>
                <w:color w:val="000000" w:themeColor="text1"/>
                <w:kern w:val="0"/>
                <w:lang w:bidi="ar"/>
                <w14:textFill>
                  <w14:solidFill>
                    <w14:schemeClr w14:val="tx1"/>
                  </w14:solidFill>
                </w14:textFill>
              </w:rPr>
              <w:t>，</w:t>
            </w:r>
            <w:r>
              <w:rPr>
                <w:rFonts w:ascii="Times New Roman" w:hAnsi="Times New Roman"/>
                <w:color w:val="000000" w:themeColor="text1"/>
                <w:kern w:val="0"/>
                <w:lang w:bidi="ar"/>
                <w14:textFill>
                  <w14:solidFill>
                    <w14:schemeClr w14:val="tx1"/>
                  </w14:solidFill>
                </w14:textFill>
              </w:rPr>
              <w:t>报警分为至少四个等级：</w:t>
            </w:r>
          </w:p>
          <w:p w14:paraId="3AAF9592">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（1）报警提示，但不停机，继续测试；</w:t>
            </w:r>
          </w:p>
          <w:p w14:paraId="46B36F80">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（2）报警提示，暂停测试，电子负载停机，停止供气，进入待机状态；</w:t>
            </w:r>
          </w:p>
          <w:p w14:paraId="471563EA">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（3）报警提示，停止测试，电子负载停机，</w:t>
            </w:r>
            <w:r>
              <w:rPr>
                <w:rFonts w:ascii="Times New Roman" w:hAnsi="Times New Roman"/>
                <w:color w:val="000000" w:themeColor="text1"/>
                <w14:textFill>
                  <w14:solidFill>
                    <w14:schemeClr w14:val="tx1"/>
                  </w14:solidFill>
                </w14:textFill>
              </w:rPr>
              <w:t>氮气吹扫置换</w:t>
            </w: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kern w:val="0"/>
                <w:lang w:bidi="ar"/>
                <w14:textFill>
                  <w14:solidFill>
                    <w14:schemeClr w14:val="tx1"/>
                  </w14:solidFill>
                </w14:textFill>
              </w:rPr>
              <w:t>进入停机状态；</w:t>
            </w:r>
          </w:p>
          <w:p w14:paraId="5744EA9C">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（4）报警提示，停止测试，</w:t>
            </w:r>
            <w:r>
              <w:rPr>
                <w:rFonts w:ascii="Times New Roman" w:hAnsi="Times New Roman"/>
                <w:color w:val="000000" w:themeColor="text1"/>
                <w14:textFill>
                  <w14:solidFill>
                    <w14:schemeClr w14:val="tx1"/>
                  </w14:solidFill>
                </w14:textFill>
              </w:rPr>
              <w:t>电子负载停机，氮气吹扫置换，</w:t>
            </w:r>
            <w:r>
              <w:rPr>
                <w:rFonts w:ascii="Times New Roman" w:hAnsi="Times New Roman"/>
                <w:color w:val="000000" w:themeColor="text1"/>
                <w:kern w:val="0"/>
                <w:lang w:bidi="ar"/>
                <w14:textFill>
                  <w14:solidFill>
                    <w14:schemeClr w14:val="tx1"/>
                  </w14:solidFill>
                </w14:textFill>
              </w:rPr>
              <w:t>进入停机，最后进入关机状态。</w:t>
            </w:r>
          </w:p>
          <w:p w14:paraId="57540BEA">
            <w:pPr>
              <w:widowControl/>
              <w:spacing w:before="0" w:beforeAutospacing="0" w:after="0" w:line="300" w:lineRule="auto"/>
              <w:jc w:val="left"/>
              <w:rPr>
                <w:rFonts w:ascii="Times New Roman" w:hAnsi="Times New Roman"/>
                <w:color w:val="000000" w:themeColor="text1"/>
                <w:kern w:val="0"/>
                <w:lang w:bidi="ar"/>
                <w14:textFill>
                  <w14:solidFill>
                    <w14:schemeClr w14:val="tx1"/>
                  </w14:solidFill>
                </w14:textFill>
              </w:rPr>
            </w:pPr>
            <w:r>
              <w:rPr>
                <w:rFonts w:ascii="Times New Roman" w:hAnsi="Times New Roman"/>
                <w:color w:val="000000" w:themeColor="text1"/>
                <w:kern w:val="0"/>
                <w:lang w:bidi="ar"/>
                <w14:textFill>
                  <w14:solidFill>
                    <w14:schemeClr w14:val="tx1"/>
                  </w14:solidFill>
                </w14:textFill>
              </w:rPr>
              <w:t>10.可燃性气体泄露安全：在电堆高温测试区上下及周边关键位置，安装可燃性气体（如H</w:t>
            </w:r>
            <w:r>
              <w:rPr>
                <w:rFonts w:ascii="Times New Roman" w:hAnsi="Times New Roman"/>
                <w:color w:val="000000" w:themeColor="text1"/>
                <w:kern w:val="0"/>
                <w:vertAlign w:val="subscript"/>
                <w:lang w:bidi="ar"/>
                <w14:textFill>
                  <w14:solidFill>
                    <w14:schemeClr w14:val="tx1"/>
                  </w14:solidFill>
                </w14:textFill>
              </w:rPr>
              <w:t>2</w:t>
            </w:r>
            <w:r>
              <w:rPr>
                <w:rFonts w:ascii="Times New Roman" w:hAnsi="Times New Roman"/>
                <w:color w:val="000000" w:themeColor="text1"/>
                <w:kern w:val="0"/>
                <w:lang w:bidi="ar"/>
                <w14:textFill>
                  <w14:solidFill>
                    <w14:schemeClr w14:val="tx1"/>
                  </w14:solidFill>
                </w14:textFill>
              </w:rPr>
              <w:t>、CO、CH</w:t>
            </w:r>
            <w:r>
              <w:rPr>
                <w:rFonts w:ascii="Times New Roman" w:hAnsi="Times New Roman"/>
                <w:color w:val="000000" w:themeColor="text1"/>
                <w:kern w:val="0"/>
                <w:vertAlign w:val="subscript"/>
                <w:lang w:bidi="ar"/>
                <w14:textFill>
                  <w14:solidFill>
                    <w14:schemeClr w14:val="tx1"/>
                  </w14:solidFill>
                </w14:textFill>
              </w:rPr>
              <w:t>4</w:t>
            </w:r>
            <w:r>
              <w:rPr>
                <w:rFonts w:ascii="Times New Roman" w:hAnsi="Times New Roman"/>
                <w:color w:val="000000" w:themeColor="text1"/>
                <w:kern w:val="0"/>
                <w:lang w:bidi="ar"/>
                <w14:textFill>
                  <w14:solidFill>
                    <w14:schemeClr w14:val="tx1"/>
                  </w14:solidFill>
                </w14:textFill>
              </w:rPr>
              <w:t>等）传感器</w:t>
            </w:r>
            <w:r>
              <w:rPr>
                <w:rFonts w:hint="eastAsia" w:ascii="Times New Roman" w:hAnsi="Times New Roman"/>
                <w:color w:val="000000" w:themeColor="text1"/>
                <w:kern w:val="0"/>
                <w:lang w:bidi="ar"/>
                <w14:textFill>
                  <w14:solidFill>
                    <w14:schemeClr w14:val="tx1"/>
                  </w14:solidFill>
                </w14:textFill>
              </w:rPr>
              <w:t>，若发生泄露则通过硬件联锁和软件同时判定，进入停机状态启动流程</w:t>
            </w:r>
            <w:r>
              <w:rPr>
                <w:rFonts w:ascii="Times New Roman" w:hAnsi="Times New Roman"/>
                <w:color w:val="000000" w:themeColor="text1"/>
                <w:kern w:val="0"/>
                <w:lang w:bidi="ar"/>
                <w14:textFill>
                  <w14:solidFill>
                    <w14:schemeClr w14:val="tx1"/>
                  </w14:solidFill>
                </w14:textFill>
              </w:rPr>
              <w:t>。系统机箱内部存在可燃气体的单元柜所用的零部件需采用防爆型或采取相关防爆措施。</w:t>
            </w:r>
          </w:p>
          <w:p w14:paraId="690480B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11.</w:t>
            </w:r>
            <w:r>
              <w:rPr>
                <w:rFonts w:ascii="Times New Roman" w:hAnsi="Times New Roman"/>
                <w:color w:val="000000" w:themeColor="text1"/>
                <w:kern w:val="0"/>
                <w:lang w:bidi="ar"/>
                <w14:textFill>
                  <w14:solidFill>
                    <w14:schemeClr w14:val="tx1"/>
                  </w14:solidFill>
                </w14:textFill>
              </w:rPr>
              <w:t>压力控制安全：在燃料电池阳极和阴极有压</w:t>
            </w:r>
            <w:r>
              <w:rPr>
                <w:rFonts w:hint="eastAsia" w:ascii="宋体" w:hAnsi="宋体" w:cs="宋体"/>
                <w:color w:val="000000" w:themeColor="text1"/>
                <w:kern w:val="0"/>
                <w:lang w:bidi="ar"/>
                <w14:textFill>
                  <w14:solidFill>
                    <w14:schemeClr w14:val="tx1"/>
                  </w14:solidFill>
                </w14:textFill>
              </w:rPr>
              <w:t>力传感器，每路传感器电压输出都可通过PLC输出电压信号进行比较，若压力传感器电压输出超标，则硬件会快速自动切断阳极供气或阴极供气，保护燃料电池堆不超压，设备进入暂停测试模式。</w:t>
            </w:r>
          </w:p>
          <w:p w14:paraId="2D97023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12.</w:t>
            </w:r>
            <w:r>
              <w:rPr>
                <w:rFonts w:hint="eastAsia" w:ascii="宋体" w:hAnsi="宋体" w:cs="宋体"/>
                <w:color w:val="000000" w:themeColor="text1"/>
                <w:kern w:val="0"/>
                <w:lang w:bidi="ar"/>
                <w14:textFill>
                  <w14:solidFill>
                    <w14:schemeClr w14:val="tx1"/>
                  </w14:solidFill>
                </w14:textFill>
              </w:rPr>
              <w:t>测试系统超温安全控制：设备的所有温度测量点都可进行软件安全联锁控制，根据各个测量点的重要性，以及超温的量来设定进入报警的状态。报警的4个状态都可根据超标量进入。</w:t>
            </w:r>
          </w:p>
          <w:p w14:paraId="68D22A4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13.</w:t>
            </w:r>
            <w:r>
              <w:rPr>
                <w:rFonts w:hint="eastAsia" w:ascii="宋体" w:hAnsi="宋体" w:cs="宋体"/>
                <w:color w:val="000000" w:themeColor="text1"/>
                <w:kern w:val="0"/>
                <w:lang w:bidi="ar"/>
                <w14:textFill>
                  <w14:solidFill>
                    <w14:schemeClr w14:val="tx1"/>
                  </w14:solidFill>
                </w14:textFill>
              </w:rPr>
              <w:t>电堆电压安全控制：电堆电池电压和所有的测量点都可进行软件安全联锁控制，根据各个测量点的重要性，以及电压异常的量来设定进入报警的状态。报警的4个状态都可根据超标量进入。</w:t>
            </w:r>
          </w:p>
          <w:p w14:paraId="27B82F2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14.</w:t>
            </w:r>
            <w:r>
              <w:rPr>
                <w:rFonts w:hint="eastAsia" w:ascii="宋体" w:hAnsi="宋体" w:cs="宋体"/>
                <w:color w:val="000000" w:themeColor="text1"/>
                <w:kern w:val="0"/>
                <w:lang w:bidi="ar"/>
                <w14:textFill>
                  <w14:solidFill>
                    <w14:schemeClr w14:val="tx1"/>
                  </w14:solidFill>
                </w14:textFill>
              </w:rPr>
              <w:t>紧急停车控制：设备在面板设置有紧急停车键，按下此键，设备控制系统进入停机模式。</w:t>
            </w:r>
          </w:p>
          <w:p w14:paraId="0CC2FA5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15.</w:t>
            </w:r>
            <w:r>
              <w:rPr>
                <w:rFonts w:hint="eastAsia" w:ascii="宋体" w:hAnsi="宋体" w:cs="宋体"/>
                <w:color w:val="000000" w:themeColor="text1"/>
                <w:kern w:val="0"/>
                <w:lang w:bidi="ar"/>
                <w14:textFill>
                  <w14:solidFill>
                    <w14:schemeClr w14:val="tx1"/>
                  </w14:solidFill>
                </w14:textFill>
              </w:rPr>
              <w:t>系统安全联锁控制：设备系统内部其它的控制量如流量，水位开关，水泵，加热，以及电子负载都是安全控制量，这些控制量都在设备控制系统通过软件智能判断，而进入系统暂停待机工作模式。系统分成手动停机和自动停机二个部分，手动通过急停键操作，自动停机通过用户设置的各参数的报警阀值和测量参数比较，产生报警级别，参数达到停机级别，系统自动停机。</w:t>
            </w:r>
          </w:p>
          <w:p w14:paraId="51A93EF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16.</w:t>
            </w:r>
            <w:r>
              <w:rPr>
                <w:rFonts w:hint="eastAsia" w:ascii="宋体" w:hAnsi="宋体" w:cs="宋体"/>
                <w:color w:val="000000" w:themeColor="text1"/>
                <w:kern w:val="0"/>
                <w:lang w:bidi="ar"/>
                <w14:textFill>
                  <w14:solidFill>
                    <w14:schemeClr w14:val="tx1"/>
                  </w14:solidFill>
                </w14:textFill>
              </w:rPr>
              <w:t>停机时序：</w:t>
            </w:r>
          </w:p>
          <w:p w14:paraId="55F6CFF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1）电子负载停止工作，并切断电子负载和燃料电池的动力连接。</w:t>
            </w:r>
          </w:p>
          <w:p w14:paraId="1D54C6D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2）停止氢气和空气回路的流量供应，切断气体回路的电磁阀。</w:t>
            </w:r>
          </w:p>
          <w:p w14:paraId="15BA550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3）启动氮气吹扫置换氢气回路，吹扫时间可设置。</w:t>
            </w:r>
          </w:p>
          <w:p w14:paraId="582B777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4）手动或自动决定是否对水路/空气管路进行吹扫，吹扫时间可设置。</w:t>
            </w:r>
          </w:p>
          <w:p w14:paraId="688033D2">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5）急停时间及操作过程及各参数记录，秒级记录。保存一个单独急停过程文件。</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3F0C35AD">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7B37B539">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169C7B05">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C1B7C08">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59A296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178EFB88">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24D64B6A">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多温区小试级微通道反应平台</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51170557">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2"/>
                <w:rFonts w:hint="default" w:ascii="宋体" w:hAnsi="宋体" w:eastAsia="宋体" w:cs="宋体"/>
                <w:color w:val="000000" w:themeColor="text1"/>
                <w:sz w:val="21"/>
                <w:szCs w:val="21"/>
                <w:lang w:bidi="ar"/>
                <w14:textFill>
                  <w14:solidFill>
                    <w14:schemeClr w14:val="tx1"/>
                  </w14:solidFill>
                </w14:textFill>
              </w:rPr>
              <w:t>一、核心反应单元</w:t>
            </w:r>
          </w:p>
          <w:p w14:paraId="08362276">
            <w:pPr>
              <w:widowControl/>
              <w:numPr>
                <w:ilvl w:val="0"/>
                <w:numId w:val="0"/>
              </w:numPr>
              <w:spacing w:before="0" w:beforeAutospacing="0" w:after="0" w:line="300" w:lineRule="auto"/>
              <w:ind w:left="0" w:leftChars="0" w:firstLine="0" w:firstLineChars="0"/>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hint="default" w:ascii="宋体" w:hAnsi="宋体" w:eastAsia="宋体" w:cs="宋体"/>
                <w:i w:val="0"/>
                <w:iCs w:val="0"/>
                <w:color w:val="000000" w:themeColor="text1"/>
                <w:kern w:val="2"/>
                <w:sz w:val="21"/>
                <w:szCs w:val="21"/>
                <w:lang w:val="en-US" w:eastAsia="zh-CN" w:bidi="ar"/>
                <w14:textFill>
                  <w14:solidFill>
                    <w14:schemeClr w14:val="tx1"/>
                  </w14:solidFill>
                </w14:textFill>
              </w:rPr>
              <w:t>1.</w:t>
            </w:r>
            <w:r>
              <w:rPr>
                <w:rStyle w:val="13"/>
                <w:rFonts w:hint="default" w:ascii="宋体" w:hAnsi="宋体" w:eastAsia="宋体" w:cs="宋体"/>
                <w:color w:val="000000" w:themeColor="text1"/>
                <w:sz w:val="21"/>
                <w:szCs w:val="21"/>
                <w:lang w:bidi="ar"/>
                <w14:textFill>
                  <w14:solidFill>
                    <w14:schemeClr w14:val="tx1"/>
                  </w14:solidFill>
                </w14:textFill>
              </w:rPr>
              <w:t>主反应器材质：哈氏合金C276，耐酸碱腐蚀；</w:t>
            </w:r>
          </w:p>
          <w:p w14:paraId="7DF38E14">
            <w:pPr>
              <w:widowControl/>
              <w:numPr>
                <w:ilvl w:val="0"/>
                <w:numId w:val="0"/>
              </w:numPr>
              <w:spacing w:before="0" w:beforeAutospacing="0" w:after="0" w:line="300" w:lineRule="auto"/>
              <w:ind w:left="0" w:leftChars="0" w:firstLine="0" w:firstLineChars="0"/>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hint="default" w:ascii="宋体" w:hAnsi="宋体" w:eastAsia="宋体" w:cs="宋体"/>
                <w:i w:val="0"/>
                <w:iCs w:val="0"/>
                <w:color w:val="000000" w:themeColor="text1"/>
                <w:kern w:val="2"/>
                <w:sz w:val="21"/>
                <w:szCs w:val="21"/>
                <w:lang w:val="en-US" w:eastAsia="zh-CN"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设计耐压：≥10 MPa，满足中高压反应工况需求，压力稳定性≤±0.05MPa；</w:t>
            </w:r>
          </w:p>
          <w:p w14:paraId="4CE2039E">
            <w:pPr>
              <w:widowControl/>
              <w:numPr>
                <w:ilvl w:val="0"/>
                <w:numId w:val="0"/>
              </w:numPr>
              <w:spacing w:before="0" w:beforeAutospacing="0" w:after="0" w:line="300" w:lineRule="auto"/>
              <w:ind w:left="0" w:leftChars="0" w:firstLine="0" w:firstLineChars="0"/>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hint="default" w:ascii="宋体" w:hAnsi="宋体" w:eastAsia="宋体" w:cs="宋体"/>
                <w:i w:val="0"/>
                <w:iCs w:val="0"/>
                <w:color w:val="000000" w:themeColor="text1"/>
                <w:kern w:val="2"/>
                <w:sz w:val="21"/>
                <w:szCs w:val="21"/>
                <w:lang w:val="en-US" w:eastAsia="zh-CN"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工作温度范围：覆盖-30℃~+200℃，温度控制精度±0.5℃；</w:t>
            </w:r>
          </w:p>
          <w:p w14:paraId="3D3256C4">
            <w:pPr>
              <w:widowControl/>
              <w:numPr>
                <w:ilvl w:val="0"/>
                <w:numId w:val="0"/>
              </w:numPr>
              <w:spacing w:before="0" w:beforeAutospacing="0" w:after="0" w:line="300" w:lineRule="auto"/>
              <w:ind w:left="0" w:leftChars="0" w:firstLine="0" w:firstLineChars="0"/>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hint="default" w:ascii="宋体" w:hAnsi="宋体" w:eastAsia="宋体" w:cs="宋体"/>
                <w:i w:val="0"/>
                <w:iCs w:val="0"/>
                <w:color w:val="000000" w:themeColor="text1"/>
                <w:kern w:val="2"/>
                <w:sz w:val="21"/>
                <w:szCs w:val="21"/>
                <w:lang w:val="en-US" w:eastAsia="zh-CN" w:bidi="ar"/>
                <w14:textFill>
                  <w14:solidFill>
                    <w14:schemeClr w14:val="tx1"/>
                  </w14:solidFill>
                </w14:textFill>
              </w:rPr>
              <w:t>4.</w:t>
            </w:r>
            <w:r>
              <w:rPr>
                <w:rStyle w:val="13"/>
                <w:rFonts w:hint="default" w:ascii="宋体" w:hAnsi="宋体" w:eastAsia="宋体" w:cs="宋体"/>
                <w:color w:val="000000" w:themeColor="text1"/>
                <w:sz w:val="21"/>
                <w:szCs w:val="21"/>
                <w:lang w:bidi="ar"/>
                <w14:textFill>
                  <w14:solidFill>
                    <w14:schemeClr w14:val="tx1"/>
                  </w14:solidFill>
                </w14:textFill>
              </w:rPr>
              <w:t>微流道反应单元流道形式：钻石型结构，流体分布均匀；</w:t>
            </w:r>
          </w:p>
          <w:p w14:paraId="71819579">
            <w:pPr>
              <w:widowControl/>
              <w:numPr>
                <w:ilvl w:val="0"/>
                <w:numId w:val="0"/>
              </w:numPr>
              <w:spacing w:before="0" w:beforeAutospacing="0" w:after="0" w:line="300" w:lineRule="auto"/>
              <w:ind w:left="0" w:leftChars="0" w:firstLine="0" w:firstLineChars="0"/>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hint="default" w:ascii="宋体" w:hAnsi="宋体" w:eastAsia="宋体" w:cs="宋体"/>
                <w:i w:val="0"/>
                <w:iCs w:val="0"/>
                <w:color w:val="000000" w:themeColor="text1"/>
                <w:kern w:val="2"/>
                <w:sz w:val="21"/>
                <w:szCs w:val="21"/>
                <w:lang w:val="en-US" w:eastAsia="zh-CN" w:bidi="ar"/>
                <w14:textFill>
                  <w14:solidFill>
                    <w14:schemeClr w14:val="tx1"/>
                  </w14:solidFill>
                </w14:textFill>
              </w:rPr>
              <w:t>5.</w:t>
            </w:r>
            <w:r>
              <w:rPr>
                <w:rStyle w:val="13"/>
                <w:rFonts w:hint="default" w:ascii="宋体" w:hAnsi="宋体" w:eastAsia="宋体" w:cs="宋体"/>
                <w:color w:val="000000" w:themeColor="text1"/>
                <w:sz w:val="21"/>
                <w:szCs w:val="21"/>
                <w:lang w:bidi="ar"/>
                <w14:textFill>
                  <w14:solidFill>
                    <w14:schemeClr w14:val="tx1"/>
                  </w14:solidFill>
                </w14:textFill>
              </w:rPr>
              <w:t>单片持液量：≥10mL；</w:t>
            </w:r>
          </w:p>
          <w:p w14:paraId="55FD9106">
            <w:pPr>
              <w:widowControl/>
              <w:numPr>
                <w:ilvl w:val="0"/>
                <w:numId w:val="0"/>
              </w:numPr>
              <w:spacing w:before="0" w:beforeAutospacing="0" w:after="0" w:line="300" w:lineRule="auto"/>
              <w:ind w:left="0" w:leftChars="0" w:firstLine="0" w:firstLineChars="0"/>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hint="default" w:ascii="宋体" w:hAnsi="宋体" w:eastAsia="宋体" w:cs="宋体"/>
                <w:i w:val="0"/>
                <w:iCs w:val="0"/>
                <w:color w:val="000000" w:themeColor="text1"/>
                <w:kern w:val="2"/>
                <w:sz w:val="21"/>
                <w:szCs w:val="21"/>
                <w:lang w:val="en-US" w:eastAsia="zh-CN" w:bidi="ar"/>
                <w14:textFill>
                  <w14:solidFill>
                    <w14:schemeClr w14:val="tx1"/>
                  </w14:solidFill>
                </w14:textFill>
              </w:rPr>
              <w:t>6.</w:t>
            </w:r>
            <w:r>
              <w:rPr>
                <w:rStyle w:val="13"/>
                <w:rFonts w:hint="default" w:ascii="宋体" w:hAnsi="宋体" w:eastAsia="宋体" w:cs="宋体"/>
                <w:color w:val="000000" w:themeColor="text1"/>
                <w:sz w:val="21"/>
                <w:szCs w:val="21"/>
                <w:lang w:bidi="ar"/>
                <w14:textFill>
                  <w14:solidFill>
                    <w14:schemeClr w14:val="tx1"/>
                  </w14:solidFill>
                </w14:textFill>
              </w:rPr>
              <w:t>最大持液量：≥60mL（配置6片反应单元）；</w:t>
            </w:r>
          </w:p>
          <w:p w14:paraId="2E07AA98">
            <w:pPr>
              <w:widowControl/>
              <w:numPr>
                <w:ilvl w:val="0"/>
                <w:numId w:val="0"/>
              </w:numPr>
              <w:spacing w:before="0" w:beforeAutospacing="0" w:after="0" w:line="300" w:lineRule="auto"/>
              <w:ind w:left="0" w:leftChars="0" w:firstLine="0" w:firstLineChars="0"/>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hint="default" w:ascii="宋体" w:hAnsi="宋体" w:eastAsia="宋体" w:cs="宋体"/>
                <w:i w:val="0"/>
                <w:iCs w:val="0"/>
                <w:color w:val="000000" w:themeColor="text1"/>
                <w:kern w:val="2"/>
                <w:sz w:val="21"/>
                <w:szCs w:val="21"/>
                <w:lang w:val="en-US" w:eastAsia="zh-CN" w:bidi="ar"/>
                <w14:textFill>
                  <w14:solidFill>
                    <w14:schemeClr w14:val="tx1"/>
                  </w14:solidFill>
                </w14:textFill>
              </w:rPr>
              <w:t>7.</w:t>
            </w:r>
            <w:r>
              <w:rPr>
                <w:rStyle w:val="13"/>
                <w:rFonts w:hint="default" w:ascii="宋体" w:hAnsi="宋体" w:eastAsia="宋体" w:cs="宋体"/>
                <w:color w:val="000000" w:themeColor="text1"/>
                <w:sz w:val="21"/>
                <w:szCs w:val="21"/>
                <w:lang w:bidi="ar"/>
                <w14:textFill>
                  <w14:solidFill>
                    <w14:schemeClr w14:val="tx1"/>
                  </w14:solidFill>
                </w14:textFill>
              </w:rPr>
              <w:t>备用单元流道：配套2套同规格钻石型备用流道（哈氏合金C276材质）。</w:t>
            </w:r>
          </w:p>
          <w:p w14:paraId="6373C8A5">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2"/>
                <w:rFonts w:hint="default" w:ascii="宋体" w:hAnsi="宋体" w:eastAsia="宋体" w:cs="宋体"/>
                <w:color w:val="000000" w:themeColor="text1"/>
                <w:sz w:val="21"/>
                <w:szCs w:val="21"/>
                <w:lang w:bidi="ar"/>
                <w14:textFill>
                  <w14:solidFill>
                    <w14:schemeClr w14:val="tx1"/>
                  </w14:solidFill>
                </w14:textFill>
              </w:rPr>
              <w:t>二、温度控制系统</w:t>
            </w:r>
          </w:p>
          <w:p w14:paraId="4ACCAE4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w:t>
            </w:r>
            <w:r>
              <w:rPr>
                <w:rStyle w:val="13"/>
                <w:rFonts w:hint="default" w:ascii="宋体" w:hAnsi="宋体" w:eastAsia="宋体" w:cs="宋体"/>
                <w:color w:val="000000" w:themeColor="text1"/>
                <w:sz w:val="21"/>
                <w:szCs w:val="21"/>
                <w:lang w:bidi="ar"/>
                <w14:textFill>
                  <w14:solidFill>
                    <w14:schemeClr w14:val="tx1"/>
                  </w14:solidFill>
                </w14:textFill>
              </w:rPr>
              <w:t>独立温度控制单元：4个，控温范围-30℃至+200℃；</w:t>
            </w:r>
          </w:p>
          <w:p w14:paraId="4A2E4B6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分区控温设计：4种温区，支持四步反应及强放热反应的精准控温，温区温差可独立设定，温差控制精度±1℃；</w:t>
            </w:r>
          </w:p>
          <w:p w14:paraId="79930E4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原料预热（冷）系统：2套，独立控温，控温范围-30℃至+200℃；</w:t>
            </w:r>
          </w:p>
          <w:p w14:paraId="560AD61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4.</w:t>
            </w:r>
            <w:r>
              <w:rPr>
                <w:rStyle w:val="13"/>
                <w:rFonts w:hint="default" w:ascii="宋体" w:hAnsi="宋体" w:eastAsia="宋体" w:cs="宋体"/>
                <w:color w:val="000000" w:themeColor="text1"/>
                <w:sz w:val="21"/>
                <w:szCs w:val="21"/>
                <w:lang w:bidi="ar"/>
                <w14:textFill>
                  <w14:solidFill>
                    <w14:schemeClr w14:val="tx1"/>
                  </w14:solidFill>
                </w14:textFill>
              </w:rPr>
              <w:t>温度监测点：24个，覆盖原料进出口、各反应单元进出口及温区关键节点，实时反馈温度数据，数据采集频率≥1次/秒。</w:t>
            </w:r>
          </w:p>
          <w:p w14:paraId="721A8ED9">
            <w:pPr>
              <w:widowControl/>
              <w:spacing w:before="0" w:beforeAutospacing="0" w:after="0" w:line="300" w:lineRule="auto"/>
              <w:jc w:val="left"/>
              <w:rPr>
                <w:rStyle w:val="12"/>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三、</w:t>
            </w:r>
            <w:r>
              <w:rPr>
                <w:rStyle w:val="12"/>
                <w:rFonts w:hint="default" w:ascii="宋体" w:hAnsi="宋体" w:eastAsia="宋体" w:cs="宋体"/>
                <w:color w:val="000000" w:themeColor="text1"/>
                <w:sz w:val="21"/>
                <w:szCs w:val="21"/>
                <w:lang w:bidi="ar"/>
                <w14:textFill>
                  <w14:solidFill>
                    <w14:schemeClr w14:val="tx1"/>
                  </w14:solidFill>
                </w14:textFill>
              </w:rPr>
              <w:t>操控与安全系统</w:t>
            </w:r>
          </w:p>
          <w:p w14:paraId="296D805D">
            <w:pPr>
              <w:widowControl/>
              <w:numPr>
                <w:ilvl w:val="0"/>
                <w:numId w:val="2"/>
              </w:numPr>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操控系统：远程触摸屏操控系统，支持参数设定、过程监控、数据记录与导出，界面直观易操作；</w:t>
            </w:r>
          </w:p>
          <w:p w14:paraId="51656B09">
            <w:pPr>
              <w:widowControl/>
              <w:numPr>
                <w:ilvl w:val="0"/>
                <w:numId w:val="2"/>
              </w:numPr>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安全保护系统：超温超压自动报警断电保护系统，超温报警阈值可自定义，超压自动泄压（泄压压力10.5MPa），同时配备漏电保护、急停按钮等安全装置；</w:t>
            </w:r>
          </w:p>
          <w:p w14:paraId="15E582AA">
            <w:pPr>
              <w:widowControl/>
              <w:numPr>
                <w:ilvl w:val="0"/>
                <w:numId w:val="2"/>
              </w:numPr>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数据存储：设备内置独立存储模块，本地存储容量≥1TB，可完整存储≥1年实验原始数据，支持USB接口导出数据。</w:t>
            </w:r>
          </w:p>
          <w:p w14:paraId="114DD54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2"/>
                <w:rFonts w:hint="default" w:ascii="宋体" w:hAnsi="宋体" w:eastAsia="宋体" w:cs="宋体"/>
                <w:color w:val="000000" w:themeColor="text1"/>
                <w:sz w:val="21"/>
                <w:szCs w:val="21"/>
                <w:lang w:bidi="ar"/>
                <w14:textFill>
                  <w14:solidFill>
                    <w14:schemeClr w14:val="tx1"/>
                  </w14:solidFill>
                </w14:textFill>
              </w:rPr>
              <w:t>四、配套设备控制与数据采集平台</w:t>
            </w:r>
          </w:p>
          <w:p w14:paraId="6F597FC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1.</w:t>
            </w:r>
            <w:r>
              <w:rPr>
                <w:rStyle w:val="13"/>
                <w:rFonts w:hint="default" w:ascii="宋体" w:hAnsi="宋体" w:eastAsia="宋体" w:cs="宋体"/>
                <w:color w:val="000000" w:themeColor="text1"/>
                <w:sz w:val="21"/>
                <w:szCs w:val="21"/>
                <w:lang w:bidi="ar"/>
                <w14:textFill>
                  <w14:solidFill>
                    <w14:schemeClr w14:val="tx1"/>
                  </w14:solidFill>
                </w14:textFill>
              </w:rPr>
              <w:t xml:space="preserve">为本设备配套工控系统；预装设备专属控制分析软件（完全版本无使用期限），支持参数编程、数据拟合、报表自动生成；≥23.8英寸显示装置、存储装置≥16GB、固态硬盘≥512GB </w:t>
            </w:r>
          </w:p>
          <w:p w14:paraId="3705EEF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专用耗材：配套PTFE材质密封垫片20套、反应单元连接管路（哈氏合金材质）20米、进出口过滤芯20个；</w:t>
            </w:r>
          </w:p>
          <w:p w14:paraId="0146E5B7">
            <w:pPr>
              <w:widowControl/>
              <w:wordWrap w:val="0"/>
              <w:spacing w:before="0" w:beforeAutospacing="0" w:after="0" w:line="300" w:lineRule="auto"/>
              <w:rPr>
                <w:rFonts w:hint="eastAsia" w:ascii="宋体" w:hAnsi="宋体" w:cs="宋体"/>
                <w:b/>
                <w:bCs/>
                <w:color w:val="000000" w:themeColor="text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辅助配件：原料进料接口转换接头（适配φ6/φ8/φ10mm管路）各10个、导热油（适配-30℃~+200℃工况）100L、专用工具套装1套。</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00EA9436">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27D23434">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6E5D93A">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79348393">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0D2C14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0868524B">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4BAD2854">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超算级平行固定床智能评价装备</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7B9FBD6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一、</w:t>
            </w:r>
            <w:r>
              <w:rPr>
                <w:rFonts w:hint="eastAsia" w:ascii="宋体" w:hAnsi="宋体" w:cs="宋体"/>
                <w:color w:val="000000" w:themeColor="text1"/>
                <w:kern w:val="0"/>
                <w:lang w:bidi="ar"/>
                <w14:textFill>
                  <w14:solidFill>
                    <w14:schemeClr w14:val="tx1"/>
                  </w14:solidFill>
                </w14:textFill>
              </w:rPr>
              <w:t>装备是催化剂性能评价的核心单元，具备多通道并行实验、精准参数控制、智能数据采集等功能。</w:t>
            </w:r>
          </w:p>
          <w:p w14:paraId="5938D8FD">
            <w:pPr>
              <w:widowControl/>
              <w:spacing w:before="0" w:beforeAutospacing="0" w:after="0" w:line="300" w:lineRule="auto"/>
              <w:jc w:val="left"/>
              <w:rPr>
                <w:rFonts w:hint="default" w:ascii="宋体" w:hAnsi="宋体" w:eastAsia="宋体" w:cs="宋体"/>
                <w:b/>
                <w:bCs/>
                <w:color w:val="000000" w:themeColor="text1"/>
                <w:kern w:val="0"/>
                <w:lang w:val="en-US" w:eastAsia="zh-CN" w:bidi="ar"/>
                <w14:textFill>
                  <w14:solidFill>
                    <w14:schemeClr w14:val="tx1"/>
                  </w14:solidFill>
                </w14:textFill>
              </w:rPr>
            </w:pPr>
            <w:r>
              <w:rPr>
                <w:rFonts w:hint="eastAsia" w:ascii="宋体" w:hAnsi="宋体" w:cs="宋体"/>
                <w:b/>
                <w:bCs/>
                <w:color w:val="000000" w:themeColor="text1"/>
                <w:kern w:val="0"/>
                <w:lang w:val="en-US" w:eastAsia="zh-CN" w:bidi="ar"/>
                <w14:textFill>
                  <w14:solidFill>
                    <w14:schemeClr w14:val="tx1"/>
                  </w14:solidFill>
                </w14:textFill>
              </w:rPr>
              <w:t>二、参数要求</w:t>
            </w:r>
          </w:p>
          <w:p w14:paraId="12744F7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★1.反应通道</w:t>
            </w:r>
          </w:p>
          <w:p w14:paraId="315DE0B8">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配置3个独立平行反应通道，支持不同工艺参数或不同催化剂的同步对比试验。</w:t>
            </w:r>
          </w:p>
          <w:p w14:paraId="4B8DBC2F">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单通道催化剂装填量范围：覆盖0.1mL~5mL，满足微量至小批量催化剂的测试需求。</w:t>
            </w:r>
          </w:p>
          <w:p w14:paraId="290FAC2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 温区控制</w:t>
            </w:r>
          </w:p>
          <w:p w14:paraId="59279B8A">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反应区控温范围：覆盖室温~600℃。</w:t>
            </w:r>
          </w:p>
          <w:p w14:paraId="20982FCB">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升温速率可调范围：覆盖0℃/min~20℃/min。</w:t>
            </w:r>
          </w:p>
          <w:p w14:paraId="63E6861F">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恒温区长度：≥5cm，温度均匀性：±1℃，确保反应温度稳定一致。</w:t>
            </w:r>
          </w:p>
          <w:p w14:paraId="2387575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 压力控制</w:t>
            </w:r>
          </w:p>
          <w:p w14:paraId="46A039BD">
            <w:pPr>
              <w:widowControl/>
              <w:numPr>
                <w:ilvl w:val="0"/>
                <w:numId w:val="3"/>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操作压力范围：覆盖0~10MPa，适配低温低压合成氨工艺要求。</w:t>
            </w:r>
          </w:p>
          <w:p w14:paraId="58736F08">
            <w:pPr>
              <w:widowControl/>
              <w:numPr>
                <w:ilvl w:val="0"/>
                <w:numId w:val="3"/>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每个通道独立压力控制，配备压力反馈调节系统，压力控制精度：±0.01MPa。</w:t>
            </w:r>
          </w:p>
          <w:p w14:paraId="658A780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 流体控制</w:t>
            </w:r>
          </w:p>
          <w:p w14:paraId="43D1DA47">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气体进料：采用质量流量控制器（MFC），单通道包含氮气和氢气MFC各1台，流量范围覆盖0~200sccm，流量精度±1%FS，共三个通道。</w:t>
            </w:r>
          </w:p>
          <w:p w14:paraId="3BDB3882">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液体进料：采用高精度计量泵，流量范围覆盖0.001~10mL/min，精准控制液体反应物投加量，每个通道含1台计量泵。</w:t>
            </w:r>
          </w:p>
          <w:p w14:paraId="3AC9AFA8">
            <w:pPr>
              <w:widowControl/>
              <w:spacing w:before="0" w:beforeAutospacing="0" w:after="0" w:line="300" w:lineRule="auto"/>
              <w:jc w:val="left"/>
              <w:rPr>
                <w:rStyle w:val="9"/>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5.智能控制与数据整合系统：</w:t>
            </w:r>
          </w:p>
          <w:p w14:paraId="71B75562">
            <w:pPr>
              <w:widowControl/>
              <w:tabs>
                <w:tab w:val="left" w:pos="0"/>
              </w:tabs>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搭载超算级数据采集与控制系统，参数采集频率≥10Hz，支持温度、压力、流量等参数的实时采集与闭环控制。</w:t>
            </w:r>
          </w:p>
          <w:p w14:paraId="4E8F7372">
            <w:pPr>
              <w:widowControl/>
              <w:tabs>
                <w:tab w:val="left" w:pos="0"/>
              </w:tabs>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内置多种工艺模型模板，支持程序升温、升压以及气体流量的设定。</w:t>
            </w:r>
          </w:p>
          <w:p w14:paraId="75B98E63">
            <w:pPr>
              <w:widowControl/>
              <w:tabs>
                <w:tab w:val="left" w:pos="0"/>
              </w:tabs>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可整合气相色谱质谱联用仪、离子色谱仪的检测数据，实现实验数据的互联互通与集中分析。</w:t>
            </w:r>
          </w:p>
          <w:p w14:paraId="0C5D033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6. 辅助功能</w:t>
            </w:r>
          </w:p>
          <w:p w14:paraId="0FA3D83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配备在线自动取样阀，支持反应过程中产物的实时取样分析。每个通道独立配置尾气处理单元。</w:t>
            </w:r>
          </w:p>
          <w:p w14:paraId="1B11014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7. 工作条件</w:t>
            </w:r>
          </w:p>
          <w:p w14:paraId="1F07AA4C">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工作电压：220V±10% 50Hz。</w:t>
            </w:r>
          </w:p>
          <w:p w14:paraId="7D1DCA70">
            <w:pPr>
              <w:widowControl/>
              <w:numPr>
                <w:ilvl w:val="0"/>
                <w:numId w:val="0"/>
              </w:numPr>
              <w:spacing w:before="0" w:beforeAutospacing="0" w:after="0" w:line="300" w:lineRule="auto"/>
              <w:ind w:left="0" w:leftChars="0" w:firstLine="0" w:firstLineChars="0"/>
              <w:jc w:val="left"/>
              <w:rPr>
                <w:rFonts w:hint="eastAsia" w:ascii="宋体" w:hAnsi="宋体" w:cs="宋体"/>
                <w:b w:val="0"/>
                <w:bCs w:val="0"/>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工作环境湿度：覆</w:t>
            </w:r>
            <w:r>
              <w:rPr>
                <w:rFonts w:hint="eastAsia" w:ascii="宋体" w:hAnsi="宋体" w:cs="宋体"/>
                <w:b w:val="0"/>
                <w:bCs w:val="0"/>
                <w:color w:val="000000" w:themeColor="text1"/>
                <w:kern w:val="0"/>
                <w:lang w:bidi="ar"/>
                <w14:textFill>
                  <w14:solidFill>
                    <w14:schemeClr w14:val="tx1"/>
                  </w14:solidFill>
                </w14:textFill>
              </w:rPr>
              <w:t>盖5%~95%；工作环境温度：覆盖5℃～40℃。</w:t>
            </w:r>
          </w:p>
          <w:p w14:paraId="0A9A892F">
            <w:pPr>
              <w:widowControl/>
              <w:numPr>
                <w:ilvl w:val="0"/>
                <w:numId w:val="0"/>
              </w:numPr>
              <w:spacing w:before="0" w:beforeAutospacing="0" w:after="0" w:line="300" w:lineRule="auto"/>
              <w:ind w:left="0" w:leftChars="0" w:firstLine="0" w:firstLineChars="0"/>
              <w:jc w:val="left"/>
              <w:rPr>
                <w:rFonts w:hint="eastAsia" w:ascii="宋体" w:hAnsi="宋体" w:cs="宋体"/>
                <w:b/>
                <w:bCs/>
                <w:color w:val="000000" w:themeColor="text1"/>
                <w:lang w:bidi="ar"/>
                <w14:textFill>
                  <w14:solidFill>
                    <w14:schemeClr w14:val="tx1"/>
                  </w14:solidFill>
                </w14:textFill>
              </w:rPr>
            </w:pPr>
            <w:r>
              <w:rPr>
                <w:rFonts w:hint="default" w:ascii="宋体" w:hAnsi="宋体" w:cs="宋体"/>
                <w:b w:val="0"/>
                <w:bCs w:val="0"/>
                <w:color w:val="000000" w:themeColor="text1"/>
                <w:kern w:val="2"/>
                <w:sz w:val="21"/>
                <w:szCs w:val="21"/>
                <w:lang w:val="en-US" w:eastAsia="zh-CN" w:bidi="ar"/>
                <w14:textFill>
                  <w14:solidFill>
                    <w14:schemeClr w14:val="tx1"/>
                  </w14:solidFill>
                </w14:textFill>
              </w:rPr>
              <w:t>(3)</w:t>
            </w:r>
            <w:r>
              <w:rPr>
                <w:rFonts w:hint="eastAsia" w:ascii="宋体" w:hAnsi="宋体" w:cs="宋体"/>
                <w:b w:val="0"/>
                <w:bCs w:val="0"/>
                <w:color w:val="000000" w:themeColor="text1"/>
                <w:kern w:val="0"/>
                <w:lang w:bidi="ar"/>
                <w14:textFill>
                  <w14:solidFill>
                    <w14:schemeClr w14:val="tx1"/>
                  </w14:solidFill>
                </w14:textFill>
              </w:rPr>
              <w:t>支持恒定压力、恒定流量、程序升/降压、脉冲进样等多种气体控制方式。</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264CC1DE">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1E34FAEF">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C1BA8ED">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495AE4F7">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5CAF97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0E1CB97A">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369DC7FA">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电解水催化剂评价系统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49F1774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1）具有人机交互界面，可在运行中调整各项参数；</w:t>
            </w:r>
          </w:p>
          <w:p w14:paraId="29152DF1">
            <w:pPr>
              <w:widowControl/>
              <w:spacing w:before="0" w:beforeAutospacing="0" w:after="0" w:line="300" w:lineRule="auto"/>
              <w:jc w:val="left"/>
              <w:rPr>
                <w:rFonts w:hint="eastAsia" w:ascii="宋体" w:hAnsi="宋体" w:cs="宋体"/>
                <w:b/>
                <w:bCs/>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2）具备运行参数实时采集与显示功能，可对电压、电流、温度、压力、流量等关键运行参数进行在线监测，并形成实时运行曲线；支持历史数据查询、分析与追溯</w:t>
            </w:r>
            <w:r>
              <w:rPr>
                <w:rFonts w:hint="eastAsia" w:ascii="宋体" w:hAnsi="宋体" w:cs="宋体"/>
                <w:b/>
                <w:bCs/>
                <w:color w:val="000000" w:themeColor="text1"/>
                <w:kern w:val="0"/>
                <w:lang w:bidi="ar"/>
                <w14:textFill>
                  <w14:solidFill>
                    <w14:schemeClr w14:val="tx1"/>
                  </w14:solidFill>
                </w14:textFill>
              </w:rPr>
              <w:t>（投标文件中提供系统工作时的电压、电流、温度、压力、流量等参数运行曲线截图，以证明具备记录和显示数据变化功能）</w:t>
            </w:r>
          </w:p>
          <w:p w14:paraId="4BA9195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3）具有设备组件监测功能；具有自动报警功能和安全联动功能。</w:t>
            </w:r>
          </w:p>
          <w:p w14:paraId="65DB72BF">
            <w:pPr>
              <w:widowControl/>
              <w:spacing w:before="0" w:beforeAutospacing="0" w:after="0" w:line="300" w:lineRule="auto"/>
              <w:jc w:val="left"/>
              <w:rPr>
                <w:rFonts w:hint="eastAsia" w:ascii="宋体" w:hAnsi="宋体" w:cs="宋体"/>
                <w:b/>
                <w:bCs/>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4）具备后台数据库管理功能，支持实验数据同步存储、多参数关联查询、历史数据追溯及数据导出功能，可采用MySQL/MongoDB或同等数据库架构实现</w:t>
            </w:r>
            <w:r>
              <w:rPr>
                <w:rFonts w:hint="eastAsia" w:ascii="宋体" w:hAnsi="宋体" w:cs="宋体"/>
                <w:b/>
                <w:bCs/>
                <w:color w:val="000000" w:themeColor="text1"/>
                <w:kern w:val="0"/>
                <w:lang w:bidi="ar"/>
                <w14:textFill>
                  <w14:solidFill>
                    <w14:schemeClr w14:val="tx1"/>
                  </w14:solidFill>
                </w14:textFill>
              </w:rPr>
              <w:t>（投标文件中提供软件截图，佐证具备数据管理与查询功能）</w:t>
            </w:r>
            <w:r>
              <w:rPr>
                <w:rFonts w:hint="eastAsia" w:ascii="宋体" w:hAnsi="宋体" w:cs="宋体"/>
                <w:color w:val="000000" w:themeColor="text1"/>
                <w:kern w:val="0"/>
                <w:lang w:bidi="ar"/>
                <w14:textFill>
                  <w14:solidFill>
                    <w14:schemeClr w14:val="tx1"/>
                  </w14:solidFill>
                </w14:textFill>
              </w:rPr>
              <w:t>。</w:t>
            </w:r>
          </w:p>
          <w:p w14:paraId="35499CE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5）测试程序编辑功能：使用者在测试时可以选择程序操作，程序操作可以提供使用者编排不同的测试条件和状况，然后统一做一次执行。 </w:t>
            </w:r>
          </w:p>
          <w:p w14:paraId="2295DC1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6）数据存储：测试数据可以实时保存，数据采集周期≤0.2s 可设置；</w:t>
            </w:r>
          </w:p>
          <w:p w14:paraId="46DFC55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7）数据存储格式：存储的数据可用EXCEL（包含CSV）或TXT格式打开；</w:t>
            </w:r>
          </w:p>
          <w:p w14:paraId="6DE4EC7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8）自动工况设定：电池数目设定（片数）、反应面积大小设定、电池温度设定、低电压保护设定、拉载电流设定、电流拉载速率设定等；</w:t>
            </w:r>
          </w:p>
          <w:p w14:paraId="0ABAF6B9">
            <w:pPr>
              <w:widowControl/>
              <w:spacing w:before="0" w:beforeAutospacing="0" w:after="0" w:line="300" w:lineRule="auto"/>
              <w:jc w:val="left"/>
              <w:rPr>
                <w:rFonts w:hint="eastAsia" w:ascii="宋体" w:hAnsi="宋体" w:cs="宋体"/>
                <w:b/>
                <w:bCs/>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9）系统应具备测试工况编辑与自动执行功能，用户可根据实验需求设置电流、电压、温度、压力、流量等运行参数及变化程序，并按照预设程序自动完成测试过程</w:t>
            </w:r>
            <w:r>
              <w:rPr>
                <w:rFonts w:hint="eastAsia" w:ascii="宋体" w:hAnsi="宋体" w:cs="宋体"/>
                <w:b/>
                <w:bCs/>
                <w:color w:val="000000" w:themeColor="text1"/>
                <w:kern w:val="0"/>
                <w:lang w:bidi="ar"/>
                <w14:textFill>
                  <w14:solidFill>
                    <w14:schemeClr w14:val="tx1"/>
                  </w14:solidFill>
                </w14:textFill>
              </w:rPr>
              <w:t>（验收时通过现场操作验证工况程序编辑、保存及自动运行功能）</w:t>
            </w:r>
            <w:r>
              <w:rPr>
                <w:rFonts w:hint="eastAsia" w:ascii="宋体" w:hAnsi="宋体" w:cs="宋体"/>
                <w:color w:val="000000" w:themeColor="text1"/>
                <w:kern w:val="0"/>
                <w:lang w:bidi="ar"/>
                <w14:textFill>
                  <w14:solidFill>
                    <w14:schemeClr w14:val="tx1"/>
                  </w14:solidFill>
                </w14:textFill>
              </w:rPr>
              <w:t>；</w:t>
            </w:r>
          </w:p>
          <w:p w14:paraId="5AA1855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10）操作条件异常：流量、压力、温度响应偏差保护；压力、温度、压差上限保护等；</w:t>
            </w:r>
          </w:p>
          <w:p w14:paraId="5E70C85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11）氢气泄漏：具备氢浓度监测及氢浓度上限保护测试仓1只，1000ppm泄漏超量报警，报警值可设定；</w:t>
            </w:r>
          </w:p>
          <w:p w14:paraId="06A3F21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12）硬件保护：压力开关（可控制泄压保护）、急停开关；</w:t>
            </w:r>
          </w:p>
          <w:p w14:paraId="3251DB9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13）软件保护：氢气泄漏、过温保护、过压保护、欠压保护、流量过低保护、电子负载故障保护等；</w:t>
            </w:r>
          </w:p>
          <w:p w14:paraId="774E615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14）报警灯：报警级别：1：继续试验，界面红色警示。2：停止试验，负载控制量归零、反应气体流量设置归零、启动氮 气吹扫；</w:t>
            </w:r>
          </w:p>
          <w:p w14:paraId="4BC5533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15）保护措施：带锁启动，回路保险，系统紧急制动，制动程序：先断负载，再关闭反应气源，启动氮气吹扫；</w:t>
            </w:r>
          </w:p>
          <w:p w14:paraId="0B1C2AC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16）报警方式：手动+自动；</w:t>
            </w:r>
          </w:p>
          <w:p w14:paraId="1DC757B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17）功率范围：0kW–2 kW，支持 1–20 节电堆串联测试；</w:t>
            </w:r>
          </w:p>
          <w:p w14:paraId="2628EA1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18）电压范围：0V–50 V，电流范围 0A–100 A，温度控制：电堆进出口温度 </w:t>
            </w:r>
            <w:r>
              <w:rPr>
                <w:rFonts w:ascii="宋体" w:hAnsi="宋体" w:cs="宋体"/>
                <w:color w:val="000000" w:themeColor="text1"/>
                <w:kern w:val="0"/>
                <w:lang w:bidi="ar"/>
                <w14:textFill>
                  <w14:solidFill>
                    <w14:schemeClr w14:val="tx1"/>
                  </w14:solidFill>
                </w14:textFill>
              </w:rPr>
              <w:t>25</w:t>
            </w:r>
            <w:r>
              <w:rPr>
                <w:rFonts w:hint="eastAsia" w:ascii="宋体" w:hAnsi="宋体" w:cs="宋体"/>
                <w:color w:val="000000" w:themeColor="text1"/>
                <w:kern w:val="0"/>
                <w:lang w:bidi="ar"/>
                <w14:textFill>
                  <w14:solidFill>
                    <w14:schemeClr w14:val="tx1"/>
                  </w14:solidFill>
                </w14:textFill>
              </w:rPr>
              <w:t>℃–90℃，压力控制：电解液压力 0.1</w:t>
            </w:r>
            <w:r>
              <w:rPr>
                <w:rFonts w:ascii="宋体" w:hAnsi="宋体" w:cs="宋体"/>
                <w:color w:val="000000" w:themeColor="text1"/>
                <w:kern w:val="0"/>
                <w:lang w:bidi="ar"/>
                <w14:textFill>
                  <w14:solidFill>
                    <w14:schemeClr w14:val="tx1"/>
                  </w14:solidFill>
                </w14:textFill>
              </w:rPr>
              <w:t xml:space="preserve"> </w:t>
            </w:r>
            <w:r>
              <w:rPr>
                <w:rFonts w:hint="eastAsia" w:ascii="宋体" w:hAnsi="宋体" w:cs="宋体"/>
                <w:color w:val="000000" w:themeColor="text1"/>
                <w:kern w:val="0"/>
                <w:lang w:bidi="ar"/>
                <w14:textFill>
                  <w14:solidFill>
                    <w14:schemeClr w14:val="tx1"/>
                  </w14:solidFill>
                </w14:textFill>
              </w:rPr>
              <w:t>Mpa–2.0 Mpa，电解液流量 10 L/min–200 L/min，电堆活性面积 10cm²–100 cm²，支持半电池、器件、电堆电化学测试。</w:t>
            </w:r>
          </w:p>
          <w:p w14:paraId="0D3393BF">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hint="eastAsia" w:ascii="宋体" w:hAnsi="宋体" w:cs="宋体"/>
                <w:bCs/>
                <w:color w:val="000000" w:themeColor="text1"/>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19）AEM电堆仿真拆解系统：</w:t>
            </w:r>
            <w:r>
              <w:rPr>
                <w:rFonts w:ascii="宋体" w:hAnsi="宋体" w:cs="宋体"/>
                <w:color w:val="000000" w:themeColor="text1"/>
                <w:kern w:val="0"/>
                <w:lang w:bidi="ar"/>
                <w14:textFill>
                  <w14:solidFill>
                    <w14:schemeClr w14:val="tx1"/>
                  </w14:solidFill>
                </w14:textFill>
              </w:rPr>
              <w:t>构建AEM电堆的三维模型，还原电堆的整体结构和主要部件，支持3D电堆模型资源</w:t>
            </w:r>
            <w:r>
              <w:rPr>
                <w:rFonts w:hint="eastAsia" w:ascii="宋体" w:hAnsi="宋体" w:cs="宋体"/>
                <w:color w:val="000000" w:themeColor="text1"/>
                <w:kern w:val="0"/>
                <w:lang w:bidi="ar"/>
                <w14:textFill>
                  <w14:solidFill>
                    <w14:schemeClr w14:val="tx1"/>
                  </w14:solidFill>
                </w14:textFill>
              </w:rPr>
              <w:t>多角度</w:t>
            </w:r>
            <w:r>
              <w:rPr>
                <w:rFonts w:ascii="宋体" w:hAnsi="宋体" w:cs="宋体"/>
                <w:color w:val="000000" w:themeColor="text1"/>
                <w:kern w:val="0"/>
                <w:lang w:bidi="ar"/>
                <w14:textFill>
                  <w14:solidFill>
                    <w14:schemeClr w14:val="tx1"/>
                  </w14:solidFill>
                </w14:textFill>
              </w:rPr>
              <w:t>立体展示，</w:t>
            </w:r>
            <w:r>
              <w:rPr>
                <w:rFonts w:hint="eastAsia" w:ascii="宋体" w:hAnsi="宋体" w:cs="宋体"/>
                <w:color w:val="000000" w:themeColor="text1"/>
                <w:kern w:val="0"/>
                <w:lang w:bidi="ar"/>
                <w14:textFill>
                  <w14:solidFill>
                    <w14:schemeClr w14:val="tx1"/>
                  </w14:solidFill>
                </w14:textFill>
              </w:rPr>
              <w:t>模拟拆装流程</w:t>
            </w:r>
            <w:r>
              <w:rPr>
                <w:rFonts w:ascii="宋体" w:hAnsi="宋体" w:cs="宋体"/>
                <w:color w:val="000000" w:themeColor="text1"/>
                <w:kern w:val="0"/>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具备</w:t>
            </w:r>
            <w:r>
              <w:rPr>
                <w:rFonts w:ascii="宋体" w:hAnsi="宋体" w:cs="宋体"/>
                <w:color w:val="000000" w:themeColor="text1"/>
                <w:kern w:val="0"/>
                <w:lang w:bidi="ar"/>
                <w14:textFill>
                  <w14:solidFill>
                    <w14:schemeClr w14:val="tx1"/>
                  </w14:solidFill>
                </w14:textFill>
              </w:rPr>
              <w:t>图片、文字</w:t>
            </w:r>
            <w:r>
              <w:rPr>
                <w:rFonts w:hint="eastAsia" w:ascii="宋体" w:hAnsi="宋体" w:cs="宋体"/>
                <w:color w:val="000000" w:themeColor="text1"/>
                <w:kern w:val="0"/>
                <w:lang w:bidi="ar"/>
                <w14:textFill>
                  <w14:solidFill>
                    <w14:schemeClr w14:val="tx1"/>
                  </w14:solidFill>
                </w14:textFill>
              </w:rPr>
              <w:t>和</w:t>
            </w:r>
            <w:r>
              <w:rPr>
                <w:rFonts w:ascii="宋体" w:hAnsi="宋体" w:cs="宋体"/>
                <w:color w:val="000000" w:themeColor="text1"/>
                <w:kern w:val="0"/>
                <w:lang w:bidi="ar"/>
                <w14:textFill>
                  <w14:solidFill>
                    <w14:schemeClr w14:val="tx1"/>
                  </w14:solidFill>
                </w14:textFill>
              </w:rPr>
              <w:t>语音讲解AEM电堆</w:t>
            </w:r>
            <w:r>
              <w:rPr>
                <w:rFonts w:hint="eastAsia" w:ascii="宋体" w:hAnsi="宋体" w:cs="宋体"/>
                <w:color w:val="000000" w:themeColor="text1"/>
                <w:kern w:val="0"/>
                <w:lang w:bidi="ar"/>
                <w14:textFill>
                  <w14:solidFill>
                    <w14:schemeClr w14:val="tx1"/>
                  </w14:solidFill>
                </w14:textFill>
              </w:rPr>
              <w:t>组成</w:t>
            </w:r>
            <w:r>
              <w:rPr>
                <w:rFonts w:ascii="宋体" w:hAnsi="宋体" w:cs="宋体"/>
                <w:color w:val="000000" w:themeColor="text1"/>
                <w:kern w:val="0"/>
                <w:lang w:bidi="ar"/>
                <w14:textFill>
                  <w14:solidFill>
                    <w14:schemeClr w14:val="tx1"/>
                  </w14:solidFill>
                </w14:textFill>
              </w:rPr>
              <w:t>、结构特点、工作原理、工作条件及操作安全注意事项</w:t>
            </w:r>
            <w:r>
              <w:rPr>
                <w:rFonts w:hint="eastAsia" w:ascii="宋体" w:hAnsi="宋体" w:cs="宋体"/>
                <w:color w:val="000000" w:themeColor="text1"/>
                <w:kern w:val="0"/>
                <w:lang w:bidi="ar"/>
                <w14:textFill>
                  <w14:solidFill>
                    <w14:schemeClr w14:val="tx1"/>
                  </w14:solidFill>
                </w14:textFill>
              </w:rPr>
              <w:t>等教学指导功能。</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563FFB2D">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16547625">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AE6059F">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19739FCC">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0070E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702EAA8D">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bookmarkStart w:id="19" w:name="OLE_LINK4"/>
          </w:p>
        </w:tc>
        <w:tc>
          <w:tcPr>
            <w:tcW w:w="717" w:type="dxa"/>
            <w:tcBorders>
              <w:top w:val="single" w:color="auto" w:sz="4" w:space="0"/>
              <w:left w:val="single" w:color="auto" w:sz="4" w:space="0"/>
              <w:bottom w:val="single" w:color="auto" w:sz="4" w:space="0"/>
              <w:right w:val="single" w:color="auto" w:sz="4" w:space="0"/>
            </w:tcBorders>
            <w:noWrap w:val="0"/>
            <w:vAlign w:val="center"/>
          </w:tcPr>
          <w:p w14:paraId="4EEB8FD3">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多功能离子色谱仪</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0E646EB1">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一、 用途</w:t>
            </w:r>
          </w:p>
          <w:p w14:paraId="4B169FA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1.用途：可用于阴离子（如：</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F</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、Cl</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、Br</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、BrO</w:t>
            </w:r>
            <w:r>
              <w:rPr>
                <w:rStyle w:val="13"/>
                <w:rFonts w:hint="default" w:ascii="Times New Roman" w:hAnsi="Times New Roman" w:eastAsia="宋体" w:cs="Times New Roman"/>
                <w:color w:val="000000" w:themeColor="text1"/>
                <w:sz w:val="21"/>
                <w:szCs w:val="21"/>
                <w:vertAlign w:val="subscript"/>
                <w:lang w:bidi="ar"/>
                <w14:textFill>
                  <w14:solidFill>
                    <w14:schemeClr w14:val="tx1"/>
                  </w14:solidFill>
                </w14:textFill>
              </w:rPr>
              <w:t>3</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、NO</w:t>
            </w:r>
            <w:r>
              <w:rPr>
                <w:rStyle w:val="13"/>
                <w:rFonts w:hint="default" w:ascii="Times New Roman" w:hAnsi="Times New Roman" w:eastAsia="宋体" w:cs="Times New Roman"/>
                <w:color w:val="000000" w:themeColor="text1"/>
                <w:sz w:val="21"/>
                <w:szCs w:val="21"/>
                <w:vertAlign w:val="subscript"/>
                <w:lang w:bidi="ar"/>
                <w14:textFill>
                  <w14:solidFill>
                    <w14:schemeClr w14:val="tx1"/>
                  </w14:solidFill>
                </w14:textFill>
              </w:rPr>
              <w:t>3</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、NO</w:t>
            </w:r>
            <w:r>
              <w:rPr>
                <w:rStyle w:val="13"/>
                <w:rFonts w:hint="default" w:ascii="Times New Roman" w:hAnsi="Times New Roman" w:eastAsia="宋体" w:cs="Times New Roman"/>
                <w:color w:val="000000" w:themeColor="text1"/>
                <w:sz w:val="21"/>
                <w:szCs w:val="21"/>
                <w:vertAlign w:val="subscript"/>
                <w:lang w:bidi="ar"/>
                <w14:textFill>
                  <w14:solidFill>
                    <w14:schemeClr w14:val="tx1"/>
                  </w14:solidFill>
                </w14:textFill>
              </w:rPr>
              <w:t>2</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、SO</w:t>
            </w:r>
            <w:r>
              <w:rPr>
                <w:rStyle w:val="13"/>
                <w:rFonts w:hint="default" w:ascii="Times New Roman" w:hAnsi="Times New Roman" w:eastAsia="宋体" w:cs="Times New Roman"/>
                <w:color w:val="000000" w:themeColor="text1"/>
                <w:sz w:val="21"/>
                <w:szCs w:val="21"/>
                <w:vertAlign w:val="subscript"/>
                <w:lang w:bidi="ar"/>
                <w14:textFill>
                  <w14:solidFill>
                    <w14:schemeClr w14:val="tx1"/>
                  </w14:solidFill>
                </w14:textFill>
              </w:rPr>
              <w:t>4</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2-</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 xml:space="preserve"> 、PO</w:t>
            </w:r>
            <w:r>
              <w:rPr>
                <w:rStyle w:val="13"/>
                <w:rFonts w:hint="default" w:ascii="Times New Roman" w:hAnsi="Times New Roman" w:eastAsia="宋体" w:cs="Times New Roman"/>
                <w:color w:val="000000" w:themeColor="text1"/>
                <w:sz w:val="21"/>
                <w:szCs w:val="21"/>
                <w:vertAlign w:val="subscript"/>
                <w:lang w:bidi="ar"/>
                <w14:textFill>
                  <w14:solidFill>
                    <w14:schemeClr w14:val="tx1"/>
                  </w14:solidFill>
                </w14:textFill>
              </w:rPr>
              <w:t>4</w:t>
            </w:r>
            <w:r>
              <w:rPr>
                <w:rStyle w:val="13"/>
                <w:rFonts w:hint="default" w:ascii="Times New Roman" w:hAnsi="Times New Roman" w:eastAsia="宋体" w:cs="Times New Roman"/>
                <w:color w:val="000000" w:themeColor="text1"/>
                <w:sz w:val="21"/>
                <w:szCs w:val="21"/>
                <w:vertAlign w:val="superscript"/>
                <w:lang w:bidi="ar"/>
                <w14:textFill>
                  <w14:solidFill>
                    <w14:schemeClr w14:val="tx1"/>
                  </w14:solidFill>
                </w14:textFill>
              </w:rPr>
              <w:t>3-</w:t>
            </w:r>
            <w:r>
              <w:rPr>
                <w:rStyle w:val="13"/>
                <w:rFonts w:hint="default" w:ascii="Times New Roman" w:hAnsi="Times New Roman" w:eastAsia="宋体" w:cs="Times New Roman"/>
                <w:color w:val="000000" w:themeColor="text1"/>
                <w:sz w:val="21"/>
                <w:szCs w:val="21"/>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消毒副产物等）及阳离子（如：Li</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、Na</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、NH</w:t>
            </w:r>
            <w:r>
              <w:rPr>
                <w:rStyle w:val="13"/>
                <w:rFonts w:hint="default" w:ascii="宋体" w:hAnsi="宋体" w:eastAsia="宋体" w:cs="宋体"/>
                <w:color w:val="000000" w:themeColor="text1"/>
                <w:sz w:val="21"/>
                <w:szCs w:val="21"/>
                <w:vertAlign w:val="subscript"/>
                <w:lang w:bidi="ar"/>
                <w14:textFill>
                  <w14:solidFill>
                    <w14:schemeClr w14:val="tx1"/>
                  </w14:solidFill>
                </w14:textFill>
              </w:rPr>
              <w:t>4</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、K</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、Mg</w:t>
            </w:r>
            <w:r>
              <w:rPr>
                <w:rStyle w:val="13"/>
                <w:rFonts w:hint="default" w:ascii="宋体" w:hAnsi="宋体" w:eastAsia="宋体" w:cs="宋体"/>
                <w:color w:val="000000" w:themeColor="text1"/>
                <w:sz w:val="21"/>
                <w:szCs w:val="21"/>
                <w:vertAlign w:val="subscript"/>
                <w:lang w:bidi="ar"/>
                <w14:textFill>
                  <w14:solidFill>
                    <w14:schemeClr w14:val="tx1"/>
                  </w14:solidFill>
                </w14:textFill>
              </w:rPr>
              <w:t>2</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、Ca</w:t>
            </w:r>
            <w:r>
              <w:rPr>
                <w:rStyle w:val="13"/>
                <w:rFonts w:hint="default" w:ascii="宋体" w:hAnsi="宋体" w:eastAsia="宋体" w:cs="宋体"/>
                <w:color w:val="000000" w:themeColor="text1"/>
                <w:sz w:val="21"/>
                <w:szCs w:val="21"/>
                <w:vertAlign w:val="subscript"/>
                <w:lang w:bidi="ar"/>
                <w14:textFill>
                  <w14:solidFill>
                    <w14:schemeClr w14:val="tx1"/>
                  </w14:solidFill>
                </w14:textFill>
              </w:rPr>
              <w:t>2</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等）的检测分析。</w:t>
            </w:r>
          </w:p>
          <w:p w14:paraId="30D67EF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2.★具有双通道同时进样功能，满足同一样品阴阳离子同时分析，满足不同样品双通道顺序进样，双通道进样互不干扰。 </w:t>
            </w:r>
          </w:p>
          <w:p w14:paraId="326CB178">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二、 工作条件</w:t>
            </w:r>
          </w:p>
          <w:p w14:paraId="4F8772B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1.工作电源：220V，50Hz</w:t>
            </w:r>
          </w:p>
          <w:p w14:paraId="3CED85A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2.环境温度：10℃-40℃</w:t>
            </w:r>
          </w:p>
          <w:p w14:paraId="0F1E6D4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3.相对湿度：20%-85%</w:t>
            </w:r>
          </w:p>
          <w:p w14:paraId="5D7DD32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三、技术参数</w:t>
            </w:r>
          </w:p>
          <w:p w14:paraId="2B05299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（一）系统参数</w:t>
            </w:r>
          </w:p>
          <w:p w14:paraId="7CDB931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定性重复性：≤0.05%；</w:t>
            </w:r>
          </w:p>
          <w:p w14:paraId="44CC044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定量重复性：≤0.3%；</w:t>
            </w:r>
          </w:p>
          <w:p w14:paraId="51F61704">
            <w:pPr>
              <w:widowControl/>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★所有的离子色谱流路均标配采用原厂提供的PEEK及PTFE材质，包括分析泵本身及分析泵后至六通阀、色谱柱、抑制器、检测器之间的所有管路</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（投标文件中提供仪器内部实拍图片证明所有流路材质）</w:t>
            </w:r>
          </w:p>
          <w:p w14:paraId="06F91D0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（二）色谱泵系统</w:t>
            </w:r>
          </w:p>
          <w:p w14:paraId="6C2F24E7">
            <w:pPr>
              <w:widowControl/>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1.高性能/低脉冲双柱塞泵，采用惰性全PEEK泵头、PEEK管路，适合于pH为0~14的淋洗液及反相有机溶剂，配置内置式四元比例阀实现四元梯度</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（投标文件中提供内置四元泵实拍照片）</w:t>
            </w:r>
            <w:r>
              <w:rPr>
                <w:rStyle w:val="13"/>
                <w:rFonts w:hint="default" w:ascii="宋体" w:hAnsi="宋体" w:eastAsia="宋体" w:cs="宋体"/>
                <w:color w:val="000000" w:themeColor="text1"/>
                <w:sz w:val="21"/>
                <w:szCs w:val="21"/>
                <w:lang w:bidi="ar"/>
                <w14:textFill>
                  <w14:solidFill>
                    <w14:schemeClr w14:val="tx1"/>
                  </w14:solidFill>
                </w14:textFill>
              </w:rPr>
              <w:t>；</w:t>
            </w:r>
          </w:p>
          <w:p w14:paraId="001B5032">
            <w:pPr>
              <w:widowControl/>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 xml:space="preserve">★全PEEK泵流量：≥（0.001～15.000）mL/min </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（投标文件中提供软件截图证明）</w:t>
            </w:r>
            <w:r>
              <w:rPr>
                <w:rStyle w:val="13"/>
                <w:rFonts w:hint="default" w:ascii="宋体" w:hAnsi="宋体" w:eastAsia="宋体" w:cs="宋体"/>
                <w:color w:val="000000" w:themeColor="text1"/>
                <w:sz w:val="21"/>
                <w:szCs w:val="21"/>
                <w:lang w:bidi="ar"/>
                <w14:textFill>
                  <w14:solidFill>
                    <w14:schemeClr w14:val="tx1"/>
                  </w14:solidFill>
                </w14:textFill>
              </w:rPr>
              <w:t>；</w:t>
            </w:r>
          </w:p>
          <w:p w14:paraId="4914D72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3.泵头耐压：≥（0～42）MPa；</w:t>
            </w:r>
          </w:p>
          <w:p w14:paraId="780CBD9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4.流量设定误差：≤±0.1%；</w:t>
            </w:r>
          </w:p>
          <w:p w14:paraId="436B22E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5.流量稳定性：≤±0.1%；</w:t>
            </w:r>
          </w:p>
          <w:p w14:paraId="46C623E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6.压力显示精度：0.01Mpa；</w:t>
            </w:r>
          </w:p>
          <w:p w14:paraId="071469D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7.压力脉动：＜0.25%；</w:t>
            </w:r>
          </w:p>
          <w:p w14:paraId="751CAFFE">
            <w:pPr>
              <w:widowControl/>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8.★每个色谱泵的泵头采用全PEEK双泵头形式</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（投标文件中提供全PEEK双泵头实拍照片）</w:t>
            </w:r>
            <w:r>
              <w:rPr>
                <w:rStyle w:val="13"/>
                <w:rFonts w:hint="default" w:ascii="宋体" w:hAnsi="宋体" w:eastAsia="宋体" w:cs="宋体"/>
                <w:color w:val="000000" w:themeColor="text1"/>
                <w:sz w:val="21"/>
                <w:szCs w:val="21"/>
                <w:lang w:bidi="ar"/>
                <w14:textFill>
                  <w14:solidFill>
                    <w14:schemeClr w14:val="tx1"/>
                  </w14:solidFill>
                </w14:textFill>
              </w:rPr>
              <w:t>。</w:t>
            </w:r>
          </w:p>
          <w:p w14:paraId="3893300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（三）检测器</w:t>
            </w:r>
          </w:p>
          <w:p w14:paraId="019E02D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1.电导检测器</w:t>
            </w:r>
          </w:p>
          <w:p w14:paraId="6BF8B24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基线噪声：≤0.0002μS/cm；</w:t>
            </w:r>
          </w:p>
          <w:p w14:paraId="3943498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基线漂移：≤0.0004μS·cm-1/30min；</w:t>
            </w:r>
          </w:p>
          <w:p w14:paraId="5F398CF1">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最小检出浓度（Cl-）：≤0.0001ug/mL；</w:t>
            </w:r>
          </w:p>
          <w:p w14:paraId="0510742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最小检出浓度（Li+）：≤0.00005ug/mL；</w:t>
            </w:r>
          </w:p>
          <w:p w14:paraId="4976E91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最小检测浓度（NO3-）≤0.0008μg/mL；</w:t>
            </w:r>
          </w:p>
          <w:p w14:paraId="4583CD6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最小检出浓度（Na+）≤0.0002μg/mL；</w:t>
            </w:r>
          </w:p>
          <w:p w14:paraId="45400C7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最小检出浓度（Ca2+）≤0.0005μg/mL；</w:t>
            </w:r>
          </w:p>
          <w:p w14:paraId="4736EB1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(8)</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数字电导检测器，自动量程，输出值为电导率值；</w:t>
            </w:r>
          </w:p>
          <w:p w14:paraId="02BBDBA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(9)</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电导池体积：≤0.4μL；</w:t>
            </w:r>
          </w:p>
          <w:p w14:paraId="4648703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(10)</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电导检测范围：0-45000μS/cm；</w:t>
            </w:r>
          </w:p>
          <w:p w14:paraId="4E7E01B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检测器分辨率：0.002nS/cm；</w:t>
            </w:r>
          </w:p>
          <w:p w14:paraId="75E8FD7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电导池温度设定误差：±0.01℃；</w:t>
            </w:r>
          </w:p>
          <w:p w14:paraId="55DACD3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电导池温度显示分辨率：0.01℃</w:t>
            </w:r>
          </w:p>
          <w:p w14:paraId="5519657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(14)</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具有温度补偿功能，温度补偿范围：0-3.0%；</w:t>
            </w:r>
          </w:p>
          <w:p w14:paraId="0BBEF82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(15)</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具有基于DSP离子色谱仪数字电导检测装置；</w:t>
            </w:r>
          </w:p>
          <w:p w14:paraId="735BC005">
            <w:pPr>
              <w:widowControl/>
              <w:wordWrap w:val="0"/>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(16)</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电导池温控范围：检测器温区温度+5℃–65℃；</w:t>
            </w:r>
          </w:p>
          <w:p w14:paraId="51D8B49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(17)</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电导池控温：±0.05℃/h；</w:t>
            </w:r>
          </w:p>
          <w:p w14:paraId="575A4E72">
            <w:pPr>
              <w:widowControl/>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(18)</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★配置两个电导检测器，用于阴阳离子同时分析，使用原厂插拔式电导检测器</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（投标文件中提供插拔式电导检测器图片和电导检测器主机内检测器安装位置图片）</w:t>
            </w:r>
            <w:r>
              <w:rPr>
                <w:rStyle w:val="13"/>
                <w:rFonts w:hint="default" w:ascii="宋体" w:hAnsi="宋体" w:eastAsia="宋体" w:cs="宋体"/>
                <w:color w:val="000000" w:themeColor="text1"/>
                <w:sz w:val="21"/>
                <w:szCs w:val="21"/>
                <w:lang w:bidi="ar"/>
                <w14:textFill>
                  <w14:solidFill>
                    <w14:schemeClr w14:val="tx1"/>
                  </w14:solidFill>
                </w14:textFill>
              </w:rPr>
              <w:t>。</w:t>
            </w:r>
          </w:p>
          <w:p w14:paraId="009705A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(19)</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电导池耐压：</w:t>
            </w:r>
            <w:r>
              <w:rPr>
                <w:rFonts w:ascii="宋体" w:hAnsi="宋体" w:cs="宋体"/>
                <w:color w:val="000000" w:themeColor="text1"/>
                <w:lang w:val="en"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15MPa；</w:t>
            </w:r>
          </w:p>
          <w:p w14:paraId="46CB108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(20)</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配备插拔式安培检测器。</w:t>
            </w:r>
          </w:p>
          <w:p w14:paraId="6512EFF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（四）抑制器</w:t>
            </w:r>
          </w:p>
          <w:p w14:paraId="3D73085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抑制器类型：原厂生产的电解自动再生膜抑制器，无需外加硫酸进行轮流再生。无需蠕动泵等其他辅助设备。</w:t>
            </w:r>
          </w:p>
          <w:p w14:paraId="2671D9B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可配置2mm体系和4mm体系阴、阳离子电解自再生膜抑制器</w:t>
            </w:r>
          </w:p>
          <w:p w14:paraId="68C0E45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恒流源范围：覆盖0-500mA，增量1mA</w:t>
            </w:r>
          </w:p>
          <w:p w14:paraId="2B697178">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死体积：≤50uL</w:t>
            </w:r>
          </w:p>
          <w:p w14:paraId="15B9109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抑制容量：170ueq/min</w:t>
            </w:r>
          </w:p>
          <w:p w14:paraId="5BBADE1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 xml:space="preserve">耐压：3MPa </w:t>
            </w:r>
          </w:p>
          <w:p w14:paraId="3B605DA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抑制器使用寿命在线监测</w:t>
            </w:r>
          </w:p>
          <w:p w14:paraId="6A7A5C7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（五）柱温箱</w:t>
            </w:r>
          </w:p>
          <w:p w14:paraId="0707253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风浴热循环加热柱温箱，具有淋洗液预加热功能，可使淋洗液的温度在进入色谱柱前已和色谱柱的柱温保持一致；</w:t>
            </w:r>
          </w:p>
          <w:p w14:paraId="7A9AD5A5">
            <w:pPr>
              <w:widowControl/>
              <w:spacing w:before="0" w:beforeAutospacing="0" w:after="0" w:line="300" w:lineRule="auto"/>
              <w:jc w:val="left"/>
              <w:rPr>
                <w:rStyle w:val="9"/>
                <w:rFonts w:hint="eastAsia" w:ascii="宋体" w:hAnsi="宋体" w:cs="宋体"/>
                <w:color w:val="000000" w:themeColor="text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温度范围：室温＋5℃~70℃；</w:t>
            </w:r>
          </w:p>
          <w:p w14:paraId="38BC4DB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控温度稳定性：≤0.1℃；</w:t>
            </w:r>
          </w:p>
          <w:p w14:paraId="3B31FDE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温度设定值误差：±0.05℃；</w:t>
            </w:r>
          </w:p>
          <w:p w14:paraId="07CA5EB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可兼容长度为250mm或150mm和直径为2mm或4mm色谱柱</w:t>
            </w:r>
          </w:p>
          <w:p w14:paraId="156480E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（六） 离子色谱柱</w:t>
            </w:r>
          </w:p>
          <w:p w14:paraId="29F071D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阴离子色谱柱，色谱填料为聚合物材料，可用于食品、药品、环境、水质等样品中常规阴离子和消毒剂副属产物的检测。（阴离子系统）</w:t>
            </w:r>
          </w:p>
          <w:p w14:paraId="07CD81E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阳离子色谱柱，可用于检测环境，药品及食品中Li+，Na+，NH4+，K+，Ca2+，Mg2+及有机阳离子等。（阳离子系统）</w:t>
            </w:r>
          </w:p>
          <w:p w14:paraId="69FA976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（七）自动进样器</w:t>
            </w:r>
          </w:p>
          <w:p w14:paraId="2CF5498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工作方式：极坐标定位方式，注射泵定量取样方式，具有满环进样、部分进样及无损进样等可选模式；</w:t>
            </w:r>
          </w:p>
          <w:p w14:paraId="0EA84501">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样品位数：≥120位，满足仪器连续24小时不间断运行需求；</w:t>
            </w:r>
          </w:p>
          <w:p w14:paraId="5670FCD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具有缺瓶报警、漏液报警开关门感应灯自动化智能化功能；</w:t>
            </w:r>
          </w:p>
          <w:p w14:paraId="741F775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可升级制冷功能，实现样品温度4-30℃范围内精确控温；</w:t>
            </w:r>
          </w:p>
          <w:p w14:paraId="3C91C78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重复性：满环进样&lt;0.3%RSD（进样体积&gt;5uL）；</w:t>
            </w:r>
          </w:p>
          <w:p w14:paraId="3FE2927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注射器规格：标配：500ul；选配；250ul，1000ul，2500ul；</w:t>
            </w:r>
          </w:p>
          <w:p w14:paraId="1D46FFB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定量环规格：标配：100ul；选配：25ul，50ul，200ul；</w:t>
            </w:r>
          </w:p>
          <w:p w14:paraId="33B7FA3E">
            <w:pPr>
              <w:widowControl/>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(8)进样针清洗：具有独立清洗内/外壁洗针位，不限次数内外针清洗并具有吹干功能，可在样本间或每一针之间选择是否清洗</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（投标文件中提供证明材料）</w:t>
            </w:r>
            <w:r>
              <w:rPr>
                <w:rStyle w:val="13"/>
                <w:rFonts w:hint="default" w:ascii="宋体" w:hAnsi="宋体" w:eastAsia="宋体" w:cs="宋体"/>
                <w:color w:val="000000" w:themeColor="text1"/>
                <w:sz w:val="21"/>
                <w:szCs w:val="21"/>
                <w:lang w:bidi="ar"/>
                <w14:textFill>
                  <w14:solidFill>
                    <w14:schemeClr w14:val="tx1"/>
                  </w14:solidFill>
                </w14:textFill>
              </w:rPr>
              <w:t>；</w:t>
            </w:r>
          </w:p>
          <w:p w14:paraId="5E557E5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(9)线性：&gt;0.999；交叉污染：&lt;0.01%；</w:t>
            </w:r>
          </w:p>
          <w:p w14:paraId="1494B4B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(10)进样盘自由搭配，同一进样器可实现两种不同的进样瓶同时存在，满足不同样品的进样体积需求。</w:t>
            </w:r>
          </w:p>
          <w:p w14:paraId="07462BC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可同时安装10mL，4mL，2mL样品盘，搭配灵活。</w:t>
            </w:r>
          </w:p>
          <w:p w14:paraId="6E2D96B8">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进样瓶规格：标配：2mL；选配：4mL，10mL</w:t>
            </w:r>
          </w:p>
          <w:p w14:paraId="044374E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可实现双通道进样分析，一机多能，软件自由控制。</w:t>
            </w:r>
          </w:p>
          <w:p w14:paraId="3489FAE5">
            <w:pPr>
              <w:widowControl/>
              <w:spacing w:before="0" w:beforeAutospacing="0" w:after="0" w:line="300" w:lineRule="auto"/>
              <w:jc w:val="left"/>
              <w:rPr>
                <w:color w:val="000000" w:themeColor="text1"/>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（八）★氮气加压装置</w:t>
            </w:r>
          </w:p>
          <w:p w14:paraId="73687444">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1.保护淋洗液，避免吸收空气中的CO2，确保淋洗液流量的稳定性；</w:t>
            </w:r>
          </w:p>
          <w:p w14:paraId="5CCA244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2.隔绝空气，避免淋洗液中滋生细菌；</w:t>
            </w:r>
          </w:p>
          <w:p w14:paraId="726E11A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3.防止意外进入的气泡导致泵异常；</w:t>
            </w:r>
          </w:p>
          <w:p w14:paraId="21EFD4E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4.代替蠕动泵进行再生液、衍生液的输送；</w:t>
            </w:r>
          </w:p>
          <w:p w14:paraId="5D8DDFB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（九）淋洗液发生器</w:t>
            </w:r>
          </w:p>
          <w:p w14:paraId="04337BE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流量范围:覆盖0.001ml/min～3.000ml/min</w:t>
            </w:r>
          </w:p>
          <w:p w14:paraId="4FDBBDB9">
            <w:pPr>
              <w:widowControl/>
              <w:wordWrap w:val="0"/>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★淋洗液浓度范围</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(投标文件中提供证明材料）</w:t>
            </w:r>
            <w:r>
              <w:rPr>
                <w:rStyle w:val="13"/>
                <w:rFonts w:hint="default" w:ascii="宋体" w:hAnsi="宋体" w:eastAsia="宋体" w:cs="宋体"/>
                <w:color w:val="000000" w:themeColor="text1"/>
                <w:sz w:val="21"/>
                <w:szCs w:val="21"/>
                <w:lang w:bidi="ar"/>
                <w14:textFill>
                  <w14:solidFill>
                    <w14:schemeClr w14:val="tx1"/>
                  </w14:solidFill>
                </w14:textFill>
              </w:rPr>
              <w:t>:KOH、MSA-0.01～100.00mM@1.0ml/min；K2CO3-0.01～15mM@1.0ml/min；KHCO3-0.01～10mM@1.0ml/min</w:t>
            </w:r>
          </w:p>
          <w:p w14:paraId="2ACD1FB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浓度准确度:0.1mM</w:t>
            </w:r>
          </w:p>
          <w:p w14:paraId="16DC6CB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电解液原始浓度: 25% KOH/MSA；</w:t>
            </w:r>
          </w:p>
          <w:p w14:paraId="08E8380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电解液体积:1000mL</w:t>
            </w:r>
          </w:p>
          <w:p w14:paraId="4C2B122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最大工作压强:21MPa（3000psi）</w:t>
            </w:r>
          </w:p>
          <w:p w14:paraId="087EA2F2">
            <w:pPr>
              <w:widowControl/>
              <w:spacing w:before="0" w:beforeAutospacing="0" w:after="0" w:line="300" w:lineRule="auto"/>
              <w:jc w:val="left"/>
              <w:rPr>
                <w:rStyle w:val="13"/>
                <w:rFonts w:hint="default" w:ascii="宋体" w:hAnsi="宋体" w:eastAsia="宋体" w:cs="宋体"/>
                <w:b/>
                <w:bCs/>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★淋洗液发生器内部抽拉式设计。</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（投标文件中提供实拍照片证明，佐证抽拉式设计）</w:t>
            </w:r>
          </w:p>
          <w:p w14:paraId="372B7FD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8.</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梯度准确度：≤1.5%</w:t>
            </w:r>
          </w:p>
          <w:p w14:paraId="72758791">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9.</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梯度精度：≤0.2%</w:t>
            </w:r>
          </w:p>
          <w:p w14:paraId="0C986A0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10.</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淋洗液罐存在线监测</w:t>
            </w:r>
          </w:p>
          <w:p w14:paraId="6CF247D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（十）设备控制平台与软件</w:t>
            </w:r>
          </w:p>
          <w:p w14:paraId="68327FFA">
            <w:pPr>
              <w:widowControl/>
              <w:spacing w:before="0" w:beforeAutospacing="0" w:after="0" w:line="300" w:lineRule="auto"/>
              <w:jc w:val="left"/>
              <w:rPr>
                <w:rStyle w:val="9"/>
                <w:rFonts w:hint="eastAsia" w:ascii="宋体" w:hAnsi="宋体" w:cs="宋体"/>
                <w:color w:val="000000" w:themeColor="text1"/>
                <w:highlight w:val="none"/>
                <w:lang w:bidi="ar"/>
                <w14:textFill>
                  <w14:solidFill>
                    <w14:schemeClr w14:val="tx1"/>
                  </w14:solidFill>
                </w14:textFill>
              </w:rPr>
            </w:pPr>
            <w:r>
              <w:rPr>
                <w:rStyle w:val="13"/>
                <w:rFonts w:hint="default" w:ascii="宋体" w:hAnsi="宋体" w:eastAsia="宋体" w:cs="宋体"/>
                <w:color w:val="000000" w:themeColor="text1"/>
                <w:sz w:val="21"/>
                <w:szCs w:val="21"/>
                <w:highlight w:val="none"/>
                <w:lang w:bidi="ar"/>
                <w14:textFill>
                  <w14:solidFill>
                    <w14:schemeClr w14:val="tx1"/>
                  </w14:solidFill>
                </w14:textFill>
              </w:rPr>
              <w:t>1.</w:t>
            </w:r>
            <w:r>
              <w:rPr>
                <w:rStyle w:val="14"/>
                <w:rFonts w:hint="eastAsia" w:ascii="宋体" w:hAnsi="宋体" w:cs="宋体"/>
                <w:color w:val="000000" w:themeColor="text1"/>
                <w:sz w:val="21"/>
                <w:szCs w:val="21"/>
                <w:highlight w:val="none"/>
                <w:lang w:bidi="ar"/>
                <w14:textFill>
                  <w14:solidFill>
                    <w14:schemeClr w14:val="tx1"/>
                  </w14:solidFill>
                </w14:textFill>
              </w:rPr>
              <w:t xml:space="preserve"> </w:t>
            </w:r>
            <w:r>
              <w:rPr>
                <w:rStyle w:val="13"/>
                <w:rFonts w:hint="default" w:ascii="宋体" w:hAnsi="宋体" w:eastAsia="宋体" w:cs="宋体"/>
                <w:color w:val="000000" w:themeColor="text1"/>
                <w:sz w:val="21"/>
                <w:szCs w:val="21"/>
                <w:highlight w:val="none"/>
                <w:lang w:bidi="ar"/>
                <w14:textFill>
                  <w14:solidFill>
                    <w14:schemeClr w14:val="tx1"/>
                  </w14:solidFill>
                </w14:textFill>
              </w:rPr>
              <w:t>★实现系统部件的有效集成和控制，系统自带软件，须与仪器完全兼容配套使用，且稳定运行。软件可以实现系统部件的集成和控制，对配套气相色谱、液相色谱及各类检测器，自动进样器等部件可无缝式增加，可以完成多维色谱（柱切换）的功能、多检测联用检测的功能等功能的建立</w:t>
            </w:r>
            <w:r>
              <w:rPr>
                <w:rStyle w:val="13"/>
                <w:rFonts w:hint="default" w:ascii="宋体" w:hAnsi="宋体" w:eastAsia="宋体" w:cs="宋体"/>
                <w:b/>
                <w:bCs/>
                <w:color w:val="000000" w:themeColor="text1"/>
                <w:sz w:val="21"/>
                <w:szCs w:val="21"/>
                <w:highlight w:val="none"/>
                <w:lang w:bidi="ar"/>
                <w14:textFill>
                  <w14:solidFill>
                    <w14:schemeClr w14:val="tx1"/>
                  </w14:solidFill>
                </w14:textFill>
              </w:rPr>
              <w:t>（投标文件中提供彩页证明）</w:t>
            </w:r>
            <w:r>
              <w:rPr>
                <w:rStyle w:val="13"/>
                <w:rFonts w:hint="default" w:ascii="宋体" w:hAnsi="宋体" w:eastAsia="宋体" w:cs="宋体"/>
                <w:color w:val="000000" w:themeColor="text1"/>
                <w:sz w:val="21"/>
                <w:szCs w:val="21"/>
                <w:highlight w:val="none"/>
                <w:lang w:bidi="ar"/>
                <w14:textFill>
                  <w14:solidFill>
                    <w14:schemeClr w14:val="tx1"/>
                  </w14:solidFill>
                </w14:textFill>
              </w:rPr>
              <w:t>。</w:t>
            </w:r>
          </w:p>
          <w:p w14:paraId="472970E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图形化全反控界面，提供适实时分析条件参数和分析结果、在线修改和采集各部件工作参数、自动进行快速数据采集和处理、具有仪器相关数据与运行状况溯源功能，方便故障排查。</w:t>
            </w:r>
          </w:p>
          <w:p w14:paraId="29C5AD4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智能开机、智能待机、智能关机方法，一键式启动。</w:t>
            </w:r>
          </w:p>
          <w:p w14:paraId="00BF194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耗材监控系统跟踪和存储耗材的工作时长，进样次数，工作电压等相关数据。</w:t>
            </w:r>
          </w:p>
          <w:p w14:paraId="41D56E2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具有多通道缩略图功能，样品列表中已采集数据的样品具有压力、温度、色谱图等多通道缩略显示功能。</w:t>
            </w:r>
          </w:p>
          <w:p w14:paraId="237934A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w:t>
            </w:r>
            <w:r>
              <w:rPr>
                <w:rStyle w:val="14"/>
                <w:rFonts w:hint="eastAsia" w:ascii="宋体" w:hAnsi="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工作站界面简单、直观，操作流程便捷，具有完善的审计追踪（包含采集，数据处理，报告打印等）及多级权限管理（≥3级权限管理）功能。</w:t>
            </w:r>
          </w:p>
          <w:p w14:paraId="728EF53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w:t>
            </w:r>
            <w:r>
              <w:rPr>
                <w:rStyle w:val="13"/>
                <w:rFonts w:hint="default" w:ascii="宋体" w:eastAsia="宋体" w:cs="宋体"/>
                <w:color w:val="000000" w:themeColor="text1"/>
                <w:sz w:val="21"/>
                <w:szCs w:val="21"/>
                <w:lang w:bidi="ar"/>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具有多通道采集的功能，可在线监视温度、压力、色谱图情况，可离线查看已完成分析样品的压力、温度、色谱图情况。</w:t>
            </w:r>
          </w:p>
          <w:p w14:paraId="6AFB87E4">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8.配套集成操作软件的设备控制平台：具备数据保存、输出和彩色打印功能。</w:t>
            </w:r>
          </w:p>
          <w:p w14:paraId="1C3D1F5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四、 配置</w:t>
            </w:r>
          </w:p>
          <w:p w14:paraId="13D720B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（一）离子色谱仪主机1 套； </w:t>
            </w:r>
          </w:p>
          <w:p w14:paraId="48D44E9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（二）高压输液PEEK泵 2 套； </w:t>
            </w:r>
          </w:p>
          <w:p w14:paraId="618C9654">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（三）数字电导检测器模块 2 套； </w:t>
            </w:r>
          </w:p>
          <w:p w14:paraId="50C382C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（四）氢氧根型淋洗液发生器1 套； </w:t>
            </w:r>
          </w:p>
          <w:p w14:paraId="5A6AFB3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（五）甲烷磺酸型淋洗液发生器1 套；</w:t>
            </w:r>
          </w:p>
          <w:p w14:paraId="269D31B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（六）阴离子抑制器 1 套。 </w:t>
            </w:r>
          </w:p>
          <w:p w14:paraId="0BE4253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（七）阳离子抑制器 1 套；  </w:t>
            </w:r>
          </w:p>
          <w:p w14:paraId="047A3DD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（八）色谱柱恒温系统 1 套； </w:t>
            </w:r>
          </w:p>
          <w:p w14:paraId="21303F6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（九）氮气加压系统 2 套； </w:t>
            </w:r>
          </w:p>
          <w:p w14:paraId="4228FD6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（十）原厂120位自动进样器系统 1 套； </w:t>
            </w:r>
          </w:p>
          <w:p w14:paraId="50AD72B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（十一）电动六通进样阀 2 套； </w:t>
            </w:r>
          </w:p>
          <w:p w14:paraId="788BB7D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（十二）原厂色谱工作站1 套； </w:t>
            </w:r>
          </w:p>
          <w:p w14:paraId="35C1D8A9">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（十三）阴离子色谱柱  1套及配套保护柱1套</w:t>
            </w:r>
          </w:p>
          <w:p w14:paraId="1B968AA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（十四）阳离子色谱柱  1套及配套保护柱1套</w:t>
            </w:r>
          </w:p>
          <w:p w14:paraId="1A455204">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（十五）2L PP淋洗液瓶，  6个 </w:t>
            </w:r>
          </w:p>
          <w:p w14:paraId="2735FF4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（十六）RP前处理小柱，1cc，50pk/包， 1套</w:t>
            </w:r>
          </w:p>
          <w:p w14:paraId="622CEF48">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（十七）纯氮气 1套（纯度99.99%以上）</w:t>
            </w:r>
          </w:p>
          <w:p w14:paraId="077B833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五、售后服务要求</w:t>
            </w:r>
          </w:p>
          <w:p w14:paraId="27A528D4">
            <w:pPr>
              <w:widowControl/>
              <w:spacing w:before="0" w:beforeAutospacing="0" w:after="0" w:line="300" w:lineRule="auto"/>
              <w:jc w:val="left"/>
              <w:rPr>
                <w:rStyle w:val="13"/>
                <w:rFonts w:hint="default" w:ascii="宋体" w:hAnsi="宋体" w:eastAsia="宋体" w:cs="宋体"/>
                <w:b/>
                <w:bCs/>
                <w:color w:val="000000" w:themeColor="text1"/>
                <w:sz w:val="21"/>
                <w:szCs w:val="21"/>
                <w:highlight w:val="none"/>
                <w:lang w:bidi="ar"/>
                <w14:textFill>
                  <w14:solidFill>
                    <w14:schemeClr w14:val="tx1"/>
                  </w14:solidFill>
                </w14:textFill>
              </w:rPr>
            </w:pPr>
            <w:r>
              <w:rPr>
                <w:rStyle w:val="13"/>
                <w:rFonts w:hint="default" w:ascii="宋体" w:hAnsi="宋体" w:eastAsia="宋体" w:cs="宋体"/>
                <w:color w:val="000000" w:themeColor="text1"/>
                <w:sz w:val="21"/>
                <w:szCs w:val="21"/>
                <w:highlight w:val="none"/>
                <w:lang w:bidi="ar"/>
                <w14:textFill>
                  <w14:solidFill>
                    <w14:schemeClr w14:val="tx1"/>
                  </w14:solidFill>
                </w14:textFill>
              </w:rPr>
              <w:t>1.■质保不少于5年</w:t>
            </w:r>
            <w:r>
              <w:rPr>
                <w:rStyle w:val="13"/>
                <w:rFonts w:hint="default" w:ascii="宋体" w:hAnsi="宋体" w:eastAsia="宋体" w:cs="宋体"/>
                <w:b/>
                <w:bCs/>
                <w:color w:val="000000" w:themeColor="text1"/>
                <w:sz w:val="21"/>
                <w:szCs w:val="21"/>
                <w:highlight w:val="none"/>
                <w:lang w:bidi="ar"/>
                <w14:textFill>
                  <w14:solidFill>
                    <w14:schemeClr w14:val="tx1"/>
                  </w14:solidFill>
                </w14:textFill>
              </w:rPr>
              <w:t>[投标文件中提供投标人出具的书面承诺：合同签订后供货前提供厂家出具的售后服务承诺函（格式自拟）]</w:t>
            </w:r>
          </w:p>
          <w:p w14:paraId="37B2804C">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2.为采购人提供 3-5 人现场培训至被培训人员熟练掌握、合格；24 小时400 电话畅通，接采购人通知后1小时内响应，如采购人要求接采购人通知后12小时内到达现场。</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7CEDDE47">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2E8CEA67">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7519764D">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CDC103D">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bookmarkEnd w:id="19"/>
      <w:tr w14:paraId="210180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3535D9DC">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614099E5">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气相色谱质谱联用仪</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380991C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该设备用于反应产物的定性、定量分析，兼具高效分离与精准检测能力。</w:t>
            </w:r>
          </w:p>
          <w:p w14:paraId="7830E6F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1.主机部分</w:t>
            </w:r>
          </w:p>
          <w:p w14:paraId="6B837EEA">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★电子流量控制（EPC），流量、压力参数可精准电子调控。</w:t>
            </w:r>
          </w:p>
          <w:p w14:paraId="4FFCAB8A">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★压力调节精度：0.001psi；</w:t>
            </w:r>
          </w:p>
          <w:p w14:paraId="33FDFD63">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保留时间重复性：＜0.008%或＜0.0008min；</w:t>
            </w:r>
          </w:p>
          <w:p w14:paraId="57CB4B3E">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峰面积重现性：＜0.5%RSD。</w:t>
            </w:r>
          </w:p>
          <w:p w14:paraId="373A7C41">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配置≥10英寸内嵌式彩色触摸屏，支持实时谱图显示</w:t>
            </w:r>
          </w:p>
          <w:p w14:paraId="560C6E9B">
            <w:pPr>
              <w:widowControl/>
              <w:numPr>
                <w:ilvl w:val="0"/>
                <w:numId w:val="0"/>
              </w:numPr>
              <w:spacing w:before="0" w:beforeAutospacing="0" w:after="0" w:line="300" w:lineRule="auto"/>
              <w:ind w:left="0" w:leftChars="0" w:firstLine="0" w:firstLineChars="0"/>
              <w:jc w:val="left"/>
              <w:rPr>
                <w:rFonts w:hint="eastAsia" w:ascii="宋体" w:hAnsi="宋体" w:cs="宋体"/>
                <w:color w:val="000000" w:themeColor="text1"/>
                <w:kern w:val="0"/>
                <w:lang w:bidi="ar"/>
                <w14:textFill>
                  <w14:solidFill>
                    <w14:schemeClr w14:val="tx1"/>
                  </w14:solidFill>
                </w14:textFill>
              </w:rPr>
            </w:pPr>
            <w:r>
              <w:rPr>
                <w:rFonts w:hint="default" w:ascii="宋体" w:hAnsi="宋体" w:cs="宋体"/>
                <w:color w:val="000000" w:themeColor="text1"/>
                <w:kern w:val="0"/>
                <w:sz w:val="21"/>
                <w:szCs w:val="21"/>
                <w:lang w:val="en-US" w:eastAsia="zh-CN" w:bidi="ar"/>
                <w14:textFill>
                  <w14:solidFill>
                    <w14:schemeClr w14:val="tx1"/>
                  </w14:solidFill>
                </w14:textFill>
              </w:rPr>
              <w:t>(6)</w:t>
            </w:r>
            <w:r>
              <w:rPr>
                <w:rFonts w:hint="eastAsia" w:ascii="宋体" w:hAnsi="宋体" w:cs="宋体"/>
                <w:color w:val="000000" w:themeColor="text1"/>
                <w:kern w:val="0"/>
                <w:lang w:bidi="ar"/>
                <w14:textFill>
                  <w14:solidFill>
                    <w14:schemeClr w14:val="tx1"/>
                  </w14:solidFill>
                </w14:textFill>
              </w:rPr>
              <w:t>消耗品计数及维护提醒功能。</w:t>
            </w:r>
          </w:p>
          <w:p w14:paraId="42545C0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2.柱温箱</w:t>
            </w:r>
          </w:p>
          <w:p w14:paraId="70120AE1">
            <w:pPr>
              <w:widowControl/>
              <w:numPr>
                <w:ilvl w:val="0"/>
                <w:numId w:val="4"/>
              </w:numPr>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炉膛尺寸：≥28×30×24 cm，容积≥15升，可容纳多种规格色谱柱（至少包括毛细管柱、玻璃填充柱、不锈钢填充柱）。</w:t>
            </w:r>
          </w:p>
          <w:p w14:paraId="7B1D815B">
            <w:pPr>
              <w:widowControl/>
              <w:numPr>
                <w:ilvl w:val="0"/>
                <w:numId w:val="4"/>
              </w:numPr>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外观尺寸：≥590mm×520mm×505mm。</w:t>
            </w:r>
          </w:p>
          <w:p w14:paraId="27C79B60">
            <w:pPr>
              <w:widowControl/>
              <w:numPr>
                <w:ilvl w:val="0"/>
                <w:numId w:val="4"/>
              </w:numPr>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工作温度范围：覆盖室温+4℃～450℃；程序升温阶数：34阶35平台；</w:t>
            </w:r>
          </w:p>
          <w:p w14:paraId="3FCD8992">
            <w:pPr>
              <w:widowControl/>
              <w:numPr>
                <w:ilvl w:val="0"/>
                <w:numId w:val="4"/>
              </w:numPr>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★最高升温速率：≥250℃/min。</w:t>
            </w:r>
          </w:p>
          <w:p w14:paraId="3661415B">
            <w:pPr>
              <w:widowControl/>
              <w:numPr>
                <w:ilvl w:val="0"/>
                <w:numId w:val="4"/>
              </w:numPr>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★降温效率：450℃降至50℃≤3.5min（选配导风附件≤3.2min）；</w:t>
            </w:r>
          </w:p>
          <w:p w14:paraId="3DC4EC7C">
            <w:pPr>
              <w:widowControl/>
              <w:numPr>
                <w:ilvl w:val="0"/>
                <w:numId w:val="4"/>
              </w:numPr>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标配≥6个独立加热区；辅助加热区最高温度：≥400℃。</w:t>
            </w:r>
          </w:p>
          <w:p w14:paraId="2A515DBA">
            <w:pPr>
              <w:widowControl/>
              <w:numPr>
                <w:ilvl w:val="0"/>
                <w:numId w:val="4"/>
              </w:numPr>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具备炉膛温度自动保护、氢气泄露报警功能。</w:t>
            </w:r>
          </w:p>
          <w:p w14:paraId="576604F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 进样口</w:t>
            </w:r>
          </w:p>
          <w:p w14:paraId="266FE4D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分流/不分流进样口（S/SL），最高使用温度：450℃；采用环型直热方式，消除温度梯度。</w:t>
            </w:r>
          </w:p>
          <w:p w14:paraId="64DCEBE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模块化设计，无需工具即可快速拆卸；柱头压力设定范围0～100psi（可升级至150psi），控制精度0.001psi。</w:t>
            </w:r>
          </w:p>
          <w:p w14:paraId="4088397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★流量设定范围：≥0～1000 mL/min（氦气/氢气）、≥0～200 mL/min（氮气），最大分流比1:12500。</w:t>
            </w:r>
          </w:p>
          <w:p w14:paraId="211654C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★程序升压/升流：≥10阶</w:t>
            </w:r>
          </w:p>
          <w:p w14:paraId="4C5C8C7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支持恒定压力、恒定流量、程序升/降压、脉冲进样等多种气体控制方式。</w:t>
            </w:r>
          </w:p>
          <w:p w14:paraId="15E6339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 质谱系统</w:t>
            </w:r>
          </w:p>
          <w:p w14:paraId="1EAE163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离子源：EI源，独立法兰安装，双灯丝结构，软件切换无需卸真空；离子源材质为非陶瓷惰性化金属，温度范围≥50-350℃，离子化能量≥5-160eV。</w:t>
            </w:r>
          </w:p>
          <w:p w14:paraId="78E08F5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质量分析器：S型弯曲预四极全金属四极杆。</w:t>
            </w:r>
          </w:p>
          <w:p w14:paraId="185DB3F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质量范围2~1200 amu，质量轴稳定性优于0.10 amu/48h。</w:t>
            </w:r>
          </w:p>
          <w:p w14:paraId="679FFEA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★扫描方式：全扫描、选择离子扫描，最大扫描速度20,000amu/s。</w:t>
            </w:r>
          </w:p>
          <w:p w14:paraId="5571C7D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★检测器：离子聚焦与分腔设计，灵敏度高（1pg/uL OFN信噪比≥1200:1），定量结果稳定。</w:t>
            </w:r>
          </w:p>
          <w:p w14:paraId="3CEE171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（6）</w:t>
            </w:r>
            <w:r>
              <w:rPr>
                <w:rFonts w:hint="eastAsia" w:ascii="宋体" w:hAnsi="宋体" w:cs="宋体"/>
                <w:color w:val="000000" w:themeColor="text1"/>
                <w:kern w:val="0"/>
                <w:lang w:bidi="ar"/>
                <w14:textFill>
                  <w14:solidFill>
                    <w14:schemeClr w14:val="tx1"/>
                  </w14:solidFill>
                </w14:textFill>
              </w:rPr>
              <w:t>真空系统：机械泵抽速≥4 m³/h，涡轮分子泵抽速最大可至250L/s。</w:t>
            </w:r>
          </w:p>
          <w:p w14:paraId="188DD95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 数据采集与处理系统</w:t>
            </w:r>
          </w:p>
          <w:p w14:paraId="78F9C52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实现气相色谱与质谱一体化控制，支持一键开机/关机；兼容中/英文操作平台。</w:t>
            </w:r>
          </w:p>
          <w:p w14:paraId="4A16A7A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具备自动特征离子选择、谱库检索中文翻译功能；支持外标法、内标法等多种定量方式。</w:t>
            </w:r>
          </w:p>
          <w:p w14:paraId="2D8E83D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ascii="宋体" w:hAnsi="宋体" w:cs="宋体"/>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内置智能预警软件，可提醒关键耗材更换，保障实验连续性。</w:t>
            </w:r>
          </w:p>
          <w:p w14:paraId="03CCA4A0">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ascii="宋体" w:hAnsi="宋体" w:cs="宋体"/>
                <w:color w:val="000000" w:themeColor="text1"/>
                <w:lang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带有进样端口，可连接评价装置实现在线分析。</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75AC6A06">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6A67588F">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6D6BCEC5">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0FDC8988">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1F8398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434F6766">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670FFF5D">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表生环境地球化学实验平台</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411E1C3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1.高频红外碳硫分析仪：标配四套检测系统，用于不同固体碳、硫元素定量分析。该设备由自动恒压供氧、高频感应炉、红外检测器、操控平台、电子天平及打印机等部分组成。分析过程由计算机自动控制。</w:t>
            </w:r>
          </w:p>
          <w:p w14:paraId="37200B7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2.功能要求：一氧化碳补偿系统、双碳、硫、一氧化碳共4组红外吸收装置，共40个独立分析通道、温度补偿、一氧化碳补偿、流量补偿、峰宽补偿、（三级线性化标定）标气标定、线性标定、系统校正。</w:t>
            </w:r>
          </w:p>
          <w:p w14:paraId="59156BB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3.分析范围：C1：0.001-50%（可扩展至100%）；C2：0.00001-0.5%；S：0.00001-5%(可扩展)。</w:t>
            </w:r>
          </w:p>
          <w:p w14:paraId="493A620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分析时间：25-45秒。</w:t>
            </w:r>
          </w:p>
          <w:p w14:paraId="01B2D13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4.精度：分析误差满足C：RSD≤0.4%；S：RSD≤1.0%。                                                               5.全自动直接进样测汞仪：用于多领域样品中汞含量测定，可对固、液、气样品直接进样，无需化学消解前处理，操作简便。分析效率：≤2.5分钟/个，搭载60位样品盘。具备双通道检测等系统，可同时检测两样品出结果。检测限&lt;0.005ng，测试结果重复性：(RSD&lt;2.0% (1ng))。</w:t>
            </w:r>
          </w:p>
          <w:p w14:paraId="0033E63F">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校准方式:标准溶液或标准物质；样品体积≤1500ul,称重量≤1500mg；测量范围:0.005ng-1500ng,高低量程可自动切换。</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7A665A07">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0744A40E">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6F9EEFD6">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768419C1">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579B99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0C46608D">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07B49591">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3Ds分布式光纤多参量监测系统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7050822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一、 系统组成</w:t>
            </w:r>
          </w:p>
          <w:p w14:paraId="4B33B3C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1、3Ds分布式光纤多参量监测系统主机1套；</w:t>
            </w:r>
          </w:p>
          <w:p w14:paraId="462DB21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2、配套数据处理及分析软件1套；</w:t>
            </w:r>
          </w:p>
          <w:p w14:paraId="2D41B07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3、配套多参量传感光缆500米。</w:t>
            </w:r>
          </w:p>
          <w:p w14:paraId="3604F9F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二、3Ds分布式光纤多参量监测系统技术参数</w:t>
            </w:r>
          </w:p>
          <w:p w14:paraId="2F7AD53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1、测试参量：应变、变形、温度、含水率、导热系数、振动</w:t>
            </w:r>
          </w:p>
          <w:p w14:paraId="0414046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2、通道数：≥8（应变、变形）、≥8（温度、含水率、导热系数）、≥1（振动）</w:t>
            </w:r>
          </w:p>
          <w:p w14:paraId="77F4CD7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3、应变/温度/变形单通道探测距离：覆盖0~3km</w:t>
            </w:r>
          </w:p>
          <w:p w14:paraId="1FD3ACA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4、含水率/导热系数单通道探测距离：覆盖0~200m</w:t>
            </w:r>
          </w:p>
          <w:p w14:paraId="72C5D6B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5、振动探测距离：覆盖0~20km</w:t>
            </w:r>
          </w:p>
          <w:p w14:paraId="7E071F7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6、应变分辨精度：±1με</w:t>
            </w:r>
          </w:p>
          <w:p w14:paraId="6B9B165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7、应变测试重复性：≤3με</w:t>
            </w:r>
          </w:p>
          <w:p w14:paraId="60BB3F9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8、应变测量量程：≥20000με</w:t>
            </w:r>
          </w:p>
          <w:p w14:paraId="7CBF094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9、含水率分辨精度：≤1% </w:t>
            </w:r>
          </w:p>
          <w:p w14:paraId="1ADD8FE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10、导热系数分辨精度：0.05W/mK</w:t>
            </w:r>
          </w:p>
          <w:p w14:paraId="68F190D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11、温度分辨精度：±0.1℃</w:t>
            </w:r>
          </w:p>
          <w:p w14:paraId="717F1EC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12、温度测试重复性：≤0.3℃</w:t>
            </w:r>
          </w:p>
          <w:p w14:paraId="3CE2100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13、温度测量量程：≥-200℃~1200℃</w:t>
            </w:r>
          </w:p>
          <w:p w14:paraId="170A7E8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14、振动响应频段：≥0.01Hz~25000Hz</w:t>
            </w:r>
          </w:p>
          <w:p w14:paraId="1E5498B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15、振动测试底噪：30pε/√Hz@＞10Hz</w:t>
            </w:r>
          </w:p>
          <w:p w14:paraId="25F2F2F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16、应变/变形/温度/含水率/导热系数最高空间分辨率：≤0.5m</w:t>
            </w:r>
          </w:p>
          <w:p w14:paraId="6D5C8A3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17、应变/变形/温度最高采集频率：1Hz</w:t>
            </w:r>
          </w:p>
          <w:p w14:paraId="6640229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18、振动最高空间分辨率：3m</w:t>
            </w:r>
          </w:p>
          <w:p w14:paraId="1CBBF80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19、光学接口类型：FC/APC</w:t>
            </w:r>
          </w:p>
          <w:p w14:paraId="61ADC46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20、工作温度：≥-20℃~55℃</w:t>
            </w:r>
          </w:p>
          <w:p w14:paraId="63568661">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21、通讯接口：以太网、RS232</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489C1BFA">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0940C2E6">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657E3B0E">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067E4A8">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581341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470FF3B6">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58DAC9DB">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有机废弃物厌氧发酵耦合电化学处置及资源化利用集成系统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343BFD3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 原料存储罐：体积≥5 L。</w:t>
            </w:r>
          </w:p>
          <w:p w14:paraId="2ACC3DF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 物料输送泵：进料螺杆泵 DN40，流量：≥3m</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 xml:space="preserve">/h，工作温度：≤40 </w:t>
            </w:r>
            <w:r>
              <w:rPr>
                <w:rStyle w:val="13"/>
                <w:rFonts w:hint="default" w:ascii="宋体" w:hAnsi="宋体" w:eastAsia="宋体"/>
                <w:color w:val="000000" w:themeColor="text1"/>
                <w:sz w:val="21"/>
                <w:szCs w:val="21"/>
                <w:lang w:bidi="ar"/>
                <w14:textFill>
                  <w14:solidFill>
                    <w14:schemeClr w14:val="tx1"/>
                  </w14:solidFill>
                </w14:textFill>
              </w:rPr>
              <w:t>º</w:t>
            </w:r>
            <w:r>
              <w:rPr>
                <w:rStyle w:val="13"/>
                <w:rFonts w:hint="default" w:ascii="宋体" w:hAnsi="宋体" w:eastAsia="宋体" w:cs="宋体"/>
                <w:color w:val="000000" w:themeColor="text1"/>
                <w:sz w:val="21"/>
                <w:szCs w:val="21"/>
                <w:lang w:bidi="ar"/>
                <w14:textFill>
                  <w14:solidFill>
                    <w14:schemeClr w14:val="tx1"/>
                  </w14:solidFill>
                </w14:textFill>
              </w:rPr>
              <w:t>C</w:t>
            </w:r>
            <w:r>
              <w:rPr>
                <w:rStyle w:val="13"/>
                <w:rFonts w:hint="default" w:ascii="宋体" w:hAnsi="宋体" w:eastAsia="宋体"/>
                <w:color w:val="000000" w:themeColor="text1"/>
                <w:sz w:val="21"/>
                <w:szCs w:val="21"/>
                <w:lang w:bidi="ar"/>
                <w14:textFill>
                  <w14:solidFill>
                    <w14:schemeClr w14:val="tx1"/>
                  </w14:solidFill>
                </w14:textFill>
              </w:rPr>
              <w:t>，工作压力：</w:t>
            </w:r>
            <w:r>
              <w:rPr>
                <w:rStyle w:val="13"/>
                <w:rFonts w:hint="default" w:ascii="宋体" w:hAnsi="宋体" w:eastAsia="宋体" w:cs="宋体"/>
                <w:color w:val="000000" w:themeColor="text1"/>
                <w:sz w:val="21"/>
                <w:szCs w:val="21"/>
                <w:lang w:bidi="ar"/>
                <w14:textFill>
                  <w14:solidFill>
                    <w14:schemeClr w14:val="tx1"/>
                  </w14:solidFill>
                </w14:textFill>
              </w:rPr>
              <w:t>≤</w:t>
            </w:r>
            <w:r>
              <w:rPr>
                <w:rStyle w:val="13"/>
                <w:rFonts w:hint="default" w:ascii="宋体" w:hAnsi="宋体" w:eastAsia="宋体"/>
                <w:color w:val="000000" w:themeColor="text1"/>
                <w:sz w:val="21"/>
                <w:szCs w:val="21"/>
                <w:lang w:bidi="ar"/>
                <w14:textFill>
                  <w14:solidFill>
                    <w14:schemeClr w14:val="tx1"/>
                  </w14:solidFill>
                </w14:textFill>
              </w:rPr>
              <w:t>0.3 MPa</w:t>
            </w:r>
            <w:r>
              <w:rPr>
                <w:rStyle w:val="13"/>
                <w:rFonts w:hint="default" w:ascii="宋体" w:hAnsi="宋体" w:eastAsia="宋体" w:cs="宋体"/>
                <w:color w:val="000000" w:themeColor="text1"/>
                <w:sz w:val="21"/>
                <w:szCs w:val="21"/>
                <w:lang w:bidi="ar"/>
                <w14:textFill>
                  <w14:solidFill>
                    <w14:schemeClr w14:val="tx1"/>
                  </w14:solidFill>
                </w14:textFill>
              </w:rPr>
              <w:t>.</w:t>
            </w:r>
          </w:p>
          <w:p w14:paraId="607E990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 发酵罐：有效容积≥10 L，工作温度：35~40 ℃，微正压，功率按容积匹配；带保温；pH适用范围：5.0~6.5；温度、pH、搅拌、液位信号接入控制系统。</w:t>
            </w:r>
          </w:p>
          <w:p w14:paraId="0D8F2561">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 发酵罐主体材质：可视化玻璃罐体或硼硅玻璃/316L 组合结构。</w:t>
            </w:r>
          </w:p>
          <w:p w14:paraId="7E39AE2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 发酵罐配备机械搅拌器，搅拌器速度：50 -1000 rpm。</w:t>
            </w:r>
          </w:p>
          <w:p w14:paraId="0F0B332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 控温采用电加热，自动控温，精度可达±0.1 ºC~±0.2 ºC。</w:t>
            </w:r>
          </w:p>
          <w:p w14:paraId="14A5C138">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 温度计量程：≥0~100 ºC。</w:t>
            </w:r>
          </w:p>
          <w:p w14:paraId="67709683">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8．pH：5.0-6.5。</w:t>
            </w:r>
          </w:p>
          <w:p w14:paraId="3B65CDF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9. 中链羧酸提取器：膜萃取。</w:t>
            </w:r>
          </w:p>
          <w:p w14:paraId="1106B3F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10. 萃取剂储罐：有效容积</w:t>
            </w:r>
            <w:r>
              <w:rPr>
                <w:rStyle w:val="13"/>
                <w:rFonts w:hint="default" w:ascii="仿宋" w:hAnsi="仿宋" w:eastAsia="仿宋" w:cs="宋体"/>
                <w:color w:val="000000" w:themeColor="text1"/>
                <w:sz w:val="21"/>
                <w:szCs w:val="21"/>
                <w:lang w:bidi="ar"/>
                <w14:textFill>
                  <w14:solidFill>
                    <w14:schemeClr w14:val="tx1"/>
                  </w14:solidFill>
                </w14:textFill>
              </w:rPr>
              <w:t>≥5 L</w:t>
            </w:r>
            <w:r>
              <w:rPr>
                <w:rStyle w:val="13"/>
                <w:rFonts w:hint="default" w:ascii="宋体" w:hAnsi="宋体" w:eastAsia="宋体" w:cs="宋体"/>
                <w:color w:val="000000" w:themeColor="text1"/>
                <w:sz w:val="21"/>
                <w:szCs w:val="21"/>
                <w:lang w:bidi="ar"/>
                <w14:textFill>
                  <w14:solidFill>
                    <w14:schemeClr w14:val="tx1"/>
                  </w14:solidFill>
                </w14:textFill>
              </w:rPr>
              <w:t>。</w:t>
            </w:r>
          </w:p>
          <w:p w14:paraId="3891A80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 xml:space="preserve">11. 膜萃取及相单元：膜萃取组件+小型离心/分相模块；工作温度：≤35 </w:t>
            </w:r>
            <w:r>
              <w:rPr>
                <w:rStyle w:val="13"/>
                <w:rFonts w:hint="default" w:ascii="宋体" w:hAnsi="宋体" w:eastAsia="宋体"/>
                <w:color w:val="000000" w:themeColor="text1"/>
                <w:sz w:val="21"/>
                <w:szCs w:val="21"/>
                <w:lang w:bidi="ar"/>
                <w14:textFill>
                  <w14:solidFill>
                    <w14:schemeClr w14:val="tx1"/>
                  </w14:solidFill>
                </w14:textFill>
              </w:rPr>
              <w:t>º</w:t>
            </w:r>
            <w:r>
              <w:rPr>
                <w:rStyle w:val="13"/>
                <w:rFonts w:hint="default" w:ascii="宋体" w:hAnsi="宋体" w:eastAsia="宋体" w:cs="宋体"/>
                <w:color w:val="000000" w:themeColor="text1"/>
                <w:sz w:val="21"/>
                <w:szCs w:val="21"/>
                <w:lang w:bidi="ar"/>
                <w14:textFill>
                  <w14:solidFill>
                    <w14:schemeClr w14:val="tx1"/>
                  </w14:solidFill>
                </w14:textFill>
              </w:rPr>
              <w:t>C,设计压力：≤0.3 MPa。配萃取剂循环接口和压力/流量监测信号；膜通量作为运行记录，不作为产率硬性验收。</w:t>
            </w:r>
          </w:p>
          <w:p w14:paraId="27B3C35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12. 膜材质：疏水性PTFE、PP、PVDF。</w:t>
            </w:r>
          </w:p>
          <w:p w14:paraId="79D2467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13. 膜面积： 0.005m</w:t>
            </w:r>
            <w:r>
              <w:rPr>
                <w:rStyle w:val="15"/>
                <w:rFonts w:hint="default" w:ascii="宋体" w:hAnsi="宋体" w:eastAsia="宋体" w:cs="宋体"/>
                <w:color w:val="000000" w:themeColor="text1"/>
                <w:sz w:val="21"/>
                <w:szCs w:val="21"/>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~0.15 m</w:t>
            </w:r>
            <w:r>
              <w:rPr>
                <w:rStyle w:val="15"/>
                <w:rFonts w:hint="default" w:ascii="宋体" w:hAnsi="宋体" w:eastAsia="宋体" w:cs="宋体"/>
                <w:color w:val="000000" w:themeColor="text1"/>
                <w:sz w:val="21"/>
                <w:szCs w:val="21"/>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w:t>
            </w:r>
          </w:p>
          <w:p w14:paraId="7E86B73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14. 萃取剂：常用胺类。</w:t>
            </w:r>
          </w:p>
          <w:p w14:paraId="103BF20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15. 膜通量：0 L m</w:t>
            </w:r>
            <w:r>
              <w:rPr>
                <w:rStyle w:val="15"/>
                <w:rFonts w:hint="default" w:ascii="宋体" w:hAnsi="宋体" w:eastAsia="宋体" w:cs="宋体"/>
                <w:color w:val="000000" w:themeColor="text1"/>
                <w:sz w:val="21"/>
                <w:szCs w:val="21"/>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 xml:space="preserve"> h</w:t>
            </w:r>
            <w:r>
              <w:rPr>
                <w:rStyle w:val="15"/>
                <w:rFonts w:hint="default" w:ascii="宋体" w:hAnsi="宋体" w:eastAsia="宋体" w:cs="宋体"/>
                <w:color w:val="000000" w:themeColor="text1"/>
                <w:sz w:val="21"/>
                <w:szCs w:val="21"/>
                <w:lang w:bidi="ar"/>
                <w14:textFill>
                  <w14:solidFill>
                    <w14:schemeClr w14:val="tx1"/>
                  </w14:solidFill>
                </w14:textFill>
              </w:rPr>
              <w:t>-1</w:t>
            </w:r>
            <w:r>
              <w:rPr>
                <w:rStyle w:val="13"/>
                <w:rFonts w:hint="default" w:ascii="宋体" w:hAnsi="宋体" w:eastAsia="宋体" w:cs="宋体"/>
                <w:color w:val="000000" w:themeColor="text1"/>
                <w:sz w:val="21"/>
                <w:szCs w:val="21"/>
                <w:lang w:bidi="ar"/>
                <w14:textFill>
                  <w14:solidFill>
                    <w14:schemeClr w14:val="tx1"/>
                  </w14:solidFill>
                </w14:textFill>
              </w:rPr>
              <w:t>~290 L m</w:t>
            </w:r>
            <w:r>
              <w:rPr>
                <w:rStyle w:val="15"/>
                <w:rFonts w:hint="default" w:ascii="宋体" w:hAnsi="宋体" w:eastAsia="宋体" w:cs="宋体"/>
                <w:color w:val="000000" w:themeColor="text1"/>
                <w:sz w:val="21"/>
                <w:szCs w:val="21"/>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 xml:space="preserve"> h</w:t>
            </w:r>
            <w:r>
              <w:rPr>
                <w:rStyle w:val="15"/>
                <w:rFonts w:hint="default" w:ascii="宋体" w:hAnsi="宋体" w:eastAsia="宋体" w:cs="宋体"/>
                <w:color w:val="000000" w:themeColor="text1"/>
                <w:sz w:val="21"/>
                <w:szCs w:val="21"/>
                <w:lang w:bidi="ar"/>
                <w14:textFill>
                  <w14:solidFill>
                    <w14:schemeClr w14:val="tx1"/>
                  </w14:solidFill>
                </w14:textFill>
              </w:rPr>
              <w:t>-1</w:t>
            </w:r>
            <w:r>
              <w:rPr>
                <w:rStyle w:val="13"/>
                <w:rFonts w:hint="default" w:ascii="宋体" w:hAnsi="宋体" w:eastAsia="宋体" w:cs="宋体"/>
                <w:color w:val="000000" w:themeColor="text1"/>
                <w:sz w:val="21"/>
                <w:szCs w:val="21"/>
                <w:lang w:bidi="ar"/>
                <w14:textFill>
                  <w14:solidFill>
                    <w14:schemeClr w14:val="tx1"/>
                  </w14:solidFill>
                </w14:textFill>
              </w:rPr>
              <w:t>。</w:t>
            </w:r>
          </w:p>
          <w:p w14:paraId="2FFCBEB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16. 电解槽：有效容积≥5 L。</w:t>
            </w:r>
          </w:p>
          <w:p w14:paraId="020D348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17. 电解槽采用磁力搅拌器，搅拌器速度：≥40 rpm~1500 rpm。</w:t>
            </w:r>
          </w:p>
          <w:p w14:paraId="44A87EF6">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18. 电压：0~5 V，工作温度：≤45℃。</w:t>
            </w:r>
          </w:p>
          <w:p w14:paraId="690B631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19.</w:t>
            </w:r>
            <w:r>
              <w:rPr>
                <w:rFonts w:hint="eastAsia" w:ascii="宋体" w:hAnsi="宋体"/>
                <w:color w:val="000000" w:themeColor="text1"/>
                <w14:textFill>
                  <w14:solidFill>
                    <w14:schemeClr w14:val="tx1"/>
                  </w14:solidFill>
                </w14:textFill>
              </w:rPr>
              <w:t xml:space="preserve"> </w:t>
            </w:r>
            <w:r>
              <w:rPr>
                <w:rStyle w:val="13"/>
                <w:rFonts w:hint="default" w:ascii="宋体" w:hAnsi="宋体" w:eastAsia="宋体" w:cs="宋体"/>
                <w:color w:val="000000" w:themeColor="text1"/>
                <w:sz w:val="21"/>
                <w:szCs w:val="21"/>
                <w:lang w:bidi="ar"/>
                <w14:textFill>
                  <w14:solidFill>
                    <w14:schemeClr w14:val="tx1"/>
                  </w14:solidFill>
                </w14:textFill>
              </w:rPr>
              <w:t>电极：贵金属、炭电极，有效面积：≥1.8m</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2</w:t>
            </w:r>
            <w:r>
              <w:rPr>
                <w:rStyle w:val="13"/>
                <w:rFonts w:hint="default" w:ascii="宋体" w:hAnsi="宋体" w:eastAsia="宋体" w:cs="宋体"/>
                <w:color w:val="000000" w:themeColor="text1"/>
                <w:sz w:val="21"/>
                <w:szCs w:val="21"/>
                <w:lang w:bidi="ar"/>
                <w14:textFill>
                  <w14:solidFill>
                    <w14:schemeClr w14:val="tx1"/>
                  </w14:solidFill>
                </w14:textFill>
              </w:rPr>
              <w:t xml:space="preserve">。 </w:t>
            </w:r>
          </w:p>
          <w:p w14:paraId="4070534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20. 产物输送泵：蠕动泵。</w:t>
            </w:r>
          </w:p>
          <w:p w14:paraId="5F07193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21. 蠕动泵流量：2 m</w:t>
            </w:r>
            <w:r>
              <w:rPr>
                <w:rStyle w:val="15"/>
                <w:rFonts w:hint="default" w:ascii="宋体" w:hAnsi="宋体" w:eastAsia="宋体" w:cs="宋体"/>
                <w:color w:val="000000" w:themeColor="text1"/>
                <w:sz w:val="21"/>
                <w:szCs w:val="21"/>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/h - 500 m</w:t>
            </w:r>
            <w:r>
              <w:rPr>
                <w:rStyle w:val="15"/>
                <w:rFonts w:hint="default" w:ascii="宋体" w:hAnsi="宋体" w:eastAsia="宋体" w:cs="宋体"/>
                <w:color w:val="000000" w:themeColor="text1"/>
                <w:sz w:val="21"/>
                <w:szCs w:val="21"/>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/h。</w:t>
            </w:r>
          </w:p>
          <w:p w14:paraId="10A6E5F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22. 产品收集罐：体积≥10 L。</w:t>
            </w:r>
          </w:p>
          <w:p w14:paraId="51564CF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23. 仪表系统：包含温度变送器、压力变送器、电磁流量计、PH 计、分析仪、液位计等。</w:t>
            </w:r>
          </w:p>
          <w:p w14:paraId="0E79ADA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24. 管件系统包含：管线、阀门、法兰、弯头、三通等管件。</w:t>
            </w:r>
          </w:p>
          <w:p w14:paraId="1C4C198D">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25. 电缆系统：电缆、电线等元器件。</w:t>
            </w:r>
          </w:p>
          <w:p w14:paraId="1123ECFA">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26. 自控系统：PLC 控制系统包含软件开发。</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25E34C12">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60F585FF">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0AE64772">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5C08002A">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tr w14:paraId="2570C1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558CF2E4">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2443651E">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基于红外光谱实时监测的生物燃料工业吸附脱硫过程调控系统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0EE383D5">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 油脂罐：有效容积</w:t>
            </w:r>
            <w:r>
              <w:rPr>
                <w:rStyle w:val="13"/>
                <w:rFonts w:hint="default" w:ascii="仿宋" w:hAnsi="仿宋" w:eastAsia="仿宋" w:cs="宋体"/>
                <w:color w:val="000000" w:themeColor="text1"/>
                <w:sz w:val="21"/>
                <w:szCs w:val="21"/>
                <w:lang w:bidi="ar"/>
                <w14:textFill>
                  <w14:solidFill>
                    <w14:schemeClr w14:val="tx1"/>
                  </w14:solidFill>
                </w14:textFill>
              </w:rPr>
              <w:t>≥</w:t>
            </w:r>
            <w:r>
              <w:rPr>
                <w:rStyle w:val="13"/>
                <w:rFonts w:hint="default" w:ascii="宋体" w:hAnsi="宋体" w:eastAsia="宋体" w:cs="宋体"/>
                <w:color w:val="000000" w:themeColor="text1"/>
                <w:sz w:val="21"/>
                <w:szCs w:val="21"/>
                <w:lang w:bidi="ar"/>
                <w14:textFill>
                  <w14:solidFill>
                    <w14:schemeClr w14:val="tx1"/>
                  </w14:solidFill>
                </w14:textFill>
              </w:rPr>
              <w:t>30 L；工作温度：室温~100℃；常压/低压运行，预留排气、液位和排液接口。</w:t>
            </w:r>
          </w:p>
          <w:p w14:paraId="7ED7D43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2. 甲醇罐：有效容积≥20 L，工作温度：室温~80℃；常压/低压运行。</w:t>
            </w:r>
          </w:p>
          <w:p w14:paraId="11A588F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3. 油脂泵 流量：0.1~3m</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/h，工作压力：≤0.3 MPa。</w:t>
            </w:r>
          </w:p>
          <w:p w14:paraId="0E4D612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4 甲醇计量泵：材质：304钢。</w:t>
            </w:r>
          </w:p>
          <w:p w14:paraId="3BA992F0">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5. 太阳能/电辅热循环模块：工作温度：≤ 80 ℃。</w:t>
            </w:r>
          </w:p>
          <w:p w14:paraId="7AA35CBA">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6. 静态混合器：材质：304；DN15~DN25；工作温度：≤ 80℃，工作压力：≤0.3MPa。</w:t>
            </w:r>
          </w:p>
          <w:p w14:paraId="575B3D9F">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7. 在线红外光谱仪。</w:t>
            </w:r>
          </w:p>
          <w:p w14:paraId="19E371C0">
            <w:pPr>
              <w:widowControl/>
              <w:spacing w:before="0" w:beforeAutospacing="0" w:after="0" w:line="300" w:lineRule="auto"/>
              <w:jc w:val="left"/>
              <w:rPr>
                <w:rStyle w:val="15"/>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8. 光谱参数：波长范围：覆盖12500cm</w:t>
            </w:r>
            <w:r>
              <w:rPr>
                <w:rStyle w:val="15"/>
                <w:rFonts w:hint="default" w:ascii="宋体" w:hAnsi="宋体" w:eastAsia="宋体" w:cs="宋体"/>
                <w:color w:val="000000" w:themeColor="text1"/>
                <w:sz w:val="21"/>
                <w:szCs w:val="21"/>
                <w:lang w:bidi="ar"/>
                <w14:textFill>
                  <w14:solidFill>
                    <w14:schemeClr w14:val="tx1"/>
                  </w14:solidFill>
                </w14:textFill>
              </w:rPr>
              <w:t>-1</w:t>
            </w:r>
            <w:r>
              <w:rPr>
                <w:rStyle w:val="13"/>
                <w:rFonts w:hint="default" w:ascii="宋体" w:hAnsi="宋体" w:eastAsia="宋体" w:cs="宋体"/>
                <w:color w:val="000000" w:themeColor="text1"/>
                <w:sz w:val="21"/>
                <w:szCs w:val="21"/>
                <w:lang w:bidi="ar"/>
                <w14:textFill>
                  <w14:solidFill>
                    <w14:schemeClr w14:val="tx1"/>
                  </w14:solidFill>
                </w14:textFill>
              </w:rPr>
              <w:t>-350 cm</w:t>
            </w:r>
            <w:r>
              <w:rPr>
                <w:rStyle w:val="15"/>
                <w:rFonts w:hint="default" w:ascii="宋体" w:hAnsi="宋体" w:eastAsia="宋体" w:cs="宋体"/>
                <w:color w:val="000000" w:themeColor="text1"/>
                <w:sz w:val="21"/>
                <w:szCs w:val="21"/>
                <w:lang w:bidi="ar"/>
                <w14:textFill>
                  <w14:solidFill>
                    <w14:schemeClr w14:val="tx1"/>
                  </w14:solidFill>
                </w14:textFill>
              </w:rPr>
              <w:t>-1</w:t>
            </w:r>
          </w:p>
          <w:p w14:paraId="7EFD21DB">
            <w:pPr>
              <w:widowControl/>
              <w:spacing w:before="0" w:beforeAutospacing="0" w:after="0" w:line="300" w:lineRule="auto"/>
              <w:jc w:val="left"/>
              <w:rPr>
                <w:rStyle w:val="15"/>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9. 光谱参数：分辨率：优于 0.06 cm</w:t>
            </w:r>
            <w:r>
              <w:rPr>
                <w:rStyle w:val="15"/>
                <w:rFonts w:hint="default" w:ascii="宋体" w:hAnsi="宋体" w:eastAsia="宋体" w:cs="宋体"/>
                <w:color w:val="000000" w:themeColor="text1"/>
                <w:sz w:val="21"/>
                <w:szCs w:val="21"/>
                <w:lang w:bidi="ar"/>
                <w14:textFill>
                  <w14:solidFill>
                    <w14:schemeClr w14:val="tx1"/>
                  </w14:solidFill>
                </w14:textFill>
              </w:rPr>
              <w:t>-1</w:t>
            </w:r>
          </w:p>
          <w:p w14:paraId="6110A75E">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10. 光谱参数：信噪比：&gt; 60000:1</w:t>
            </w:r>
          </w:p>
          <w:p w14:paraId="1F1E565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11. 光谱采集池：≥5 mL。</w:t>
            </w:r>
          </w:p>
          <w:p w14:paraId="64098DE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12. 智慧平台：基于大数据模型的人工智能操控软件。</w:t>
            </w:r>
          </w:p>
          <w:p w14:paraId="5EF0650C">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13. 吸附剂添加器：智能投加。</w:t>
            </w:r>
          </w:p>
          <w:p w14:paraId="069A2A38">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14. 产品收集罐：体积≥10 L，常温，设计压力：0.1MPa。</w:t>
            </w:r>
          </w:p>
          <w:p w14:paraId="211B5FE7">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15. 成品泵 流量≥1.5m</w:t>
            </w:r>
            <w:r>
              <w:rPr>
                <w:rStyle w:val="13"/>
                <w:rFonts w:hint="default" w:ascii="宋体" w:hAnsi="宋体" w:eastAsia="宋体" w:cs="宋体"/>
                <w:color w:val="000000" w:themeColor="text1"/>
                <w:sz w:val="21"/>
                <w:szCs w:val="21"/>
                <w:vertAlign w:val="superscript"/>
                <w:lang w:bidi="ar"/>
                <w14:textFill>
                  <w14:solidFill>
                    <w14:schemeClr w14:val="tx1"/>
                  </w14:solidFill>
                </w14:textFill>
              </w:rPr>
              <w:t>3</w:t>
            </w:r>
            <w:r>
              <w:rPr>
                <w:rStyle w:val="13"/>
                <w:rFonts w:hint="default" w:ascii="宋体" w:hAnsi="宋体" w:eastAsia="宋体" w:cs="宋体"/>
                <w:color w:val="000000" w:themeColor="text1"/>
                <w:sz w:val="21"/>
                <w:szCs w:val="21"/>
                <w:lang w:bidi="ar"/>
                <w14:textFill>
                  <w14:solidFill>
                    <w14:schemeClr w14:val="tx1"/>
                  </w14:solidFill>
                </w14:textFill>
              </w:rPr>
              <w:t>/h。</w:t>
            </w:r>
          </w:p>
          <w:p w14:paraId="5A75E10B">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16. 管件系统包含：管线、阀门、法兰、弯头、三通等管件。</w:t>
            </w:r>
          </w:p>
          <w:p w14:paraId="3DC85C52">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17. 仪表系统：包含温度变送器、压力变送器、电磁流量计、PH 计、分析仪、液位计等。</w:t>
            </w:r>
          </w:p>
          <w:p w14:paraId="250D81D4">
            <w:pPr>
              <w:widowControl/>
              <w:spacing w:before="0" w:beforeAutospacing="0" w:after="0" w:line="300" w:lineRule="auto"/>
              <w:jc w:val="left"/>
              <w:rPr>
                <w:rStyle w:val="13"/>
                <w:rFonts w:hint="default" w:ascii="宋体" w:hAnsi="宋体" w:eastAsia="宋体" w:cs="宋体"/>
                <w:color w:val="000000" w:themeColor="text1"/>
                <w:sz w:val="21"/>
                <w:szCs w:val="2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18. 电缆系统：电缆、电线等元器件。</w:t>
            </w:r>
          </w:p>
          <w:p w14:paraId="6135DB1C">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Style w:val="13"/>
                <w:rFonts w:hint="default" w:ascii="宋体" w:hAnsi="宋体" w:eastAsia="宋体" w:cs="宋体"/>
                <w:color w:val="000000" w:themeColor="text1"/>
                <w:sz w:val="21"/>
                <w:szCs w:val="21"/>
                <w:lang w:bidi="ar"/>
                <w14:textFill>
                  <w14:solidFill>
                    <w14:schemeClr w14:val="tx1"/>
                  </w14:solidFill>
                </w14:textFill>
              </w:rPr>
              <w:t>19. 自控系统 PLC 控制系统包含软件开发。</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7ABC326C">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50D6873D">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53A6335A">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7F2B88BD">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p>
        </w:tc>
      </w:tr>
      <w:tr w14:paraId="3D644D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66EDD46F">
            <w:pPr>
              <w:numPr>
                <w:ilvl w:val="0"/>
                <w:numId w:val="1"/>
              </w:numPr>
              <w:spacing w:before="0" w:beforeAutospacing="0" w:after="0" w:line="300" w:lineRule="auto"/>
              <w:ind w:left="0" w:firstLine="0"/>
              <w:jc w:val="center"/>
              <w:rPr>
                <w:rFonts w:hint="eastAsia" w:ascii="宋体" w:hAnsi="宋体" w:cs="宋体"/>
                <w:color w:val="000000" w:themeColor="text1"/>
                <w:lang w:bidi="ar"/>
                <w14:textFill>
                  <w14:solidFill>
                    <w14:schemeClr w14:val="tx1"/>
                  </w14:solidFill>
                </w14:textFill>
              </w:rPr>
            </w:pPr>
            <w:bookmarkStart w:id="20" w:name="OLE_LINK2"/>
          </w:p>
        </w:tc>
        <w:tc>
          <w:tcPr>
            <w:tcW w:w="717" w:type="dxa"/>
            <w:tcBorders>
              <w:top w:val="single" w:color="auto" w:sz="4" w:space="0"/>
              <w:left w:val="single" w:color="auto" w:sz="4" w:space="0"/>
              <w:bottom w:val="single" w:color="auto" w:sz="4" w:space="0"/>
              <w:right w:val="single" w:color="auto" w:sz="4" w:space="0"/>
            </w:tcBorders>
            <w:noWrap w:val="0"/>
            <w:vAlign w:val="center"/>
          </w:tcPr>
          <w:p w14:paraId="673C93C9">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地质环境样品消解前处理平台</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340264E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平台组成：一、微波消解仪1套；二、通风处理模块1套；三、酸纯化仪2台；四、石墨电热板2台；五、纯水机1套；六、实验台1张。</w:t>
            </w:r>
          </w:p>
          <w:p w14:paraId="07E0E6E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一、微波消解仪</w:t>
            </w:r>
          </w:p>
          <w:p w14:paraId="72C692B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1、技术参数</w:t>
            </w:r>
          </w:p>
          <w:p w14:paraId="42D06A3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1.1、微波系统：</w:t>
            </w:r>
          </w:p>
          <w:p w14:paraId="61C14AC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1.1.1、磁控管结构与功率：采用侧壁双磁控管错位排列设计，最大微波输出功率：≥1800W</w:t>
            </w:r>
          </w:p>
          <w:p w14:paraId="084E83D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1.1.2、具备微波氧燃烧功能，可用于测试金属元素的种类、含量、形态以及卤族元素（F,Cl,Br,I）。</w:t>
            </w:r>
          </w:p>
          <w:p w14:paraId="17DA1FD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1.2、炉腔系统：</w:t>
            </w:r>
          </w:p>
          <w:p w14:paraId="53783A1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1.2.1、40L≤腔体容积≤56L；</w:t>
            </w:r>
          </w:p>
          <w:p w14:paraId="73B6355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1.2.2、批处理能力：处理≥16位100ml超高压消解罐转子和≥40位高通量消解罐转子；</w:t>
            </w:r>
          </w:p>
          <w:p w14:paraId="29368F5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1.2.3、腔体材料：整体由316L不锈钢无缝焊接而成；</w:t>
            </w:r>
          </w:p>
          <w:p w14:paraId="3C11BF8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1.2.4、炉门为侧面左右开门方式且自带≥7寸可视窗可实时观察到腔内消解罐运行情况；</w:t>
            </w:r>
          </w:p>
          <w:p w14:paraId="01EFB7F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1.2.5、安全与标准：炉门具有缓冲浮动设计，可在腔内压力过大时浮动释放部分压力后再密闭，并有异常自动急停功能和报警功能；</w:t>
            </w:r>
          </w:p>
          <w:p w14:paraId="3D04ECF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■1.2.6、炉腔质保：腔体不低于5年质量保证</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[投标文件中提供投标人出具的书面承诺：合同签订后供货前提供厂家出具的售后服务承诺函（格式自拟）]</w:t>
            </w:r>
            <w:r>
              <w:rPr>
                <w:rFonts w:hint="eastAsia" w:ascii="宋体" w:hAnsi="宋体" w:cs="宋体"/>
                <w:color w:val="000000" w:themeColor="text1"/>
                <w:kern w:val="0"/>
                <w:lang w:bidi="ar"/>
                <w14:textFill>
                  <w14:solidFill>
                    <w14:schemeClr w14:val="tx1"/>
                  </w14:solidFill>
                </w14:textFill>
              </w:rPr>
              <w:t xml:space="preserve">非人为损坏、如出现形变或腐蚀生锈，免费更换； </w:t>
            </w:r>
          </w:p>
          <w:p w14:paraId="440A9B3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1.2.7、耐腐蚀排风系统，消解过程中及时带走消解罐管壁外多余热量；</w:t>
            </w:r>
          </w:p>
          <w:p w14:paraId="6B2A427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★1.2.8、转子自动升降：炉门开至90度后转子可自动上升，低于90度自动下降；</w:t>
            </w:r>
          </w:p>
          <w:p w14:paraId="72E1660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1.2.9、状态灯光系统，可随实验状态（待机-正在运行-完成或待机）而变化。</w:t>
            </w:r>
          </w:p>
          <w:p w14:paraId="174E405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★1.2.10、微波泄露量≤0.0065mw/cm²</w:t>
            </w:r>
            <w:r>
              <w:rPr>
                <w:rFonts w:hint="eastAsia"/>
                <w:b/>
                <w:color w:val="000000" w:themeColor="text1"/>
                <w14:textFill>
                  <w14:solidFill>
                    <w14:schemeClr w14:val="tx1"/>
                  </w14:solidFill>
                </w14:textFill>
              </w:rPr>
              <w:t>（投标文件中提供第三方出具的检测报报告）</w:t>
            </w:r>
            <w:r>
              <w:rPr>
                <w:rFonts w:hint="eastAsia"/>
                <w:bCs/>
                <w:color w:val="000000" w:themeColor="text1"/>
                <w14:textFill>
                  <w14:solidFill>
                    <w14:schemeClr w14:val="tx1"/>
                  </w14:solidFill>
                </w14:textFill>
              </w:rPr>
              <w:t>。</w:t>
            </w:r>
          </w:p>
          <w:p w14:paraId="255D21E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1.3、温度及压力测控系统：</w:t>
            </w:r>
          </w:p>
          <w:p w14:paraId="2946E66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1.3.1、测温方式： 采用非接触式全罐底部透射外测温技术，实时显示每个消解罐温度柱状图；</w:t>
            </w:r>
          </w:p>
          <w:p w14:paraId="60D43FF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★1.3.2、智能全罐控压技术：上盖内置金属弹簧定量控压技术实时监控每个反应罐反应过程中的压力变化，超压释放，可长期反复使用无须更换耗材。</w:t>
            </w:r>
          </w:p>
          <w:p w14:paraId="12B57EA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1.4、采用主机一体式控制系统，≥7寸彩色触摸屏，历史实验数据可保存并在主机回看 </w:t>
            </w:r>
          </w:p>
          <w:p w14:paraId="76F8C38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1.4.1、仪器内置50种以上应用方法库，即调即用。可提供功率模式、斜率升温模式可选</w:t>
            </w:r>
          </w:p>
          <w:p w14:paraId="720BEB7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1.4.2、运行前智能检测转子匹配、微波源、风机、马达等核心部件的状态</w:t>
            </w:r>
          </w:p>
          <w:p w14:paraId="35E1143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1.4.3、彩色图形界面，主机可实时显示温度、功率、步骤、时间等消解数据和曲线。 </w:t>
            </w:r>
          </w:p>
          <w:p w14:paraId="08CD410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1.5、消解罐：</w:t>
            </w:r>
          </w:p>
          <w:p w14:paraId="2DC9F18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1.5.1、批处理量≥10位</w:t>
            </w:r>
          </w:p>
          <w:p w14:paraId="69AF463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1.5.2、罐体容积≥ 100mL</w:t>
            </w:r>
          </w:p>
          <w:p w14:paraId="025896B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1.5.3、内罐材质：带字母+数字编码，底部自带六角扳手设计。</w:t>
            </w:r>
          </w:p>
          <w:p w14:paraId="109E76B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1.5.4、护套材质：防爆裂并支持水洗，自带六角扳手设计。</w:t>
            </w:r>
          </w:p>
          <w:p w14:paraId="7E91DCC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1.5.5、最高耐受压力：≥ 1500psi</w:t>
            </w:r>
          </w:p>
          <w:p w14:paraId="0491260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1.5.6、最高工作压力：≥ 6MPa</w:t>
            </w:r>
          </w:p>
          <w:p w14:paraId="7538EDD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1.5.7、最高耐受温度：≥ 300℃</w:t>
            </w:r>
          </w:p>
          <w:p w14:paraId="28614CE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1.5.8、最高工作温度: ≥ 260℃</w:t>
            </w:r>
          </w:p>
          <w:p w14:paraId="727F109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二、配置清单</w:t>
            </w:r>
          </w:p>
          <w:p w14:paraId="7B4E90F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(1)主机（含一体式控制系统和操作软件）：1台</w:t>
            </w:r>
          </w:p>
          <w:p w14:paraId="2BEE958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(2)转子自动升降系统：1组</w:t>
            </w:r>
          </w:p>
          <w:p w14:paraId="1CF0ACB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(3)全罐压力传感器：1组</w:t>
            </w:r>
          </w:p>
          <w:p w14:paraId="121D045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(4)Rtemp非接触式内温测量红外传感器：1组</w:t>
            </w:r>
          </w:p>
          <w:p w14:paraId="1C8AF2D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(5)耐腐蚀排风系统：1组</w:t>
            </w:r>
          </w:p>
          <w:p w14:paraId="1D02B1D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(6)智能状态反应灯：1组</w:t>
            </w:r>
          </w:p>
          <w:p w14:paraId="3C55C0B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(7)10位反应转子一套（含10套超高压消解罐）：1组</w:t>
            </w:r>
          </w:p>
          <w:p w14:paraId="7C28873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(8)配套赶酸仪：1台</w:t>
            </w:r>
          </w:p>
          <w:p w14:paraId="1A919404">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(9)消解内罐定制管架：3套</w:t>
            </w:r>
          </w:p>
          <w:p w14:paraId="3ACFF35A">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(10)工具包：1组</w:t>
            </w:r>
          </w:p>
          <w:p w14:paraId="69925F5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(11)主机电路安全防护系统：1套</w:t>
            </w:r>
          </w:p>
          <w:p w14:paraId="0518D8D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(12)增配消解内罐：15个</w:t>
            </w:r>
          </w:p>
          <w:p w14:paraId="5081F89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三、通风处理模块</w:t>
            </w:r>
          </w:p>
          <w:p w14:paraId="3C5862D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通风橱2套，整体规格≥1500*850*2350mm，柜体主材采用全新原生聚丙烯（PP）板材，柜体墙板厚度≥8mm；导流板板材厚度≥5mm；底部接液托盘板材厚度≥10mm；全部采用同色PP焊条热熔无缝焊接，可耐受氢氟酸、浓盐酸、浓硝酸、烧碱等绝大多数强腐蚀性无机试剂。</w:t>
            </w:r>
          </w:p>
          <w:p w14:paraId="515B87D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1.1．导流板：整体分体三段式PP聚丙烯板材，板材厚度≥5mm，卡扣式免螺丝安装，可直接拆卸清洗，分层开孔结构。</w:t>
            </w:r>
          </w:p>
          <w:p w14:paraId="397FBA8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★1.2.PP一体台面：原生加厚PP板材，板厚≥8mm，台面四周一体弯折成型≥20mm高挡水边，内侧开设环形集液槽，洒落腐蚀药液自动汇入水槽，整体无缝拼接，耐氢氟酸。</w:t>
            </w:r>
          </w:p>
          <w:p w14:paraId="2EB7372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通风管道：根据实验室现场实际情况完成通风系统的深化设计、供货、安装、调试。通风系统应包括但不限于风管、弯头、三通、变径、风阀、法兰、软连接、吊架、密封件、消音装置及其他安装所需辅材。风管材质、规格及安装方式应满足实验室通风要求，并与通风橱配套，确保系统运行稳定、安全可靠，排风效果满足实验室正常使用要求。</w:t>
            </w:r>
          </w:p>
          <w:p w14:paraId="51FD029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三、酸纯化仪</w:t>
            </w:r>
          </w:p>
          <w:p w14:paraId="445AF2C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1、纯化腔容积≥2L, 可耐120℃以上的浓硝酸、浓盐酸、浓氢氟酸以及王水。</w:t>
            </w:r>
          </w:p>
          <w:p w14:paraId="0F33F59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★2、插入式温度传感器直接测试真实的酸液温度，而不是加热器温度，确保真正处于亚沸状态下纯化。</w:t>
            </w:r>
          </w:p>
          <w:p w14:paraId="1623669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★3、大角度球形冷凝，可使用自来水或循环水进行冷却，65%国产优级纯浓硝酸的纯化速度≥75mL/hour，直观液位显示，可及时添加酸液，避免干烧。24小时产率：HNO3≥1.8L；HCL≥1.6L; HF≥1.5L; H2O≥2.0L。</w:t>
            </w:r>
          </w:p>
          <w:p w14:paraId="0E50AE2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四、耐腐蚀加热板</w:t>
            </w:r>
          </w:p>
          <w:p w14:paraId="117FC15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1.全防腐设计：外观无金属材质；</w:t>
            </w:r>
          </w:p>
          <w:p w14:paraId="13E3F5D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2.防烫伤设计，外壳温度不超过40℃ @300℃；</w:t>
            </w:r>
          </w:p>
          <w:p w14:paraId="6A35638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3.表面区域温差+/-2℃ @150℃；（9点测量法）</w:t>
            </w:r>
          </w:p>
          <w:p w14:paraId="0069044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4.有效加热面积≥600*400mm；</w:t>
            </w:r>
          </w:p>
          <w:p w14:paraId="1146C1F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5.温度：RT~420 ℃；</w:t>
            </w:r>
          </w:p>
          <w:p w14:paraId="6BE61B7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6.电源：AC220V±10%  50Hz，最大功率：≤3.5kW；</w:t>
            </w:r>
          </w:p>
          <w:p w14:paraId="07A4DF1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7.控制器和电热板的线缆全部用防腐材料包覆；</w:t>
            </w:r>
          </w:p>
          <w:p w14:paraId="786896A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8.控制器：外壳是模具成型，底板采用石墨散热，≥5寸触屏，PID控温；</w:t>
            </w:r>
          </w:p>
          <w:p w14:paraId="67F7870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9.具有多点温度校准功能；</w:t>
            </w:r>
          </w:p>
          <w:p w14:paraId="3BE196F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10.控制器采用全封闭设计；</w:t>
            </w:r>
          </w:p>
          <w:p w14:paraId="6D9A52A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11.控制器可以程序阶梯控温，自定义方法并保存；</w:t>
            </w:r>
          </w:p>
          <w:p w14:paraId="661098F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12.超温保护、定时自动停止加热功能；</w:t>
            </w:r>
          </w:p>
          <w:p w14:paraId="5793DE1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13.石墨炉外形尺寸：≥720*520*200mm；</w:t>
            </w:r>
          </w:p>
          <w:p w14:paraId="10C8668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14.控制器尺寸：≥240*150*110mm；</w:t>
            </w:r>
          </w:p>
          <w:p w14:paraId="73E0DC0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五、纯水机</w:t>
            </w:r>
          </w:p>
          <w:p w14:paraId="0C0AC0D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1.以城市自来水为水源</w:t>
            </w:r>
          </w:p>
          <w:p w14:paraId="0D9CB53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2.产水量：≥40升/小时</w:t>
            </w:r>
          </w:p>
          <w:p w14:paraId="46C7A7C5">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3.出水口（正面）：</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2个：DI去离子水、UP超纯水</w:t>
            </w:r>
          </w:p>
          <w:p w14:paraId="7BB5505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4.出水水质参数：</w:t>
            </w:r>
          </w:p>
          <w:p w14:paraId="77EF0F2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去离子水水质：</w:t>
            </w:r>
          </w:p>
          <w:p w14:paraId="7FEF6CD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4.1.电阻率(25℃)：</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16 MΩ.cm</w:t>
            </w:r>
          </w:p>
          <w:p w14:paraId="6DDE1DA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超纯水水质：</w:t>
            </w:r>
          </w:p>
          <w:p w14:paraId="4869015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4.2.电阻率(25℃)：</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18.2 MΩ.cm</w:t>
            </w:r>
          </w:p>
          <w:p w14:paraId="02C4483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4.3. TOC：</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5ppb</w:t>
            </w:r>
          </w:p>
          <w:p w14:paraId="5C911D6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4.4.微粒</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 /ml (</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0.2μm)</w:t>
            </w:r>
          </w:p>
          <w:p w14:paraId="52F8AC0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4.5.细菌</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0.01 CFU/ml</w:t>
            </w:r>
          </w:p>
          <w:p w14:paraId="5460C5B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金属离子</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0.1 ppb</w:t>
            </w:r>
          </w:p>
          <w:p w14:paraId="0A2DD069">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一级RO纯水水质：</w:t>
            </w:r>
          </w:p>
          <w:p w14:paraId="34CC1E7F">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4.6.无机离子截留率：98%-99%(使用新RO膜时)</w:t>
            </w:r>
          </w:p>
          <w:p w14:paraId="1D7A1E23">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4.7.可溶性有机物截留</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99%(MW</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300 Dalton)</w:t>
            </w:r>
          </w:p>
          <w:p w14:paraId="0BB50888">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4.8.微粒及细菌去除率</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99%</w:t>
            </w:r>
          </w:p>
          <w:p w14:paraId="56D1E95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5.操作系统：</w:t>
            </w:r>
          </w:p>
          <w:p w14:paraId="6FE5654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5.1智能化人机交互操作系统，</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5寸LCD彩色触摸电阻屏，分辨率:</w:t>
            </w:r>
            <w:r>
              <w:rPr>
                <w:rStyle w:val="13"/>
                <w:rFonts w:hint="default" w:ascii="宋体" w:hAnsi="宋体" w:eastAsia="宋体" w:cs="宋体"/>
                <w:color w:val="000000" w:themeColor="text1"/>
                <w:sz w:val="21"/>
                <w:szCs w:val="21"/>
                <w:lang w:bidi="ar"/>
                <w14:textFill>
                  <w14:solidFill>
                    <w14:schemeClr w14:val="tx1"/>
                  </w14:solidFill>
                </w14:textFill>
              </w:rPr>
              <w:t xml:space="preserve"> ≥</w:t>
            </w:r>
            <w:r>
              <w:rPr>
                <w:rFonts w:hint="eastAsia" w:ascii="宋体" w:hAnsi="宋体" w:cs="宋体"/>
                <w:color w:val="000000" w:themeColor="text1"/>
                <w:kern w:val="0"/>
                <w:lang w:bidi="ar"/>
                <w14:textFill>
                  <w14:solidFill>
                    <w14:schemeClr w14:val="tx1"/>
                  </w14:solidFill>
                </w14:textFill>
              </w:rPr>
              <w:t>480×272，可全面了解滤芯，存储，水质状态、运行状态等信息。</w:t>
            </w:r>
          </w:p>
          <w:p w14:paraId="73CFB56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5.2系统内置4G网络联网，开机即可连接网络，可将</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3年的系统储存数据通过云平台自动备份储存，包括取水、报警和耗材更换记录等运行数据，通过云平台实现无纸化管理。</w:t>
            </w:r>
          </w:p>
          <w:p w14:paraId="56C41541">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5.3超纯水循环与消毒功能：超纯水循环可设置间隔运行的时间，加药消毒可手动执行“循环消毒”、“取水口消毒”、“水箱补水”、“手动排污”、“停止消毒”。</w:t>
            </w:r>
          </w:p>
          <w:p w14:paraId="3B7754C1">
            <w:pPr>
              <w:widowControl/>
              <w:spacing w:before="0" w:beforeAutospacing="0" w:after="0" w:line="300" w:lineRule="auto"/>
              <w:jc w:val="left"/>
              <w:rPr>
                <w:rFonts w:hint="eastAsia" w:ascii="宋体" w:hAnsi="宋体" w:cs="宋体"/>
                <w:b/>
                <w:bCs/>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★5.4系统配备配套</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35升储水箱，水箱具有LCD显示模块，与主机实时同步显示水箱液位、存储量（L）、存储百分比（%）等信息。水箱内表面光滑，粗糙度Ra≤0.6μm</w:t>
            </w:r>
            <w:r>
              <w:rPr>
                <w:rFonts w:hint="eastAsia" w:ascii="宋体" w:hAnsi="宋体" w:cs="宋体"/>
                <w:b/>
                <w:bCs/>
                <w:color w:val="000000" w:themeColor="text1"/>
                <w:kern w:val="0"/>
                <w:lang w:bidi="ar"/>
                <w14:textFill>
                  <w14:solidFill>
                    <w14:schemeClr w14:val="tx1"/>
                  </w14:solidFill>
                </w14:textFill>
              </w:rPr>
              <w:t>（投标文件中提供第三方机构出具的水箱粗糙度Ra检测报告）</w:t>
            </w:r>
            <w:r>
              <w:rPr>
                <w:rFonts w:hint="eastAsia" w:ascii="宋体" w:hAnsi="宋体" w:cs="宋体"/>
                <w:color w:val="000000" w:themeColor="text1"/>
                <w:kern w:val="0"/>
                <w:lang w:bidi="ar"/>
                <w14:textFill>
                  <w14:solidFill>
                    <w14:schemeClr w14:val="tx1"/>
                  </w14:solidFill>
                </w14:textFill>
              </w:rPr>
              <w:t>；</w:t>
            </w:r>
          </w:p>
          <w:p w14:paraId="51C147B7">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■5.5质保期：免费质保期不少于5年</w:t>
            </w:r>
            <w:r>
              <w:rPr>
                <w:rStyle w:val="13"/>
                <w:rFonts w:hint="default" w:ascii="宋体" w:hAnsi="宋体" w:eastAsia="宋体" w:cs="宋体"/>
                <w:b/>
                <w:bCs/>
                <w:color w:val="000000" w:themeColor="text1"/>
                <w:sz w:val="21"/>
                <w:szCs w:val="21"/>
                <w:lang w:bidi="ar"/>
                <w14:textFill>
                  <w14:solidFill>
                    <w14:schemeClr w14:val="tx1"/>
                  </w14:solidFill>
                </w14:textFill>
              </w:rPr>
              <w:t>[投标文件中提供投标人出具的书面承诺：合同签订后供货前提供厂家出具的售后服务承诺函（格式自拟）]</w:t>
            </w:r>
            <w:r>
              <w:rPr>
                <w:rFonts w:hint="eastAsia" w:ascii="宋体" w:hAnsi="宋体" w:cs="宋体"/>
                <w:color w:val="000000" w:themeColor="text1"/>
                <w:kern w:val="0"/>
                <w:lang w:bidi="ar"/>
                <w14:textFill>
                  <w14:solidFill>
                    <w14:schemeClr w14:val="tx1"/>
                  </w14:solidFill>
                </w14:textFill>
              </w:rPr>
              <w:t>，（不含过滤耗材）</w:t>
            </w:r>
          </w:p>
          <w:p w14:paraId="27C58DE2">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5.6标配配置：源水双级前置过滤器1套，主机1台，纯化柱1套，内置</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1.8升压力纯水桶1个。外置</w:t>
            </w:r>
            <w:r>
              <w:rPr>
                <w:rStyle w:val="13"/>
                <w:rFonts w:hint="default" w:ascii="宋体" w:hAnsi="宋体" w:eastAsia="宋体" w:cs="宋体"/>
                <w:color w:val="000000" w:themeColor="text1"/>
                <w:sz w:val="21"/>
                <w:szCs w:val="21"/>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35升压力水箱1台</w:t>
            </w:r>
          </w:p>
          <w:p w14:paraId="64E18D6C">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六、实验台</w:t>
            </w:r>
          </w:p>
          <w:p w14:paraId="080BEE8B">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规格：≥1500*750*800mm</w:t>
            </w:r>
          </w:p>
          <w:p w14:paraId="4C843D7D">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1.框架；采用≥1.5mm方钢，经无缝焊接，表面经酸洗、磷化、均匀灰白环氧喷涂，化学防锈处理，耐酸碱腐蚀；</w:t>
            </w:r>
          </w:p>
          <w:p w14:paraId="441791C0">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2.柜体；采用≥18mm厚优质环保型三聚氰胺板；                            </w:t>
            </w:r>
          </w:p>
          <w:p w14:paraId="650B5C7E">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 xml:space="preserve">3.背板；采用≥18mm厚双面灰色优质环保型三聚氰胺板；                                                                                                               </w:t>
            </w:r>
          </w:p>
          <w:p w14:paraId="09772ED6">
            <w:pPr>
              <w:widowControl/>
              <w:spacing w:before="0" w:beforeAutospacing="0" w:after="0" w:line="300" w:lineRule="auto"/>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4.地脚：每个柜体框架均配有金属调整脚，可自由调节高度10-20mm，内有橡胶减震垫；</w:t>
            </w:r>
          </w:p>
          <w:p w14:paraId="5C78A34C">
            <w:pPr>
              <w:widowControl/>
              <w:spacing w:before="0" w:beforeAutospacing="0" w:after="0" w:line="300" w:lineRule="auto"/>
              <w:jc w:val="left"/>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★5.耐腐蚀台面：采用厚度≥15mm的一体实芯黑色坯体陶瓷台面</w:t>
            </w:r>
            <w:r>
              <w:rPr>
                <w:rFonts w:hint="eastAsia" w:ascii="宋体" w:hAnsi="宋体" w:cs="宋体"/>
                <w:b w:val="0"/>
                <w:bCs w:val="0"/>
                <w:color w:val="000000" w:themeColor="text1"/>
                <w:kern w:val="0"/>
                <w:lang w:bidi="ar"/>
                <w14:textFill>
                  <w14:solidFill>
                    <w14:schemeClr w14:val="tx1"/>
                  </w14:solidFill>
                </w14:textFill>
              </w:rPr>
              <w:t>。</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0507A1A4">
            <w:pPr>
              <w:widowControl/>
              <w:spacing w:beforeAutospacing="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0E103C6A">
            <w:pPr>
              <w:widowControl/>
              <w:spacing w:before="0" w:beforeAutospacing="0" w:after="0" w:line="300" w:lineRule="auto"/>
              <w:jc w:val="center"/>
              <w:rPr>
                <w:rFonts w:hint="eastAsia" w:ascii="宋体" w:hAnsi="宋体" w:cs="宋体"/>
                <w:b/>
                <w:bCs/>
                <w:color w:val="000000" w:themeColor="text1"/>
                <w:lang w:bidi="ar"/>
                <w14:textFill>
                  <w14:solidFill>
                    <w14:schemeClr w14:val="tx1"/>
                  </w14:solidFill>
                </w14:textFill>
              </w:rPr>
            </w:pPr>
            <w:r>
              <w:rPr>
                <w:rFonts w:hint="eastAsia" w:ascii="宋体" w:hAnsi="宋体" w:cs="宋体"/>
                <w:color w:val="000000" w:themeColor="text1"/>
                <w:lang w:bidi="ar"/>
                <w14:textFill>
                  <w14:solidFill>
                    <w14:schemeClr w14:val="tx1"/>
                  </w14:solidFill>
                </w14:textFill>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76828921">
            <w:pPr>
              <w:widowControl/>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2870A5DA">
            <w:pPr>
              <w:adjustRightInd w:val="0"/>
              <w:spacing w:before="0" w:beforeAutospacing="0" w:after="0" w:line="300" w:lineRule="auto"/>
              <w:jc w:val="center"/>
              <w:rPr>
                <w:rFonts w:hint="eastAsia"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r>
      <w:bookmarkEnd w:id="0"/>
      <w:bookmarkEnd w:id="17"/>
      <w:bookmarkEnd w:id="20"/>
    </w:tbl>
    <w:p w14:paraId="75B7FAAC">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bookmarkStart w:id="21" w:name="_Toc4843"/>
      <w:bookmarkStart w:id="22" w:name="_Toc7421"/>
      <w:r>
        <w:rPr>
          <w:rFonts w:hint="eastAsia" w:ascii="宋体" w:hAnsi="宋体" w:cs="Arial"/>
          <w:color w:val="000000" w:themeColor="text1"/>
          <w:sz w:val="24"/>
          <w:szCs w:val="24"/>
          <w14:textFill>
            <w14:solidFill>
              <w14:schemeClr w14:val="tx1"/>
            </w14:solidFill>
          </w14:textFill>
        </w:rPr>
        <w:t>三、报价要求</w:t>
      </w:r>
      <w:bookmarkEnd w:id="21"/>
      <w:bookmarkEnd w:id="22"/>
    </w:p>
    <w:p w14:paraId="14393840">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本项目报总价，投标报价包括本项目需求的全部货物及所需附件购置费、包装费、运输费、人工费、安装调试费、各种税费、资料费、售后服务费及完成项目应有的全部费用。</w:t>
      </w:r>
    </w:p>
    <w:p w14:paraId="5D973F63">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四、备品备件及专用工具</w:t>
      </w:r>
    </w:p>
    <w:p w14:paraId="4396692A">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bookmarkStart w:id="23" w:name="_Toc455587093"/>
      <w:bookmarkStart w:id="24" w:name="_Toc455587277"/>
      <w:bookmarkStart w:id="25" w:name="_Toc445554752"/>
      <w:r>
        <w:rPr>
          <w:rFonts w:hint="eastAsia" w:ascii="宋体" w:hAnsi="宋体" w:cs="Arial"/>
          <w:color w:val="000000" w:themeColor="text1"/>
          <w:sz w:val="24"/>
          <w:szCs w:val="24"/>
          <w14:textFill>
            <w14:solidFill>
              <w14:schemeClr w14:val="tx1"/>
            </w14:solidFill>
          </w14:textFill>
        </w:rPr>
        <w:t>1、备品备件：中标人提供能够满足质量保证期内的设备维修要求的备品备件，备品备件应是新品。</w:t>
      </w:r>
    </w:p>
    <w:p w14:paraId="42FA56D3">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2、专用工具：中标人提供设备安装、调试、维修、保养所必要的专用工具、仪器、仪表等工具。</w:t>
      </w:r>
    </w:p>
    <w:bookmarkEnd w:id="23"/>
    <w:bookmarkEnd w:id="24"/>
    <w:bookmarkEnd w:id="25"/>
    <w:p w14:paraId="40C48D7B">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bookmarkStart w:id="26" w:name="_Toc532199625"/>
      <w:bookmarkStart w:id="27" w:name="_Toc455587094"/>
      <w:bookmarkStart w:id="28" w:name="_Toc445554753"/>
      <w:bookmarkStart w:id="29" w:name="_Toc455587278"/>
      <w:r>
        <w:rPr>
          <w:rFonts w:hint="eastAsia" w:ascii="宋体" w:hAnsi="宋体" w:cs="Arial"/>
          <w:color w:val="000000" w:themeColor="text1"/>
          <w:sz w:val="24"/>
          <w:szCs w:val="24"/>
          <w14:textFill>
            <w14:solidFill>
              <w14:schemeClr w14:val="tx1"/>
            </w14:solidFill>
          </w14:textFill>
        </w:rPr>
        <w:t>五、安装调试、验收试验及质量保证</w:t>
      </w:r>
      <w:bookmarkEnd w:id="26"/>
    </w:p>
    <w:p w14:paraId="0ECB5B87">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1、中标人在设备安装地点负责安装、调试。</w:t>
      </w:r>
    </w:p>
    <w:p w14:paraId="4E754087">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2、具体设备验收标准和程序按采购人要求执行，下列验收程序可参照执行：</w:t>
      </w:r>
    </w:p>
    <w:p w14:paraId="161A200D">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p>
    <w:p w14:paraId="1DD16253">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2676605C">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2.3 中标人应根据采购人使用单位的技术要求提供相应的产品。由中标人所提供的设备部件间的连线和插接件均应视为设备内部器件，包含在相应的设备之中。</w:t>
      </w:r>
    </w:p>
    <w:p w14:paraId="3F04912A">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2.4 运行测试及最终验收。在系统安装、调试结束后，采购人对其进行全面的测试，对测试中暴露出来的问题，中标人应及时进行整改，系统最终测试完毕经验收合格后，采购人应向中标人签发最终验收证明。</w:t>
      </w:r>
    </w:p>
    <w:p w14:paraId="7CC25416">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2.5 中标人应向采购人提供安装调试过程中的各种文档资料,以便采购人今后能掌握操作和维护方法。</w:t>
      </w:r>
    </w:p>
    <w:p w14:paraId="254ED31C">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如设备在验收时有一个或多个指标未能达到要求而属于中标人责任时，则中标人自费采取有效措施，在采购人规定时间内使之达到保证指标。如在采购人规定的时间内仍达不到合格标准时，则中标人应向采购人赔偿。</w:t>
      </w:r>
    </w:p>
    <w:p w14:paraId="72EC3EA8">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bookmarkStart w:id="30" w:name="_Toc532199626"/>
      <w:r>
        <w:rPr>
          <w:rFonts w:hint="eastAsia" w:ascii="宋体" w:hAnsi="宋体" w:cs="Arial"/>
          <w:color w:val="000000" w:themeColor="text1"/>
          <w:sz w:val="24"/>
          <w:szCs w:val="24"/>
          <w14:textFill>
            <w14:solidFill>
              <w14:schemeClr w14:val="tx1"/>
            </w14:solidFill>
          </w14:textFill>
        </w:rPr>
        <w:t>六、包装运输</w:t>
      </w:r>
      <w:bookmarkEnd w:id="27"/>
      <w:bookmarkEnd w:id="28"/>
      <w:bookmarkEnd w:id="29"/>
      <w:bookmarkEnd w:id="30"/>
    </w:p>
    <w:p w14:paraId="790F491A">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bookmarkStart w:id="31" w:name="_Toc445554754"/>
      <w:bookmarkStart w:id="32" w:name="_Toc455587279"/>
      <w:bookmarkStart w:id="33" w:name="_Toc455587095"/>
      <w:r>
        <w:rPr>
          <w:rFonts w:hint="eastAsia" w:ascii="宋体" w:hAnsi="宋体" w:cs="Arial"/>
          <w:color w:val="000000" w:themeColor="text1"/>
          <w:sz w:val="24"/>
          <w:szCs w:val="24"/>
          <w14:textFill>
            <w14:solidFill>
              <w14:schemeClr w14:val="tx1"/>
            </w14:solidFill>
          </w14:textFill>
        </w:rPr>
        <w:t>1、中标人负责设备包装、办理运输和保险，将设备安全运抵交货地点。</w:t>
      </w:r>
    </w:p>
    <w:p w14:paraId="1FB2360C">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2、设备制造完成并通过试验后应及时包装，否则应得到切实的保护，确保其不受污损。</w:t>
      </w:r>
    </w:p>
    <w:p w14:paraId="60C0973D">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3、在包装箱外应标明采购人的订货号、发货号。</w:t>
      </w:r>
    </w:p>
    <w:p w14:paraId="24306911">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4、各种包装应能确保各零部件在运输过程中不致遭到损坏、丢失、变形、受潮和腐蚀。</w:t>
      </w:r>
    </w:p>
    <w:p w14:paraId="0F485DC9">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5、包装箱上应有明显的包装储运图示标志。</w:t>
      </w:r>
    </w:p>
    <w:p w14:paraId="44930189">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6、整体产品或分别运输的部件都要适应运输和装载的要求。</w:t>
      </w:r>
    </w:p>
    <w:p w14:paraId="7A1E9F76">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7、随产品提供的技术资料应完整无缺。</w:t>
      </w:r>
    </w:p>
    <w:p w14:paraId="71A21565">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bookmarkStart w:id="34" w:name="_Toc532199627"/>
      <w:r>
        <w:rPr>
          <w:rFonts w:hint="eastAsia" w:ascii="宋体" w:hAnsi="宋体" w:cs="Arial"/>
          <w:color w:val="000000" w:themeColor="text1"/>
          <w:sz w:val="24"/>
          <w:szCs w:val="24"/>
          <w14:textFill>
            <w14:solidFill>
              <w14:schemeClr w14:val="tx1"/>
            </w14:solidFill>
          </w14:textFill>
        </w:rPr>
        <w:t>七、技术培训</w:t>
      </w:r>
      <w:bookmarkEnd w:id="31"/>
      <w:bookmarkEnd w:id="32"/>
      <w:bookmarkEnd w:id="33"/>
      <w:bookmarkEnd w:id="34"/>
    </w:p>
    <w:p w14:paraId="673E40D7">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1、为使合同设备能正常安装和运行，由中标人提供相应的技术培训，培训费用包含在投标报价内。</w:t>
      </w:r>
    </w:p>
    <w:p w14:paraId="597398F9">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2、培训的时间、人数、地点等具体内容由买卖双方商定，内容至少包括：设备原理、使用、维护、运行操作、常见故障处理等。</w:t>
      </w:r>
    </w:p>
    <w:p w14:paraId="18A9DBED">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bookmarkStart w:id="35" w:name="_Toc532199628"/>
      <w:r>
        <w:rPr>
          <w:rFonts w:hint="eastAsia" w:ascii="宋体" w:hAnsi="宋体" w:cs="Arial"/>
          <w:color w:val="000000" w:themeColor="text1"/>
          <w:sz w:val="24"/>
          <w:szCs w:val="24"/>
          <w14:textFill>
            <w14:solidFill>
              <w14:schemeClr w14:val="tx1"/>
            </w14:solidFill>
          </w14:textFill>
        </w:rPr>
        <w:t>八、质保及售后服务</w:t>
      </w:r>
    </w:p>
    <w:p w14:paraId="6F299D6D">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1、自双验收合格之日起进入质保期。</w:t>
      </w:r>
    </w:p>
    <w:p w14:paraId="55D68512">
      <w:pPr>
        <w:snapToGrid w:val="0"/>
        <w:spacing w:before="0" w:beforeAutospacing="0" w:after="0" w:line="360" w:lineRule="auto"/>
        <w:ind w:firstLine="435"/>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在质保期间内，非采购人过失和故意并且在正常使用的情况下发现商品有缺陷，中标人应修理或替换该设备；在质保期间内，非采购人过失和故意并且在正常使用的情况下设备发生故障，中标人应及时提供服务。</w:t>
      </w:r>
      <w:bookmarkEnd w:id="35"/>
    </w:p>
    <w:p w14:paraId="074F1C81">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0000000000000000000"/>
    <w:charset w:val="86"/>
    <w:family w:val="script"/>
    <w:pitch w:val="default"/>
    <w:sig w:usb0="00000000" w:usb1="0000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D059E1"/>
    <w:multiLevelType w:val="singleLevel"/>
    <w:tmpl w:val="B5D059E1"/>
    <w:lvl w:ilvl="0" w:tentative="0">
      <w:start w:val="1"/>
      <w:numFmt w:val="decimal"/>
      <w:suff w:val="nothing"/>
      <w:lvlText w:val="（%1）"/>
      <w:lvlJc w:val="left"/>
      <w:pPr>
        <w:ind w:left="0" w:firstLine="0"/>
      </w:pPr>
      <w:rPr>
        <w:rFonts w:hint="default"/>
      </w:rPr>
    </w:lvl>
  </w:abstractNum>
  <w:abstractNum w:abstractNumId="1">
    <w:nsid w:val="C98D2026"/>
    <w:multiLevelType w:val="singleLevel"/>
    <w:tmpl w:val="C98D2026"/>
    <w:lvl w:ilvl="0" w:tentative="0">
      <w:start w:val="1"/>
      <w:numFmt w:val="decimal"/>
      <w:suff w:val="nothing"/>
      <w:lvlText w:val="%1"/>
      <w:lvlJc w:val="left"/>
      <w:pPr>
        <w:ind w:left="425" w:hanging="425"/>
      </w:pPr>
      <w:rPr>
        <w:rFonts w:hint="default"/>
      </w:rPr>
    </w:lvl>
  </w:abstractNum>
  <w:abstractNum w:abstractNumId="2">
    <w:nsid w:val="38A4EDD9"/>
    <w:multiLevelType w:val="singleLevel"/>
    <w:tmpl w:val="38A4EDD9"/>
    <w:lvl w:ilvl="0" w:tentative="0">
      <w:start w:val="1"/>
      <w:numFmt w:val="decimal"/>
      <w:suff w:val="nothing"/>
      <w:lvlText w:val="(%1)"/>
      <w:lvlJc w:val="left"/>
      <w:pPr>
        <w:ind w:left="0" w:firstLine="0"/>
      </w:pPr>
      <w:rPr>
        <w:rFonts w:hint="default"/>
      </w:rPr>
    </w:lvl>
  </w:abstractNum>
  <w:abstractNum w:abstractNumId="3">
    <w:nsid w:val="63298798"/>
    <w:multiLevelType w:val="singleLevel"/>
    <w:tmpl w:val="63298798"/>
    <w:lvl w:ilvl="0" w:tentative="0">
      <w:start w:val="1"/>
      <w:numFmt w:val="decimal"/>
      <w:suff w:val="space"/>
      <w:lvlText w:val="%1."/>
      <w:lvlJc w:val="left"/>
      <w:pPr>
        <w:ind w:left="0" w:firstLine="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C03A43"/>
    <w:rsid w:val="74C03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160" w:line="276" w:lineRule="auto"/>
      <w:jc w:val="both"/>
    </w:pPr>
    <w:rPr>
      <w:rFonts w:ascii="Calibri" w:hAnsi="Calibri" w:eastAsia="宋体" w:cs="Times New Roman"/>
      <w:kern w:val="2"/>
      <w:sz w:val="21"/>
      <w:szCs w:val="21"/>
      <w:lang w:val="en-US" w:eastAsia="zh-CN" w:bidi="ar-SA"/>
    </w:rPr>
  </w:style>
  <w:style w:type="paragraph" w:styleId="2">
    <w:name w:val="heading 2"/>
    <w:basedOn w:val="1"/>
    <w:next w:val="1"/>
    <w:qFormat/>
    <w:uiPriority w:val="0"/>
    <w:pPr>
      <w:keepNext/>
      <w:keepLines/>
      <w:spacing w:before="240" w:line="360" w:lineRule="auto"/>
      <w:ind w:firstLine="640" w:firstLineChars="200"/>
      <w:jc w:val="left"/>
      <w:outlineLvl w:val="1"/>
    </w:pPr>
    <w:rPr>
      <w:rFonts w:ascii="Arial" w:hAnsi="Arial" w:eastAsia="方正黑体_GBK"/>
      <w:bCs/>
      <w:kern w:val="0"/>
      <w:sz w:val="28"/>
      <w:szCs w:val="32"/>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Indent"/>
    <w:basedOn w:val="1"/>
    <w:next w:val="4"/>
    <w:unhideWhenUsed/>
    <w:qFormat/>
    <w:uiPriority w:val="99"/>
    <w:pPr>
      <w:ind w:firstLine="645"/>
    </w:pPr>
    <w:rPr>
      <w:rFonts w:ascii="楷体_GB2312" w:hAnsi="@仿宋_GB2312" w:eastAsia="楷体_GB2312"/>
      <w:sz w:val="32"/>
      <w:szCs w:val="20"/>
    </w:rPr>
  </w:style>
  <w:style w:type="paragraph" w:styleId="4">
    <w:name w:val="envelope return"/>
    <w:basedOn w:val="1"/>
    <w:qFormat/>
    <w:uiPriority w:val="99"/>
    <w:pPr>
      <w:snapToGrid w:val="0"/>
    </w:pPr>
    <w:rPr>
      <w:rFonts w:ascii="Arial" w:hAnsi="Arial" w:cs="Arial"/>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仿宋_GB2312" w:hAnsi="@仿宋_GB2312" w:eastAsia="@仿宋_GB2312"/>
      <w:sz w:val="18"/>
      <w:szCs w:val="18"/>
    </w:rPr>
  </w:style>
  <w:style w:type="paragraph" w:styleId="6">
    <w:name w:val="Body Text First Indent 2"/>
    <w:basedOn w:val="3"/>
    <w:unhideWhenUsed/>
    <w:qFormat/>
    <w:uiPriority w:val="99"/>
    <w:pPr>
      <w:ind w:left="420" w:firstLine="420" w:firstLineChars="200"/>
    </w:pPr>
    <w:rPr>
      <w:rFonts w:ascii="Times New Roman" w:cs="Times New Roman"/>
    </w:rPr>
  </w:style>
  <w:style w:type="character" w:styleId="9">
    <w:name w:val="annotation reference"/>
    <w:unhideWhenUsed/>
    <w:qFormat/>
    <w:uiPriority w:val="0"/>
    <w:rPr>
      <w:sz w:val="21"/>
      <w:szCs w:val="21"/>
    </w:rPr>
  </w:style>
  <w:style w:type="paragraph" w:customStyle="1" w:styleId="10">
    <w:name w:val="D&amp;L"/>
    <w:basedOn w:val="5"/>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
    <w:name w:val="xl31"/>
    <w:basedOn w:val="1"/>
    <w:qFormat/>
    <w:uiPriority w:val="0"/>
    <w:pPr>
      <w:widowControl/>
      <w:spacing w:before="100" w:beforeAutospacing="1" w:after="100" w:afterAutospacing="1"/>
      <w:jc w:val="center"/>
    </w:pPr>
    <w:rPr>
      <w:b/>
      <w:bCs/>
      <w:kern w:val="0"/>
      <w:sz w:val="28"/>
      <w:szCs w:val="28"/>
    </w:rPr>
  </w:style>
  <w:style w:type="character" w:customStyle="1" w:styleId="12">
    <w:name w:val="font21"/>
    <w:qFormat/>
    <w:uiPriority w:val="0"/>
    <w:rPr>
      <w:rFonts w:hint="eastAsia" w:ascii="仿宋_GB2312" w:eastAsia="仿宋_GB2312" w:cs="仿宋_GB2312"/>
      <w:b/>
      <w:bCs/>
      <w:color w:val="000000"/>
      <w:sz w:val="24"/>
      <w:szCs w:val="24"/>
      <w:u w:val="none"/>
    </w:rPr>
  </w:style>
  <w:style w:type="character" w:customStyle="1" w:styleId="13">
    <w:name w:val="font11"/>
    <w:qFormat/>
    <w:uiPriority w:val="0"/>
    <w:rPr>
      <w:rFonts w:hint="eastAsia" w:ascii="仿宋_GB2312" w:eastAsia="仿宋_GB2312" w:cs="仿宋_GB2312"/>
      <w:color w:val="000000"/>
      <w:sz w:val="24"/>
      <w:szCs w:val="24"/>
      <w:u w:val="none"/>
    </w:rPr>
  </w:style>
  <w:style w:type="character" w:customStyle="1" w:styleId="14">
    <w:name w:val="font31"/>
    <w:qFormat/>
    <w:uiPriority w:val="0"/>
    <w:rPr>
      <w:rFonts w:ascii="Arial" w:hAnsi="Arial" w:cs="Arial"/>
      <w:color w:val="000000"/>
      <w:sz w:val="24"/>
      <w:szCs w:val="24"/>
      <w:u w:val="none"/>
    </w:rPr>
  </w:style>
  <w:style w:type="character" w:customStyle="1" w:styleId="15">
    <w:name w:val="font41"/>
    <w:qFormat/>
    <w:uiPriority w:val="0"/>
    <w:rPr>
      <w:rFonts w:hint="eastAsia" w:ascii="仿宋_GB2312" w:eastAsia="仿宋_GB2312" w:cs="仿宋_GB2312"/>
      <w:color w:val="000000"/>
      <w:sz w:val="24"/>
      <w:szCs w:val="24"/>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2026-09-21T03:10:00Z</dcterms:created>
  <dc:creator>省招</dc:creator>
  <cp:lastModifiedBy>省招</cp:lastModifiedBy>
  <dcterms:modified xsi:type="dcterms:W3CDTF">2026-09-21T03:11:46Z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03E931221E58499D860244A60569E072_11</vt:lpwstr>
  </property>
  <property fmtid="{D5CDD505-2E9C-101B-9397-08002B2CF9AE}" pid="4" name="KSOTemplateDocerSaveRecord">
    <vt:lpwstr>eyJoZGlkIjoiMjFlNDcxMzhjZTVlNDBjMzBjMjM4MDQwMDM2MDcyZTEiLCJ1c2VySWQiOiI4ODgyMDUxMzUifQ==</vt:lpwstr>
  </property>
</Properties>
</file>