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FE2FC">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B19CE61">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7EF8EB6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03FF353">
      <w:pPr>
        <w:pStyle w:val="19"/>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12430F2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13"/>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630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F3A3CC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1D9E01E4">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003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014955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6B0750A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1E3EB3E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1723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29FC03F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2449C832">
            <w:pPr>
              <w:wordWrap w:val="0"/>
              <w:spacing w:line="360" w:lineRule="auto"/>
              <w:jc w:val="center"/>
              <w:rPr>
                <w:rFonts w:hint="eastAsia" w:ascii="仿宋" w:hAnsi="仿宋" w:eastAsia="仿宋" w:cs="仿宋"/>
                <w:b/>
                <w:bCs/>
                <w:kern w:val="0"/>
                <w:sz w:val="24"/>
              </w:rPr>
            </w:pPr>
          </w:p>
        </w:tc>
        <w:tc>
          <w:tcPr>
            <w:tcW w:w="7216" w:type="dxa"/>
            <w:noWrap w:val="0"/>
            <w:vAlign w:val="top"/>
          </w:tcPr>
          <w:p w14:paraId="5745F4DE">
            <w:pPr>
              <w:pStyle w:val="18"/>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078D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7FCE2F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22119697">
            <w:pPr>
              <w:wordWrap w:val="0"/>
              <w:spacing w:line="360" w:lineRule="auto"/>
              <w:jc w:val="center"/>
              <w:rPr>
                <w:rFonts w:hint="eastAsia" w:ascii="仿宋" w:hAnsi="仿宋" w:eastAsia="仿宋" w:cs="仿宋"/>
                <w:b/>
                <w:bCs/>
                <w:kern w:val="0"/>
                <w:sz w:val="24"/>
              </w:rPr>
            </w:pPr>
          </w:p>
        </w:tc>
        <w:tc>
          <w:tcPr>
            <w:tcW w:w="7216" w:type="dxa"/>
            <w:noWrap w:val="0"/>
            <w:vAlign w:val="top"/>
          </w:tcPr>
          <w:p w14:paraId="1CC5D6EF">
            <w:pPr>
              <w:pStyle w:val="12"/>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2D6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A625E1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1D655E90">
            <w:pPr>
              <w:pStyle w:val="12"/>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28AEDB1">
            <w:pPr>
              <w:pStyle w:val="12"/>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440B916F">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1C58568C">
      <w:pPr>
        <w:pStyle w:val="5"/>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47401401">
      <w:pPr>
        <w:pStyle w:val="5"/>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第4包：技术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017A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1D7357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566034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3A53D9B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126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5B369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670E26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sz w:val="24"/>
              </w:rPr>
              <w:t>★</w:t>
            </w:r>
          </w:p>
        </w:tc>
        <w:tc>
          <w:tcPr>
            <w:tcW w:w="5463" w:type="dxa"/>
            <w:noWrap w:val="0"/>
            <w:vAlign w:val="center"/>
          </w:tcPr>
          <w:p w14:paraId="5B3E474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未响应或负偏离的，则作为无效标处理</w:t>
            </w:r>
          </w:p>
        </w:tc>
      </w:tr>
      <w:tr w14:paraId="0AE2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1E987C8">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58246B48">
            <w:pPr>
              <w:widowControl/>
              <w:spacing w:line="360" w:lineRule="auto"/>
              <w:jc w:val="center"/>
              <w:rPr>
                <w:rFonts w:hint="eastAsia" w:ascii="仿宋" w:hAnsi="仿宋" w:eastAsia="仿宋" w:cs="仿宋"/>
                <w:b/>
                <w:bCs/>
                <w:color w:val="000000"/>
                <w:sz w:val="24"/>
              </w:rPr>
            </w:pPr>
            <w:r>
              <w:rPr>
                <w:rFonts w:hint="eastAsia" w:ascii="仿宋" w:hAnsi="仿宋" w:eastAsia="仿宋" w:cs="仿宋"/>
              </w:rPr>
              <w:t>▲</w:t>
            </w:r>
          </w:p>
        </w:tc>
        <w:tc>
          <w:tcPr>
            <w:tcW w:w="5463" w:type="dxa"/>
            <w:noWrap w:val="0"/>
            <w:vAlign w:val="center"/>
          </w:tcPr>
          <w:p w14:paraId="2F208E7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32B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E91FB9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49E64B5">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15D70A6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FE2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75847C36">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23B53276">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22AF1E40">
      <w:pPr>
        <w:wordWrap w:val="0"/>
        <w:spacing w:line="360" w:lineRule="auto"/>
        <w:rPr>
          <w:rFonts w:hint="eastAsia" w:ascii="仿宋" w:hAnsi="仿宋" w:eastAsia="仿宋" w:cs="仿宋"/>
          <w:b/>
          <w:color w:val="000000"/>
          <w:kern w:val="0"/>
          <w:sz w:val="24"/>
          <w:lang w:bidi="ar"/>
        </w:rPr>
      </w:pPr>
      <w:r>
        <w:rPr>
          <w:rFonts w:hint="eastAsia" w:ascii="仿宋" w:hAnsi="仿宋" w:eastAsia="仿宋" w:cs="仿宋"/>
          <w:color w:val="000000"/>
          <w:kern w:val="0"/>
          <w:sz w:val="24"/>
          <w:lang w:bidi="ar"/>
        </w:rPr>
        <w:t xml:space="preserve"> </w:t>
      </w:r>
      <w:r>
        <w:rPr>
          <w:rFonts w:hint="eastAsia" w:ascii="仿宋" w:hAnsi="仿宋" w:eastAsia="仿宋" w:cs="仿宋"/>
          <w:b/>
          <w:bCs/>
          <w:color w:val="000000"/>
          <w:kern w:val="0"/>
          <w:sz w:val="24"/>
          <w:lang w:bidi="ar"/>
        </w:rPr>
        <w:t>★实质性响应条款：</w:t>
      </w:r>
      <w:r>
        <w:rPr>
          <w:rFonts w:hint="eastAsia" w:ascii="仿宋" w:hAnsi="仿宋" w:eastAsia="仿宋" w:cs="仿宋"/>
          <w:b/>
          <w:color w:val="000000"/>
          <w:kern w:val="0"/>
          <w:sz w:val="24"/>
          <w:lang w:bidi="ar"/>
        </w:rPr>
        <w:t>要求所投机型不得低于TE9, He Intervention，Sonobook9,neubook5,其它品牌性能不低于以上机型，</w:t>
      </w:r>
      <w:r>
        <w:rPr>
          <w:rFonts w:hint="eastAsia" w:ascii="仿宋" w:hAnsi="仿宋" w:eastAsia="仿宋" w:cs="仿宋"/>
          <w:b/>
          <w:bCs/>
          <w:color w:val="000000"/>
          <w:kern w:val="0"/>
          <w:sz w:val="24"/>
          <w:lang w:bidi="ar"/>
        </w:rPr>
        <w:t>投标文件中提供证明材料评委认可。</w:t>
      </w:r>
    </w:p>
    <w:tbl>
      <w:tblPr>
        <w:tblStyle w:val="13"/>
        <w:tblW w:w="954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7446"/>
      </w:tblGrid>
      <w:tr w14:paraId="1256E1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6E13A9E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技术参数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条款编号</w:t>
            </w:r>
          </w:p>
        </w:tc>
        <w:tc>
          <w:tcPr>
            <w:tcW w:w="7446" w:type="dxa"/>
            <w:tcBorders>
              <w:top w:val="single" w:color="auto" w:sz="4" w:space="0"/>
              <w:left w:val="nil"/>
              <w:bottom w:val="single" w:color="000000" w:sz="4" w:space="0"/>
              <w:right w:val="single" w:color="auto" w:sz="4" w:space="0"/>
            </w:tcBorders>
            <w:shd w:val="clear" w:color="auto" w:fill="FFFFFF"/>
            <w:noWrap w:val="0"/>
            <w:vAlign w:val="center"/>
          </w:tcPr>
          <w:p w14:paraId="1EA57DB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内容</w:t>
            </w:r>
          </w:p>
        </w:tc>
      </w:tr>
      <w:tr w14:paraId="31163F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nil"/>
              <w:left w:val="single" w:color="auto" w:sz="4" w:space="0"/>
              <w:bottom w:val="nil"/>
              <w:right w:val="nil"/>
            </w:tcBorders>
            <w:shd w:val="clear" w:color="auto" w:fill="FFFFFF"/>
            <w:noWrap/>
            <w:vAlign w:val="center"/>
          </w:tcPr>
          <w:p w14:paraId="4F53980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w:t>
            </w:r>
          </w:p>
        </w:tc>
        <w:tc>
          <w:tcPr>
            <w:tcW w:w="744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00BBB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货物名称：全数字化高端便携彩色多普勒超声诊断系统</w:t>
            </w:r>
          </w:p>
        </w:tc>
      </w:tr>
      <w:tr w14:paraId="21E34D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FF676F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w:t>
            </w:r>
          </w:p>
        </w:tc>
        <w:tc>
          <w:tcPr>
            <w:tcW w:w="7446" w:type="dxa"/>
            <w:tcBorders>
              <w:top w:val="nil"/>
              <w:left w:val="nil"/>
              <w:bottom w:val="nil"/>
              <w:right w:val="single" w:color="auto" w:sz="4" w:space="0"/>
            </w:tcBorders>
            <w:shd w:val="clear" w:color="auto" w:fill="FFFFFF"/>
            <w:noWrap/>
            <w:vAlign w:val="center"/>
          </w:tcPr>
          <w:p w14:paraId="44BBB5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系统技术规格及概述：</w:t>
            </w:r>
          </w:p>
        </w:tc>
      </w:tr>
      <w:tr w14:paraId="53CAAE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20FCC2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7446" w:type="dxa"/>
            <w:tcBorders>
              <w:top w:val="single" w:color="000000" w:sz="4" w:space="0"/>
              <w:left w:val="nil"/>
              <w:bottom w:val="single" w:color="000000" w:sz="4" w:space="0"/>
              <w:right w:val="single" w:color="auto" w:sz="4" w:space="0"/>
            </w:tcBorders>
            <w:shd w:val="clear" w:color="auto" w:fill="FFFFFF"/>
            <w:noWrap w:val="0"/>
            <w:vAlign w:val="center"/>
          </w:tcPr>
          <w:p w14:paraId="68D6F0C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系统通用功能</w:t>
            </w:r>
          </w:p>
        </w:tc>
      </w:tr>
      <w:tr w14:paraId="5C933C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AB7E5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41500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显示器：≥15英寸，配置医用专业彩色显示屏或无缝纯平投射式电容屏：电容屏，支持单点、多点、滑动、缩放操作</w:t>
            </w:r>
          </w:p>
        </w:tc>
      </w:tr>
      <w:tr w14:paraId="310F36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8421A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AB303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探头接口≥2个，互联互通</w:t>
            </w:r>
          </w:p>
        </w:tc>
      </w:tr>
      <w:tr w14:paraId="42F494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FAA1B4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7F9D85E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二维灰阶模式</w:t>
            </w:r>
          </w:p>
        </w:tc>
      </w:tr>
      <w:tr w14:paraId="320B46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DA65C3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2.1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4471042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最大显示深度:≥40cm</w:t>
            </w:r>
          </w:p>
        </w:tc>
      </w:tr>
      <w:tr w14:paraId="6F5258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339E9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3F8B7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TGC: ≥8段</w:t>
            </w:r>
          </w:p>
        </w:tc>
      </w:tr>
      <w:tr w14:paraId="4783EF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68C23F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C4798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LGC: ≥4段</w:t>
            </w:r>
          </w:p>
        </w:tc>
      </w:tr>
      <w:tr w14:paraId="491730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D945BA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C39AFF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多角度空间复合成像技术，支持≥9条偏转线，多级可调，支持线阵和凸阵探头</w:t>
            </w:r>
          </w:p>
        </w:tc>
      </w:tr>
      <w:tr w14:paraId="5637B0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EB0D3C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7DC34AE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M型成像模式</w:t>
            </w:r>
          </w:p>
        </w:tc>
      </w:tr>
      <w:tr w14:paraId="06F442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B3FD57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0E715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彩色M型</w:t>
            </w:r>
          </w:p>
        </w:tc>
      </w:tr>
      <w:tr w14:paraId="5EE33C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7AC43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909F8F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解剖M型</w:t>
            </w:r>
          </w:p>
        </w:tc>
      </w:tr>
      <w:tr w14:paraId="55192E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93E346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4BE42BA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彩色多普勒成像</w:t>
            </w:r>
          </w:p>
        </w:tc>
      </w:tr>
      <w:tr w14:paraId="39CFAD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8E34B0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57E0F7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包括速度、速度方差、能量、方向能量显示等</w:t>
            </w:r>
          </w:p>
        </w:tc>
      </w:tr>
      <w:tr w14:paraId="47E882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E009FF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433833C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取样框偏转: ≥±30度(线阵探头)</w:t>
            </w:r>
          </w:p>
        </w:tc>
      </w:tr>
      <w:tr w14:paraId="5B8D10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09A86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3787A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支持B/C 同宽</w:t>
            </w:r>
          </w:p>
        </w:tc>
      </w:tr>
      <w:tr w14:paraId="4F6D99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6AAE92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DC147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最大帧率: ≥200 帧/秒</w:t>
            </w:r>
          </w:p>
        </w:tc>
      </w:tr>
      <w:tr w14:paraId="14A442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3AF5AA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4.5</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12A5D5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显示位置调整：线阵扫描感兴趣的图像范围：-30°～+30°</w:t>
            </w:r>
          </w:p>
        </w:tc>
      </w:tr>
      <w:tr w14:paraId="5A401A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76A13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3127642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频谱多普勒成像</w:t>
            </w:r>
          </w:p>
        </w:tc>
      </w:tr>
      <w:tr w14:paraId="2210C5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D8764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6342B7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最大速度: ≥8.60m/s</w:t>
            </w:r>
          </w:p>
        </w:tc>
      </w:tr>
      <w:tr w14:paraId="2B4FE2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B9D60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769943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最小速度: ≤1 mm /s（非噪声信号</w:t>
            </w:r>
          </w:p>
        </w:tc>
      </w:tr>
      <w:tr w14:paraId="2FD17B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4A3D30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6326B50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取样容积: 0.5-20mm ,支持所有探头</w:t>
            </w:r>
          </w:p>
        </w:tc>
      </w:tr>
      <w:tr w14:paraId="379ADA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54DE51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5.4</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5442701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偏转角度: ≥±30度 (线阵探头)</w:t>
            </w:r>
          </w:p>
        </w:tc>
      </w:tr>
      <w:tr w14:paraId="06A639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7EF96C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5.5</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3751306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最低测量速度≤1.0 mm/s（非噪音信号）</w:t>
            </w:r>
          </w:p>
        </w:tc>
      </w:tr>
      <w:tr w14:paraId="00FF80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C8675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8EDEA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具备组织多普勒成像功能</w:t>
            </w:r>
          </w:p>
        </w:tc>
      </w:tr>
      <w:tr w14:paraId="4EFD02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B788EB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7.</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E5BAF2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具备实时宽景成像功能</w:t>
            </w:r>
          </w:p>
        </w:tc>
      </w:tr>
      <w:tr w14:paraId="2725BB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EAE733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8.</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054477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具备造影成像及定量分析单元</w:t>
            </w:r>
          </w:p>
        </w:tc>
      </w:tr>
      <w:tr w14:paraId="6C1957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0E985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7446" w:type="dxa"/>
            <w:tcBorders>
              <w:top w:val="single" w:color="000000" w:sz="4" w:space="0"/>
              <w:left w:val="nil"/>
              <w:bottom w:val="single" w:color="000000" w:sz="4" w:space="0"/>
              <w:right w:val="single" w:color="auto" w:sz="4" w:space="0"/>
            </w:tcBorders>
            <w:shd w:val="clear" w:color="auto" w:fill="FFFFFF"/>
            <w:noWrap w:val="0"/>
            <w:vAlign w:val="center"/>
          </w:tcPr>
          <w:p w14:paraId="7D88BF9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一键自动优化，要求一键快速优化二维图像、彩色图像</w:t>
            </w:r>
          </w:p>
        </w:tc>
      </w:tr>
      <w:tr w14:paraId="6F1C0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BBF1F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7446" w:type="dxa"/>
            <w:tcBorders>
              <w:top w:val="single" w:color="000000" w:sz="4" w:space="0"/>
              <w:left w:val="nil"/>
              <w:bottom w:val="single" w:color="000000" w:sz="4" w:space="0"/>
              <w:right w:val="single" w:color="auto" w:sz="4" w:space="0"/>
            </w:tcBorders>
            <w:shd w:val="clear" w:color="auto" w:fill="FFFFFF"/>
            <w:noWrap w:val="0"/>
            <w:vAlign w:val="center"/>
          </w:tcPr>
          <w:p w14:paraId="528C80F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具备穿刺针增强技术</w:t>
            </w:r>
          </w:p>
        </w:tc>
      </w:tr>
      <w:tr w14:paraId="260593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96B809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4534D8E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具备超声教学助手</w:t>
            </w:r>
          </w:p>
        </w:tc>
      </w:tr>
      <w:tr w14:paraId="05B323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81257C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三. </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406CA2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测量分析和报告</w:t>
            </w:r>
          </w:p>
        </w:tc>
      </w:tr>
      <w:tr w14:paraId="71A630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342E81C">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5BACC5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常规测量，支持距离、椭圆、描迹测、体积、斜率等</w:t>
            </w:r>
          </w:p>
        </w:tc>
      </w:tr>
      <w:tr w14:paraId="79AD79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A154CE0">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14</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D41676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多普勒测量（自动或手动包络测量，自动计算测量参数）</w:t>
            </w:r>
          </w:p>
        </w:tc>
      </w:tr>
      <w:tr w14:paraId="78561B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2FA0278">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EC6A1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心脏功能专用测量及分析</w:t>
            </w:r>
          </w:p>
        </w:tc>
      </w:tr>
      <w:tr w14:paraId="0B7C74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6122CC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val="en-US" w:eastAsia="zh-CN" w:bidi="ar"/>
              </w:rPr>
              <w:t>16</w:t>
            </w:r>
            <w:r>
              <w:rPr>
                <w:rFonts w:hint="eastAsia" w:ascii="仿宋" w:hAnsi="仿宋" w:eastAsia="仿宋" w:cs="仿宋"/>
                <w:b/>
                <w:bCs/>
                <w:color w:val="000000"/>
                <w:kern w:val="0"/>
                <w:sz w:val="24"/>
                <w:lang w:bidi="ar"/>
              </w:rPr>
              <w:t>.</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4566CF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具备血管内中膜自动测量技术</w:t>
            </w:r>
          </w:p>
        </w:tc>
      </w:tr>
      <w:tr w14:paraId="3F29D4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8EB1C2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4FE801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检查存储和管理</w:t>
            </w:r>
          </w:p>
        </w:tc>
      </w:tr>
      <w:tr w14:paraId="40AAC8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FF150F6">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7</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67F7272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具备256G固态硬盘</w:t>
            </w:r>
          </w:p>
        </w:tc>
      </w:tr>
      <w:tr w14:paraId="37B84C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6B303B8">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18</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59B313F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内置超声工作站，支持同步存储</w:t>
            </w:r>
          </w:p>
        </w:tc>
      </w:tr>
      <w:tr w14:paraId="6E94DF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05D06E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43843CC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配置需求：</w:t>
            </w:r>
          </w:p>
        </w:tc>
      </w:tr>
      <w:tr w14:paraId="585ADF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CA48D3A">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rPr>
              <w:t>▲</w:t>
            </w:r>
            <w:r>
              <w:rPr>
                <w:rFonts w:hint="eastAsia" w:ascii="仿宋" w:hAnsi="仿宋" w:eastAsia="仿宋" w:cs="仿宋"/>
                <w:color w:val="000000"/>
                <w:kern w:val="0"/>
                <w:sz w:val="24"/>
                <w:lang w:val="en-US" w:eastAsia="zh-CN" w:bidi="ar"/>
              </w:rPr>
              <w:t>19</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343E28E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所有探头均采用超高灵敏度宽频带多频变频技术，探头频率范围：1.0 MHz-22.0MHz</w:t>
            </w:r>
          </w:p>
        </w:tc>
      </w:tr>
      <w:tr w14:paraId="35F13D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51D42836">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A0E663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同品牌专用台车：可升降</w:t>
            </w:r>
          </w:p>
        </w:tc>
      </w:tr>
      <w:tr w14:paraId="3C51A5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33A96DD">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3F839AA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配置一：</w:t>
            </w:r>
          </w:p>
        </w:tc>
      </w:tr>
      <w:tr w14:paraId="64E45A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06E2AF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20</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790D1E9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数量：2台</w:t>
            </w:r>
          </w:p>
        </w:tc>
      </w:tr>
      <w:tr w14:paraId="3CB7CA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20E73E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20</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37FE1A7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标配2把探头：电子凸阵探头1把 ，电子线阵探头1把</w:t>
            </w:r>
          </w:p>
        </w:tc>
      </w:tr>
      <w:tr w14:paraId="592FF6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3C1E42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 xml:space="preserve">.1 </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A3CC30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标配电子凸阵：超声频率 1.5-5.0MHz</w:t>
            </w:r>
          </w:p>
        </w:tc>
      </w:tr>
      <w:tr w14:paraId="1C7BE0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35188F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 xml:space="preserve">.2 </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BF6BEC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标配电子线阵：超声频率3.5-12.0MHz</w:t>
            </w:r>
          </w:p>
        </w:tc>
      </w:tr>
      <w:tr w14:paraId="11CE5B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2C7C4C89">
            <w:pPr>
              <w:widowControl/>
              <w:spacing w:line="360" w:lineRule="auto"/>
              <w:jc w:val="center"/>
              <w:rPr>
                <w:rFonts w:hint="eastAsia" w:ascii="仿宋" w:hAnsi="仿宋" w:eastAsia="仿宋" w:cs="仿宋"/>
                <w:b/>
                <w:bCs/>
                <w:color w:val="000000"/>
                <w:kern w:val="0"/>
                <w:sz w:val="24"/>
                <w:lang w:eastAsia="zh-CN" w:bidi="ar"/>
              </w:rPr>
            </w:pPr>
            <w:r>
              <w:rPr>
                <w:rFonts w:hint="eastAsia" w:ascii="仿宋" w:hAnsi="仿宋" w:eastAsia="仿宋" w:cs="仿宋"/>
              </w:rPr>
              <w:t>▲</w:t>
            </w:r>
            <w:r>
              <w:rPr>
                <w:rFonts w:hint="eastAsia" w:ascii="仿宋" w:hAnsi="仿宋" w:eastAsia="仿宋" w:cs="仿宋"/>
                <w:b/>
                <w:bCs/>
                <w:color w:val="000000"/>
                <w:kern w:val="0"/>
                <w:sz w:val="24"/>
                <w:lang w:val="en-US" w:eastAsia="zh-CN" w:bidi="ar"/>
              </w:rPr>
              <w:t>20</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262577B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线阵探头采用按键设计，探头上按键个数≥3个，具有防误触设计和盲点设计，操作简单，并可以自定义功能，如增益、冻结、解冻等功能</w:t>
            </w:r>
          </w:p>
        </w:tc>
      </w:tr>
      <w:tr w14:paraId="423350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8E9A0CB">
            <w:pPr>
              <w:widowControl/>
              <w:spacing w:line="360" w:lineRule="auto"/>
              <w:jc w:val="center"/>
              <w:rPr>
                <w:rFonts w:hint="default" w:ascii="仿宋" w:hAnsi="仿宋" w:eastAsia="仿宋" w:cs="仿宋"/>
                <w:color w:val="000000"/>
                <w:kern w:val="0"/>
                <w:sz w:val="24"/>
                <w:lang w:val="en-US" w:bidi="ar"/>
              </w:rPr>
            </w:pPr>
            <w:r>
              <w:rPr>
                <w:rFonts w:hint="eastAsia" w:ascii="仿宋" w:hAnsi="仿宋" w:eastAsia="仿宋" w:cs="仿宋"/>
                <w:color w:val="000000"/>
                <w:kern w:val="0"/>
                <w:sz w:val="24"/>
                <w:lang w:val="en-US" w:eastAsia="zh-CN" w:bidi="ar"/>
              </w:rPr>
              <w:t>20.4</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1AB91B6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标配自动胃窦测量软件，自动识别胃窦特征，同时自动包络胃窦切面，提供面积及趋势测量图</w:t>
            </w:r>
          </w:p>
        </w:tc>
      </w:tr>
      <w:tr w14:paraId="797799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603162F0">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176CB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配置二：</w:t>
            </w:r>
          </w:p>
        </w:tc>
      </w:tr>
      <w:tr w14:paraId="425B18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29231E8">
            <w:pPr>
              <w:widowControl/>
              <w:spacing w:line="360" w:lineRule="auto"/>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21</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6F18DCF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数量：1台</w:t>
            </w:r>
          </w:p>
        </w:tc>
      </w:tr>
      <w:tr w14:paraId="7A5056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0D94431">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21</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2</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F4226B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可搭载探头临床适用范围：支持妇产、腹部、小器官、外周血管、经颅、心脏、经食道、线阵矩阵等探头</w:t>
            </w:r>
          </w:p>
        </w:tc>
      </w:tr>
      <w:tr w14:paraId="5D7653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F1A389B">
            <w:pPr>
              <w:widowControl/>
              <w:spacing w:line="360" w:lineRule="auto"/>
              <w:jc w:val="center"/>
              <w:rPr>
                <w:rFonts w:hint="default" w:ascii="仿宋" w:hAnsi="仿宋" w:eastAsia="仿宋" w:cs="仿宋"/>
                <w:b/>
                <w:bCs/>
                <w:color w:val="000000"/>
                <w:kern w:val="0"/>
                <w:sz w:val="24"/>
                <w:lang w:val="en-US"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eastAsia="zh-CN" w:bidi="ar"/>
              </w:rPr>
              <w:t>2</w:t>
            </w:r>
            <w:r>
              <w:rPr>
                <w:rFonts w:hint="eastAsia" w:ascii="仿宋" w:hAnsi="仿宋" w:eastAsia="仿宋" w:cs="仿宋"/>
                <w:b/>
                <w:bCs/>
                <w:color w:val="000000"/>
                <w:kern w:val="0"/>
                <w:sz w:val="24"/>
                <w:lang w:val="en-US" w:eastAsia="zh-CN" w:bidi="ar"/>
              </w:rPr>
              <w:t>1</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6DDE312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探头配置：标配3把探头：电子凸阵探头1把 ，电子线阵探头1把 ，电子相控阵探头1把</w:t>
            </w:r>
          </w:p>
        </w:tc>
      </w:tr>
      <w:tr w14:paraId="3776DB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3BCE1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.1</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6BE57E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标配电子凸阵：超声频率 1.5-5.0MHz</w:t>
            </w:r>
          </w:p>
        </w:tc>
      </w:tr>
      <w:tr w14:paraId="177DF5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168DB69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 xml:space="preserve">.2 </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6A817DB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标配电子线阵：超声频率3.5-12.0MHz</w:t>
            </w:r>
          </w:p>
        </w:tc>
      </w:tr>
      <w:tr w14:paraId="689F79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2101"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02C3AA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.3</w:t>
            </w:r>
          </w:p>
        </w:tc>
        <w:tc>
          <w:tcPr>
            <w:tcW w:w="7446" w:type="dxa"/>
            <w:tcBorders>
              <w:top w:val="single" w:color="000000" w:sz="4" w:space="0"/>
              <w:left w:val="nil"/>
              <w:bottom w:val="single" w:color="000000" w:sz="4" w:space="0"/>
              <w:right w:val="single" w:color="auto" w:sz="4" w:space="0"/>
            </w:tcBorders>
            <w:shd w:val="clear" w:color="auto" w:fill="FFFFFF"/>
            <w:noWrap/>
            <w:vAlign w:val="center"/>
          </w:tcPr>
          <w:p w14:paraId="063DAB1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标配单晶体或同类技术电子相控阵：超声频率1.0-5.0MHz</w:t>
            </w:r>
          </w:p>
        </w:tc>
      </w:tr>
    </w:tbl>
    <w:p w14:paraId="1E87A24A">
      <w:pPr>
        <w:wordWrap w:val="0"/>
        <w:spacing w:line="360" w:lineRule="auto"/>
        <w:rPr>
          <w:rFonts w:hint="eastAsia" w:ascii="仿宋" w:hAnsi="仿宋" w:eastAsia="仿宋" w:cs="仿宋"/>
          <w:b/>
          <w:bCs/>
          <w:sz w:val="24"/>
        </w:rPr>
      </w:pPr>
    </w:p>
    <w:p w14:paraId="64463FE7">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6514CAC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90BD7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6CF3C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32966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2166146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25416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5C8F69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66BA779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E6B570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759CC0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BB5E24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7929804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A547B9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B466A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1E8931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601AE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447E14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28387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1EF734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E9D6A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615D81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098A859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439D73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02F80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59EA6A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67AE1A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217D89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AC6A1D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F09A247">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126E"/>
    <w:rsid w:val="01BD5D3D"/>
    <w:rsid w:val="12B81A91"/>
    <w:rsid w:val="18966125"/>
    <w:rsid w:val="2ECC746D"/>
    <w:rsid w:val="3C996DB0"/>
    <w:rsid w:val="4A3D7504"/>
    <w:rsid w:val="4EDD4992"/>
    <w:rsid w:val="4FA074E8"/>
    <w:rsid w:val="7FAC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qFormat/>
    <w:uiPriority w:val="9"/>
    <w:pPr>
      <w:keepNext/>
      <w:keepLines/>
      <w:widowControl/>
      <w:snapToGrid w:val="0"/>
      <w:spacing w:line="360" w:lineRule="auto"/>
      <w:jc w:val="left"/>
      <w:outlineLvl w:val="2"/>
    </w:pPr>
    <w:rPr>
      <w:rFonts w:ascii="宋体" w:hAnsi="宋体"/>
      <w:b/>
      <w:bCs/>
      <w:kern w:val="0"/>
      <w:sz w:val="28"/>
      <w:lang w:eastAsia="en-US" w:bidi="en-US"/>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qFormat/>
    <w:uiPriority w:val="99"/>
    <w:pPr>
      <w:spacing w:after="0"/>
      <w:ind w:left="0" w:leftChars="0" w:firstLine="420"/>
    </w:pPr>
    <w:rPr>
      <w:rFonts w:ascii="楷体_GB2312" w:eastAsia="楷体_GB2312"/>
      <w:sz w:val="32"/>
    </w:rPr>
  </w:style>
  <w:style w:type="paragraph" w:styleId="7">
    <w:name w:val="Body Text Indent"/>
    <w:basedOn w:val="1"/>
    <w:next w:val="8"/>
    <w:qFormat/>
    <w:uiPriority w:val="99"/>
    <w:pPr>
      <w:spacing w:after="120" w:afterLines="0"/>
      <w:ind w:left="420" w:leftChars="200"/>
    </w:pPr>
  </w:style>
  <w:style w:type="paragraph" w:styleId="8">
    <w:name w:val="envelope return"/>
    <w:basedOn w:val="1"/>
    <w:qFormat/>
    <w:uiPriority w:val="99"/>
    <w:pPr>
      <w:snapToGrid w:val="0"/>
    </w:pPr>
    <w:rPr>
      <w:rFonts w:ascii="Arial" w:hAnsi="Arial"/>
    </w:rPr>
  </w:style>
  <w:style w:type="paragraph" w:styleId="9">
    <w:name w:val="Body Text"/>
    <w:basedOn w:val="1"/>
    <w:qFormat/>
    <w:uiPriority w:val="99"/>
    <w:rPr>
      <w:rFonts w:eastAsia="黑体"/>
      <w:sz w:val="36"/>
    </w:rPr>
  </w:style>
  <w:style w:type="paragraph" w:styleId="10">
    <w:name w:val="Date"/>
    <w:basedOn w:val="1"/>
    <w:next w:val="1"/>
    <w:qFormat/>
    <w:uiPriority w:val="99"/>
    <w:pPr>
      <w:adjustRightInd w:val="0"/>
      <w:spacing w:line="360" w:lineRule="atLeast"/>
    </w:pPr>
    <w:rPr>
      <w:rFonts w:ascii="宋体"/>
      <w:kern w:val="0"/>
      <w:sz w:val="24"/>
      <w:szCs w:val="20"/>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5">
    <w:name w:val="page number"/>
    <w:qFormat/>
    <w:uiPriority w:val="0"/>
  </w:style>
  <w:style w:type="character" w:styleId="16">
    <w:name w:val="footnote reference"/>
    <w:qFormat/>
    <w:uiPriority w:val="99"/>
    <w:rPr>
      <w:vertAlign w:val="superscript"/>
    </w:rPr>
  </w:style>
  <w:style w:type="character" w:customStyle="1" w:styleId="17">
    <w:name w:val="标题 2 Char Char"/>
    <w:qFormat/>
    <w:uiPriority w:val="0"/>
    <w:rPr>
      <w:rFonts w:ascii="Arial" w:hAnsi="Arial" w:eastAsia="黑体" w:cs="Times New Roman"/>
      <w:b/>
      <w:bCs/>
      <w:kern w:val="2"/>
      <w:sz w:val="32"/>
      <w:szCs w:val="32"/>
      <w:lang w:val="en-US" w:eastAsia="zh-CN" w:bidi="ar-SA"/>
    </w:rPr>
  </w:style>
  <w:style w:type="paragraph" w:customStyle="1" w:styleId="18">
    <w:name w:val="p0"/>
    <w:basedOn w:val="1"/>
    <w:qFormat/>
    <w:uiPriority w:val="0"/>
    <w:pPr>
      <w:widowControl/>
    </w:pPr>
    <w:rPr>
      <w:kern w:val="0"/>
      <w:szCs w:val="21"/>
    </w:rPr>
  </w:style>
  <w:style w:type="paragraph" w:customStyle="1" w:styleId="1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Table Paragraph"/>
    <w:basedOn w:val="1"/>
    <w:qFormat/>
    <w:uiPriority w:val="1"/>
    <w:rPr>
      <w:rFonts w:ascii="宋体" w:hAnsi="宋体" w:cs="宋体"/>
      <w:lang w:val="zh-CN" w:bidi="zh-CN"/>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6134</Words>
  <Characters>6482</Characters>
  <Lines>0</Lines>
  <Paragraphs>0</Paragraphs>
  <TotalTime>0</TotalTime>
  <ScaleCrop>false</ScaleCrop>
  <LinksUpToDate>false</LinksUpToDate>
  <CharactersWithSpaces>7877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2025-12-30T07:18:00Z</dcterms:created>
  <dc:creator>Administrator</dc:creator>
  <cp:lastModifiedBy>豆奶是个小胖子</cp:lastModifiedBy>
  <dcterms:modified xsi:type="dcterms:W3CDTF">2025-12-30T10:26:35Z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4AE1281355F446078194F5C1D4ED5CC3_12</vt:lpwstr>
  </property>
</Properties>
</file>