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3859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</w:rPr>
        <w:t xml:space="preserve">第三章  </w:t>
      </w:r>
      <w:bookmarkStart w:id="9" w:name="_GoBack"/>
      <w:r>
        <w:rPr>
          <w:rFonts w:hint="eastAsia" w:asciiTheme="minorEastAsia" w:hAnsiTheme="minorEastAsia" w:eastAsiaTheme="minorEastAsia"/>
          <w:b/>
          <w:sz w:val="28"/>
          <w:highlight w:val="none"/>
        </w:rPr>
        <w:t>采购需求</w:t>
      </w:r>
      <w:bookmarkEnd w:id="9"/>
    </w:p>
    <w:p w14:paraId="6C19D9C8">
      <w:pPr>
        <w:spacing w:line="360" w:lineRule="auto"/>
        <w:rPr>
          <w:rFonts w:hint="eastAsia"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前注：</w:t>
      </w:r>
    </w:p>
    <w:p w14:paraId="59EA9E3F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1.本采购需求中提出的服务方案仅为参考，如无明确限制，供应商可以进行优化，提供满足采购人实际需要的更优（或者性能实质上不低于的）服务方案，且此方案须经磋商小组评审认可。</w:t>
      </w:r>
    </w:p>
    <w:p w14:paraId="1FC9EA30">
      <w:pPr>
        <w:spacing w:line="360" w:lineRule="auto"/>
        <w:ind w:firstLine="435"/>
        <w:rPr>
          <w:rFonts w:hint="eastAsia" w:ascii="宋体" w:hAnsi="宋体" w:eastAsia="宋体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2.下列采购需求中</w:t>
      </w:r>
      <w:r>
        <w:rPr>
          <w:rFonts w:ascii="宋体" w:hAnsi="宋体" w:eastAsia="宋体" w:cs="宋体"/>
          <w:sz w:val="24"/>
          <w:szCs w:val="24"/>
          <w:highlight w:val="none"/>
        </w:rPr>
        <w:t>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/>
          <w:sz w:val="24"/>
          <w:szCs w:val="18"/>
          <w:highlight w:val="none"/>
        </w:rPr>
        <w:t>：</w:t>
      </w:r>
    </w:p>
    <w:p w14:paraId="49A46FAE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 w14:paraId="0C443718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（2）如涉及商品包装和快递包装，供应商应当执行《关于印发〈商品包装政府采购需求标准（试行）〉、〈快递包装政府采购需求标准（试行）〉的通知》（财办库〔2020〕123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EAA4768">
      <w:pPr>
        <w:spacing w:line="360" w:lineRule="auto"/>
        <w:ind w:firstLine="435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本采购需求所提出的要求并未涉及所有技术细节，也未充分引述有关标准、规范的全部条款。供应商提供的服务除了满足本采购需求的要求外，还应符合中国国家、行业、地方有关标准、规范（尤其是必须符合中国国家标准的有关强制性规定)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合同履约过程中，如有最新版本发布，则供应商须按照最新内容执行，且价格不予调整。</w:t>
      </w:r>
    </w:p>
    <w:p w14:paraId="06CE0EEB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  <w:highlight w:val="none"/>
        </w:rPr>
      </w:pPr>
      <w:bookmarkStart w:id="0" w:name="_Toc7699"/>
      <w:bookmarkStart w:id="1" w:name="_Toc26349"/>
      <w:bookmarkStart w:id="2" w:name="_Hlk16461016"/>
      <w:r>
        <w:rPr>
          <w:rFonts w:hint="eastAsia" w:ascii="宋体" w:hAnsi="宋体" w:eastAsia="宋体"/>
          <w:b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4078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F589489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483B629E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10D95974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内容、说明与要求</w:t>
            </w:r>
          </w:p>
        </w:tc>
      </w:tr>
      <w:tr w14:paraId="41BE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E961DB7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5A7CFB2E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3EF48C8A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按照科研项目进度分批次进行流片，每批次订单经采购人下达并经供应商确认后据实预付该批次款项。</w:t>
            </w:r>
          </w:p>
        </w:tc>
      </w:tr>
      <w:tr w14:paraId="63A2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EAC11FE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130391E8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6A13AE63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 xml:space="preserve">安徽大学，采购人指定地点。 </w:t>
            </w:r>
          </w:p>
        </w:tc>
      </w:tr>
      <w:tr w14:paraId="7701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A5D3DE6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2E3E6109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63F3ABCD">
            <w:pPr>
              <w:pStyle w:val="10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合同签订且接到采购人通知后，单次流片从交付数据开始到裸片交付的时间不超过150天。</w:t>
            </w:r>
          </w:p>
        </w:tc>
      </w:tr>
      <w:tr w14:paraId="0C0B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6D3DED1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4</w:t>
            </w:r>
          </w:p>
        </w:tc>
        <w:tc>
          <w:tcPr>
            <w:tcW w:w="1192" w:type="pct"/>
            <w:vAlign w:val="center"/>
          </w:tcPr>
          <w:p w14:paraId="628C9A17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质保期</w:t>
            </w:r>
          </w:p>
        </w:tc>
        <w:tc>
          <w:tcPr>
            <w:tcW w:w="3217" w:type="pct"/>
            <w:vAlign w:val="center"/>
          </w:tcPr>
          <w:p w14:paraId="2ED9956F">
            <w:pPr>
              <w:pStyle w:val="10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质保期为验收合格后，质保1年。</w:t>
            </w:r>
          </w:p>
        </w:tc>
      </w:tr>
      <w:tr w14:paraId="26EA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AB5489D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5</w:t>
            </w:r>
          </w:p>
        </w:tc>
        <w:tc>
          <w:tcPr>
            <w:tcW w:w="1192" w:type="pct"/>
            <w:vAlign w:val="center"/>
          </w:tcPr>
          <w:p w14:paraId="38766907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质量要求</w:t>
            </w:r>
          </w:p>
        </w:tc>
        <w:tc>
          <w:tcPr>
            <w:tcW w:w="3217" w:type="pct"/>
            <w:vAlign w:val="center"/>
          </w:tcPr>
          <w:p w14:paraId="64DBC36B">
            <w:pPr>
              <w:pStyle w:val="10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合格</w:t>
            </w:r>
          </w:p>
        </w:tc>
      </w:tr>
      <w:tr w14:paraId="0299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0059603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6</w:t>
            </w:r>
          </w:p>
        </w:tc>
        <w:tc>
          <w:tcPr>
            <w:tcW w:w="1192" w:type="pct"/>
            <w:vAlign w:val="center"/>
          </w:tcPr>
          <w:p w14:paraId="4733BBF1">
            <w:pPr>
              <w:pStyle w:val="10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1B00516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安徽大学芯片流片服务采购项目</w:t>
            </w:r>
          </w:p>
          <w:p w14:paraId="11B288B3">
            <w:pP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所属行业：软件和信息技术服务业</w:t>
            </w:r>
          </w:p>
        </w:tc>
      </w:tr>
    </w:tbl>
    <w:p w14:paraId="70B8D560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bookmarkStart w:id="3" w:name="_Toc25144"/>
      <w:bookmarkStart w:id="4" w:name="_Toc23116"/>
      <w:r>
        <w:rPr>
          <w:rFonts w:hint="eastAsia" w:ascii="宋体" w:hAnsi="宋体" w:eastAsia="宋体"/>
          <w:b/>
          <w:sz w:val="24"/>
          <w:szCs w:val="18"/>
        </w:rPr>
        <w:t>二、</w:t>
      </w:r>
      <w:bookmarkEnd w:id="3"/>
      <w:bookmarkEnd w:id="4"/>
      <w:r>
        <w:rPr>
          <w:rFonts w:hint="eastAsia" w:ascii="宋体" w:hAnsi="宋体" w:eastAsia="宋体"/>
          <w:b/>
          <w:sz w:val="24"/>
          <w:szCs w:val="18"/>
        </w:rPr>
        <w:t>服务内容</w:t>
      </w:r>
    </w:p>
    <w:p w14:paraId="172BAC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旨在面向国家与省级重大科研项目攻关需求，采购基于MPW的芯片流片服务，以及与之配套、可支持快速设计迭代的专业电路版图设计服务。芯片流片服务需根据项目工艺节点需求，支持多次灵活投片，以满足不同研发阶段在性能、功耗、面积和功能方面的迭代要求。版图设计服务须高效、准确，确保复杂电路模块的物理实现符合工艺规范。供应商应具备提供高质量、高稳定性多次芯片流片服务的能力，以保障研发连续性与成果转化可行性。</w:t>
      </w:r>
    </w:p>
    <w:p w14:paraId="7A006FA9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bookmarkStart w:id="5" w:name="_Toc8586"/>
      <w:bookmarkStart w:id="6" w:name="_Toc21757"/>
      <w:r>
        <w:rPr>
          <w:rFonts w:hint="eastAsia" w:ascii="宋体" w:hAnsi="宋体" w:eastAsia="宋体"/>
          <w:b/>
          <w:sz w:val="24"/>
          <w:szCs w:val="18"/>
        </w:rPr>
        <w:t>三、服务需求</w:t>
      </w:r>
      <w:bookmarkEnd w:id="5"/>
      <w:bookmarkEnd w:id="6"/>
    </w:p>
    <w:p w14:paraId="2E03B22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本次采购要求供应商提供包含28nm、40nm、55nm三种工艺的多项目晶圆（Multi-Project Wafer，简称 MPW）流片服务，并配备专门的服务团队，负责提供对应工艺的电路版图设计服务、Tape-out过程中的技术支持服务、安全保障服务及售后服务。</w:t>
      </w:r>
    </w:p>
    <w:p w14:paraId="654D87BE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1)工艺制程</w:t>
      </w:r>
    </w:p>
    <w:p w14:paraId="6670EB85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28nm工艺：3次MPW流片；</w:t>
      </w:r>
    </w:p>
    <w:p w14:paraId="0398CB58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40nm 工艺：1 次 MPW 流片；</w:t>
      </w:r>
    </w:p>
    <w:p w14:paraId="444A2713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55nm 工艺：1 次 MPW 流片。</w:t>
      </w:r>
    </w:p>
    <w:p w14:paraId="15082EF3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2)班车日期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：按照科研项目进度分次进行流片，具体时间</w:t>
      </w:r>
      <w:r>
        <w:rPr>
          <w:rFonts w:hint="eastAsia" w:ascii="宋体" w:hAnsi="宋体" w:eastAsia="宋体" w:cs="宋体"/>
          <w:sz w:val="24"/>
          <w:szCs w:val="24"/>
        </w:rPr>
        <w:t>以成交供应商、采购人协商为准；</w:t>
      </w:r>
    </w:p>
    <w:p w14:paraId="75FDEDC0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3)芯片颗数</w:t>
      </w:r>
    </w:p>
    <w:p w14:paraId="3240EE30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28nm 工艺：100 颗/次；</w:t>
      </w:r>
    </w:p>
    <w:p w14:paraId="7FFE7822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40nm 工艺：50 颗；</w:t>
      </w:r>
    </w:p>
    <w:p w14:paraId="27E0986D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55nm 工艺：50 颗。</w:t>
      </w:r>
    </w:p>
    <w:p w14:paraId="2996D7E9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4)芯片面积</w:t>
      </w:r>
    </w:p>
    <w:p w14:paraId="587F5836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28nm 工艺：2*3mm²；</w:t>
      </w:r>
    </w:p>
    <w:p w14:paraId="2867F885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40nm 工艺：3*4mm²；</w:t>
      </w:r>
    </w:p>
    <w:p w14:paraId="66F2EBE3">
      <w:pPr>
        <w:pStyle w:val="11"/>
        <w:numPr>
          <w:ilvl w:val="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55nm 工艺：3*4mm²。</w:t>
      </w:r>
    </w:p>
    <w:p w14:paraId="1AE5D48C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5)提供各工艺芯片设计所需的 PDK、IO、Standcell 等数据。</w:t>
      </w:r>
    </w:p>
    <w:p w14:paraId="793DB218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6)若项目流片存在延迟，供应商需提供按月延迟的应对方案。</w:t>
      </w:r>
    </w:p>
    <w:p w14:paraId="0EFDE975">
      <w:pPr>
        <w:pStyle w:val="11"/>
        <w:spacing w:line="360" w:lineRule="auto"/>
        <w:ind w:firstLine="48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7)电路版图布局对称，面积合理，需通过设计规则检查与原理图版图匹配检查。</w:t>
      </w:r>
    </w:p>
    <w:p w14:paraId="2AF165F5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bookmarkStart w:id="7" w:name="_Toc12910"/>
      <w:bookmarkStart w:id="8" w:name="_Toc18052"/>
      <w:r>
        <w:rPr>
          <w:rFonts w:hint="eastAsia" w:ascii="宋体" w:hAnsi="宋体" w:eastAsia="宋体"/>
          <w:b/>
          <w:sz w:val="24"/>
          <w:szCs w:val="18"/>
        </w:rPr>
        <w:t>四、报价要求</w:t>
      </w:r>
      <w:bookmarkEnd w:id="7"/>
      <w:bookmarkEnd w:id="8"/>
    </w:p>
    <w:p w14:paraId="6E694E52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1)供应商的报价应当包括满足本次磋商全部采购需求所应提供的服务，以及为完成本项服务所需的所有其他费用。所有内容均应以人民币报价。</w:t>
      </w:r>
    </w:p>
    <w:p w14:paraId="72BDA485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2)供应商应在分项报价表上标明分项服务的价格和总价，未标明的视同包含在磋商报价中（代理服务费包含在磋商报价总价中，不单独填报）。</w:t>
      </w:r>
    </w:p>
    <w:p w14:paraId="4B543D72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3)报价在合同履行过程中是固定不变的，不得以任何理由予以变更。任何包含价格调整要求的磋商，其响应文件将被认定为响应无效。</w:t>
      </w:r>
    </w:p>
    <w:p w14:paraId="79D0F8E6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4)采购人不接受具有附加条件的报价。</w:t>
      </w:r>
    </w:p>
    <w:p w14:paraId="2EDD73ED">
      <w:pPr>
        <w:pStyle w:val="11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5)供应商必须报出响应总价及各个组成部分的分项报价，否则作无效响应处理。</w:t>
      </w:r>
    </w:p>
    <w:tbl>
      <w:tblPr>
        <w:tblStyle w:val="7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38"/>
        <w:gridCol w:w="801"/>
        <w:gridCol w:w="801"/>
        <w:gridCol w:w="1855"/>
        <w:gridCol w:w="2332"/>
      </w:tblGrid>
      <w:tr w14:paraId="54B2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8" w:type="pct"/>
            <w:vAlign w:val="center"/>
          </w:tcPr>
          <w:p w14:paraId="34A5FA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2" w:type="pct"/>
            <w:vAlign w:val="center"/>
          </w:tcPr>
          <w:p w14:paraId="5E7D23F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480" w:type="pct"/>
            <w:vAlign w:val="center"/>
          </w:tcPr>
          <w:p w14:paraId="11A727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80" w:type="pct"/>
            <w:vAlign w:val="center"/>
          </w:tcPr>
          <w:p w14:paraId="06354E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12" w:type="pct"/>
            <w:vAlign w:val="center"/>
          </w:tcPr>
          <w:p w14:paraId="714E05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单价（元/批）</w:t>
            </w:r>
          </w:p>
        </w:tc>
        <w:tc>
          <w:tcPr>
            <w:tcW w:w="1398" w:type="pct"/>
            <w:vAlign w:val="center"/>
          </w:tcPr>
          <w:p w14:paraId="50F5A27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小计（元）</w:t>
            </w:r>
          </w:p>
        </w:tc>
      </w:tr>
      <w:tr w14:paraId="32A6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8" w:type="pct"/>
            <w:vAlign w:val="center"/>
          </w:tcPr>
          <w:p w14:paraId="712F9E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2" w:type="pct"/>
            <w:vAlign w:val="center"/>
          </w:tcPr>
          <w:p w14:paraId="4ADFEC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 nm MPW流片</w:t>
            </w:r>
          </w:p>
        </w:tc>
        <w:tc>
          <w:tcPr>
            <w:tcW w:w="480" w:type="pct"/>
            <w:vAlign w:val="center"/>
          </w:tcPr>
          <w:p w14:paraId="2D626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480" w:type="pct"/>
            <w:vAlign w:val="center"/>
          </w:tcPr>
          <w:p w14:paraId="1B4213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12" w:type="pct"/>
            <w:vAlign w:val="center"/>
          </w:tcPr>
          <w:p w14:paraId="628339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454A26E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8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8" w:type="pct"/>
            <w:vAlign w:val="center"/>
          </w:tcPr>
          <w:p w14:paraId="2FA98D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02" w:type="pct"/>
            <w:vAlign w:val="center"/>
          </w:tcPr>
          <w:p w14:paraId="16AA9B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 nm MPW流片</w:t>
            </w:r>
          </w:p>
        </w:tc>
        <w:tc>
          <w:tcPr>
            <w:tcW w:w="480" w:type="pct"/>
            <w:vAlign w:val="center"/>
          </w:tcPr>
          <w:p w14:paraId="3D8ED7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480" w:type="pct"/>
            <w:vAlign w:val="center"/>
          </w:tcPr>
          <w:p w14:paraId="1FBBDE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12" w:type="pct"/>
            <w:vAlign w:val="center"/>
          </w:tcPr>
          <w:p w14:paraId="3DB13F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1EB681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06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8" w:type="pct"/>
            <w:vAlign w:val="center"/>
          </w:tcPr>
          <w:p w14:paraId="035790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02" w:type="pct"/>
            <w:vAlign w:val="center"/>
          </w:tcPr>
          <w:p w14:paraId="5156A9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 nm MPW流片</w:t>
            </w:r>
          </w:p>
        </w:tc>
        <w:tc>
          <w:tcPr>
            <w:tcW w:w="480" w:type="pct"/>
            <w:vAlign w:val="center"/>
          </w:tcPr>
          <w:p w14:paraId="1EC3C9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480" w:type="pct"/>
            <w:vAlign w:val="center"/>
          </w:tcPr>
          <w:p w14:paraId="22C61A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12" w:type="pct"/>
            <w:vAlign w:val="center"/>
          </w:tcPr>
          <w:p w14:paraId="7985C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53EFB88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87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602" w:type="pct"/>
            <w:gridSpan w:val="5"/>
            <w:vAlign w:val="center"/>
          </w:tcPr>
          <w:p w14:paraId="299529AB">
            <w:pPr>
              <w:spacing w:line="360" w:lineRule="auto"/>
              <w:ind w:firstLine="482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合计金额（元）</w:t>
            </w:r>
          </w:p>
        </w:tc>
        <w:tc>
          <w:tcPr>
            <w:tcW w:w="1398" w:type="pct"/>
            <w:vAlign w:val="center"/>
          </w:tcPr>
          <w:p w14:paraId="17D2AEC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4A52302">
      <w:pPr>
        <w:spacing w:line="360" w:lineRule="auto"/>
        <w:ind w:firstLine="437"/>
        <w:jc w:val="center"/>
        <w:outlineLvl w:val="1"/>
        <w:rPr>
          <w:rFonts w:hint="eastAsia" w:ascii="宋体" w:hAnsi="宋体" w:eastAsia="宋体"/>
          <w:b/>
          <w:sz w:val="24"/>
          <w:szCs w:val="18"/>
        </w:rPr>
      </w:pPr>
    </w:p>
    <w:p w14:paraId="17833ACD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五、技术规格要求</w:t>
      </w:r>
    </w:p>
    <w:p w14:paraId="09B344B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1、28 nm 工艺 MPW 流片</w:t>
      </w:r>
    </w:p>
    <w:p w14:paraId="167A41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1.1 服务内容及标准</w:t>
      </w:r>
    </w:p>
    <w:p w14:paraId="6B20172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（1）提供 CMOS 28 nm工艺全套PDK、DRC/LVS/RCX技术文件，包含标准单元库、Memory Compiler、IO库等；</w:t>
      </w:r>
    </w:p>
    <w:p w14:paraId="4924058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（2）根据采购人要求，提供流片时间表和MPW流片服务；</w:t>
      </w:r>
    </w:p>
    <w:p w14:paraId="05F61E3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（3）接受采购人GDSII文件，执行严格设计规则复查；</w:t>
      </w:r>
    </w:p>
    <w:p w14:paraId="4DF0C5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★（4）提供版图设计服务，负责版图整合并提供光掩膜制作与流片服务；</w:t>
      </w:r>
    </w:p>
    <w:p w14:paraId="6C4736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★（5）提供Tape-out全流程技术支持。</w:t>
      </w:r>
    </w:p>
    <w:p w14:paraId="2BC79F1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1.2 质量要求</w:t>
      </w:r>
    </w:p>
    <w:p w14:paraId="41156CE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（1）交付晶圆技术规格：28 nm高性能计算（HPC）或低功耗（LP）CMOS工艺，采用高K金属栅（HKMG）技术；</w:t>
      </w:r>
    </w:p>
    <w:p w14:paraId="0C7C3C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（2）核心电压：典型值0.9 V；</w:t>
      </w:r>
    </w:p>
    <w:p w14:paraId="151BA57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（3）IO 电压：1.8 V / 2.5 V；</w:t>
      </w:r>
    </w:p>
    <w:p w14:paraId="5F6F94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（4）芯片颗数（Bare Die）：100颗；</w:t>
      </w:r>
    </w:p>
    <w:p w14:paraId="1B540E8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（5）芯片面积（Block Size）：6.0 mm²（2000 µm×3000 µm）；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（6）交付周期：确认下单后150天内邮寄至采购人指定地点；</w:t>
      </w:r>
    </w:p>
    <w:p w14:paraId="4D3B4F8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★（7）提供该批次MPW晶圆的WAT测试报告；</w:t>
      </w:r>
    </w:p>
    <w:p w14:paraId="388BFB1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★（8）可在流片前通过 jobview 方式对生产的掩膜进行检查；</w:t>
      </w:r>
    </w:p>
    <w:p w14:paraId="3FCCE9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★（9）裸芯片采用有ESD保护的托盘和真空包装。</w:t>
      </w:r>
    </w:p>
    <w:p w14:paraId="65AD610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2ECCF7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2、40 nm 工艺 MPW 流片</w:t>
      </w:r>
    </w:p>
    <w:p w14:paraId="71E01D5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2.1 服务内容及标准</w:t>
      </w:r>
    </w:p>
    <w:p w14:paraId="3DD257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（1）提供 CMOS 40 nm工艺全套PDK、DRC/LVS/RCX技术文件，包含标准单元库、Memory Compiler、IO库等；</w:t>
      </w:r>
    </w:p>
    <w:p w14:paraId="498386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（2）根据采购人要求，提供流片时间表和MPW流片服务；</w:t>
      </w:r>
    </w:p>
    <w:p w14:paraId="55CF663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（3）接受采购人GDSII文件，执行严格设计规则复查；</w:t>
      </w:r>
    </w:p>
    <w:p w14:paraId="1090FC2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★（4）提供版图设计服务，负责版图整合并提供光掩膜制作与流片服务；</w:t>
      </w:r>
    </w:p>
    <w:p w14:paraId="252682D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★（5）提供Tape-out全流程技术支持。</w:t>
      </w:r>
    </w:p>
    <w:p w14:paraId="51774D8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2.2 质量要求</w:t>
      </w:r>
    </w:p>
    <w:p w14:paraId="7AF7EB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（1）交付晶圆技术规格：40 nm 标准CMOS工艺；</w:t>
      </w:r>
    </w:p>
    <w:p w14:paraId="65C30406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（2）核心电压：1.1 V；</w:t>
      </w:r>
    </w:p>
    <w:p w14:paraId="057E4422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（3）IO 电压：1.8 V / 2.5 V / 3.3 V；</w:t>
      </w:r>
    </w:p>
    <w:p w14:paraId="20764DC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（4）芯片颗数（Bare Die）：50颗；</w:t>
      </w:r>
    </w:p>
    <w:p w14:paraId="7591EAE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（5）芯片面积（B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lock Size）：12 mm²（3000 µm×4000 µm）；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（6）交付周期：确认下单后150天内邮寄至采购人指定地点；</w:t>
      </w:r>
    </w:p>
    <w:p w14:paraId="79EEBC65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★（7）提供该批次MPW晶圆的WAT测试报告；</w:t>
      </w:r>
    </w:p>
    <w:p w14:paraId="11E9DC1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★（8）可在流片前通过 jobview 方式对生产的掩膜进行检查；</w:t>
      </w:r>
    </w:p>
    <w:p w14:paraId="56BE6C58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★（9）裸芯片采用有ESD保护的托盘和真空包装。</w:t>
      </w:r>
    </w:p>
    <w:p w14:paraId="69BA3A55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6CCED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3、55 nm 工艺 MPW 流片</w:t>
      </w:r>
    </w:p>
    <w:p w14:paraId="4EC0C74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3.1 服务内容及标准</w:t>
      </w:r>
    </w:p>
    <w:p w14:paraId="54AAD9D2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（1）提供 CMOS 55 nm工艺全套PDK、DRC/LVS/RCX技术文件，包含标准单元库、Memory Compiler、IO库等；</w:t>
      </w:r>
    </w:p>
    <w:p w14:paraId="39732901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（2）根据采购人要求，提供流片时间表和MPW流片服务；</w:t>
      </w:r>
    </w:p>
    <w:p w14:paraId="11F8CB6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（3）接受采购人GDSII文件，执行严格设计规则复查；</w:t>
      </w:r>
    </w:p>
    <w:p w14:paraId="10A0FA0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★（4）提供版图设计服务，负责版图整合并提供光掩膜制作与流片服务；</w:t>
      </w:r>
    </w:p>
    <w:p w14:paraId="0AA59C51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★（5）提供Tape-out全流程技术支持。</w:t>
      </w:r>
    </w:p>
    <w:p w14:paraId="0E6A8FD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3.2 质量要求</w:t>
      </w:r>
    </w:p>
    <w:p w14:paraId="7D086E5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（1）交付晶圆技术规格：55 nm 标准CMOS工艺；</w:t>
      </w:r>
    </w:p>
    <w:p w14:paraId="3305A933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（2）核心电压：1.2 V；</w:t>
      </w:r>
    </w:p>
    <w:p w14:paraId="7B38DF8B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（3）IO 电压：1.8 V / 2.5 V / 3.3 V；</w:t>
      </w:r>
    </w:p>
    <w:p w14:paraId="76722BEA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（4）芯片颗数（Bare Die）：50颗；</w:t>
      </w:r>
    </w:p>
    <w:p w14:paraId="150BA5F3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（5）芯片面积（Block Size）：12 mm²（3000 µm×4000 µm）；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（6）交付周期：确认下单后150天内邮寄至采购人指定地点；</w:t>
      </w:r>
    </w:p>
    <w:p w14:paraId="7AEA0B2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★（7）提供该批次MPW晶圆的WAT测试报告；</w:t>
      </w:r>
    </w:p>
    <w:p w14:paraId="4348370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★（8）可在流片前通过 jobview 方式对生产的掩膜进行检查；</w:t>
      </w:r>
    </w:p>
    <w:p w14:paraId="7FBAD9F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★（9）裸芯片采用有ESD保护的托盘和真空包装。</w:t>
      </w:r>
    </w:p>
    <w:p w14:paraId="18D599D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D37E5F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4、设计清单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469"/>
        <w:gridCol w:w="1560"/>
        <w:gridCol w:w="1275"/>
      </w:tblGrid>
      <w:tr w14:paraId="5AA2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6" w:type="dxa"/>
            <w:vAlign w:val="center"/>
          </w:tcPr>
          <w:p w14:paraId="7AFBDA7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469" w:type="dxa"/>
            <w:vAlign w:val="center"/>
          </w:tcPr>
          <w:p w14:paraId="2AF8CF6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项目内容</w:t>
            </w:r>
          </w:p>
        </w:tc>
        <w:tc>
          <w:tcPr>
            <w:tcW w:w="1560" w:type="dxa"/>
            <w:vAlign w:val="center"/>
          </w:tcPr>
          <w:p w14:paraId="2638DFC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6EEECF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3BC6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6" w:type="dxa"/>
            <w:vAlign w:val="center"/>
          </w:tcPr>
          <w:p w14:paraId="1A5811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469" w:type="dxa"/>
            <w:vAlign w:val="center"/>
          </w:tcPr>
          <w:p w14:paraId="3FA793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 nm </w:t>
            </w:r>
            <w:r>
              <w:rPr>
                <w:rStyle w:val="12"/>
                <w:rFonts w:hint="default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Style w:val="12"/>
                <w:rFonts w:hint="default" w:cs="宋体"/>
                <w:sz w:val="24"/>
                <w:szCs w:val="24"/>
              </w:rPr>
              <w:t>C Mixed Signal 1.8V_2.5V工艺，MPW，芯片面积2000 µm×3000 µm，共计1个block，total 100 dies</w:t>
            </w:r>
          </w:p>
        </w:tc>
        <w:tc>
          <w:tcPr>
            <w:tcW w:w="1560" w:type="dxa"/>
            <w:vAlign w:val="center"/>
          </w:tcPr>
          <w:p w14:paraId="1AE52B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275" w:type="dxa"/>
            <w:vAlign w:val="center"/>
          </w:tcPr>
          <w:p w14:paraId="64BCD8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 w14:paraId="3F6B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vAlign w:val="center"/>
          </w:tcPr>
          <w:p w14:paraId="3CAF92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469" w:type="dxa"/>
            <w:vAlign w:val="center"/>
          </w:tcPr>
          <w:p w14:paraId="36A630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40 nm </w:t>
            </w:r>
            <w:r>
              <w:rPr>
                <w:rStyle w:val="12"/>
                <w:rFonts w:hint="default" w:cs="宋体"/>
                <w:sz w:val="24"/>
                <w:szCs w:val="24"/>
              </w:rPr>
              <w:t>IC Mixed Signal 1.8V_2.5V_3.3V工，MPW，芯片面积3000 µm×4000 µm，共计1个block，total 50 dies</w:t>
            </w:r>
          </w:p>
        </w:tc>
        <w:tc>
          <w:tcPr>
            <w:tcW w:w="1560" w:type="dxa"/>
            <w:vAlign w:val="center"/>
          </w:tcPr>
          <w:p w14:paraId="209BA0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275" w:type="dxa"/>
            <w:vAlign w:val="center"/>
          </w:tcPr>
          <w:p w14:paraId="0D5636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3C6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6" w:type="dxa"/>
            <w:vAlign w:val="center"/>
          </w:tcPr>
          <w:p w14:paraId="4523FB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469" w:type="dxa"/>
            <w:vAlign w:val="center"/>
          </w:tcPr>
          <w:p w14:paraId="10870F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55 nm  </w:t>
            </w:r>
            <w:r>
              <w:rPr>
                <w:rStyle w:val="12"/>
                <w:rFonts w:hint="default" w:cs="宋体"/>
                <w:sz w:val="24"/>
                <w:szCs w:val="24"/>
              </w:rPr>
              <w:t>IC Mixed Signal 1.8V_2.5V_3.3V工艺，MPW，芯片面积3000 µm×4000 µm，共计1个block，total 50 dies</w:t>
            </w:r>
          </w:p>
        </w:tc>
        <w:tc>
          <w:tcPr>
            <w:tcW w:w="1560" w:type="dxa"/>
            <w:vAlign w:val="center"/>
          </w:tcPr>
          <w:p w14:paraId="28710F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275" w:type="dxa"/>
            <w:vAlign w:val="center"/>
          </w:tcPr>
          <w:p w14:paraId="146C8F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 w14:paraId="5D1DBF8F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</w:p>
    <w:p w14:paraId="530EB316">
      <w:pPr>
        <w:spacing w:line="360" w:lineRule="auto"/>
        <w:outlineLvl w:val="1"/>
        <w:rPr>
          <w:rFonts w:hint="eastAsia" w:ascii="宋体" w:hAnsi="宋体" w:eastAsia="宋体"/>
          <w:b/>
          <w:sz w:val="24"/>
          <w:szCs w:val="18"/>
        </w:rPr>
      </w:pPr>
    </w:p>
    <w:p w14:paraId="098E4C38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注：“五、技术规格要求”中的★参数为重要指标项，参与评审打分</w:t>
      </w:r>
      <w:r>
        <w:rPr>
          <w:rFonts w:hint="eastAsia" w:ascii="宋体" w:hAnsi="宋体" w:eastAsia="宋体"/>
          <w:b/>
          <w:sz w:val="24"/>
          <w:szCs w:val="18"/>
          <w:lang w:eastAsia="zh-CN"/>
        </w:rPr>
        <w:t>，</w:t>
      </w:r>
      <w:r>
        <w:rPr>
          <w:rFonts w:hint="eastAsia" w:ascii="宋体" w:hAnsi="宋体" w:eastAsia="宋体"/>
          <w:b/>
          <w:sz w:val="24"/>
          <w:szCs w:val="18"/>
        </w:rPr>
        <w:t>其他无标识项为必须满足项，不得偏离。</w:t>
      </w:r>
    </w:p>
    <w:bookmarkEnd w:id="2"/>
    <w:p w14:paraId="72A5C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6F90"/>
    <w:rsid w:val="158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&amp;L"/>
    <w:basedOn w:val="5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0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2026-04-10T11:34:00Z</dcterms:created>
  <dc:creator>丁飞</dc:creator>
  <cp:lastModifiedBy>丁飞</cp:lastModifiedBy>
  <dcterms:modified xsi:type="dcterms:W3CDTF">2026-04-10T11:34:36Z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CC673096CE9F433A91E29E4EE8B24F8B_11</vt:lpwstr>
  </property>
  <property fmtid="{D5CDD505-2E9C-101B-9397-08002B2CF9AE}" pid="4" name="KSOTemplateDocerSaveRecord">
    <vt:lpwstr>eyJoZGlkIjoiMTY4YWViOGE0ZTg3NWU1YjVmMTI0YTkwZmE3MDNiYzkiLCJ1c2VySWQiOiIzNDgyNTY4ODkifQ==</vt:lpwstr>
  </property>
</Properties>
</file>