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5477C">
      <w:pPr>
        <w:pStyle w:val="2"/>
        <w:widowControl/>
        <w:snapToGrid w:val="0"/>
        <w:spacing w:before="0" w:after="0" w:line="360" w:lineRule="auto"/>
        <w:jc w:val="center"/>
        <w:rPr>
          <w:rFonts w:hint="eastAsia" w:ascii="宋体" w:hAnsi="宋体" w:eastAsia="仿宋"/>
        </w:rPr>
      </w:pPr>
      <w:bookmarkStart w:id="7" w:name="_GoBack"/>
      <w:bookmarkEnd w:id="7"/>
      <w:bookmarkStart w:id="0" w:name="_Toc9335"/>
      <w:bookmarkStart w:id="1" w:name="_Toc445554746"/>
      <w:bookmarkStart w:id="2" w:name="_Toc466024555"/>
      <w:r>
        <w:rPr>
          <w:rFonts w:hint="eastAsia" w:ascii="宋体" w:hAnsi="宋体" w:eastAsia="仿宋"/>
        </w:rPr>
        <w:t>采购需求</w:t>
      </w:r>
      <w:bookmarkEnd w:id="0"/>
      <w:bookmarkEnd w:id="1"/>
      <w:bookmarkEnd w:id="2"/>
    </w:p>
    <w:p w14:paraId="25B71C84">
      <w:pPr>
        <w:pStyle w:val="3"/>
        <w:rPr>
          <w:rStyle w:val="7"/>
          <w:rFonts w:ascii="宋体" w:hAnsi="宋体" w:eastAsia="仿宋"/>
          <w:b/>
          <w:bCs/>
          <w:sz w:val="24"/>
          <w:szCs w:val="24"/>
        </w:rPr>
      </w:pPr>
      <w:bookmarkStart w:id="3" w:name="_Toc455587273"/>
      <w:bookmarkStart w:id="4" w:name="_Toc455587089"/>
      <w:bookmarkStart w:id="5" w:name="_Toc466024556"/>
      <w:bookmarkStart w:id="6" w:name="_Toc445554747"/>
      <w:r>
        <w:rPr>
          <w:rStyle w:val="7"/>
          <w:rFonts w:hint="eastAsia" w:ascii="宋体" w:hAnsi="宋体" w:eastAsia="仿宋"/>
          <w:b/>
          <w:bCs/>
          <w:sz w:val="24"/>
          <w:szCs w:val="24"/>
        </w:rPr>
        <w:t xml:space="preserve">1. </w:t>
      </w:r>
      <w:bookmarkEnd w:id="3"/>
      <w:bookmarkEnd w:id="4"/>
      <w:bookmarkEnd w:id="5"/>
      <w:r>
        <w:rPr>
          <w:rStyle w:val="7"/>
          <w:rFonts w:hint="eastAsia" w:ascii="宋体" w:hAnsi="宋体" w:eastAsia="仿宋"/>
          <w:b/>
          <w:bCs/>
          <w:sz w:val="24"/>
          <w:szCs w:val="24"/>
        </w:rPr>
        <w:t>总体说明</w:t>
      </w:r>
    </w:p>
    <w:p w14:paraId="37D4BBF4">
      <w:pPr>
        <w:widowControl/>
        <w:tabs>
          <w:tab w:val="left" w:pos="1406"/>
        </w:tabs>
        <w:snapToGrid w:val="0"/>
        <w:spacing w:line="360" w:lineRule="auto"/>
        <w:ind w:firstLine="480" w:firstLineChars="200"/>
        <w:rPr>
          <w:rFonts w:hint="eastAsia" w:ascii="宋体" w:hAnsi="宋体" w:eastAsia="仿宋"/>
          <w:color w:val="FF0000"/>
          <w:sz w:val="24"/>
        </w:rPr>
      </w:pPr>
      <w:r>
        <w:rPr>
          <w:rFonts w:hint="eastAsia" w:ascii="宋体" w:hAnsi="宋体" w:eastAsia="仿宋"/>
          <w:sz w:val="24"/>
        </w:rPr>
        <w:t>1.1 本章所提出的技术要求是对本次招标服务的基本要求，并未涉及所有技术细节，也未充分引述有关标准、规范的全部条款。投标人应保证其提供的服务除了满足本技术要求外，还应符合中国国家、行业、地方或</w:t>
      </w:r>
      <w:r>
        <w:rPr>
          <w:rFonts w:hint="eastAsia" w:ascii="仿宋" w:hAnsi="仿宋" w:eastAsia="仿宋" w:cs="仿宋"/>
          <w:sz w:val="24"/>
        </w:rPr>
        <w:t>服务提供商</w:t>
      </w:r>
      <w:r>
        <w:rPr>
          <w:rFonts w:hint="eastAsia" w:ascii="宋体" w:hAnsi="宋体" w:eastAsia="仿宋"/>
          <w:sz w:val="24"/>
        </w:rPr>
        <w:t>所在国的有关强制性标准、规范。当上述标准、规范的有关规定之间存在差异时，应以要求高的为准。</w:t>
      </w:r>
    </w:p>
    <w:p w14:paraId="58A729D3">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1.2 本章中提及的工艺、材料、设备的标准及品牌或型号（如有）仅起说明作用，并没有强制性。投标人在投标中可以用替代工艺、材料、设备的标准及品牌或型号，但这种替代须实质上满足、等同或优于本章技术要求，同时须提供相关证明材料，否则可能被评标委员会认定为负偏离。</w:t>
      </w:r>
    </w:p>
    <w:p w14:paraId="4C98BBE5">
      <w:pPr>
        <w:widowControl/>
        <w:tabs>
          <w:tab w:val="left" w:pos="1406"/>
        </w:tabs>
        <w:snapToGrid w:val="0"/>
        <w:spacing w:line="360" w:lineRule="auto"/>
        <w:ind w:firstLine="480" w:firstLineChars="200"/>
        <w:rPr>
          <w:rFonts w:hint="eastAsia" w:ascii="宋体" w:hAnsi="宋体" w:eastAsia="仿宋"/>
          <w:sz w:val="24"/>
        </w:rPr>
      </w:pPr>
      <w:r>
        <w:rPr>
          <w:rFonts w:hint="eastAsia" w:ascii="宋体" w:hAnsi="宋体" w:eastAsia="仿宋"/>
          <w:sz w:val="24"/>
        </w:rPr>
        <w:t>1.3 除非有特别说明，本章中所列的具体技术要求或参数范围，均理解为采购人可接受的最低要求。</w:t>
      </w:r>
    </w:p>
    <w:p w14:paraId="1166A9DA">
      <w:pPr>
        <w:pStyle w:val="3"/>
        <w:rPr>
          <w:rFonts w:hint="eastAsia" w:ascii="宋体" w:hAnsi="宋体" w:eastAsia="仿宋"/>
          <w:sz w:val="24"/>
          <w:szCs w:val="24"/>
        </w:rPr>
      </w:pPr>
      <w:r>
        <w:rPr>
          <w:rFonts w:ascii="宋体" w:hAnsi="宋体" w:eastAsia="仿宋"/>
          <w:sz w:val="24"/>
        </w:rPr>
        <w:t xml:space="preserve">2. </w:t>
      </w:r>
      <w:r>
        <w:rPr>
          <w:rFonts w:hint="eastAsia" w:ascii="宋体" w:hAnsi="宋体" w:eastAsia="仿宋"/>
          <w:sz w:val="24"/>
          <w:szCs w:val="24"/>
        </w:rPr>
        <w:t>项目概况</w:t>
      </w:r>
    </w:p>
    <w:bookmarkEnd w:id="6"/>
    <w:p w14:paraId="3D91D2B8">
      <w:pPr>
        <w:widowControl/>
        <w:tabs>
          <w:tab w:val="left" w:pos="1406"/>
        </w:tabs>
        <w:snapToGrid w:val="0"/>
        <w:spacing w:line="360" w:lineRule="auto"/>
        <w:ind w:firstLine="480" w:firstLineChars="200"/>
        <w:rPr>
          <w:rFonts w:hint="eastAsia" w:ascii="宋体" w:hAnsi="宋体" w:eastAsia="仿宋" w:cs="Times New Roman"/>
          <w:sz w:val="24"/>
          <w:lang w:val="en-US" w:eastAsia="zh-CN"/>
        </w:rPr>
      </w:pPr>
      <w:r>
        <w:rPr>
          <w:rFonts w:hint="eastAsia" w:ascii="宋体" w:hAnsi="宋体" w:eastAsia="仿宋" w:cs="Times New Roman"/>
          <w:sz w:val="24"/>
          <w:lang w:val="en-US" w:eastAsia="zh-CN"/>
        </w:rPr>
        <w:t>安徽交通职业技术学院新桥校区房屋产权测绘项目位于淮南市寿县新桥国际产业园内，占地面积886.88亩。现学院拟为新桥校区所有建设房屋办理不动产权证，为国有资产建档和使用提供依据。</w:t>
      </w:r>
    </w:p>
    <w:p w14:paraId="572C64ED">
      <w:pPr>
        <w:pStyle w:val="3"/>
        <w:numPr>
          <w:ilvl w:val="0"/>
          <w:numId w:val="1"/>
        </w:numPr>
        <w:rPr>
          <w:rFonts w:hint="eastAsia" w:ascii="宋体" w:hAnsi="宋体" w:eastAsia="仿宋"/>
          <w:sz w:val="24"/>
        </w:rPr>
      </w:pPr>
      <w:r>
        <w:rPr>
          <w:rFonts w:hint="eastAsia" w:ascii="宋体" w:hAnsi="宋体" w:eastAsia="仿宋"/>
          <w:sz w:val="24"/>
        </w:rPr>
        <w:t>技术要求</w:t>
      </w:r>
    </w:p>
    <w:p w14:paraId="304803D4">
      <w:pPr>
        <w:keepNext w:val="0"/>
        <w:keepLines w:val="0"/>
        <w:pageBreakBefore w:val="0"/>
        <w:widowControl/>
        <w:numPr>
          <w:ilvl w:val="0"/>
          <w:numId w:val="0"/>
        </w:numPr>
        <w:tabs>
          <w:tab w:val="left" w:pos="1406"/>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按照办理不动产权证相关工作要求，学院拟采购房屋产权测绘服务，对学院新桥校区内所有新建房屋进行测绘，并协助办理不动产权证。初步统计，新桥校区内共有38栋建筑单体及地下室，总建筑面积约51.8万平方米，具体建筑物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219"/>
        <w:gridCol w:w="911"/>
        <w:gridCol w:w="799"/>
        <w:gridCol w:w="1607"/>
        <w:gridCol w:w="2155"/>
      </w:tblGrid>
      <w:tr w14:paraId="5293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79D18161">
            <w:pPr>
              <w:spacing w:line="360" w:lineRule="auto"/>
              <w:rPr>
                <w:rFonts w:hint="eastAsia" w:ascii="仿宋" w:hAnsi="仿宋" w:eastAsia="仿宋" w:cs="仿宋"/>
                <w:sz w:val="24"/>
                <w:szCs w:val="24"/>
              </w:rPr>
            </w:pPr>
            <w:r>
              <w:rPr>
                <w:rFonts w:hint="eastAsia" w:ascii="仿宋" w:hAnsi="仿宋" w:eastAsia="仿宋" w:cs="仿宋"/>
                <w:sz w:val="24"/>
                <w:szCs w:val="24"/>
              </w:rPr>
              <w:t>序号</w:t>
            </w:r>
          </w:p>
        </w:tc>
        <w:tc>
          <w:tcPr>
            <w:tcW w:w="2219" w:type="dxa"/>
            <w:noWrap w:val="0"/>
            <w:vAlign w:val="center"/>
          </w:tcPr>
          <w:p w14:paraId="24C8BC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单体名称</w:t>
            </w:r>
          </w:p>
        </w:tc>
        <w:tc>
          <w:tcPr>
            <w:tcW w:w="911" w:type="dxa"/>
            <w:noWrap w:val="0"/>
            <w:vAlign w:val="center"/>
          </w:tcPr>
          <w:p w14:paraId="0BAAD5F2">
            <w:pPr>
              <w:spacing w:line="360" w:lineRule="auto"/>
              <w:rPr>
                <w:rFonts w:hint="eastAsia" w:ascii="仿宋" w:hAnsi="仿宋" w:eastAsia="仿宋" w:cs="仿宋"/>
                <w:sz w:val="24"/>
                <w:szCs w:val="24"/>
              </w:rPr>
            </w:pPr>
            <w:r>
              <w:rPr>
                <w:rFonts w:hint="eastAsia" w:ascii="仿宋" w:hAnsi="仿宋" w:eastAsia="仿宋" w:cs="仿宋"/>
                <w:sz w:val="24"/>
                <w:szCs w:val="24"/>
              </w:rPr>
              <w:t>备注</w:t>
            </w:r>
          </w:p>
        </w:tc>
        <w:tc>
          <w:tcPr>
            <w:tcW w:w="799" w:type="dxa"/>
            <w:noWrap w:val="0"/>
            <w:vAlign w:val="center"/>
          </w:tcPr>
          <w:p w14:paraId="2D8CEEE9">
            <w:pPr>
              <w:spacing w:line="360" w:lineRule="auto"/>
              <w:rPr>
                <w:rFonts w:hint="eastAsia" w:ascii="仿宋" w:hAnsi="仿宋" w:eastAsia="仿宋" w:cs="仿宋"/>
                <w:sz w:val="24"/>
                <w:szCs w:val="24"/>
              </w:rPr>
            </w:pPr>
            <w:r>
              <w:rPr>
                <w:rFonts w:hint="eastAsia" w:ascii="仿宋" w:hAnsi="仿宋" w:eastAsia="仿宋" w:cs="仿宋"/>
                <w:sz w:val="24"/>
                <w:szCs w:val="24"/>
              </w:rPr>
              <w:t>序号</w:t>
            </w:r>
          </w:p>
        </w:tc>
        <w:tc>
          <w:tcPr>
            <w:tcW w:w="1607" w:type="dxa"/>
            <w:noWrap w:val="0"/>
            <w:vAlign w:val="center"/>
          </w:tcPr>
          <w:p w14:paraId="2EB140AD">
            <w:pPr>
              <w:spacing w:line="360" w:lineRule="auto"/>
              <w:rPr>
                <w:rFonts w:hint="eastAsia" w:ascii="仿宋" w:hAnsi="仿宋" w:eastAsia="仿宋" w:cs="仿宋"/>
                <w:sz w:val="24"/>
                <w:szCs w:val="24"/>
              </w:rPr>
            </w:pPr>
            <w:r>
              <w:rPr>
                <w:rFonts w:hint="eastAsia" w:ascii="仿宋" w:hAnsi="仿宋" w:eastAsia="仿宋" w:cs="仿宋"/>
                <w:sz w:val="24"/>
                <w:szCs w:val="24"/>
              </w:rPr>
              <w:t>单体名称</w:t>
            </w:r>
          </w:p>
        </w:tc>
        <w:tc>
          <w:tcPr>
            <w:tcW w:w="2155" w:type="dxa"/>
            <w:noWrap w:val="0"/>
            <w:vAlign w:val="center"/>
          </w:tcPr>
          <w:p w14:paraId="24D5732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w:t>
            </w:r>
          </w:p>
        </w:tc>
      </w:tr>
      <w:tr w14:paraId="0CE0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1D348FD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219" w:type="dxa"/>
            <w:noWrap w:val="0"/>
            <w:vAlign w:val="center"/>
          </w:tcPr>
          <w:p w14:paraId="03339AC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南公共教学楼</w:t>
            </w:r>
          </w:p>
        </w:tc>
        <w:tc>
          <w:tcPr>
            <w:tcW w:w="911" w:type="dxa"/>
            <w:noWrap w:val="0"/>
            <w:vAlign w:val="center"/>
          </w:tcPr>
          <w:p w14:paraId="156508FD">
            <w:pPr>
              <w:spacing w:line="360" w:lineRule="auto"/>
              <w:jc w:val="center"/>
              <w:rPr>
                <w:rFonts w:hint="default" w:ascii="仿宋" w:hAnsi="仿宋" w:eastAsia="仿宋" w:cs="仿宋"/>
                <w:sz w:val="24"/>
                <w:szCs w:val="24"/>
                <w:highlight w:val="red"/>
                <w:lang w:val="en-US" w:eastAsia="zh-CN"/>
              </w:rPr>
            </w:pPr>
          </w:p>
        </w:tc>
        <w:tc>
          <w:tcPr>
            <w:tcW w:w="799" w:type="dxa"/>
            <w:noWrap w:val="0"/>
            <w:vAlign w:val="center"/>
          </w:tcPr>
          <w:p w14:paraId="6CC6347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607" w:type="dxa"/>
            <w:noWrap w:val="0"/>
            <w:vAlign w:val="center"/>
          </w:tcPr>
          <w:p w14:paraId="40CE61E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图书馆</w:t>
            </w:r>
          </w:p>
        </w:tc>
        <w:tc>
          <w:tcPr>
            <w:tcW w:w="2155" w:type="dxa"/>
            <w:noWrap w:val="0"/>
            <w:vAlign w:val="center"/>
          </w:tcPr>
          <w:p w14:paraId="0B94000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rPr>
            </w:pPr>
          </w:p>
        </w:tc>
      </w:tr>
      <w:tr w14:paraId="5F3E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4CC23C9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219" w:type="dxa"/>
            <w:noWrap w:val="0"/>
            <w:vAlign w:val="center"/>
          </w:tcPr>
          <w:p w14:paraId="4D0AE51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北公共教学楼</w:t>
            </w:r>
          </w:p>
        </w:tc>
        <w:tc>
          <w:tcPr>
            <w:tcW w:w="911" w:type="dxa"/>
            <w:noWrap w:val="0"/>
            <w:vAlign w:val="center"/>
          </w:tcPr>
          <w:p w14:paraId="349A40A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red"/>
              </w:rPr>
            </w:pPr>
          </w:p>
        </w:tc>
        <w:tc>
          <w:tcPr>
            <w:tcW w:w="799" w:type="dxa"/>
            <w:noWrap w:val="0"/>
            <w:vAlign w:val="center"/>
          </w:tcPr>
          <w:p w14:paraId="2CD84C7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607" w:type="dxa"/>
            <w:noWrap w:val="0"/>
            <w:vAlign w:val="center"/>
          </w:tcPr>
          <w:p w14:paraId="779BD8B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周转房</w:t>
            </w:r>
          </w:p>
        </w:tc>
        <w:tc>
          <w:tcPr>
            <w:tcW w:w="2155" w:type="dxa"/>
            <w:noWrap w:val="0"/>
            <w:vAlign w:val="center"/>
          </w:tcPr>
          <w:p w14:paraId="3DC8F97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共8栋</w:t>
            </w:r>
          </w:p>
        </w:tc>
      </w:tr>
      <w:tr w14:paraId="3E44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0B70C32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2219" w:type="dxa"/>
            <w:noWrap w:val="0"/>
            <w:vAlign w:val="center"/>
          </w:tcPr>
          <w:p w14:paraId="7D18B6A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土木系实验实训楼</w:t>
            </w:r>
          </w:p>
        </w:tc>
        <w:tc>
          <w:tcPr>
            <w:tcW w:w="911" w:type="dxa"/>
            <w:noWrap w:val="0"/>
            <w:vAlign w:val="center"/>
          </w:tcPr>
          <w:p w14:paraId="54F28CB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red"/>
              </w:rPr>
            </w:pPr>
          </w:p>
        </w:tc>
        <w:tc>
          <w:tcPr>
            <w:tcW w:w="799" w:type="dxa"/>
            <w:noWrap w:val="0"/>
            <w:vAlign w:val="center"/>
          </w:tcPr>
          <w:p w14:paraId="7930308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1607" w:type="dxa"/>
            <w:noWrap w:val="0"/>
            <w:vAlign w:val="center"/>
          </w:tcPr>
          <w:p w14:paraId="0DEFB07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南食堂</w:t>
            </w:r>
          </w:p>
        </w:tc>
        <w:tc>
          <w:tcPr>
            <w:tcW w:w="2155" w:type="dxa"/>
            <w:noWrap w:val="0"/>
            <w:vAlign w:val="center"/>
          </w:tcPr>
          <w:p w14:paraId="6448D21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r>
      <w:tr w14:paraId="7E32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07FE6AB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2219" w:type="dxa"/>
            <w:noWrap w:val="0"/>
            <w:vAlign w:val="center"/>
          </w:tcPr>
          <w:p w14:paraId="1506484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航空系实验实训楼</w:t>
            </w:r>
          </w:p>
        </w:tc>
        <w:tc>
          <w:tcPr>
            <w:tcW w:w="911" w:type="dxa"/>
            <w:noWrap w:val="0"/>
            <w:vAlign w:val="center"/>
          </w:tcPr>
          <w:p w14:paraId="3DE5A97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red"/>
              </w:rPr>
            </w:pPr>
          </w:p>
        </w:tc>
        <w:tc>
          <w:tcPr>
            <w:tcW w:w="799" w:type="dxa"/>
            <w:noWrap w:val="0"/>
            <w:vAlign w:val="center"/>
          </w:tcPr>
          <w:p w14:paraId="356EA1F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607" w:type="dxa"/>
            <w:noWrap w:val="0"/>
            <w:vAlign w:val="center"/>
          </w:tcPr>
          <w:p w14:paraId="755545D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北食堂</w:t>
            </w:r>
          </w:p>
        </w:tc>
        <w:tc>
          <w:tcPr>
            <w:tcW w:w="2155" w:type="dxa"/>
            <w:noWrap w:val="0"/>
            <w:vAlign w:val="center"/>
          </w:tcPr>
          <w:p w14:paraId="406B97D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r>
      <w:tr w14:paraId="6C94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49AFF37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2219" w:type="dxa"/>
            <w:noWrap w:val="0"/>
            <w:vAlign w:val="center"/>
          </w:tcPr>
          <w:p w14:paraId="21D417A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航海系实验实训楼</w:t>
            </w:r>
          </w:p>
        </w:tc>
        <w:tc>
          <w:tcPr>
            <w:tcW w:w="911" w:type="dxa"/>
            <w:noWrap w:val="0"/>
            <w:vAlign w:val="center"/>
          </w:tcPr>
          <w:p w14:paraId="68891AC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red"/>
              </w:rPr>
            </w:pPr>
          </w:p>
        </w:tc>
        <w:tc>
          <w:tcPr>
            <w:tcW w:w="799" w:type="dxa"/>
            <w:noWrap w:val="0"/>
            <w:vAlign w:val="center"/>
          </w:tcPr>
          <w:p w14:paraId="567EA54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1607" w:type="dxa"/>
            <w:noWrap w:val="0"/>
            <w:vAlign w:val="center"/>
          </w:tcPr>
          <w:p w14:paraId="2867C4A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学生宿舍</w:t>
            </w:r>
          </w:p>
        </w:tc>
        <w:tc>
          <w:tcPr>
            <w:tcW w:w="2155" w:type="dxa"/>
            <w:noWrap w:val="0"/>
            <w:vAlign w:val="center"/>
          </w:tcPr>
          <w:p w14:paraId="63BBD61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共6栋</w:t>
            </w:r>
          </w:p>
        </w:tc>
      </w:tr>
      <w:tr w14:paraId="1FD4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3FB182F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2219" w:type="dxa"/>
            <w:noWrap w:val="0"/>
            <w:vAlign w:val="center"/>
          </w:tcPr>
          <w:p w14:paraId="226479F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汽机系实验实训楼</w:t>
            </w:r>
          </w:p>
        </w:tc>
        <w:tc>
          <w:tcPr>
            <w:tcW w:w="911" w:type="dxa"/>
            <w:noWrap w:val="0"/>
            <w:vAlign w:val="center"/>
          </w:tcPr>
          <w:p w14:paraId="6AB9997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red"/>
              </w:rPr>
            </w:pPr>
          </w:p>
        </w:tc>
        <w:tc>
          <w:tcPr>
            <w:tcW w:w="799" w:type="dxa"/>
            <w:noWrap w:val="0"/>
            <w:vAlign w:val="center"/>
          </w:tcPr>
          <w:p w14:paraId="5C76339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1607" w:type="dxa"/>
            <w:noWrap w:val="0"/>
            <w:vAlign w:val="center"/>
          </w:tcPr>
          <w:p w14:paraId="75D4585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燃气调压站</w:t>
            </w:r>
          </w:p>
        </w:tc>
        <w:tc>
          <w:tcPr>
            <w:tcW w:w="2155" w:type="dxa"/>
            <w:noWrap w:val="0"/>
            <w:vAlign w:val="center"/>
          </w:tcPr>
          <w:p w14:paraId="06F7F7A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共3座</w:t>
            </w:r>
          </w:p>
        </w:tc>
      </w:tr>
      <w:tr w14:paraId="56E5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36711A9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2219" w:type="dxa"/>
            <w:noWrap w:val="0"/>
            <w:vAlign w:val="center"/>
          </w:tcPr>
          <w:p w14:paraId="6FD54E9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管理系实验实训楼</w:t>
            </w:r>
          </w:p>
        </w:tc>
        <w:tc>
          <w:tcPr>
            <w:tcW w:w="911" w:type="dxa"/>
            <w:noWrap w:val="0"/>
            <w:vAlign w:val="center"/>
          </w:tcPr>
          <w:p w14:paraId="66FE76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red"/>
              </w:rPr>
            </w:pPr>
          </w:p>
        </w:tc>
        <w:tc>
          <w:tcPr>
            <w:tcW w:w="799" w:type="dxa"/>
            <w:noWrap w:val="0"/>
            <w:vAlign w:val="center"/>
          </w:tcPr>
          <w:p w14:paraId="1C9F162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1607" w:type="dxa"/>
            <w:noWrap w:val="0"/>
            <w:vAlign w:val="center"/>
          </w:tcPr>
          <w:p w14:paraId="285F5F4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门卫室</w:t>
            </w:r>
          </w:p>
        </w:tc>
        <w:tc>
          <w:tcPr>
            <w:tcW w:w="2155" w:type="dxa"/>
            <w:noWrap w:val="0"/>
            <w:vAlign w:val="center"/>
          </w:tcPr>
          <w:p w14:paraId="2D78598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共2座</w:t>
            </w:r>
          </w:p>
        </w:tc>
      </w:tr>
      <w:tr w14:paraId="2D8F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6B9464B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2219" w:type="dxa"/>
            <w:noWrap w:val="0"/>
            <w:vAlign w:val="center"/>
          </w:tcPr>
          <w:p w14:paraId="2882473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城信系实验实训楼</w:t>
            </w:r>
          </w:p>
        </w:tc>
        <w:tc>
          <w:tcPr>
            <w:tcW w:w="911" w:type="dxa"/>
            <w:noWrap w:val="0"/>
            <w:vAlign w:val="center"/>
          </w:tcPr>
          <w:p w14:paraId="600B4B1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red"/>
              </w:rPr>
            </w:pPr>
          </w:p>
        </w:tc>
        <w:tc>
          <w:tcPr>
            <w:tcW w:w="799" w:type="dxa"/>
            <w:noWrap w:val="0"/>
            <w:vAlign w:val="center"/>
          </w:tcPr>
          <w:p w14:paraId="3B167FE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1607" w:type="dxa"/>
            <w:noWrap w:val="0"/>
            <w:vAlign w:val="center"/>
          </w:tcPr>
          <w:p w14:paraId="2A4A43A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垃圾房</w:t>
            </w:r>
          </w:p>
        </w:tc>
        <w:tc>
          <w:tcPr>
            <w:tcW w:w="2155" w:type="dxa"/>
            <w:noWrap w:val="0"/>
            <w:vAlign w:val="center"/>
          </w:tcPr>
          <w:p w14:paraId="3F1802D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共2座</w:t>
            </w:r>
          </w:p>
        </w:tc>
      </w:tr>
      <w:tr w14:paraId="78EF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09C7ACA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2219" w:type="dxa"/>
            <w:noWrap w:val="0"/>
            <w:vAlign w:val="center"/>
          </w:tcPr>
          <w:p w14:paraId="0A83692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综合楼</w:t>
            </w:r>
          </w:p>
        </w:tc>
        <w:tc>
          <w:tcPr>
            <w:tcW w:w="911" w:type="dxa"/>
            <w:noWrap w:val="0"/>
            <w:vAlign w:val="center"/>
          </w:tcPr>
          <w:p w14:paraId="0E13301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red"/>
              </w:rPr>
            </w:pPr>
          </w:p>
        </w:tc>
        <w:tc>
          <w:tcPr>
            <w:tcW w:w="799" w:type="dxa"/>
            <w:noWrap w:val="0"/>
            <w:vAlign w:val="center"/>
          </w:tcPr>
          <w:p w14:paraId="4E1DB94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1607" w:type="dxa"/>
            <w:noWrap w:val="0"/>
            <w:vAlign w:val="center"/>
          </w:tcPr>
          <w:p w14:paraId="00B6BDA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校门</w:t>
            </w:r>
          </w:p>
        </w:tc>
        <w:tc>
          <w:tcPr>
            <w:tcW w:w="2155" w:type="dxa"/>
            <w:noWrap w:val="0"/>
            <w:vAlign w:val="center"/>
          </w:tcPr>
          <w:p w14:paraId="30DFB21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共2座</w:t>
            </w:r>
          </w:p>
        </w:tc>
      </w:tr>
      <w:tr w14:paraId="58A6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3793A46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2219" w:type="dxa"/>
            <w:noWrap w:val="0"/>
            <w:vAlign w:val="center"/>
          </w:tcPr>
          <w:p w14:paraId="6304049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学生活动中心</w:t>
            </w:r>
          </w:p>
        </w:tc>
        <w:tc>
          <w:tcPr>
            <w:tcW w:w="911" w:type="dxa"/>
            <w:noWrap w:val="0"/>
            <w:vAlign w:val="center"/>
          </w:tcPr>
          <w:p w14:paraId="0209CDC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red"/>
              </w:rPr>
            </w:pPr>
          </w:p>
        </w:tc>
        <w:tc>
          <w:tcPr>
            <w:tcW w:w="799" w:type="dxa"/>
            <w:noWrap w:val="0"/>
            <w:vAlign w:val="center"/>
          </w:tcPr>
          <w:p w14:paraId="7806F26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21</w:t>
            </w:r>
          </w:p>
        </w:tc>
        <w:tc>
          <w:tcPr>
            <w:tcW w:w="1607" w:type="dxa"/>
            <w:noWrap w:val="0"/>
            <w:vAlign w:val="center"/>
          </w:tcPr>
          <w:p w14:paraId="7D969C0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开关站</w:t>
            </w:r>
          </w:p>
        </w:tc>
        <w:tc>
          <w:tcPr>
            <w:tcW w:w="2155" w:type="dxa"/>
            <w:noWrap w:val="0"/>
            <w:vAlign w:val="center"/>
          </w:tcPr>
          <w:p w14:paraId="39AFA31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p>
        </w:tc>
      </w:tr>
      <w:tr w14:paraId="54AA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noWrap w:val="0"/>
            <w:vAlign w:val="center"/>
          </w:tcPr>
          <w:p w14:paraId="4B70E1F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2219" w:type="dxa"/>
            <w:noWrap w:val="0"/>
            <w:vAlign w:val="center"/>
          </w:tcPr>
          <w:p w14:paraId="0F0C44F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体育馆</w:t>
            </w:r>
          </w:p>
        </w:tc>
        <w:tc>
          <w:tcPr>
            <w:tcW w:w="911" w:type="dxa"/>
            <w:noWrap w:val="0"/>
            <w:vAlign w:val="center"/>
          </w:tcPr>
          <w:p w14:paraId="1F61B68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red"/>
              </w:rPr>
            </w:pPr>
          </w:p>
        </w:tc>
        <w:tc>
          <w:tcPr>
            <w:tcW w:w="799" w:type="dxa"/>
            <w:noWrap w:val="0"/>
            <w:vAlign w:val="center"/>
          </w:tcPr>
          <w:p w14:paraId="6AD5B01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22</w:t>
            </w:r>
          </w:p>
        </w:tc>
        <w:tc>
          <w:tcPr>
            <w:tcW w:w="1607" w:type="dxa"/>
            <w:noWrap w:val="0"/>
            <w:vAlign w:val="center"/>
          </w:tcPr>
          <w:p w14:paraId="153C2B4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地下室</w:t>
            </w:r>
          </w:p>
        </w:tc>
        <w:tc>
          <w:tcPr>
            <w:tcW w:w="2155" w:type="dxa"/>
            <w:noWrap w:val="0"/>
            <w:vAlign w:val="center"/>
          </w:tcPr>
          <w:p w14:paraId="7D3C094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周转房及综合楼下</w:t>
            </w:r>
          </w:p>
        </w:tc>
      </w:tr>
    </w:tbl>
    <w:p w14:paraId="7167BC2C">
      <w:pPr>
        <w:keepNext w:val="0"/>
        <w:keepLines w:val="0"/>
        <w:pageBreakBefore w:val="0"/>
        <w:widowControl/>
        <w:numPr>
          <w:ilvl w:val="0"/>
          <w:numId w:val="0"/>
        </w:numPr>
        <w:tabs>
          <w:tab w:val="left" w:pos="1406"/>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2.测绘文件要满足当地行政主管部门办理项目不动产权证的需求。项目成果须完整、有效、真实，不得违规测绘，弄虚作假，不得损害国家利益、社会公共利益和他人合法权益。</w:t>
      </w:r>
    </w:p>
    <w:p w14:paraId="3E8F92E3">
      <w:pPr>
        <w:keepNext w:val="0"/>
        <w:keepLines w:val="0"/>
        <w:pageBreakBefore w:val="0"/>
        <w:widowControl/>
        <w:numPr>
          <w:ilvl w:val="0"/>
          <w:numId w:val="0"/>
        </w:numPr>
        <w:tabs>
          <w:tab w:val="left" w:pos="1406"/>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中标人须派专人配合采购人完成不动产测绘，并负责解决一切涉及不动产登记的测绘问题，中标人需在提交测绘成果时需与管委会不动产管理部门进行沟通，同时配合行政主管部门负责修改完善测绘报告，直至相关业务主管部门认可，确保及时准确提交测绘成果。因此产生的费用包含在报价中。</w:t>
      </w:r>
    </w:p>
    <w:p w14:paraId="722C9471">
      <w:pPr>
        <w:keepNext w:val="0"/>
        <w:keepLines w:val="0"/>
        <w:pageBreakBefore w:val="0"/>
        <w:widowControl/>
        <w:numPr>
          <w:ilvl w:val="0"/>
          <w:numId w:val="0"/>
        </w:numPr>
        <w:tabs>
          <w:tab w:val="left" w:pos="1406"/>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lang w:val="en-US" w:eastAsia="zh-CN"/>
        </w:rPr>
        <w:t>4、投标文件中须提供测绘人员身份信息</w:t>
      </w:r>
      <w:r>
        <w:rPr>
          <w:rFonts w:hint="eastAsia" w:ascii="仿宋" w:hAnsi="仿宋" w:eastAsia="仿宋" w:cs="仿宋"/>
          <w:b/>
          <w:bCs/>
          <w:sz w:val="24"/>
          <w:lang w:val="en-US" w:eastAsia="zh-CN"/>
        </w:rPr>
        <w:t>（见投标文件格式要求）</w:t>
      </w:r>
      <w:r>
        <w:rPr>
          <w:rFonts w:hint="eastAsia" w:ascii="仿宋" w:hAnsi="仿宋" w:eastAsia="仿宋" w:cs="仿宋"/>
          <w:sz w:val="24"/>
          <w:lang w:val="en-US" w:eastAsia="zh-CN"/>
        </w:rPr>
        <w:t>及相应社保记录（</w:t>
      </w:r>
      <w:r>
        <w:rPr>
          <w:rFonts w:hint="eastAsia" w:ascii="仿宋" w:hAnsi="仿宋" w:eastAsia="仿宋" w:cs="仿宋"/>
          <w:b/>
          <w:bCs/>
          <w:sz w:val="24"/>
          <w:lang w:val="en-US" w:eastAsia="zh-CN"/>
        </w:rPr>
        <w:t>投标人为其缴纳的自2024年12月1日以来（任意一个月）的社保证明材料扫描件，社保证明材料形式要求见“第二章 投标人须知前附表-12.9 社保要求”，投标文件中未提供社保证明材料视为无效投标</w:t>
      </w:r>
      <w:r>
        <w:rPr>
          <w:rFonts w:hint="eastAsia" w:ascii="仿宋" w:hAnsi="仿宋" w:eastAsia="仿宋" w:cs="仿宋"/>
          <w:sz w:val="24"/>
          <w:lang w:val="en-US" w:eastAsia="zh-CN"/>
        </w:rPr>
        <w:t>），同时在测绘工作开展</w:t>
      </w:r>
      <w:r>
        <w:rPr>
          <w:rFonts w:hint="eastAsia" w:ascii="仿宋" w:hAnsi="仿宋" w:eastAsia="仿宋" w:cs="仿宋"/>
          <w:sz w:val="24"/>
          <w:highlight w:val="none"/>
          <w:lang w:val="en-US" w:eastAsia="zh-CN"/>
        </w:rPr>
        <w:t>时必须由投标文件中的测绘人员展开测绘工作。采购人有权对现场履约人员身份随机进行核验，若中标人测绘人员与投标文件信息不符，校方有权终止合同。中标人须提供正规合法发票，严格执行国家或行业相关标准。</w:t>
      </w:r>
    </w:p>
    <w:p w14:paraId="44DC2F68">
      <w:pPr>
        <w:pStyle w:val="3"/>
        <w:numPr>
          <w:ilvl w:val="0"/>
          <w:numId w:val="1"/>
        </w:numPr>
        <w:rPr>
          <w:rFonts w:hint="eastAsia" w:ascii="宋体" w:hAnsi="宋体" w:eastAsia="宋体" w:cs="宋体"/>
          <w:sz w:val="24"/>
          <w:szCs w:val="24"/>
        </w:rPr>
      </w:pPr>
      <w:r>
        <w:rPr>
          <w:rFonts w:hint="eastAsia" w:ascii="宋体" w:hAnsi="宋体" w:eastAsia="仿宋"/>
          <w:sz w:val="24"/>
          <w:lang w:val="en-US" w:eastAsia="zh-CN"/>
        </w:rPr>
        <w:t>报价</w:t>
      </w:r>
      <w:r>
        <w:rPr>
          <w:rFonts w:hint="eastAsia" w:ascii="宋体" w:hAnsi="宋体" w:eastAsia="仿宋"/>
          <w:sz w:val="24"/>
        </w:rPr>
        <w:t>要求</w:t>
      </w:r>
    </w:p>
    <w:p w14:paraId="31F04C7D">
      <w:pPr>
        <w:keepNext w:val="0"/>
        <w:keepLines w:val="0"/>
        <w:pageBreakBefore w:val="0"/>
        <w:widowControl/>
        <w:numPr>
          <w:ilvl w:val="0"/>
          <w:numId w:val="0"/>
        </w:numPr>
        <w:tabs>
          <w:tab w:val="left" w:pos="1406"/>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sz w:val="24"/>
          <w:lang w:val="en-US" w:eastAsia="zh-CN"/>
        </w:rPr>
        <w:t>1.本项</w:t>
      </w:r>
      <w:r>
        <w:rPr>
          <w:rFonts w:hint="eastAsia" w:ascii="仿宋" w:hAnsi="仿宋" w:eastAsia="仿宋" w:cs="仿宋"/>
          <w:color w:val="auto"/>
          <w:sz w:val="24"/>
          <w:highlight w:val="none"/>
          <w:lang w:val="en-US" w:eastAsia="zh-CN"/>
        </w:rPr>
        <w:t>目采用费率报价模式（报价费率不得超过100%，否则视为无效投标），费率小数点后保留不超过两位小数，如投标人报价为85.356%，小数点后第三位直接舍去，评审时供应商的评标价即为85.35%。单价按1.2元/平方米计，最终结算时按1.2元/平方米乘以中标费率乘以不动产权测绘报告面积得出结算费用。最终结算费用不得超过项目概算62万元（按照单价及测绘报告面积计算得出的费用超出62万元部分视为给予甲方优惠），需投标人自行判断其中存在风险。</w:t>
      </w:r>
    </w:p>
    <w:p w14:paraId="0CD80BD0">
      <w:pPr>
        <w:keepNext w:val="0"/>
        <w:keepLines w:val="0"/>
        <w:pageBreakBefore w:val="0"/>
        <w:widowControl/>
        <w:numPr>
          <w:ilvl w:val="0"/>
          <w:numId w:val="0"/>
        </w:numPr>
        <w:tabs>
          <w:tab w:val="left" w:pos="1406"/>
        </w:tabs>
        <w:kinsoku/>
        <w:wordWrap/>
        <w:overflowPunct/>
        <w:topLinePunct w:val="0"/>
        <w:autoSpaceDE/>
        <w:autoSpaceDN/>
        <w:bidi w:val="0"/>
        <w:adjustRightInd/>
        <w:snapToGrid w:val="0"/>
        <w:spacing w:line="360" w:lineRule="auto"/>
        <w:ind w:firstLine="480" w:firstLineChars="200"/>
        <w:textAlignment w:val="auto"/>
      </w:pPr>
      <w:r>
        <w:rPr>
          <w:rFonts w:hint="eastAsia" w:ascii="仿宋" w:hAnsi="仿宋" w:eastAsia="仿宋" w:cs="仿宋"/>
          <w:sz w:val="24"/>
          <w:lang w:val="en-US" w:eastAsia="zh-CN"/>
        </w:rPr>
        <w:t>2.投标人的报价包含为采购人进行房产测绘以及协助办理不动产权证产生的所有费用。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6A33C"/>
    <w:multiLevelType w:val="singleLevel"/>
    <w:tmpl w:val="B296A33C"/>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158D1"/>
    <w:rsid w:val="3F315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2 Char Char"/>
    <w:qFormat/>
    <w:uiPriority w:val="0"/>
    <w:rPr>
      <w:rFonts w:ascii="Arial" w:hAnsi="Arial" w:eastAsia="黑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2025-07-28T04:16:00Z</dcterms:created>
  <dc:creator>校对-王兆峰</dc:creator>
  <cp:lastModifiedBy>校对-王兆峰</cp:lastModifiedBy>
  <dcterms:modified xsi:type="dcterms:W3CDTF">2025-07-28T04:16:48Z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2B44E0285A944B598AF2FC814B4A2A80_11</vt:lpwstr>
  </property>
  <property fmtid="{D5CDD505-2E9C-101B-9397-08002B2CF9AE}" pid="4" name="KSOTemplateDocerSaveRecord">
    <vt:lpwstr>eyJoZGlkIjoiMTNkOTgwYzRiMTU0NDFjYzdlMGY4NDI2MTRmM2NjMTUiLCJ1c2VySWQiOiIzOTY0MDU5NzUifQ==</vt:lpwstr>
  </property>
</Properties>
</file>