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752D1">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2F05AA29">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C229A9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5C49DC25">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1.2 标注▲为核心产品，核心产品的名称、品牌、规格型号、数量、单价等将予以公布。</w:t>
      </w:r>
    </w:p>
    <w:p w14:paraId="4832262B">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2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342E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0D1CA23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613B1DBE">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42E4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1403E15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noWrap w:val="0"/>
            <w:vAlign w:val="top"/>
          </w:tcPr>
          <w:p w14:paraId="65C245A3">
            <w:pPr>
              <w:wordWrap w:val="0"/>
              <w:spacing w:line="360" w:lineRule="auto"/>
              <w:jc w:val="center"/>
              <w:rPr>
                <w:rFonts w:hint="eastAsia" w:ascii="仿宋" w:hAnsi="仿宋" w:eastAsia="仿宋" w:cs="仿宋"/>
                <w:b/>
                <w:color w:val="000000"/>
                <w:sz w:val="24"/>
              </w:rPr>
            </w:pPr>
            <w:r>
              <w:rPr>
                <w:rFonts w:hint="eastAsia" w:ascii="仿宋" w:hAnsi="仿宋" w:eastAsia="仿宋" w:cs="仿宋"/>
                <w:b/>
                <w:bCs/>
                <w:kern w:val="0"/>
                <w:sz w:val="24"/>
              </w:rPr>
              <w:t>交货安装期</w:t>
            </w:r>
          </w:p>
        </w:tc>
        <w:tc>
          <w:tcPr>
            <w:tcW w:w="7216" w:type="dxa"/>
            <w:noWrap w:val="0"/>
            <w:vAlign w:val="top"/>
          </w:tcPr>
          <w:p w14:paraId="36805C0E">
            <w:pPr>
              <w:widowControl/>
              <w:adjustRightInd w:val="0"/>
              <w:snapToGrid w:val="0"/>
              <w:spacing w:line="360" w:lineRule="auto"/>
              <w:rPr>
                <w:rFonts w:hint="eastAsia" w:ascii="仿宋" w:hAnsi="仿宋" w:eastAsia="仿宋" w:cs="仿宋"/>
                <w:b/>
                <w:color w:val="000000"/>
                <w:sz w:val="24"/>
              </w:rPr>
            </w:pPr>
            <w:r>
              <w:rPr>
                <w:rFonts w:hint="eastAsia" w:ascii="仿宋" w:hAnsi="仿宋" w:eastAsia="仿宋" w:cs="仿宋"/>
                <w:b/>
                <w:bCs/>
                <w:kern w:val="0"/>
                <w:sz w:val="24"/>
              </w:rPr>
              <w:t xml:space="preserve">合同签订生效后，接采购人通知后60 个日历天内完成交货、安装。   </w:t>
            </w:r>
          </w:p>
        </w:tc>
      </w:tr>
      <w:tr w14:paraId="283C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11" w:type="dxa"/>
            <w:noWrap w:val="0"/>
            <w:vAlign w:val="center"/>
          </w:tcPr>
          <w:p w14:paraId="511BE5D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noWrap w:val="0"/>
            <w:vAlign w:val="top"/>
          </w:tcPr>
          <w:p w14:paraId="300E5647">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供货地点</w:t>
            </w:r>
          </w:p>
        </w:tc>
        <w:tc>
          <w:tcPr>
            <w:tcW w:w="7216" w:type="dxa"/>
            <w:noWrap w:val="0"/>
            <w:vAlign w:val="top"/>
          </w:tcPr>
          <w:p w14:paraId="5E3525EA">
            <w:pPr>
              <w:pStyle w:val="18"/>
              <w:spacing w:before="0" w:beforeAutospacing="0" w:after="0" w:afterAutospacing="0" w:line="360" w:lineRule="auto"/>
              <w:rPr>
                <w:rFonts w:hint="eastAsia" w:ascii="仿宋" w:hAnsi="仿宋" w:eastAsia="仿宋" w:cs="仿宋"/>
                <w:b/>
                <w:bCs/>
              </w:rPr>
            </w:pPr>
            <w:r>
              <w:rPr>
                <w:rFonts w:hint="eastAsia" w:ascii="仿宋" w:hAnsi="仿宋" w:eastAsia="仿宋" w:cs="仿宋"/>
                <w:b/>
                <w:bCs/>
                <w:color w:val="auto"/>
              </w:rPr>
              <w:t>上海市第六人民医院安徽医院药剂楼</w:t>
            </w:r>
          </w:p>
        </w:tc>
      </w:tr>
      <w:tr w14:paraId="0829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814691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noWrap w:val="0"/>
            <w:vAlign w:val="top"/>
          </w:tcPr>
          <w:p w14:paraId="6C66C656">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质量要求</w:t>
            </w:r>
          </w:p>
        </w:tc>
        <w:tc>
          <w:tcPr>
            <w:tcW w:w="7216" w:type="dxa"/>
            <w:noWrap w:val="0"/>
            <w:vAlign w:val="center"/>
          </w:tcPr>
          <w:p w14:paraId="6B5BB5E8">
            <w:pPr>
              <w:widowControl/>
              <w:adjustRightInd w:val="0"/>
              <w:snapToGrid w:val="0"/>
              <w:spacing w:line="360" w:lineRule="auto"/>
              <w:jc w:val="left"/>
              <w:rPr>
                <w:rFonts w:hint="eastAsia" w:ascii="仿宋" w:hAnsi="仿宋" w:eastAsia="仿宋" w:cs="仿宋"/>
                <w:b/>
                <w:bCs/>
              </w:rPr>
            </w:pPr>
            <w:r>
              <w:rPr>
                <w:rFonts w:hint="eastAsia" w:ascii="仿宋" w:hAnsi="仿宋" w:eastAsia="仿宋" w:cs="仿宋"/>
                <w:b/>
                <w:bCs/>
                <w:kern w:val="0"/>
                <w:sz w:val="24"/>
              </w:rPr>
              <w:t>合格</w:t>
            </w:r>
          </w:p>
        </w:tc>
      </w:tr>
      <w:tr w14:paraId="6630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1D0122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529" w:type="dxa"/>
            <w:noWrap w:val="0"/>
            <w:vAlign w:val="top"/>
          </w:tcPr>
          <w:p w14:paraId="7A2CA6EC">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质保期</w:t>
            </w:r>
          </w:p>
        </w:tc>
        <w:tc>
          <w:tcPr>
            <w:tcW w:w="7216" w:type="dxa"/>
            <w:noWrap w:val="0"/>
            <w:vAlign w:val="center"/>
          </w:tcPr>
          <w:p w14:paraId="352AE96E">
            <w:pPr>
              <w:widowControl/>
              <w:adjustRightInd w:val="0"/>
              <w:snapToGrid w:val="0"/>
              <w:spacing w:line="360" w:lineRule="auto"/>
              <w:rPr>
                <w:rFonts w:hint="eastAsia" w:ascii="仿宋" w:hAnsi="仿宋" w:eastAsia="仿宋" w:cs="仿宋"/>
                <w:b/>
                <w:bCs/>
              </w:rPr>
            </w:pPr>
            <w:r>
              <w:rPr>
                <w:rFonts w:hint="eastAsia" w:ascii="仿宋" w:hAnsi="仿宋" w:eastAsia="仿宋" w:cs="仿宋"/>
                <w:b/>
                <w:bCs/>
                <w:kern w:val="0"/>
                <w:sz w:val="24"/>
              </w:rPr>
              <w:t xml:space="preserve">质量保证期：自验收合格之日起整体原厂质保不少于60个月。  </w:t>
            </w:r>
          </w:p>
        </w:tc>
      </w:tr>
      <w:tr w14:paraId="19DA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118B84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5</w:t>
            </w:r>
          </w:p>
        </w:tc>
        <w:tc>
          <w:tcPr>
            <w:tcW w:w="1529" w:type="dxa"/>
            <w:noWrap w:val="0"/>
            <w:vAlign w:val="top"/>
          </w:tcPr>
          <w:p w14:paraId="6F567A83">
            <w:pPr>
              <w:wordWrap w:val="0"/>
              <w:spacing w:line="360" w:lineRule="auto"/>
              <w:jc w:val="center"/>
              <w:rPr>
                <w:rFonts w:ascii="仿宋" w:hAnsi="仿宋" w:eastAsia="仿宋" w:cs="仿宋"/>
                <w:b/>
                <w:bCs/>
                <w:color w:val="000000"/>
                <w:sz w:val="24"/>
              </w:rPr>
            </w:pPr>
            <w:r>
              <w:rPr>
                <w:rFonts w:hint="eastAsia" w:ascii="仿宋" w:hAnsi="仿宋" w:eastAsia="仿宋" w:cs="仿宋"/>
                <w:b/>
                <w:bCs/>
                <w:kern w:val="0"/>
                <w:sz w:val="24"/>
              </w:rPr>
              <w:t>付款方式</w:t>
            </w:r>
          </w:p>
        </w:tc>
        <w:tc>
          <w:tcPr>
            <w:tcW w:w="7216" w:type="dxa"/>
            <w:noWrap w:val="0"/>
            <w:vAlign w:val="top"/>
          </w:tcPr>
          <w:p w14:paraId="0615A91C">
            <w:pPr>
              <w:widowControl/>
              <w:adjustRightInd w:val="0"/>
              <w:snapToGrid w:val="0"/>
              <w:spacing w:line="360" w:lineRule="auto"/>
              <w:rPr>
                <w:rFonts w:hint="eastAsia" w:ascii="仿宋" w:hAnsi="仿宋" w:eastAsia="仿宋" w:cs="仿宋"/>
                <w:b/>
                <w:bCs/>
              </w:rPr>
            </w:pPr>
            <w:r>
              <w:rPr>
                <w:rFonts w:hint="eastAsia" w:ascii="仿宋" w:hAnsi="仿宋" w:eastAsia="仿宋" w:cs="仿宋"/>
                <w:b/>
                <w:bCs/>
                <w:kern w:val="0"/>
                <w:sz w:val="24"/>
              </w:rPr>
              <w:t>合同签订生效后，货到安装验收合格后，提供产品的使用、操作及维修人员的培训，并能独立操作且使用部门签字确认后，支付全部合同款项。</w:t>
            </w:r>
          </w:p>
        </w:tc>
      </w:tr>
      <w:tr w14:paraId="557D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F76811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8745" w:type="dxa"/>
            <w:gridSpan w:val="2"/>
            <w:noWrap w:val="0"/>
            <w:vAlign w:val="top"/>
          </w:tcPr>
          <w:p w14:paraId="7035FB23">
            <w:pPr>
              <w:pStyle w:val="1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40666516">
            <w:pPr>
              <w:pStyle w:val="1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4C96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67067F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8745" w:type="dxa"/>
            <w:gridSpan w:val="2"/>
            <w:noWrap w:val="0"/>
            <w:vAlign w:val="top"/>
          </w:tcPr>
          <w:p w14:paraId="1A935465">
            <w:pPr>
              <w:pStyle w:val="18"/>
              <w:spacing w:before="0" w:beforeAutospacing="0" w:after="0" w:afterAutospacing="0" w:line="360" w:lineRule="auto"/>
              <w:rPr>
                <w:rFonts w:hint="eastAsia" w:ascii="仿宋" w:hAnsi="仿宋" w:eastAsia="仿宋" w:cs="仿宋"/>
                <w:b/>
                <w:bCs/>
                <w:color w:val="FF0000"/>
                <w:lang w:bidi="ar"/>
              </w:rPr>
            </w:pPr>
            <w:r>
              <w:rPr>
                <w:rFonts w:hint="eastAsia" w:ascii="仿宋" w:hAnsi="仿宋" w:eastAsia="仿宋" w:cs="仿宋"/>
                <w:b/>
                <w:bCs/>
                <w:color w:val="FF0000"/>
                <w:lang w:bidi="ar"/>
              </w:rPr>
              <w:t>本项目04包的特定要</w:t>
            </w:r>
            <w:bookmarkStart w:id="1" w:name="_GoBack"/>
            <w:bookmarkEnd w:id="1"/>
            <w:r>
              <w:rPr>
                <w:rFonts w:hint="eastAsia" w:ascii="仿宋" w:hAnsi="仿宋" w:eastAsia="仿宋" w:cs="仿宋"/>
                <w:b/>
                <w:bCs/>
                <w:color w:val="FF0000"/>
                <w:lang w:bidi="ar"/>
              </w:rPr>
              <w:t>求：</w:t>
            </w:r>
            <w:r>
              <w:rPr>
                <w:rFonts w:hint="eastAsia" w:ascii="仿宋" w:hAnsi="仿宋" w:eastAsia="仿宋" w:cs="仿宋"/>
                <w:b/>
                <w:bCs/>
                <w:color w:val="FF0000"/>
                <w:lang w:bidi="ar"/>
              </w:rPr>
              <w:t>所投多功能提取罐产品制造商须具有有效的压力容器制造D级及以上资质，投标文件中须提供证书影印件。</w:t>
            </w:r>
          </w:p>
        </w:tc>
      </w:tr>
    </w:tbl>
    <w:p w14:paraId="371C05C6">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3274EBDD">
      <w:pPr>
        <w:spacing w:line="360" w:lineRule="auto"/>
        <w:rPr>
          <w:rFonts w:hint="eastAsia" w:ascii="仿宋" w:hAnsi="仿宋" w:eastAsia="仿宋" w:cs="仿宋"/>
          <w:b/>
          <w:sz w:val="24"/>
        </w:rPr>
      </w:pPr>
    </w:p>
    <w:p w14:paraId="7454F755">
      <w:pPr>
        <w:spacing w:line="360" w:lineRule="auto"/>
        <w:rPr>
          <w:rFonts w:hint="eastAsia" w:ascii="仿宋" w:hAnsi="仿宋" w:eastAsia="仿宋" w:cs="仿宋"/>
          <w:b/>
          <w:sz w:val="24"/>
        </w:rPr>
      </w:pPr>
    </w:p>
    <w:p w14:paraId="274D9411">
      <w:pPr>
        <w:spacing w:line="360" w:lineRule="auto"/>
        <w:rPr>
          <w:rFonts w:hint="eastAsia" w:ascii="仿宋" w:hAnsi="仿宋" w:eastAsia="仿宋" w:cs="仿宋"/>
          <w:b/>
          <w:sz w:val="24"/>
        </w:rPr>
      </w:pPr>
    </w:p>
    <w:p w14:paraId="784D68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kern w:val="44"/>
          <w:sz w:val="24"/>
        </w:rPr>
        <w:t>二、项目技术</w:t>
      </w:r>
      <w:r>
        <w:rPr>
          <w:rFonts w:hint="eastAsia" w:ascii="仿宋" w:hAnsi="仿宋" w:eastAsia="仿宋" w:cs="仿宋"/>
          <w:b/>
          <w:bCs/>
          <w:kern w:val="44"/>
          <w:sz w:val="24"/>
          <w:lang w:val="zh-CN"/>
        </w:rPr>
        <w:t>需求：</w:t>
      </w:r>
    </w:p>
    <w:p w14:paraId="5E2884A0">
      <w:pPr>
        <w:pStyle w:val="6"/>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（一）第4包：技术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0D6C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1F0CF05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1410391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0F2F191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629C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3A2EC2F">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7F3AB6E0">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737B8F7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54C2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B8E630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2E670738">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46C5F66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未响应或负偏离，将作为无效标处理</w:t>
            </w:r>
          </w:p>
        </w:tc>
      </w:tr>
      <w:tr w14:paraId="192A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7906617">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AAE7C87">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p w14:paraId="45AAF42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 多功能提取罐</w:t>
      </w:r>
    </w:p>
    <w:p w14:paraId="4F87010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1.1下装气动旋转自锁式出渣门；</w:t>
      </w:r>
    </w:p>
    <w:p w14:paraId="45B0FF72">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1.2主要构成：提取罐，捕沫器,列管式冷凝器，冷却器,冷却收油器（专用油水分离器），快开双联过滤器(100目)；</w:t>
      </w:r>
    </w:p>
    <w:p w14:paraId="4D728E8D">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1.3附件配置：快装进料口/出料口/呼吸口,万向旋转清洗器，防爆视灯/视镜, 温度传感器接口、压力传感器接口,表显温度计、压力表,气动旋转自锁式出渣门DN800,配套60目耐用激光打长孔过滤板,气动控制箱、气动人孔(投料口)DN350及各功能管口等；</w:t>
      </w:r>
    </w:p>
    <w:p w14:paraId="5DA062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1.4设备性能：最大工作容积：1000L和2000L，各1。</w:t>
      </w:r>
    </w:p>
    <w:p w14:paraId="6A6E140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产品2.提取液循环泵</w:t>
      </w:r>
    </w:p>
    <w:p w14:paraId="1D48648F">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2.1流量10T/H，以20℃清水为介质测试。</w:t>
      </w:r>
    </w:p>
    <w:p w14:paraId="7D37BE7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 提取液过滤器</w:t>
      </w:r>
    </w:p>
    <w:p w14:paraId="4768553B">
      <w:pPr>
        <w:widowControl/>
        <w:spacing w:line="360" w:lineRule="auto"/>
        <w:jc w:val="left"/>
        <w:rPr>
          <w:rFonts w:hint="eastAsia" w:ascii="仿宋" w:hAnsi="仿宋" w:cs="仿宋"/>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3.1双联过滤器，100目，过滤面积：≥0.5㎡</w:t>
      </w:r>
      <w:r>
        <w:rPr>
          <w:rFonts w:hint="eastAsia"/>
          <w:b/>
          <w:bCs/>
        </w:rPr>
        <w:t>。</w:t>
      </w:r>
    </w:p>
    <w:p w14:paraId="7C4C3E3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 提取液储罐</w:t>
      </w:r>
    </w:p>
    <w:p w14:paraId="7FB3984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4.1主要构成：快装式进料口、出料口、万向旋转清洗器，快装无菌呼吸器、液位传感器口、玻璃管液位计、快开人孔DN400及其它各功能管口等；</w:t>
      </w:r>
    </w:p>
    <w:p w14:paraId="63697C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4.2设备性能：最大工作容积：2000L和4000L，各1。</w:t>
      </w:r>
    </w:p>
    <w:p w14:paraId="42273BD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产品5电子秤及操作台</w:t>
      </w:r>
    </w:p>
    <w:p w14:paraId="51BAC7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5.1台称0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100kg（精度0.01kg）1台，桌面称0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10kg（精度0.1g，配304操作台）1台，基本功能:清除，累计，去皮，置零，需计量合格，有计量合格证。</w:t>
      </w:r>
    </w:p>
    <w:p w14:paraId="44FA9B9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产品6.单效浓缩器</w:t>
      </w:r>
    </w:p>
    <w:p w14:paraId="0D4A246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6.1主要构成：列管式加热器,保温蒸发室,列管式冷凝器,真空受液罐等；</w:t>
      </w:r>
    </w:p>
    <w:p w14:paraId="06E252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6.2附件配置: 快装进料口,快装出料口,放空口,温度传感器口,真空传感器口,密度计口，防爆视灯/视镜DN100,万向旋转清洗器，快开可视人孔DN400及其它各功能管口等；</w:t>
      </w:r>
    </w:p>
    <w:p w14:paraId="114723F8">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6.3设备性能：清水蒸发量：≥1000kg/h，自控具有在线密度计在线控制及显示密度功能。</w:t>
      </w:r>
    </w:p>
    <w:p w14:paraId="46CC73A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产品7.负压泵</w:t>
      </w:r>
    </w:p>
    <w:p w14:paraId="15C8F2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7.1 功率≥2.2kw，自动排水负压出水泵。</w:t>
      </w:r>
    </w:p>
    <w:p w14:paraId="6CB73EA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产品8.浓缩液储罐</w:t>
      </w:r>
    </w:p>
    <w:p w14:paraId="3534E93E">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8.1主要构成：快装式进料口、出料口、万向旋转清洗器，快装无菌呼吸器、液位传感器口、真空传感器口、快开人孔DN400及其它各功能管口等；</w:t>
      </w:r>
    </w:p>
    <w:p w14:paraId="24CCB2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8.2设备性能：最大工作容积500L。</w:t>
      </w:r>
    </w:p>
    <w:p w14:paraId="23AF545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产品9.球形刮板浓缩器</w:t>
      </w:r>
    </w:p>
    <w:p w14:paraId="577E25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9.1主要构成：包括蒸发室,汽液分离器,列管式冷凝冷却器,受液罐等，附件配置:进料口,出料口,放空口,表显温度计,表显真空表,防爆视灯/视镜DN100,万向旋转清洗器，快开可视人孔DN400及其它各功能管口等；</w:t>
      </w:r>
    </w:p>
    <w:p w14:paraId="514CC533">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9.2设备性能：最大工作容积：500L，自控具有在线密度计在线控制及显示密度功能。</w:t>
      </w:r>
    </w:p>
    <w:p w14:paraId="20ACE78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产品10 .移动收膏罐</w:t>
      </w:r>
    </w:p>
    <w:p w14:paraId="0CDDE3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 手推移动式，带刹车，容积≥100L，板式液位计，常压，配呼吸器，人孔</w:t>
      </w:r>
    </w:p>
    <w:p w14:paraId="0744EE3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产品11.可倾式反应锅</w:t>
      </w:r>
    </w:p>
    <w:p w14:paraId="1EF7819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立式、锅体180度可倾，带锚式机械搅拌、夹套保温，上平盖,下半球形封头。附件配置：机搅拌搅1套（防爆电机减速机1.5kw，30rpm，配套锚式搅拌器），上平盖、不锈钢支脚、配手动涡轮蜗杆锅体旋转装置，保温及各功能管口等；</w:t>
      </w:r>
    </w:p>
    <w:p w14:paraId="22A519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11.2最大工作容积：200L。</w:t>
      </w:r>
    </w:p>
    <w:p w14:paraId="337B528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产品12.真空系统</w:t>
      </w:r>
    </w:p>
    <w:p w14:paraId="2963DD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 包括真空管路等辅助实施（与已有负压设备接驳）</w:t>
      </w:r>
    </w:p>
    <w:p w14:paraId="642000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1：真空泵2台（1用1备、功率7.5kw，泵头、叶轮304不锈钢），2：304真空缓冲罐500L、304水箱300L及换热器10M2等各1台，极限真空度：-0.097Mpa</w:t>
      </w:r>
    </w:p>
    <w:p w14:paraId="7262956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产品13.冷却水系统</w:t>
      </w:r>
    </w:p>
    <w:p w14:paraId="7DD6A7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13.1 包括：1.方型横流冷却塔150T/h一台，下接水槽采用304材质，高温PP填料，风机功率3kw；2.冷却水输送泵两台（125T/h，1用1备）：扬程≥24米，配套止回阀，软接头等必要组件。</w:t>
      </w:r>
    </w:p>
    <w:p w14:paraId="23611A85">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产品14.提取车间钢平台</w:t>
      </w:r>
    </w:p>
    <w:p w14:paraId="11DD7C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 平台面积≥35M</w:t>
      </w:r>
      <w:r>
        <w:rPr>
          <w:rFonts w:hint="eastAsia" w:ascii="仿宋" w:hAnsi="仿宋" w:eastAsia="仿宋" w:cs="仿宋"/>
          <w:color w:val="000000"/>
          <w:kern w:val="0"/>
          <w:sz w:val="24"/>
          <w:vertAlign w:val="superscript"/>
          <w:lang w:bidi="ar"/>
        </w:rPr>
        <w:t>2</w:t>
      </w:r>
      <w:r>
        <w:rPr>
          <w:rFonts w:hint="eastAsia" w:ascii="仿宋" w:hAnsi="仿宋" w:eastAsia="仿宋" w:cs="仿宋"/>
          <w:color w:val="000000"/>
          <w:kern w:val="0"/>
          <w:sz w:val="24"/>
          <w:lang w:bidi="ar"/>
        </w:rPr>
        <w:t>，安装2台提取罐，整体材质304，配套楼梯，护拦，承重、安全符合设计要求。</w:t>
      </w:r>
    </w:p>
    <w:p w14:paraId="26E68B0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产品15.提取罐接渣仓</w:t>
      </w:r>
    </w:p>
    <w:p w14:paraId="1C6948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15.1可以储存≥3.5立方药渣；</w:t>
      </w:r>
    </w:p>
    <w:p w14:paraId="585E6A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15.2配套螺杆输送机和挤压装置，可以挤渣及输送药渣；</w:t>
      </w:r>
    </w:p>
    <w:p w14:paraId="01C10DE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15.3接渣后用螺杆输送机将药渣输送到高位到运渣车上；</w:t>
      </w:r>
    </w:p>
    <w:p w14:paraId="33FE7AC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15.4材质304不锈钢。</w:t>
      </w:r>
    </w:p>
    <w:p w14:paraId="28563B1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产品16.运渣车</w:t>
      </w:r>
    </w:p>
    <w:p w14:paraId="4DF037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16.1按设计要求，配套自卸式运渣车，用于渣仓出料的药渣院内运输使用。</w:t>
      </w:r>
    </w:p>
    <w:p w14:paraId="6A44EF4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▲产品17.提取浓缩设备自控系统</w:t>
      </w:r>
    </w:p>
    <w:p w14:paraId="0C1D2217">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17.1本生产线采用中控室全自动控制，设备所有阀门仪表采用全自控仪表、阀门；自控时无须人工现场手动操作即可按设置的参数全自动运行。同时具有电脑手动操作点动功能；</w:t>
      </w:r>
    </w:p>
    <w:p w14:paraId="3B8F9C19">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17.2设备具有参数设置、实时显示在线显示大屏，具有错误报警提醒功能、安全联锁功等功能；</w:t>
      </w:r>
    </w:p>
    <w:p w14:paraId="1475FA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17.3生产状态及批号等信息、生产记录存储及打印功能，配有工程师站及操作站各1台，配套A4打印机1台，配套3工位的电脑操作台1套及3把座椅；</w:t>
      </w:r>
    </w:p>
    <w:p w14:paraId="4C53C2B2">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17.4控制系统具有≥3级权限分级管理功能。</w:t>
      </w:r>
    </w:p>
    <w:p w14:paraId="6F2DA471">
      <w:pPr>
        <w:widowControl/>
        <w:spacing w:line="360" w:lineRule="auto"/>
        <w:jc w:val="left"/>
        <w:rPr>
          <w:rFonts w:hint="eastAsia" w:ascii="仿宋" w:hAnsi="仿宋" w:eastAsia="仿宋" w:cs="仿宋"/>
          <w:color w:val="000000"/>
          <w:kern w:val="0"/>
          <w:sz w:val="24"/>
          <w:lang w:bidi="ar"/>
        </w:rPr>
      </w:pPr>
    </w:p>
    <w:p w14:paraId="771EECD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三、本包商务条款要求</w:t>
      </w:r>
    </w:p>
    <w:p w14:paraId="66028D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1.本项目为包含设备到货、安装、调试、验证、验收的交钥匙工程，除以上技术要求包含内容外，涉及但各种管道安装、调试、验证所需的辅材费、配件费、人工费、保险费等，所需费用包含在投标总报价中。</w:t>
      </w:r>
    </w:p>
    <w:p w14:paraId="364D317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2.培训2-4名操作员工及简单故障维修员工。</w:t>
      </w:r>
    </w:p>
    <w:p w14:paraId="2EC0099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3.整套生产线免费保修年限≥5年，质保期内提供系统升级维护，所需费用包含在投标总报价中。</w:t>
      </w:r>
    </w:p>
    <w:p w14:paraId="2E91563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4.维修响应时间：≤2小时内提供响应服务。24小时到达现场。</w:t>
      </w:r>
    </w:p>
    <w:p w14:paraId="78A63E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5、投标人需自行踏勘现场，踏勘联系人：18810913031，如中标后因未踏勘产生的相关责任，自行负责，踏勘费用包含在投标总价中。</w:t>
      </w:r>
    </w:p>
    <w:p w14:paraId="7C4B10E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6、产品配置要求</w:t>
      </w:r>
    </w:p>
    <w:tbl>
      <w:tblPr>
        <w:tblStyle w:val="20"/>
        <w:tblW w:w="98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6178"/>
        <w:gridCol w:w="1223"/>
        <w:gridCol w:w="1224"/>
      </w:tblGrid>
      <w:tr w14:paraId="724D4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1223" w:type="dxa"/>
            <w:noWrap w:val="0"/>
            <w:vAlign w:val="center"/>
          </w:tcPr>
          <w:p w14:paraId="3ADE328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6178" w:type="dxa"/>
            <w:noWrap w:val="0"/>
            <w:vAlign w:val="center"/>
          </w:tcPr>
          <w:p w14:paraId="6ECC97D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产品名称</w:t>
            </w:r>
          </w:p>
        </w:tc>
        <w:tc>
          <w:tcPr>
            <w:tcW w:w="1223" w:type="dxa"/>
            <w:noWrap w:val="0"/>
            <w:vAlign w:val="center"/>
          </w:tcPr>
          <w:p w14:paraId="3C19108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单位</w:t>
            </w:r>
          </w:p>
        </w:tc>
        <w:tc>
          <w:tcPr>
            <w:tcW w:w="1224" w:type="dxa"/>
            <w:noWrap w:val="0"/>
            <w:vAlign w:val="center"/>
          </w:tcPr>
          <w:p w14:paraId="029E96A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r>
      <w:tr w14:paraId="25ECB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restart"/>
            <w:noWrap w:val="0"/>
            <w:vAlign w:val="center"/>
          </w:tcPr>
          <w:p w14:paraId="53182E0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6178" w:type="dxa"/>
            <w:noWrap w:val="0"/>
            <w:vAlign w:val="center"/>
          </w:tcPr>
          <w:p w14:paraId="2194EAD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多功能提取罐（1000L）</w:t>
            </w:r>
          </w:p>
        </w:tc>
        <w:tc>
          <w:tcPr>
            <w:tcW w:w="1223" w:type="dxa"/>
            <w:noWrap w:val="0"/>
            <w:vAlign w:val="center"/>
          </w:tcPr>
          <w:p w14:paraId="6C67F1B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49FBBF0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AC91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continue"/>
            <w:noWrap w:val="0"/>
            <w:vAlign w:val="center"/>
          </w:tcPr>
          <w:p w14:paraId="114B6AB8">
            <w:pPr>
              <w:widowControl/>
              <w:spacing w:line="360" w:lineRule="auto"/>
              <w:jc w:val="left"/>
              <w:rPr>
                <w:rFonts w:hint="eastAsia" w:ascii="仿宋" w:hAnsi="仿宋" w:eastAsia="仿宋" w:cs="仿宋"/>
                <w:b/>
                <w:bCs/>
                <w:color w:val="000000"/>
                <w:kern w:val="0"/>
                <w:sz w:val="24"/>
                <w:lang w:bidi="ar"/>
              </w:rPr>
            </w:pPr>
          </w:p>
        </w:tc>
        <w:tc>
          <w:tcPr>
            <w:tcW w:w="6178" w:type="dxa"/>
            <w:noWrap w:val="0"/>
            <w:vAlign w:val="center"/>
          </w:tcPr>
          <w:p w14:paraId="517E777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多功能提取罐（2000L）</w:t>
            </w:r>
          </w:p>
        </w:tc>
        <w:tc>
          <w:tcPr>
            <w:tcW w:w="1223" w:type="dxa"/>
            <w:noWrap w:val="0"/>
            <w:vAlign w:val="center"/>
          </w:tcPr>
          <w:p w14:paraId="5F5FC23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3CDC613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561DE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21EF215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6178" w:type="dxa"/>
            <w:noWrap w:val="0"/>
            <w:vAlign w:val="center"/>
          </w:tcPr>
          <w:p w14:paraId="6C9CE74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提取液循环泵</w:t>
            </w:r>
          </w:p>
        </w:tc>
        <w:tc>
          <w:tcPr>
            <w:tcW w:w="1223" w:type="dxa"/>
            <w:noWrap w:val="0"/>
            <w:vAlign w:val="center"/>
          </w:tcPr>
          <w:p w14:paraId="2680952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23864FE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6759C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01471CE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w:t>
            </w:r>
          </w:p>
        </w:tc>
        <w:tc>
          <w:tcPr>
            <w:tcW w:w="6178" w:type="dxa"/>
            <w:noWrap w:val="0"/>
            <w:vAlign w:val="center"/>
          </w:tcPr>
          <w:p w14:paraId="603DD55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提取液过滤器</w:t>
            </w:r>
          </w:p>
        </w:tc>
        <w:tc>
          <w:tcPr>
            <w:tcW w:w="1223" w:type="dxa"/>
            <w:noWrap w:val="0"/>
            <w:vAlign w:val="center"/>
          </w:tcPr>
          <w:p w14:paraId="0F726BC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77DC239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2DAEB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restart"/>
            <w:noWrap w:val="0"/>
            <w:vAlign w:val="center"/>
          </w:tcPr>
          <w:p w14:paraId="2904D20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w:t>
            </w:r>
          </w:p>
        </w:tc>
        <w:tc>
          <w:tcPr>
            <w:tcW w:w="6178" w:type="dxa"/>
            <w:noWrap w:val="0"/>
            <w:vAlign w:val="center"/>
          </w:tcPr>
          <w:p w14:paraId="6DB8E3E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提取液储罐（2000L）</w:t>
            </w:r>
          </w:p>
        </w:tc>
        <w:tc>
          <w:tcPr>
            <w:tcW w:w="1223" w:type="dxa"/>
            <w:noWrap w:val="0"/>
            <w:vAlign w:val="center"/>
          </w:tcPr>
          <w:p w14:paraId="7E96BBA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527EEF9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02B4D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continue"/>
            <w:noWrap w:val="0"/>
            <w:vAlign w:val="center"/>
          </w:tcPr>
          <w:p w14:paraId="182941A8">
            <w:pPr>
              <w:widowControl/>
              <w:spacing w:line="360" w:lineRule="auto"/>
              <w:jc w:val="left"/>
              <w:rPr>
                <w:rFonts w:hint="eastAsia" w:ascii="仿宋" w:hAnsi="仿宋" w:eastAsia="仿宋" w:cs="仿宋"/>
                <w:b/>
                <w:bCs/>
                <w:color w:val="000000"/>
                <w:kern w:val="0"/>
                <w:sz w:val="24"/>
                <w:lang w:bidi="ar"/>
              </w:rPr>
            </w:pPr>
          </w:p>
        </w:tc>
        <w:tc>
          <w:tcPr>
            <w:tcW w:w="6178" w:type="dxa"/>
            <w:noWrap w:val="0"/>
            <w:vAlign w:val="center"/>
          </w:tcPr>
          <w:p w14:paraId="09B92BC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提取液储罐（4000L）</w:t>
            </w:r>
          </w:p>
        </w:tc>
        <w:tc>
          <w:tcPr>
            <w:tcW w:w="1223" w:type="dxa"/>
            <w:noWrap w:val="0"/>
            <w:vAlign w:val="center"/>
          </w:tcPr>
          <w:p w14:paraId="6E02EBB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20450F1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D9C8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restart"/>
            <w:noWrap w:val="0"/>
            <w:vAlign w:val="center"/>
          </w:tcPr>
          <w:p w14:paraId="0B41FEE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w:t>
            </w:r>
          </w:p>
        </w:tc>
        <w:tc>
          <w:tcPr>
            <w:tcW w:w="6178" w:type="dxa"/>
            <w:noWrap w:val="0"/>
            <w:vAlign w:val="center"/>
          </w:tcPr>
          <w:p w14:paraId="75699CD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电子秤（0-100kg）</w:t>
            </w:r>
          </w:p>
        </w:tc>
        <w:tc>
          <w:tcPr>
            <w:tcW w:w="1223" w:type="dxa"/>
            <w:noWrap w:val="0"/>
            <w:vAlign w:val="center"/>
          </w:tcPr>
          <w:p w14:paraId="6404ADF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1949CDE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A592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continue"/>
            <w:noWrap w:val="0"/>
            <w:vAlign w:val="center"/>
          </w:tcPr>
          <w:p w14:paraId="02F8E128">
            <w:pPr>
              <w:widowControl/>
              <w:spacing w:line="360" w:lineRule="auto"/>
              <w:jc w:val="left"/>
              <w:rPr>
                <w:rFonts w:hint="eastAsia" w:ascii="仿宋" w:hAnsi="仿宋" w:eastAsia="仿宋" w:cs="仿宋"/>
                <w:b/>
                <w:bCs/>
                <w:color w:val="000000"/>
                <w:kern w:val="0"/>
                <w:sz w:val="24"/>
                <w:lang w:bidi="ar"/>
              </w:rPr>
            </w:pPr>
          </w:p>
        </w:tc>
        <w:tc>
          <w:tcPr>
            <w:tcW w:w="6178" w:type="dxa"/>
            <w:noWrap w:val="0"/>
            <w:vAlign w:val="center"/>
          </w:tcPr>
          <w:p w14:paraId="2426841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电子秤（0-10kg）及操作台</w:t>
            </w:r>
          </w:p>
        </w:tc>
        <w:tc>
          <w:tcPr>
            <w:tcW w:w="1223" w:type="dxa"/>
            <w:noWrap w:val="0"/>
            <w:vAlign w:val="center"/>
          </w:tcPr>
          <w:p w14:paraId="6D5FFB4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245719A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5AC5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51E6AC6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w:t>
            </w:r>
          </w:p>
        </w:tc>
        <w:tc>
          <w:tcPr>
            <w:tcW w:w="6178" w:type="dxa"/>
            <w:noWrap w:val="0"/>
            <w:vAlign w:val="center"/>
          </w:tcPr>
          <w:p w14:paraId="7E19CE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单效浓缩器</w:t>
            </w:r>
          </w:p>
        </w:tc>
        <w:tc>
          <w:tcPr>
            <w:tcW w:w="1223" w:type="dxa"/>
            <w:noWrap w:val="0"/>
            <w:vAlign w:val="center"/>
          </w:tcPr>
          <w:p w14:paraId="3623C84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183EBD7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5D76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75AA8B7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w:t>
            </w:r>
          </w:p>
        </w:tc>
        <w:tc>
          <w:tcPr>
            <w:tcW w:w="6178" w:type="dxa"/>
            <w:noWrap w:val="0"/>
            <w:vAlign w:val="center"/>
          </w:tcPr>
          <w:p w14:paraId="6DDE26B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负压泵</w:t>
            </w:r>
          </w:p>
        </w:tc>
        <w:tc>
          <w:tcPr>
            <w:tcW w:w="1223" w:type="dxa"/>
            <w:noWrap w:val="0"/>
            <w:vAlign w:val="center"/>
          </w:tcPr>
          <w:p w14:paraId="0F22A44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16AC81D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6BF6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50346E9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w:t>
            </w:r>
          </w:p>
        </w:tc>
        <w:tc>
          <w:tcPr>
            <w:tcW w:w="6178" w:type="dxa"/>
            <w:noWrap w:val="0"/>
            <w:vAlign w:val="center"/>
          </w:tcPr>
          <w:p w14:paraId="22CEAD7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浓缩液储罐</w:t>
            </w:r>
          </w:p>
        </w:tc>
        <w:tc>
          <w:tcPr>
            <w:tcW w:w="1223" w:type="dxa"/>
            <w:noWrap w:val="0"/>
            <w:vAlign w:val="center"/>
          </w:tcPr>
          <w:p w14:paraId="0520213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02F977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D84D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32D16E7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w:t>
            </w:r>
          </w:p>
        </w:tc>
        <w:tc>
          <w:tcPr>
            <w:tcW w:w="6178" w:type="dxa"/>
            <w:noWrap w:val="0"/>
            <w:vAlign w:val="center"/>
          </w:tcPr>
          <w:p w14:paraId="01984AD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球形刮板浓缩器</w:t>
            </w:r>
          </w:p>
        </w:tc>
        <w:tc>
          <w:tcPr>
            <w:tcW w:w="1223" w:type="dxa"/>
            <w:noWrap w:val="0"/>
            <w:vAlign w:val="center"/>
          </w:tcPr>
          <w:p w14:paraId="6D06C07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534ABA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1EBD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1862013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10</w:t>
            </w:r>
          </w:p>
        </w:tc>
        <w:tc>
          <w:tcPr>
            <w:tcW w:w="6178" w:type="dxa"/>
            <w:noWrap w:val="0"/>
            <w:vAlign w:val="center"/>
          </w:tcPr>
          <w:p w14:paraId="629148D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移动收膏罐</w:t>
            </w:r>
          </w:p>
        </w:tc>
        <w:tc>
          <w:tcPr>
            <w:tcW w:w="1223" w:type="dxa"/>
            <w:noWrap w:val="0"/>
            <w:vAlign w:val="center"/>
          </w:tcPr>
          <w:p w14:paraId="7861F84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0114773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81A0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21459B2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11</w:t>
            </w:r>
          </w:p>
        </w:tc>
        <w:tc>
          <w:tcPr>
            <w:tcW w:w="6178" w:type="dxa"/>
            <w:noWrap w:val="0"/>
            <w:vAlign w:val="center"/>
          </w:tcPr>
          <w:p w14:paraId="033A38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可倾式反应锅</w:t>
            </w:r>
          </w:p>
        </w:tc>
        <w:tc>
          <w:tcPr>
            <w:tcW w:w="1223" w:type="dxa"/>
            <w:noWrap w:val="0"/>
            <w:vAlign w:val="center"/>
          </w:tcPr>
          <w:p w14:paraId="2088DBC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63DCCFF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6A2F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47DB97F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12</w:t>
            </w:r>
          </w:p>
        </w:tc>
        <w:tc>
          <w:tcPr>
            <w:tcW w:w="6178" w:type="dxa"/>
            <w:noWrap w:val="0"/>
            <w:vAlign w:val="center"/>
          </w:tcPr>
          <w:p w14:paraId="5DB12F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真空系统</w:t>
            </w:r>
          </w:p>
        </w:tc>
        <w:tc>
          <w:tcPr>
            <w:tcW w:w="1223" w:type="dxa"/>
            <w:noWrap w:val="0"/>
            <w:vAlign w:val="center"/>
          </w:tcPr>
          <w:p w14:paraId="44DEF8A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224" w:type="dxa"/>
            <w:noWrap w:val="0"/>
            <w:vAlign w:val="center"/>
          </w:tcPr>
          <w:p w14:paraId="6030380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AB55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6F1F28E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13</w:t>
            </w:r>
          </w:p>
        </w:tc>
        <w:tc>
          <w:tcPr>
            <w:tcW w:w="6178" w:type="dxa"/>
            <w:noWrap w:val="0"/>
            <w:vAlign w:val="center"/>
          </w:tcPr>
          <w:p w14:paraId="4F6A9D4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冷却水系统</w:t>
            </w:r>
          </w:p>
        </w:tc>
        <w:tc>
          <w:tcPr>
            <w:tcW w:w="1223" w:type="dxa"/>
            <w:noWrap w:val="0"/>
            <w:vAlign w:val="center"/>
          </w:tcPr>
          <w:p w14:paraId="1DB91D9A">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224" w:type="dxa"/>
            <w:noWrap w:val="0"/>
            <w:vAlign w:val="center"/>
          </w:tcPr>
          <w:p w14:paraId="2BF8381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0652D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54A2D68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14</w:t>
            </w:r>
          </w:p>
        </w:tc>
        <w:tc>
          <w:tcPr>
            <w:tcW w:w="6178" w:type="dxa"/>
            <w:noWrap w:val="0"/>
            <w:vAlign w:val="center"/>
          </w:tcPr>
          <w:p w14:paraId="366910D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提取车间钢平台</w:t>
            </w:r>
          </w:p>
        </w:tc>
        <w:tc>
          <w:tcPr>
            <w:tcW w:w="1223" w:type="dxa"/>
            <w:noWrap w:val="0"/>
            <w:vAlign w:val="center"/>
          </w:tcPr>
          <w:p w14:paraId="4F1CD35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1ADD96A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BE02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153D50F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15</w:t>
            </w:r>
          </w:p>
        </w:tc>
        <w:tc>
          <w:tcPr>
            <w:tcW w:w="6178" w:type="dxa"/>
            <w:noWrap w:val="0"/>
            <w:vAlign w:val="center"/>
          </w:tcPr>
          <w:p w14:paraId="0BABDB5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提取罐接渣仓</w:t>
            </w:r>
          </w:p>
        </w:tc>
        <w:tc>
          <w:tcPr>
            <w:tcW w:w="1223" w:type="dxa"/>
            <w:noWrap w:val="0"/>
            <w:vAlign w:val="center"/>
          </w:tcPr>
          <w:p w14:paraId="51D0E31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45EE6A8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C2EB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0751C9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16</w:t>
            </w:r>
          </w:p>
        </w:tc>
        <w:tc>
          <w:tcPr>
            <w:tcW w:w="6178" w:type="dxa"/>
            <w:noWrap w:val="0"/>
            <w:vAlign w:val="center"/>
          </w:tcPr>
          <w:p w14:paraId="63861C0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运渣车</w:t>
            </w:r>
          </w:p>
        </w:tc>
        <w:tc>
          <w:tcPr>
            <w:tcW w:w="1223" w:type="dxa"/>
            <w:noWrap w:val="0"/>
            <w:vAlign w:val="center"/>
          </w:tcPr>
          <w:p w14:paraId="13C7AE5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07F7ED5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44F2B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1B2AC35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17</w:t>
            </w:r>
          </w:p>
        </w:tc>
        <w:tc>
          <w:tcPr>
            <w:tcW w:w="6178" w:type="dxa"/>
            <w:noWrap w:val="0"/>
            <w:vAlign w:val="center"/>
          </w:tcPr>
          <w:p w14:paraId="5362E9D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提取浓缩设备自控系统</w:t>
            </w:r>
          </w:p>
        </w:tc>
        <w:tc>
          <w:tcPr>
            <w:tcW w:w="1223" w:type="dxa"/>
            <w:noWrap w:val="0"/>
            <w:vAlign w:val="center"/>
          </w:tcPr>
          <w:p w14:paraId="536F37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224" w:type="dxa"/>
            <w:noWrap w:val="0"/>
            <w:vAlign w:val="center"/>
          </w:tcPr>
          <w:p w14:paraId="6ABA78E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bl>
    <w:p w14:paraId="32B93FF0">
      <w:pPr>
        <w:widowControl/>
        <w:spacing w:line="360" w:lineRule="auto"/>
        <w:jc w:val="left"/>
        <w:rPr>
          <w:rFonts w:hint="eastAsia" w:ascii="仿宋" w:hAnsi="仿宋" w:eastAsia="仿宋" w:cs="仿宋"/>
          <w:b/>
          <w:bCs/>
          <w:color w:val="000000"/>
          <w:kern w:val="0"/>
          <w:sz w:val="24"/>
          <w:lang w:bidi="ar"/>
        </w:rPr>
      </w:pPr>
    </w:p>
    <w:p w14:paraId="1A6AB6BC">
      <w:pPr>
        <w:spacing w:line="360" w:lineRule="auto"/>
        <w:jc w:val="left"/>
        <w:rPr>
          <w:rFonts w:hint="eastAsia" w:ascii="仿宋" w:hAnsi="仿宋" w:eastAsia="仿宋" w:cs="仿宋"/>
          <w:b/>
          <w:bCs/>
          <w:sz w:val="24"/>
          <w:lang w:bidi="ar"/>
        </w:rPr>
      </w:pPr>
      <w:r>
        <w:rPr>
          <w:rFonts w:hint="eastAsia" w:ascii="仿宋" w:hAnsi="仿宋" w:eastAsia="仿宋" w:cs="仿宋"/>
          <w:b/>
          <w:bCs/>
          <w:sz w:val="24"/>
        </w:rPr>
        <w:t>四、其他配套要求：</w:t>
      </w:r>
    </w:p>
    <w:p w14:paraId="4D3B2F5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383F4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00669A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1A9A23B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3EA027F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013BE9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68CEBE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0AC57E0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600A32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54AAB1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4FD4A64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5751457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23771A8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156D487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38898B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693942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C45F4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58AB11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5B811A1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005066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499DD1E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33500F4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4B418A3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64966C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7FB0354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7ABD9F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69E85D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334D91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792CA3ED">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headerReference r:id="rId3" w:type="default"/>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90675">
    <w:pPr>
      <w:pStyle w:val="14"/>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180</w:t>
    </w:r>
    <w:r>
      <w:rPr>
        <w:rFonts w:ascii="宋体" w:hAnsi="宋体"/>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6850">
    <w:pPr>
      <w:pStyle w:val="15"/>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063E"/>
    <w:rsid w:val="053924CB"/>
    <w:rsid w:val="06927A7D"/>
    <w:rsid w:val="0B9D1FA2"/>
    <w:rsid w:val="12DB3CC0"/>
    <w:rsid w:val="16352AC4"/>
    <w:rsid w:val="1BAE7E11"/>
    <w:rsid w:val="1DBE2BC9"/>
    <w:rsid w:val="22CC6090"/>
    <w:rsid w:val="27E92EA0"/>
    <w:rsid w:val="31B93B96"/>
    <w:rsid w:val="33677B8F"/>
    <w:rsid w:val="370E2A1D"/>
    <w:rsid w:val="384D1999"/>
    <w:rsid w:val="3DB1150E"/>
    <w:rsid w:val="52A4407A"/>
    <w:rsid w:val="54F4174B"/>
    <w:rsid w:val="599C2833"/>
    <w:rsid w:val="5CED4771"/>
    <w:rsid w:val="68006DDE"/>
    <w:rsid w:val="703961DA"/>
    <w:rsid w:val="7DB44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qFormat/>
    <w:uiPriority w:val="9"/>
    <w:pPr>
      <w:keepNext/>
      <w:keepLines/>
      <w:widowControl/>
      <w:spacing w:before="200" w:line="276" w:lineRule="auto"/>
      <w:jc w:val="left"/>
      <w:outlineLvl w:val="3"/>
    </w:pPr>
    <w:rPr>
      <w:rFonts w:ascii="Cambria" w:hAnsi="Cambria"/>
      <w:b/>
      <w:bCs/>
      <w:i/>
      <w:iCs/>
      <w:color w:val="4F81BD"/>
      <w:kern w:val="0"/>
      <w:sz w:val="22"/>
      <w:lang w:eastAsia="en-US" w:bidi="en-US"/>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First Indent 2"/>
    <w:basedOn w:val="8"/>
    <w:qFormat/>
    <w:uiPriority w:val="99"/>
    <w:pPr>
      <w:spacing w:after="0"/>
      <w:ind w:left="0" w:leftChars="0" w:firstLine="420"/>
    </w:pPr>
    <w:rPr>
      <w:rFonts w:ascii="楷体_GB2312" w:eastAsia="楷体_GB2312"/>
      <w:sz w:val="32"/>
    </w:rPr>
  </w:style>
  <w:style w:type="paragraph" w:styleId="8">
    <w:name w:val="Body Text Indent"/>
    <w:basedOn w:val="1"/>
    <w:next w:val="9"/>
    <w:qFormat/>
    <w:uiPriority w:val="99"/>
    <w:pPr>
      <w:spacing w:after="120" w:afterLines="0"/>
      <w:ind w:left="420" w:leftChars="200"/>
    </w:pPr>
  </w:style>
  <w:style w:type="paragraph" w:styleId="9">
    <w:name w:val="envelope return"/>
    <w:basedOn w:val="1"/>
    <w:qFormat/>
    <w:uiPriority w:val="99"/>
    <w:pPr>
      <w:snapToGrid w:val="0"/>
    </w:pPr>
    <w:rPr>
      <w:rFonts w:ascii="Arial" w:hAnsi="Arial"/>
    </w:rPr>
  </w:style>
  <w:style w:type="paragraph" w:styleId="10">
    <w:name w:val="annotation text"/>
    <w:basedOn w:val="1"/>
    <w:qFormat/>
    <w:uiPriority w:val="99"/>
    <w:pPr>
      <w:jc w:val="left"/>
    </w:pPr>
  </w:style>
  <w:style w:type="paragraph" w:styleId="11">
    <w:name w:val="Body Text"/>
    <w:basedOn w:val="1"/>
    <w:qFormat/>
    <w:uiPriority w:val="99"/>
    <w:rPr>
      <w:rFonts w:eastAsia="黑体"/>
      <w:sz w:val="36"/>
    </w:rPr>
  </w:style>
  <w:style w:type="paragraph" w:styleId="12">
    <w:name w:val="Plain Text"/>
    <w:basedOn w:val="1"/>
    <w:qFormat/>
    <w:uiPriority w:val="99"/>
    <w:rPr>
      <w:rFonts w:ascii="宋体" w:hAnsi="Courier New"/>
      <w:szCs w:val="21"/>
    </w:rPr>
  </w:style>
  <w:style w:type="paragraph" w:styleId="13">
    <w:name w:val="Date"/>
    <w:basedOn w:val="1"/>
    <w:next w:val="1"/>
    <w:qFormat/>
    <w:uiPriority w:val="99"/>
    <w:pPr>
      <w:adjustRightInd w:val="0"/>
      <w:spacing w:line="360" w:lineRule="atLeast"/>
    </w:pPr>
    <w:rPr>
      <w:rFonts w:ascii="宋体"/>
      <w:kern w:val="0"/>
      <w:sz w:val="24"/>
      <w:szCs w:val="20"/>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footnote text"/>
    <w:basedOn w:val="1"/>
    <w:qFormat/>
    <w:uiPriority w:val="99"/>
    <w:pPr>
      <w:snapToGrid w:val="0"/>
      <w:jc w:val="left"/>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Body Text First Indent"/>
    <w:basedOn w:val="11"/>
    <w:qFormat/>
    <w:uiPriority w:val="0"/>
    <w:pPr>
      <w:tabs>
        <w:tab w:val="left" w:pos="1418"/>
      </w:tabs>
      <w:autoSpaceDE w:val="0"/>
      <w:autoSpaceDN w:val="0"/>
      <w:adjustRightInd w:val="0"/>
      <w:spacing w:before="120" w:after="120"/>
      <w:ind w:left="1418" w:hanging="567"/>
      <w:jc w:val="left"/>
    </w:pPr>
    <w:rPr>
      <w:rFonts w:eastAsia="PMingLiU"/>
      <w:lang w:eastAsia="zh-TW"/>
    </w:rPr>
  </w:style>
  <w:style w:type="character" w:styleId="22">
    <w:name w:val="page number"/>
    <w:qFormat/>
    <w:uiPriority w:val="0"/>
  </w:style>
  <w:style w:type="character" w:styleId="23">
    <w:name w:val="annotation reference"/>
    <w:qFormat/>
    <w:uiPriority w:val="0"/>
    <w:rPr>
      <w:sz w:val="21"/>
      <w:szCs w:val="21"/>
    </w:rPr>
  </w:style>
  <w:style w:type="character" w:styleId="24">
    <w:name w:val="footnote reference"/>
    <w:qFormat/>
    <w:uiPriority w:val="99"/>
    <w:rPr>
      <w:vertAlign w:val="superscript"/>
    </w:rPr>
  </w:style>
  <w:style w:type="character" w:customStyle="1" w:styleId="25">
    <w:name w:val="fontstyle01"/>
    <w:qFormat/>
    <w:uiPriority w:val="0"/>
    <w:rPr>
      <w:rFonts w:hint="eastAsia" w:ascii="宋体" w:hAnsi="宋体" w:eastAsia="宋体"/>
      <w:color w:val="000000"/>
      <w:sz w:val="24"/>
      <w:szCs w:val="24"/>
    </w:rPr>
  </w:style>
  <w:style w:type="paragraph" w:customStyle="1" w:styleId="2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7">
    <w:name w:val="标题 2 Char Char"/>
    <w:qFormat/>
    <w:uiPriority w:val="0"/>
    <w:rPr>
      <w:rFonts w:ascii="Arial" w:hAnsi="Arial" w:eastAsia="黑体" w:cs="Times New Roman"/>
      <w:b/>
      <w:bCs/>
      <w:kern w:val="2"/>
      <w:sz w:val="32"/>
      <w:szCs w:val="32"/>
      <w:lang w:val="en-US" w:eastAsia="zh-CN" w:bidi="ar-SA"/>
    </w:rPr>
  </w:style>
  <w:style w:type="paragraph" w:customStyle="1" w:styleId="28">
    <w:name w:val="p0"/>
    <w:basedOn w:val="1"/>
    <w:qFormat/>
    <w:uiPriority w:val="0"/>
    <w:pPr>
      <w:widowControl/>
    </w:pPr>
    <w:rPr>
      <w:kern w:val="0"/>
      <w:szCs w:val="21"/>
    </w:rPr>
  </w:style>
  <w:style w:type="paragraph" w:customStyle="1" w:styleId="29">
    <w:name w:val="p15"/>
    <w:basedOn w:val="1"/>
    <w:qFormat/>
    <w:uiPriority w:val="0"/>
    <w:pPr>
      <w:widowControl/>
      <w:spacing w:before="100" w:line="400" w:lineRule="atLeast"/>
    </w:pPr>
    <w:rPr>
      <w:kern w:val="0"/>
      <w:sz w:val="28"/>
      <w:szCs w:val="28"/>
    </w:rPr>
  </w:style>
  <w:style w:type="paragraph" w:customStyle="1" w:styleId="30">
    <w:name w:val="Table Paragraph"/>
    <w:basedOn w:val="1"/>
    <w:qFormat/>
    <w:uiPriority w:val="1"/>
    <w:rPr>
      <w:rFonts w:ascii="宋体" w:hAnsi="宋体" w:cs="宋体"/>
      <w:lang w:val="zh-CN" w:bidi="zh-CN"/>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4571</Words>
  <Characters>4929</Characters>
  <Lines>0</Lines>
  <Paragraphs>0</Paragraphs>
  <TotalTime>0</TotalTime>
  <ScaleCrop>false</ScaleCrop>
  <LinksUpToDate>false</LinksUpToDate>
  <CharactersWithSpaces>4952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2026-02-25T03:13:00Z</dcterms:created>
  <dc:creator>admin</dc:creator>
  <cp:lastModifiedBy>豆奶是个小胖子</cp:lastModifiedBy>
  <dcterms:modified xsi:type="dcterms:W3CDTF">2026-02-27T07:57:23Z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B9D19BAAB53643DAA4BF0EE90A8FF4EE_12</vt:lpwstr>
  </property>
</Properties>
</file>