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1DDFB">
      <w:pPr>
        <w:spacing w:line="360" w:lineRule="auto"/>
        <w:jc w:val="center"/>
        <w:outlineLvl w:val="0"/>
        <w:rPr>
          <w:rFonts w:hint="eastAsia" w:asciiTheme="minorEastAsia" w:hAnsiTheme="minorEastAsia" w:eastAsiaTheme="minorEastAsia"/>
          <w:b/>
          <w:sz w:val="28"/>
        </w:rPr>
      </w:pPr>
      <w:bookmarkStart w:id="0" w:name="_Toc18642"/>
      <w:r>
        <w:rPr>
          <w:rFonts w:hint="eastAsia" w:asciiTheme="minorEastAsia" w:hAnsiTheme="minorEastAsia" w:eastAsiaTheme="minorEastAsia"/>
          <w:b/>
          <w:sz w:val="28"/>
        </w:rPr>
        <w:t>第三章  采购需求</w:t>
      </w:r>
      <w:bookmarkEnd w:id="0"/>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06F4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5E69E70">
            <w:pPr>
              <w:spacing w:line="360" w:lineRule="auto"/>
              <w:jc w:val="center"/>
              <w:rPr>
                <w:rFonts w:hint="eastAsia"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序号</w:t>
            </w:r>
          </w:p>
        </w:tc>
        <w:tc>
          <w:tcPr>
            <w:tcW w:w="1277" w:type="dxa"/>
            <w:vAlign w:val="center"/>
          </w:tcPr>
          <w:p w14:paraId="38E9DCD9">
            <w:pPr>
              <w:spacing w:line="360" w:lineRule="auto"/>
              <w:ind w:firstLine="435"/>
              <w:jc w:val="center"/>
              <w:rPr>
                <w:rFonts w:hint="eastAsia"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内容</w:t>
            </w:r>
          </w:p>
        </w:tc>
        <w:tc>
          <w:tcPr>
            <w:tcW w:w="6287" w:type="dxa"/>
            <w:vAlign w:val="center"/>
          </w:tcPr>
          <w:p w14:paraId="78F02659">
            <w:pPr>
              <w:spacing w:line="360" w:lineRule="auto"/>
              <w:ind w:firstLine="435"/>
              <w:jc w:val="center"/>
              <w:rPr>
                <w:rFonts w:hint="eastAsia"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说明和要求</w:t>
            </w:r>
          </w:p>
        </w:tc>
      </w:tr>
      <w:tr w14:paraId="7568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04F1F2A">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w:t>
            </w:r>
          </w:p>
        </w:tc>
        <w:tc>
          <w:tcPr>
            <w:tcW w:w="1277" w:type="dxa"/>
            <w:vAlign w:val="center"/>
          </w:tcPr>
          <w:p w14:paraId="2070C2FA">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人员到岗及履约要求</w:t>
            </w:r>
          </w:p>
        </w:tc>
        <w:tc>
          <w:tcPr>
            <w:tcW w:w="6287" w:type="dxa"/>
            <w:vAlign w:val="center"/>
          </w:tcPr>
          <w:p w14:paraId="2186819D">
            <w:pPr>
              <w:spacing w:line="360" w:lineRule="auto"/>
              <w:rPr>
                <w:rFonts w:ascii="Times New Roman" w:hAnsi="Times New Roman" w:eastAsiaTheme="minorEastAsia"/>
                <w:kern w:val="2"/>
                <w:sz w:val="24"/>
                <w:szCs w:val="22"/>
              </w:rPr>
            </w:pPr>
            <w:r>
              <w:rPr>
                <w:rFonts w:ascii="Times New Roman" w:hAnsi="Times New Roman" w:eastAsiaTheme="minorEastAsia"/>
                <w:kern w:val="2"/>
                <w:sz w:val="24"/>
                <w:szCs w:val="22"/>
              </w:rPr>
              <w:t>（</w:t>
            </w:r>
            <w:r>
              <w:rPr>
                <w:rFonts w:hint="eastAsia" w:ascii="Times New Roman" w:hAnsi="Times New Roman" w:eastAsiaTheme="minorEastAsia"/>
                <w:kern w:val="2"/>
                <w:sz w:val="24"/>
                <w:szCs w:val="22"/>
              </w:rPr>
              <w:t>1</w:t>
            </w:r>
            <w:r>
              <w:rPr>
                <w:rFonts w:ascii="Times New Roman" w:hAnsi="Times New Roman" w:eastAsiaTheme="minorEastAsia"/>
                <w:kern w:val="2"/>
                <w:sz w:val="24"/>
                <w:szCs w:val="22"/>
              </w:rPr>
              <w:t>）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14:paraId="1EE27EA6">
            <w:pPr>
              <w:spacing w:line="360" w:lineRule="auto"/>
              <w:rPr>
                <w:rFonts w:ascii="Times New Roman" w:hAnsi="Times New Roman" w:eastAsiaTheme="minorEastAsia"/>
                <w:kern w:val="2"/>
                <w:sz w:val="24"/>
                <w:szCs w:val="22"/>
              </w:rPr>
            </w:pPr>
            <w:r>
              <w:rPr>
                <w:rFonts w:ascii="Times New Roman" w:hAnsi="Times New Roman" w:eastAsiaTheme="minorEastAsia"/>
                <w:kern w:val="2"/>
                <w:sz w:val="24"/>
                <w:szCs w:val="22"/>
              </w:rPr>
              <w:t>（</w:t>
            </w:r>
            <w:r>
              <w:rPr>
                <w:rFonts w:hint="eastAsia" w:ascii="Times New Roman" w:hAnsi="Times New Roman" w:eastAsiaTheme="minorEastAsia"/>
                <w:kern w:val="2"/>
                <w:sz w:val="24"/>
                <w:szCs w:val="22"/>
              </w:rPr>
              <w:t>2</w:t>
            </w:r>
            <w:r>
              <w:rPr>
                <w:rFonts w:ascii="Times New Roman" w:hAnsi="Times New Roman" w:eastAsiaTheme="minorEastAsia"/>
                <w:kern w:val="2"/>
                <w:sz w:val="24"/>
                <w:szCs w:val="22"/>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2C67344F">
            <w:pPr>
              <w:spacing w:line="360" w:lineRule="auto"/>
              <w:rPr>
                <w:rFonts w:hint="eastAsia" w:cs="@仿宋_GB2312" w:asciiTheme="minorEastAsia" w:hAnsiTheme="minorEastAsia" w:eastAsiaTheme="minorEastAsia"/>
                <w:kern w:val="2"/>
                <w:sz w:val="24"/>
                <w:szCs w:val="22"/>
              </w:rPr>
            </w:pPr>
            <w:r>
              <w:rPr>
                <w:rFonts w:ascii="Times New Roman" w:hAnsi="Times New Roman" w:eastAsiaTheme="minorEastAsia"/>
                <w:kern w:val="2"/>
                <w:sz w:val="24"/>
                <w:szCs w:val="22"/>
              </w:rPr>
              <w:t>（</w:t>
            </w:r>
            <w:r>
              <w:rPr>
                <w:rFonts w:hint="eastAsia" w:ascii="Times New Roman" w:hAnsi="Times New Roman" w:eastAsiaTheme="minorEastAsia"/>
                <w:kern w:val="2"/>
                <w:sz w:val="24"/>
                <w:szCs w:val="22"/>
              </w:rPr>
              <w:t>3</w:t>
            </w:r>
            <w:r>
              <w:rPr>
                <w:rFonts w:ascii="Times New Roman" w:hAnsi="Times New Roman" w:eastAsiaTheme="minorEastAsia"/>
                <w:kern w:val="2"/>
                <w:sz w:val="24"/>
                <w:szCs w:val="22"/>
              </w:rPr>
              <w:t>）成交供应商未能按照承诺到岗尽职的，采购人将视情况严重程度对其作出相应处理，并发出整改通知。如仍未及时整改，采购人有权责令其停工整改、直至解除合同，引进新的承包人。采购人还将停止支付工程款项，扣留任何未付的工程进度款项补偿建设单位的有关损失或工期延误的损失，并就此向承包人索赔。</w:t>
            </w:r>
          </w:p>
        </w:tc>
      </w:tr>
      <w:tr w14:paraId="03B4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44BC3B1">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2</w:t>
            </w:r>
          </w:p>
        </w:tc>
        <w:tc>
          <w:tcPr>
            <w:tcW w:w="1277" w:type="dxa"/>
            <w:vAlign w:val="center"/>
          </w:tcPr>
          <w:p w14:paraId="768FFD64">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材料要求</w:t>
            </w:r>
          </w:p>
        </w:tc>
        <w:tc>
          <w:tcPr>
            <w:tcW w:w="6287" w:type="dxa"/>
            <w:vAlign w:val="center"/>
          </w:tcPr>
          <w:p w14:paraId="1C85DD3F">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2C35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0FAD303">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3</w:t>
            </w:r>
          </w:p>
        </w:tc>
        <w:tc>
          <w:tcPr>
            <w:tcW w:w="1277" w:type="dxa"/>
            <w:vAlign w:val="center"/>
          </w:tcPr>
          <w:p w14:paraId="73078C4E">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工程施工重点难点</w:t>
            </w:r>
          </w:p>
        </w:tc>
        <w:tc>
          <w:tcPr>
            <w:tcW w:w="6287" w:type="dxa"/>
            <w:vAlign w:val="center"/>
          </w:tcPr>
          <w:p w14:paraId="43F45D9C">
            <w:pPr>
              <w:spacing w:line="360" w:lineRule="auto"/>
              <w:rPr>
                <w:rFonts w:hint="eastAsia" w:cs="@仿宋_GB2312" w:asciiTheme="minorEastAsia" w:hAnsiTheme="minorEastAsia" w:eastAsiaTheme="minorEastAsia"/>
                <w:kern w:val="2"/>
                <w:sz w:val="24"/>
                <w:szCs w:val="22"/>
                <w:lang w:eastAsia="zh-CN"/>
              </w:rPr>
            </w:pPr>
            <w:r>
              <w:rPr>
                <w:rFonts w:hint="eastAsia" w:cs="@仿宋_GB2312" w:asciiTheme="minorEastAsia" w:hAnsiTheme="minorEastAsia" w:eastAsiaTheme="minorEastAsia"/>
                <w:kern w:val="2"/>
                <w:sz w:val="24"/>
                <w:szCs w:val="22"/>
              </w:rPr>
              <w:t>本项目采购内容包含升降式电子围栏</w:t>
            </w:r>
          </w:p>
        </w:tc>
      </w:tr>
      <w:tr w14:paraId="142E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35FA71C">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4</w:t>
            </w:r>
          </w:p>
        </w:tc>
        <w:tc>
          <w:tcPr>
            <w:tcW w:w="1277" w:type="dxa"/>
            <w:vAlign w:val="center"/>
          </w:tcPr>
          <w:p w14:paraId="7F80C074">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报价须知</w:t>
            </w:r>
          </w:p>
        </w:tc>
        <w:tc>
          <w:tcPr>
            <w:tcW w:w="6287" w:type="dxa"/>
            <w:vAlign w:val="center"/>
          </w:tcPr>
          <w:p w14:paraId="27FB650C">
            <w:pPr>
              <w:spacing w:line="360" w:lineRule="auto"/>
              <w:rPr>
                <w:rFonts w:hint="eastAsia" w:eastAsia="@微软简标宋"/>
                <w:kern w:val="2"/>
                <w:sz w:val="21"/>
                <w:szCs w:val="22"/>
              </w:rPr>
            </w:pPr>
            <w:r>
              <w:rPr>
                <w:rFonts w:hint="eastAsia" w:cs="@仿宋_GB2312" w:asciiTheme="minorEastAsia" w:hAnsiTheme="minorEastAsia" w:eastAsiaTheme="minorEastAsia"/>
                <w:kern w:val="2"/>
                <w:sz w:val="24"/>
                <w:szCs w:val="22"/>
              </w:rPr>
              <w:t>供应商最后报价均不得高于磋商文件（公告）列明的项目预算、最高限价，否则其响应文件将被认定为响应无效。</w:t>
            </w:r>
          </w:p>
        </w:tc>
      </w:tr>
      <w:tr w14:paraId="39A0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07B5822">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5</w:t>
            </w:r>
          </w:p>
        </w:tc>
        <w:tc>
          <w:tcPr>
            <w:tcW w:w="1277" w:type="dxa"/>
            <w:vAlign w:val="center"/>
          </w:tcPr>
          <w:p w14:paraId="4012D96E">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重要说明</w:t>
            </w:r>
          </w:p>
        </w:tc>
        <w:tc>
          <w:tcPr>
            <w:tcW w:w="6287" w:type="dxa"/>
            <w:vAlign w:val="center"/>
          </w:tcPr>
          <w:p w14:paraId="2EE96D57">
            <w:pPr>
              <w:spacing w:line="360" w:lineRule="auto"/>
              <w:rPr>
                <w:rFonts w:hint="eastAsia" w:eastAsiaTheme="minorEastAsia"/>
                <w:kern w:val="2"/>
                <w:sz w:val="24"/>
                <w:szCs w:val="18"/>
              </w:rPr>
            </w:pPr>
            <w:bookmarkStart w:id="1" w:name="OLE_LINK3"/>
            <w:r>
              <w:rPr>
                <w:rFonts w:cs="宋体" w:eastAsiaTheme="minorEastAsia"/>
                <w:kern w:val="2"/>
                <w:sz w:val="24"/>
                <w:szCs w:val="24"/>
              </w:rPr>
              <w:t>政府采购政策（包括但不限于下列具体政策要求</w:t>
            </w:r>
            <w:r>
              <w:rPr>
                <w:rFonts w:hint="eastAsia" w:cs="宋体" w:eastAsiaTheme="minorEastAsia"/>
                <w:kern w:val="2"/>
                <w:sz w:val="24"/>
                <w:szCs w:val="24"/>
              </w:rPr>
              <w:t>）</w:t>
            </w:r>
            <w:r>
              <w:rPr>
                <w:rFonts w:hint="eastAsia" w:eastAsiaTheme="minorEastAsia"/>
                <w:kern w:val="2"/>
                <w:sz w:val="24"/>
                <w:szCs w:val="18"/>
              </w:rPr>
              <w:t>：</w:t>
            </w:r>
          </w:p>
          <w:p w14:paraId="5901D5E2">
            <w:pPr>
              <w:spacing w:line="360" w:lineRule="auto"/>
              <w:rPr>
                <w:rFonts w:hint="eastAsia" w:cs="宋体" w:eastAsiaTheme="minorEastAsia"/>
                <w:kern w:val="2"/>
                <w:sz w:val="24"/>
                <w:szCs w:val="24"/>
              </w:rPr>
            </w:pPr>
            <w:r>
              <w:rPr>
                <w:rFonts w:hint="eastAsia" w:cs="宋体" w:eastAsiaTheme="minorEastAsia"/>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7B882FE8">
            <w:pPr>
              <w:spacing w:line="360" w:lineRule="auto"/>
              <w:rPr>
                <w:rFonts w:hint="eastAsia" w:cs="宋体" w:eastAsiaTheme="minorEastAsia"/>
                <w:kern w:val="2"/>
                <w:sz w:val="24"/>
                <w:szCs w:val="24"/>
              </w:rPr>
            </w:pPr>
            <w:r>
              <w:rPr>
                <w:rFonts w:hint="eastAsia" w:cs="宋体" w:eastAsiaTheme="minorEastAsia"/>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9DFB3EE">
            <w:pPr>
              <w:spacing w:line="360" w:lineRule="auto"/>
              <w:rPr>
                <w:rFonts w:hint="eastAsia" w:cs="@仿宋_GB2312" w:asciiTheme="minorEastAsia" w:hAnsiTheme="minorEastAsia" w:eastAsiaTheme="minorEastAsia"/>
                <w:kern w:val="2"/>
                <w:sz w:val="24"/>
                <w:szCs w:val="22"/>
              </w:rPr>
            </w:pPr>
            <w:bookmarkStart w:id="2" w:name="OLE_LINK5"/>
            <w:r>
              <w:rPr>
                <w:rFonts w:hint="eastAsia" w:cs="宋体" w:eastAsiaTheme="minorEastAsia"/>
                <w:kern w:val="2"/>
                <w:sz w:val="24"/>
                <w:szCs w:val="24"/>
              </w:rPr>
              <w:t>（3）按照</w:t>
            </w:r>
            <w:bookmarkStart w:id="3" w:name="OLE_LINK4"/>
            <w:r>
              <w:rPr>
                <w:rFonts w:hint="eastAsia" w:cs="宋体" w:eastAsiaTheme="minorEastAsia"/>
                <w:kern w:val="2"/>
                <w:sz w:val="24"/>
                <w:szCs w:val="24"/>
              </w:rPr>
              <w:t>《财政部 住房城乡建设部 工业和信息化部关于进一步扩大政府采购支持绿色建材促进建筑品质提升政策实施范围的通知》（财库〔2024〕36号）</w:t>
            </w:r>
            <w:bookmarkEnd w:id="3"/>
            <w:r>
              <w:rPr>
                <w:rFonts w:hint="eastAsia" w:cs="宋体" w:eastAsiaTheme="minorEastAsia"/>
                <w:kern w:val="2"/>
                <w:sz w:val="24"/>
                <w:szCs w:val="24"/>
              </w:rPr>
              <w:t>，严格执行</w:t>
            </w:r>
            <w:bookmarkStart w:id="4" w:name="OLE_LINK1"/>
            <w:r>
              <w:rPr>
                <w:rFonts w:hint="eastAsia" w:cs="宋体" w:eastAsiaTheme="minorEastAsia"/>
                <w:kern w:val="2"/>
                <w:sz w:val="24"/>
                <w:szCs w:val="24"/>
              </w:rPr>
              <w:t>《绿色建筑和</w:t>
            </w:r>
            <w:bookmarkStart w:id="5" w:name="OLE_LINK2"/>
            <w:r>
              <w:rPr>
                <w:rFonts w:hint="eastAsia" w:cs="宋体" w:eastAsiaTheme="minorEastAsia"/>
                <w:kern w:val="2"/>
                <w:sz w:val="24"/>
                <w:szCs w:val="24"/>
              </w:rPr>
              <w:t>绿色建材</w:t>
            </w:r>
            <w:bookmarkEnd w:id="5"/>
            <w:r>
              <w:rPr>
                <w:rFonts w:hint="eastAsia" w:cs="宋体" w:eastAsiaTheme="minorEastAsia"/>
                <w:kern w:val="2"/>
                <w:sz w:val="24"/>
                <w:szCs w:val="24"/>
              </w:rPr>
              <w:t>政府采购需求标准(2025年版)》</w:t>
            </w:r>
            <w:bookmarkEnd w:id="4"/>
            <w:r>
              <w:rPr>
                <w:rFonts w:hint="eastAsia" w:cs="宋体" w:eastAsiaTheme="minorEastAsia"/>
                <w:kern w:val="2"/>
                <w:sz w:val="24"/>
                <w:szCs w:val="24"/>
              </w:rPr>
              <w:t>要求。</w:t>
            </w:r>
            <w:bookmarkEnd w:id="1"/>
            <w:bookmarkEnd w:id="2"/>
          </w:p>
        </w:tc>
      </w:tr>
      <w:tr w14:paraId="63EC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48A71AE">
            <w:pPr>
              <w:spacing w:line="360" w:lineRule="auto"/>
              <w:jc w:val="center"/>
              <w:rPr>
                <w:rFonts w:hint="eastAsia" w:cs="@仿宋_GB2312" w:asciiTheme="minorEastAsia" w:hAnsiTheme="minorEastAsia" w:eastAsiaTheme="minorEastAsia"/>
                <w:kern w:val="2"/>
                <w:sz w:val="24"/>
                <w:szCs w:val="22"/>
              </w:rPr>
            </w:pPr>
            <w:r>
              <w:rPr>
                <w:rFonts w:cs="@仿宋_GB2312" w:asciiTheme="minorEastAsia" w:hAnsiTheme="minorEastAsia" w:eastAsiaTheme="minorEastAsia"/>
                <w:kern w:val="2"/>
                <w:sz w:val="24"/>
                <w:szCs w:val="22"/>
              </w:rPr>
              <w:t>6</w:t>
            </w:r>
          </w:p>
        </w:tc>
        <w:tc>
          <w:tcPr>
            <w:tcW w:w="1277" w:type="dxa"/>
            <w:vAlign w:val="center"/>
          </w:tcPr>
          <w:p w14:paraId="0E58F9BF">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项目经理</w:t>
            </w:r>
          </w:p>
        </w:tc>
        <w:tc>
          <w:tcPr>
            <w:tcW w:w="6287" w:type="dxa"/>
            <w:vAlign w:val="center"/>
          </w:tcPr>
          <w:p w14:paraId="0AA2D68A">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符合竞争性磋商公告中“项目经理资格要求”。</w:t>
            </w:r>
          </w:p>
          <w:p w14:paraId="52041C55">
            <w:pPr>
              <w:spacing w:line="360" w:lineRule="auto"/>
              <w:rPr>
                <w:rFonts w:hint="eastAsia" w:cs="@仿宋_GB2312" w:asciiTheme="minorEastAsia" w:hAnsiTheme="minorEastAsia" w:eastAsiaTheme="minorEastAsia"/>
                <w:kern w:val="2"/>
                <w:sz w:val="24"/>
                <w:szCs w:val="22"/>
              </w:rPr>
            </w:pPr>
            <w:bookmarkStart w:id="6" w:name="OLE_LINK9"/>
            <w:bookmarkStart w:id="7" w:name="OLE_LINK10"/>
            <w:r>
              <w:rPr>
                <w:rFonts w:hint="eastAsia" w:cs="@仿宋_GB2312" w:asciiTheme="minorEastAsia" w:hAnsiTheme="minorEastAsia" w:eastAsiaTheme="minorEastAsia"/>
                <w:kern w:val="2"/>
                <w:sz w:val="24"/>
                <w:szCs w:val="22"/>
              </w:rPr>
              <w:t>注：</w:t>
            </w:r>
          </w:p>
          <w:p w14:paraId="75E45CB1">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（1）拟派项目经理必须是本单位人员；</w:t>
            </w:r>
          </w:p>
          <w:p w14:paraId="3F24B8FE">
            <w:pPr>
              <w:spacing w:line="360" w:lineRule="auto"/>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（2）响应文件中提供证书扫描件。</w:t>
            </w:r>
            <w:bookmarkEnd w:id="6"/>
            <w:bookmarkEnd w:id="7"/>
          </w:p>
        </w:tc>
      </w:tr>
      <w:tr w14:paraId="335C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C8B17E9">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7</w:t>
            </w:r>
          </w:p>
        </w:tc>
        <w:tc>
          <w:tcPr>
            <w:tcW w:w="1277" w:type="dxa"/>
            <w:vAlign w:val="center"/>
          </w:tcPr>
          <w:p w14:paraId="100B0A6B">
            <w:pPr>
              <w:pStyle w:val="9"/>
              <w:widowControl w:val="0"/>
              <w:spacing w:before="0" w:beforeAutospacing="0" w:after="0" w:afterAutospacing="0" w:line="360" w:lineRule="auto"/>
              <w:rPr>
                <w:rFonts w:hint="eastAsia" w:cs="@仿宋_GB2312" w:asciiTheme="minorEastAsia" w:hAnsiTheme="minorEastAsia" w:eastAsiaTheme="minorEastAsia"/>
                <w:kern w:val="2"/>
                <w:sz w:val="24"/>
              </w:rPr>
            </w:pPr>
            <w:r>
              <w:rPr>
                <w:rFonts w:hint="eastAsia" w:asciiTheme="minorHAnsi" w:hAnsiTheme="minorHAnsi" w:eastAsiaTheme="minorEastAsia"/>
                <w:b w:val="0"/>
                <w:kern w:val="2"/>
                <w:sz w:val="24"/>
              </w:rPr>
              <w:t>本项目采购标的名称及所属行业</w:t>
            </w:r>
          </w:p>
        </w:tc>
        <w:tc>
          <w:tcPr>
            <w:tcW w:w="6287" w:type="dxa"/>
            <w:vAlign w:val="center"/>
          </w:tcPr>
          <w:p w14:paraId="68B8922E">
            <w:pPr>
              <w:spacing w:line="360" w:lineRule="auto"/>
              <w:jc w:val="left"/>
              <w:rPr>
                <w:rFonts w:hint="eastAsia" w:asciiTheme="minorEastAsia" w:hAnsiTheme="minorEastAsia" w:eastAsiaTheme="minorEastAsia"/>
                <w:kern w:val="2"/>
                <w:sz w:val="24"/>
                <w:szCs w:val="22"/>
                <w:lang w:eastAsia="zh-CN"/>
              </w:rPr>
            </w:pPr>
            <w:r>
              <w:rPr>
                <w:rFonts w:hint="eastAsia" w:asciiTheme="minorEastAsia" w:hAnsiTheme="minorEastAsia" w:eastAsiaTheme="minorEastAsia"/>
                <w:kern w:val="2"/>
                <w:sz w:val="24"/>
                <w:szCs w:val="22"/>
              </w:rPr>
              <w:t>标的名称：</w:t>
            </w:r>
            <w:r>
              <w:rPr>
                <w:rFonts w:hint="eastAsia" w:eastAsiaTheme="minorEastAsia"/>
                <w:kern w:val="2"/>
                <w:sz w:val="24"/>
                <w:szCs w:val="18"/>
                <w:lang w:eastAsia="zh-CN"/>
              </w:rPr>
              <w:t>安徽省行政中心周界物防设施提升改造（二次）</w:t>
            </w:r>
          </w:p>
          <w:p w14:paraId="59EC1985">
            <w:pPr>
              <w:rPr>
                <w:rFonts w:asciiTheme="minorHAnsi" w:hAnsiTheme="minorHAnsi" w:eastAsiaTheme="minorEastAsia"/>
                <w:kern w:val="2"/>
                <w:sz w:val="24"/>
                <w:szCs w:val="22"/>
              </w:rPr>
            </w:pPr>
            <w:r>
              <w:rPr>
                <w:rFonts w:hint="eastAsia" w:asciiTheme="minorEastAsia" w:hAnsiTheme="minorEastAsia" w:eastAsiaTheme="minorEastAsia"/>
                <w:kern w:val="2"/>
                <w:sz w:val="24"/>
                <w:szCs w:val="22"/>
              </w:rPr>
              <w:t>所属行业：建筑业</w:t>
            </w:r>
          </w:p>
        </w:tc>
      </w:tr>
      <w:tr w14:paraId="4DBA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2814110">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8</w:t>
            </w:r>
          </w:p>
        </w:tc>
        <w:tc>
          <w:tcPr>
            <w:tcW w:w="1277" w:type="dxa"/>
            <w:vAlign w:val="center"/>
          </w:tcPr>
          <w:p w14:paraId="236CC802">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工程地点</w:t>
            </w:r>
          </w:p>
        </w:tc>
        <w:tc>
          <w:tcPr>
            <w:tcW w:w="6287" w:type="dxa"/>
            <w:vAlign w:val="center"/>
          </w:tcPr>
          <w:p w14:paraId="3D3E6798">
            <w:pPr>
              <w:spacing w:line="360" w:lineRule="auto"/>
              <w:jc w:val="left"/>
              <w:rPr>
                <w:rFonts w:hint="eastAsia" w:cs="@仿宋_GB2312" w:asciiTheme="minorEastAsia" w:hAnsiTheme="minorEastAsia" w:eastAsiaTheme="minorEastAsia"/>
                <w:kern w:val="2"/>
                <w:sz w:val="24"/>
                <w:szCs w:val="22"/>
              </w:rPr>
            </w:pPr>
            <w:r>
              <w:rPr>
                <w:rFonts w:hint="eastAsia" w:eastAsiaTheme="minorEastAsia"/>
                <w:bCs/>
                <w:kern w:val="2"/>
                <w:sz w:val="24"/>
                <w:szCs w:val="22"/>
              </w:rPr>
              <w:t>合肥市滨湖新区中山路1号</w:t>
            </w:r>
          </w:p>
        </w:tc>
      </w:tr>
      <w:tr w14:paraId="4F33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E2E9618">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9</w:t>
            </w:r>
          </w:p>
        </w:tc>
        <w:tc>
          <w:tcPr>
            <w:tcW w:w="1277" w:type="dxa"/>
            <w:vAlign w:val="center"/>
          </w:tcPr>
          <w:p w14:paraId="6708979F">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质量标准</w:t>
            </w:r>
          </w:p>
        </w:tc>
        <w:tc>
          <w:tcPr>
            <w:tcW w:w="6287" w:type="dxa"/>
            <w:vAlign w:val="center"/>
          </w:tcPr>
          <w:p w14:paraId="225170D5">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达到合格标准</w:t>
            </w:r>
          </w:p>
        </w:tc>
      </w:tr>
      <w:tr w14:paraId="7F96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FD6F772">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10</w:t>
            </w:r>
          </w:p>
        </w:tc>
        <w:tc>
          <w:tcPr>
            <w:tcW w:w="1277" w:type="dxa"/>
            <w:vAlign w:val="center"/>
          </w:tcPr>
          <w:p w14:paraId="69512D20">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计划工期</w:t>
            </w:r>
          </w:p>
        </w:tc>
        <w:tc>
          <w:tcPr>
            <w:tcW w:w="6287" w:type="dxa"/>
            <w:vAlign w:val="center"/>
          </w:tcPr>
          <w:p w14:paraId="01FF8495">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自合同生效之日起，90个日历天。</w:t>
            </w:r>
          </w:p>
          <w:p w14:paraId="69315E6F">
            <w:pPr>
              <w:spacing w:line="360" w:lineRule="auto"/>
              <w:jc w:val="left"/>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除上述总工期外，采购人还要求以下区段/节点工期：/</w:t>
            </w:r>
          </w:p>
        </w:tc>
      </w:tr>
    </w:tbl>
    <w:p w14:paraId="79232435">
      <w:pPr>
        <w:pStyle w:val="5"/>
        <w:widowControl/>
        <w:spacing w:line="360" w:lineRule="auto"/>
        <w:ind w:firstLine="480" w:firstLineChars="200"/>
        <w:rPr>
          <w:rFonts w:hint="eastAsia" w:asciiTheme="minorEastAsia" w:hAnsiTheme="minorEastAsia" w:cstheme="minorEastAsia"/>
          <w:sz w:val="24"/>
          <w:szCs w:val="24"/>
        </w:rPr>
      </w:pPr>
    </w:p>
    <w:p w14:paraId="10911E4E">
      <w:pPr>
        <w:pStyle w:val="4"/>
        <w:spacing w:before="0" w:after="0" w:line="360" w:lineRule="auto"/>
        <w:rPr>
          <w:rFonts w:hint="eastAsia" w:asciiTheme="minorEastAsia" w:hAnsiTheme="minorEastAsia" w:eastAsiaTheme="minorEastAsia" w:cstheme="minorEastAsia"/>
          <w:sz w:val="24"/>
          <w:szCs w:val="24"/>
        </w:rPr>
      </w:pPr>
      <w:bookmarkStart w:id="8" w:name="_Toc23730"/>
      <w:r>
        <w:rPr>
          <w:rFonts w:hint="eastAsia" w:asciiTheme="minorEastAsia" w:hAnsiTheme="minorEastAsia" w:eastAsiaTheme="minorEastAsia" w:cstheme="minorEastAsia"/>
          <w:sz w:val="24"/>
          <w:szCs w:val="24"/>
          <w:lang w:val="en-US"/>
        </w:rPr>
        <w:t>一、</w:t>
      </w:r>
      <w:r>
        <w:rPr>
          <w:rFonts w:hint="eastAsia" w:asciiTheme="minorEastAsia" w:hAnsiTheme="minorEastAsia" w:eastAsiaTheme="minorEastAsia" w:cstheme="minorEastAsia"/>
          <w:sz w:val="24"/>
          <w:szCs w:val="24"/>
        </w:rPr>
        <w:t>项目概况及总体要求</w:t>
      </w:r>
      <w:bookmarkEnd w:id="8"/>
    </w:p>
    <w:p w14:paraId="44CA3D39">
      <w:pPr>
        <w:pStyle w:val="5"/>
        <w:widowControl/>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安徽省行政中心周界物防设施提升改造（二次）</w:t>
      </w:r>
      <w:r>
        <w:rPr>
          <w:rFonts w:hint="eastAsia" w:asciiTheme="minorEastAsia" w:hAnsiTheme="minorEastAsia" w:cstheme="minorEastAsia"/>
          <w:sz w:val="24"/>
          <w:szCs w:val="24"/>
        </w:rPr>
        <w:t>，具体内容详见附件“解决方案”。</w:t>
      </w:r>
    </w:p>
    <w:p w14:paraId="4A45C682">
      <w:pPr>
        <w:pStyle w:val="5"/>
        <w:widowControl/>
        <w:spacing w:line="360" w:lineRule="auto"/>
        <w:outlineLvl w:val="1"/>
        <w:rPr>
          <w:rStyle w:val="10"/>
          <w:rFonts w:hint="eastAsia" w:asciiTheme="minorEastAsia" w:hAnsiTheme="minorEastAsia" w:eastAsiaTheme="minorEastAsia" w:cstheme="minorEastAsia"/>
          <w:sz w:val="24"/>
          <w:szCs w:val="24"/>
        </w:rPr>
      </w:pPr>
      <w:bookmarkStart w:id="9" w:name="_Toc18199"/>
      <w:bookmarkStart w:id="10" w:name="_Toc455587091"/>
      <w:bookmarkStart w:id="11" w:name="_Toc455587275"/>
      <w:bookmarkStart w:id="12" w:name="_Toc445554749"/>
      <w:bookmarkStart w:id="13" w:name="_Toc466024558"/>
      <w:r>
        <w:rPr>
          <w:rStyle w:val="10"/>
          <w:rFonts w:hint="eastAsia" w:asciiTheme="minorEastAsia" w:hAnsiTheme="minorEastAsia" w:cstheme="minorEastAsia"/>
          <w:sz w:val="24"/>
          <w:szCs w:val="24"/>
        </w:rPr>
        <w:t>二、</w:t>
      </w:r>
      <w:r>
        <w:rPr>
          <w:rStyle w:val="10"/>
          <w:rFonts w:hint="eastAsia" w:asciiTheme="minorEastAsia" w:hAnsiTheme="minorEastAsia" w:eastAsiaTheme="minorEastAsia" w:cstheme="minorEastAsia"/>
          <w:sz w:val="24"/>
          <w:szCs w:val="24"/>
        </w:rPr>
        <w:t>技术要求</w:t>
      </w:r>
      <w:bookmarkEnd w:id="9"/>
      <w:bookmarkEnd w:id="10"/>
      <w:bookmarkEnd w:id="11"/>
      <w:bookmarkEnd w:id="12"/>
      <w:bookmarkEnd w:id="13"/>
    </w:p>
    <w:p w14:paraId="2A81CE22">
      <w:pPr>
        <w:pStyle w:val="5"/>
        <w:widowControl/>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按照图纸、工程量清单要求及最新国家相关标准、规范要求执行。</w:t>
      </w:r>
    </w:p>
    <w:p w14:paraId="23E4104B">
      <w:pPr>
        <w:pStyle w:val="4"/>
        <w:spacing w:before="0" w:after="0" w:line="360" w:lineRule="auto"/>
        <w:rPr>
          <w:rFonts w:hint="eastAsia" w:asciiTheme="minorEastAsia" w:hAnsiTheme="minorEastAsia" w:eastAsiaTheme="minorEastAsia" w:cstheme="minorEastAsia"/>
          <w:sz w:val="24"/>
          <w:szCs w:val="24"/>
        </w:rPr>
      </w:pPr>
      <w:bookmarkStart w:id="14" w:name="_Toc29071"/>
      <w:bookmarkStart w:id="15" w:name="OLE_LINK7"/>
      <w:r>
        <w:rPr>
          <w:rFonts w:hint="eastAsia" w:asciiTheme="minorEastAsia" w:hAnsiTheme="minorEastAsia" w:eastAsiaTheme="minorEastAsia" w:cstheme="minorEastAsia"/>
          <w:sz w:val="24"/>
          <w:szCs w:val="24"/>
          <w:lang w:val="en-US"/>
        </w:rPr>
        <w:t>三、</w:t>
      </w:r>
      <w:r>
        <w:rPr>
          <w:rFonts w:hint="eastAsia" w:asciiTheme="minorEastAsia" w:hAnsiTheme="minorEastAsia" w:eastAsiaTheme="minorEastAsia" w:cstheme="minorEastAsia"/>
          <w:sz w:val="24"/>
          <w:szCs w:val="24"/>
        </w:rPr>
        <w:t>报价要求</w:t>
      </w:r>
      <w:bookmarkEnd w:id="14"/>
    </w:p>
    <w:p w14:paraId="4A002947">
      <w:pPr>
        <w:keepNext/>
        <w:keepLines/>
        <w:spacing w:line="360" w:lineRule="auto"/>
        <w:outlineLvl w:val="1"/>
        <w:rPr>
          <w:rFonts w:hint="eastAsia" w:asciiTheme="minorEastAsia" w:hAnsiTheme="minorEastAsia" w:eastAsiaTheme="minorEastAsia" w:cstheme="minorEastAsia"/>
          <w:b/>
          <w:bCs/>
          <w:color w:val="000000"/>
          <w:sz w:val="24"/>
          <w:szCs w:val="24"/>
        </w:rPr>
      </w:pPr>
      <w:bookmarkStart w:id="16" w:name="_Toc22767"/>
      <w:bookmarkStart w:id="17" w:name="_Toc28825"/>
      <w:r>
        <w:rPr>
          <w:rFonts w:hint="eastAsia" w:asciiTheme="minorEastAsia" w:hAnsiTheme="minorEastAsia" w:eastAsiaTheme="minorEastAsia" w:cstheme="minorEastAsia"/>
          <w:b/>
          <w:bCs/>
          <w:color w:val="000000"/>
          <w:sz w:val="24"/>
          <w:szCs w:val="24"/>
        </w:rPr>
        <w:t>3.1计价依据</w:t>
      </w:r>
      <w:bookmarkEnd w:id="16"/>
      <w:bookmarkEnd w:id="17"/>
    </w:p>
    <w:p w14:paraId="7EEE49D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3.1.1 计价依据的确定符合国家法律法规、现行有关标准与规范，工程所在地的省、市工程定额和工程造价的规定以及工程造价信息要求。</w:t>
      </w:r>
    </w:p>
    <w:p w14:paraId="3132DE1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3.1.2 </w:t>
      </w:r>
      <w:bookmarkStart w:id="18" w:name="OLE_LINK6"/>
      <w:r>
        <w:rPr>
          <w:rFonts w:hint="eastAsia" w:asciiTheme="minorEastAsia" w:hAnsiTheme="minorEastAsia" w:eastAsiaTheme="minorEastAsia" w:cstheme="minorEastAsia"/>
          <w:color w:val="000000"/>
          <w:sz w:val="24"/>
          <w:szCs w:val="24"/>
        </w:rPr>
        <w:t>安全文明施工费</w:t>
      </w:r>
      <w:bookmarkEnd w:id="18"/>
      <w:r>
        <w:rPr>
          <w:rFonts w:hint="eastAsia" w:asciiTheme="minorEastAsia" w:hAnsiTheme="minorEastAsia" w:eastAsiaTheme="minorEastAsia" w:cstheme="minorEastAsia"/>
          <w:color w:val="000000"/>
          <w:sz w:val="24"/>
          <w:szCs w:val="24"/>
        </w:rPr>
        <w:t>：详见最高限价中安全文明施工费。</w:t>
      </w:r>
    </w:p>
    <w:p w14:paraId="0DD30DC2">
      <w:pPr>
        <w:keepNext/>
        <w:keepLines/>
        <w:spacing w:line="360" w:lineRule="auto"/>
        <w:outlineLvl w:val="1"/>
        <w:rPr>
          <w:rFonts w:hint="eastAsia" w:asciiTheme="minorEastAsia" w:hAnsiTheme="minorEastAsia" w:eastAsiaTheme="minorEastAsia" w:cstheme="minorEastAsia"/>
          <w:b/>
          <w:bCs/>
          <w:color w:val="000000"/>
          <w:sz w:val="24"/>
          <w:szCs w:val="24"/>
        </w:rPr>
      </w:pPr>
      <w:bookmarkStart w:id="19" w:name="_Toc4564"/>
      <w:bookmarkStart w:id="20" w:name="_Toc22790"/>
      <w:r>
        <w:rPr>
          <w:rFonts w:hint="eastAsia" w:asciiTheme="minorEastAsia" w:hAnsiTheme="minorEastAsia" w:eastAsiaTheme="minorEastAsia" w:cstheme="minorEastAsia"/>
          <w:b/>
          <w:bCs/>
          <w:color w:val="000000"/>
          <w:sz w:val="24"/>
          <w:szCs w:val="24"/>
        </w:rPr>
        <w:t>3.2响应报价参考编制要求</w:t>
      </w:r>
      <w:bookmarkEnd w:id="19"/>
      <w:bookmarkEnd w:id="20"/>
    </w:p>
    <w:p w14:paraId="0AEF895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响应报价编制参考依据如下：</w:t>
      </w:r>
    </w:p>
    <w:p w14:paraId="3DA9BB2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（1）2018版安徽省建设工程计价依据及相关配套定额；</w:t>
      </w:r>
    </w:p>
    <w:p w14:paraId="5FD8199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（2）关于发布《安徽省建设工程计价依据动态调整（第1期）》的公告（安徽省住房和城乡建设厅公告第51号）；</w:t>
      </w:r>
    </w:p>
    <w:p w14:paraId="5302D27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（3）关于贯彻执行《2018版安徽省建设工程计价依据动态调整（第1期）》的通知（合建监管〔2024〕13号）； </w:t>
      </w:r>
    </w:p>
    <w:p w14:paraId="08AF16E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（4）关于调整合肥市建设工程计价依据增值税税率的通知（合造价〔2019〕1号）；</w:t>
      </w:r>
    </w:p>
    <w:p w14:paraId="24F0BCA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（5）关于合肥市建设工程人工价格信息发布及计价应用工作的通知(合造价〔2021〕8号)；</w:t>
      </w:r>
    </w:p>
    <w:p w14:paraId="2B5785E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（6）建设工程设计文件及相关资料（如有）；</w:t>
      </w:r>
    </w:p>
    <w:p w14:paraId="6E5F2CB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（7）与建设项目有关的标准、规范、</w:t>
      </w:r>
      <w:r>
        <w:rPr>
          <w:rFonts w:hint="eastAsia" w:asciiTheme="minorEastAsia" w:hAnsiTheme="minorEastAsia" w:eastAsiaTheme="minorEastAsia" w:cstheme="minorEastAsia"/>
          <w:color w:val="000000"/>
          <w:sz w:val="24"/>
          <w:szCs w:val="24"/>
        </w:rPr>
        <w:t>技术资料；</w:t>
      </w:r>
    </w:p>
    <w:p w14:paraId="2520CBD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（8）采购文件及工程量清单及其补充通知更正； </w:t>
      </w:r>
    </w:p>
    <w:p w14:paraId="713DEDA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（9）施工现场情况、工程特点及拟定的投标施工组织设计；</w:t>
      </w:r>
    </w:p>
    <w:p w14:paraId="05DE16C2">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（10）市场价格信息或参照工程造价管理机构发布的工程造价信息；</w:t>
      </w:r>
    </w:p>
    <w:p w14:paraId="02220E5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（11）合同执行期间由供应商承担的风险因素；</w:t>
      </w:r>
    </w:p>
    <w:p w14:paraId="3D9B827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（12）其他相关材料。</w:t>
      </w:r>
    </w:p>
    <w:p w14:paraId="6E5C162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3.2.2供应商应仔细阅读采购文件，了解全部工程内容。供应商的响应报价应是采购文件所确定的采购范围内全部工程内容的价格体现，但其响应报价不得低于供应商个别成本价。</w:t>
      </w:r>
    </w:p>
    <w:p w14:paraId="712E70A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3.2.3供应商应按采购人提供的工程量清单填报综合单价和合价，未填报的综合单价和合价，视为此项费用已合在工程量清单的其他综合单价和合价中。</w:t>
      </w:r>
    </w:p>
    <w:p w14:paraId="6CAF41E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3.2.4分部分项工程费根据采购文件中的工程量清单项目及项目特征描述等确定综合单价。其中综合单价是指完成一个规定清单项目所需的人工费、材料和工程设备费、施工机具使用费和综合费（企业管理费和利润）以及一定范围内供应商承担的风险费用。</w:t>
      </w:r>
    </w:p>
    <w:p w14:paraId="21080E50">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3.2.5措施项目费依据第3.2.1项编制依据确定。</w:t>
      </w:r>
    </w:p>
    <w:p w14:paraId="57A4798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3.2.6不可竞争费（含安全文明施工费、环境保护税）根据工程量清单不可竞争项目，结合第3.2.1项编制依据确定，安全文明施工费费率不得调整。</w:t>
      </w:r>
    </w:p>
    <w:p w14:paraId="46AACF2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3.2.7其他项目费用应按照下列规定计价：</w:t>
      </w:r>
    </w:p>
    <w:p w14:paraId="6D37C04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（1）暂列金额按工程量清单中列出的金额填写，不得更改；</w:t>
      </w:r>
    </w:p>
    <w:p w14:paraId="4A4A1BA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（2）专业工程暂估价按工程量清单中列出的金额填写，不得更改；</w:t>
      </w:r>
    </w:p>
    <w:p w14:paraId="4C7AAB4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（3）计日工按采购人列出项目和数量，结合第3.2.1项编制依据的要求确定综合单价并计算费用； </w:t>
      </w:r>
    </w:p>
    <w:p w14:paraId="08A19DC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（4）总承包服务费根据采购文件列出的内容和要求计算。</w:t>
      </w:r>
    </w:p>
    <w:p w14:paraId="4A277E9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3.2.8税金（增值税）按税金项目清单，结合第3.2.1项编制依据的要求编制，不得调整。</w:t>
      </w:r>
    </w:p>
    <w:p w14:paraId="5D83981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3.2.9 响应报价编制注意事项</w:t>
      </w:r>
    </w:p>
    <w:p w14:paraId="2047825D">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（1）对于受施工现场场地限制，如需要另外寻找场地解决临时住宿、材料及设备堆放，由此所产生的费用应包含在响应报价范围内，采购人不再承担该费用；</w:t>
      </w:r>
    </w:p>
    <w:p w14:paraId="20B1AF6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开启前，供应商应认真对照施工设计图纸等文件核对采购人提供的工程量清单，发现工程量存在项目划分误差、计量单位误差、数量误差、遗漏项目的，必须在采购文件规定的时间内向采购人提出异议或修正要求，否则采购人可不予答复；</w:t>
      </w:r>
    </w:p>
    <w:p w14:paraId="15BBAA4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采购人对异议或修正要求应进行核实，确认工程量清单项目误差在±3%（含±3%）以内的，采购人可不予调整工程量，供应商应将其误差考虑在综合单价内；若有遗漏项目或清单项目工程量误差超过±3%的，采购人应进行修正并重新公布准确的工程量清单；</w:t>
      </w:r>
    </w:p>
    <w:p w14:paraId="0D4F922D">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（4）除合同另有约定外，成交供应商在工程量清单报价书中所报的综合单价在施工图纸和合同约定范围一律不予调整；</w:t>
      </w:r>
    </w:p>
    <w:p w14:paraId="14164AC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（5）本项目不接受恶意不平衡报价</w:t>
      </w:r>
      <w:r>
        <w:rPr>
          <w:rFonts w:hint="eastAsia" w:asciiTheme="minorEastAsia" w:hAnsiTheme="minorEastAsia" w:eastAsiaTheme="minorEastAsia" w:cstheme="minorEastAsia"/>
          <w:bCs/>
          <w:sz w:val="24"/>
          <w:szCs w:val="24"/>
        </w:rPr>
        <w:t>。</w:t>
      </w:r>
    </w:p>
    <w:bookmarkEnd w:id="15"/>
    <w:p w14:paraId="0EB4720B">
      <w:pPr>
        <w:pStyle w:val="4"/>
        <w:spacing w:before="0" w:after="0" w:line="360" w:lineRule="auto"/>
        <w:rPr>
          <w:rFonts w:hint="eastAsia" w:asciiTheme="minorEastAsia" w:hAnsiTheme="minorEastAsia" w:eastAsiaTheme="minorEastAsia" w:cstheme="minorEastAsia"/>
          <w:sz w:val="24"/>
          <w:szCs w:val="24"/>
        </w:rPr>
      </w:pPr>
      <w:bookmarkStart w:id="21" w:name="_Toc25124"/>
      <w:bookmarkStart w:id="22" w:name="_Toc527541657"/>
      <w:r>
        <w:rPr>
          <w:rFonts w:hint="eastAsia" w:asciiTheme="minorEastAsia" w:hAnsiTheme="minorEastAsia" w:eastAsiaTheme="minorEastAsia" w:cstheme="minorEastAsia"/>
          <w:sz w:val="24"/>
          <w:szCs w:val="24"/>
          <w:lang w:val="en-US"/>
        </w:rPr>
        <w:t>四、</w:t>
      </w:r>
      <w:r>
        <w:rPr>
          <w:rFonts w:hint="eastAsia" w:asciiTheme="minorEastAsia" w:hAnsiTheme="minorEastAsia" w:eastAsiaTheme="minorEastAsia" w:cstheme="minorEastAsia"/>
          <w:sz w:val="24"/>
          <w:szCs w:val="24"/>
        </w:rPr>
        <w:t>工程量清单</w:t>
      </w:r>
      <w:bookmarkEnd w:id="21"/>
    </w:p>
    <w:bookmarkEnd w:id="22"/>
    <w:p w14:paraId="20353507">
      <w:pPr>
        <w:pStyle w:val="11"/>
        <w:adjustRightInd/>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另行发放。如工程量清单中涉及证明材料，供应商无须提供。如工程量清单中出现特定性、唯一性品牌的表述，该品牌仅作为参考，施工过程中不具有限定性。</w:t>
      </w:r>
    </w:p>
    <w:p w14:paraId="12977394">
      <w:pPr>
        <w:pStyle w:val="4"/>
        <w:spacing w:before="0" w:after="0" w:line="360" w:lineRule="auto"/>
        <w:rPr>
          <w:rFonts w:hint="eastAsia" w:asciiTheme="minorEastAsia" w:hAnsiTheme="minorEastAsia" w:eastAsiaTheme="minorEastAsia" w:cstheme="minorEastAsia"/>
          <w:sz w:val="24"/>
          <w:szCs w:val="24"/>
        </w:rPr>
      </w:pPr>
      <w:bookmarkStart w:id="23" w:name="_Hlk165186373"/>
      <w:bookmarkStart w:id="24" w:name="_Toc527541659"/>
      <w:bookmarkStart w:id="25" w:name="_Toc31135"/>
      <w:r>
        <w:rPr>
          <w:rFonts w:hint="eastAsia" w:asciiTheme="minorEastAsia" w:hAnsiTheme="minorEastAsia" w:eastAsiaTheme="minorEastAsia" w:cstheme="minorEastAsia"/>
          <w:sz w:val="24"/>
          <w:szCs w:val="24"/>
          <w:lang w:val="en-US"/>
        </w:rPr>
        <w:t>五、</w:t>
      </w:r>
      <w:r>
        <w:rPr>
          <w:rFonts w:hint="eastAsia" w:asciiTheme="minorEastAsia" w:hAnsiTheme="minorEastAsia" w:eastAsiaTheme="minorEastAsia" w:cstheme="minorEastAsia"/>
          <w:sz w:val="24"/>
          <w:szCs w:val="24"/>
        </w:rPr>
        <w:t>图纸</w:t>
      </w:r>
      <w:bookmarkEnd w:id="23"/>
      <w:bookmarkEnd w:id="24"/>
      <w:bookmarkEnd w:id="25"/>
    </w:p>
    <w:p w14:paraId="7EA5CC91">
      <w:r>
        <w:rPr>
          <w:rFonts w:hint="eastAsia" w:asciiTheme="minorEastAsia" w:hAnsiTheme="minorEastAsia" w:eastAsiaTheme="minorEastAsia" w:cstheme="minorEastAsia"/>
          <w:b/>
          <w:bCs/>
          <w:sz w:val="24"/>
          <w:szCs w:val="24"/>
        </w:rPr>
        <w:t>无。</w:t>
      </w:r>
      <w:bookmarkStart w:id="26" w:name="_GoBack"/>
      <w:bookmarkEnd w:id="2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C08E5"/>
    <w:rsid w:val="739C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next w:val="3"/>
    <w:qFormat/>
    <w:uiPriority w:val="0"/>
    <w:pPr>
      <w:widowControl w:val="0"/>
      <w:ind w:firstLine="420"/>
      <w:jc w:val="both"/>
    </w:pPr>
    <w:rPr>
      <w:rFonts w:ascii="楷体_GB2312" w:hAnsi="Calibri" w:eastAsia="楷体_GB2312" w:cs="Times New Roman"/>
      <w:kern w:val="2"/>
      <w:sz w:val="32"/>
      <w:szCs w:val="22"/>
      <w:lang w:val="en-US" w:eastAsia="zh-CN" w:bidi="ar-SA"/>
    </w:rPr>
  </w:style>
  <w:style w:type="paragraph" w:styleId="3">
    <w:name w:val="List"/>
    <w:basedOn w:val="1"/>
    <w:qFormat/>
    <w:uiPriority w:val="0"/>
    <w:pPr>
      <w:ind w:left="200" w:hanging="200" w:hangingChars="200"/>
    </w:pPr>
    <w:rPr>
      <w:rFonts w:ascii="Calibri" w:hAnsi="Calibri" w:cs="Times New Roman"/>
      <w:kern w:val="2"/>
      <w:sz w:val="21"/>
      <w:szCs w:val="22"/>
    </w:rPr>
  </w:style>
  <w:style w:type="paragraph" w:styleId="5">
    <w:name w:val="Plain Text"/>
    <w:basedOn w:val="1"/>
    <w:qFormat/>
    <w:uiPriority w:val="0"/>
    <w:rPr>
      <w:rFonts w:hAnsi="Courier New" w:eastAsiaTheme="minorEastAsia"/>
      <w:szCs w:val="22"/>
    </w:rPr>
  </w:style>
  <w:style w:type="table" w:customStyle="1" w:styleId="8">
    <w:name w:val="网格型2"/>
    <w:basedOn w:val="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xl31"/>
    <w:basedOn w:val="1"/>
    <w:qFormat/>
    <w:uiPriority w:val="0"/>
    <w:pPr>
      <w:widowControl/>
      <w:spacing w:before="100" w:beforeAutospacing="1" w:after="100" w:afterAutospacing="1"/>
      <w:jc w:val="center"/>
    </w:pPr>
    <w:rPr>
      <w:b/>
      <w:bCs/>
      <w:sz w:val="28"/>
      <w:szCs w:val="28"/>
    </w:rPr>
  </w:style>
  <w:style w:type="character" w:customStyle="1" w:styleId="10">
    <w:name w:val="标题 2 Char Char"/>
    <w:qFormat/>
    <w:uiPriority w:val="0"/>
    <w:rPr>
      <w:rFonts w:ascii="Arial" w:hAnsi="Arial" w:eastAsia="黑体" w:cs="Times New Roman"/>
      <w:b/>
      <w:bCs/>
      <w:kern w:val="2"/>
      <w:sz w:val="32"/>
      <w:szCs w:val="32"/>
      <w:lang w:val="en-US" w:eastAsia="zh-CN" w:bidi="ar-SA"/>
    </w:rPr>
  </w:style>
  <w:style w:type="paragraph" w:customStyle="1" w:styleId="11">
    <w:name w:val="正文2"/>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2025-09-16T08:28:00Z</dcterms:created>
  <dc:creator>省招</dc:creator>
  <cp:lastModifiedBy>省招</cp:lastModifiedBy>
  <dcterms:modified xsi:type="dcterms:W3CDTF">2025-09-16T08:29:10Z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5BBA6B13C680489F8EA029AF8C1CBADE_11</vt:lpwstr>
  </property>
  <property fmtid="{D5CDD505-2E9C-101B-9397-08002B2CF9AE}" pid="4" name="KSOTemplateDocerSaveRecord">
    <vt:lpwstr>eyJoZGlkIjoiOTI1OTI4OGI4OWZlMDYwMmVlMWY3YWRlZDgyOTRhNzEiLCJ1c2VySWQiOiIzMTQzNzUzMzcifQ==</vt:lpwstr>
  </property>
</Properties>
</file>