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AC7460">
      <w:pPr>
        <w:pStyle w:val="2"/>
        <w:wordWrap w:val="0"/>
        <w:rPr>
          <w:rFonts w:hint="eastAsia" w:ascii="方正小标宋_GBK" w:hAnsi="方正小标宋_GBK" w:eastAsia="华文中宋" w:cs="方正小标宋_GBK"/>
          <w:color w:val="auto"/>
          <w:highlight w:val="none"/>
        </w:rPr>
      </w:pPr>
      <w:r>
        <w:rPr>
          <w:rFonts w:hint="eastAsia" w:ascii="方正小标宋_GBK" w:hAnsi="方正小标宋_GBK" w:eastAsia="华文中宋" w:cs="方正小标宋_GBK"/>
          <w:color w:val="auto"/>
          <w:highlight w:val="none"/>
        </w:rPr>
        <w:t>采购需求</w:t>
      </w:r>
    </w:p>
    <w:p w14:paraId="1B1F667E">
      <w:pPr>
        <w:wordWrap w:val="0"/>
        <w:spacing w:line="360" w:lineRule="auto"/>
        <w:rPr>
          <w:rFonts w:hint="eastAsia" w:ascii="宋体" w:hAnsi="宋体" w:eastAsia="宋体"/>
          <w:b/>
          <w:color w:val="auto"/>
          <w:sz w:val="24"/>
          <w:highlight w:val="none"/>
        </w:rPr>
      </w:pPr>
      <w:r>
        <w:rPr>
          <w:rFonts w:hint="eastAsia" w:ascii="宋体" w:hAnsi="宋体" w:eastAsia="宋体"/>
          <w:b/>
          <w:color w:val="auto"/>
          <w:sz w:val="24"/>
          <w:highlight w:val="none"/>
        </w:rPr>
        <w:t>前注：</w:t>
      </w:r>
    </w:p>
    <w:p w14:paraId="63A718CA">
      <w:pPr>
        <w:wordWrap w:val="0"/>
        <w:spacing w:line="360" w:lineRule="auto"/>
        <w:ind w:firstLine="480" w:firstLineChars="200"/>
        <w:rPr>
          <w:rFonts w:hint="eastAsia" w:ascii="宋体" w:hAnsi="宋体" w:eastAsia="宋体" w:cs="宋体"/>
          <w:color w:val="auto"/>
          <w:sz w:val="24"/>
          <w:szCs w:val="18"/>
          <w:highlight w:val="none"/>
        </w:rPr>
      </w:pPr>
      <w:bookmarkStart w:id="0" w:name="_Hlk16461016"/>
      <w:r>
        <w:rPr>
          <w:rFonts w:hint="eastAsia" w:ascii="宋体" w:hAnsi="宋体" w:eastAsia="宋体" w:cs="宋体"/>
          <w:color w:val="auto"/>
          <w:sz w:val="24"/>
          <w:highlight w:val="none"/>
        </w:rPr>
        <w:t>1.</w:t>
      </w:r>
      <w:r>
        <w:rPr>
          <w:rFonts w:hint="eastAsia" w:ascii="宋体" w:hAnsi="宋体" w:eastAsia="宋体" w:cs="宋体"/>
          <w:color w:val="auto"/>
          <w:sz w:val="24"/>
          <w:szCs w:val="18"/>
          <w:highlight w:val="none"/>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180A3D9C">
      <w:pPr>
        <w:wordWrap w:val="0"/>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2.下列采购需求中：</w:t>
      </w:r>
    </w:p>
    <w:p w14:paraId="75242824">
      <w:pPr>
        <w:wordWrap w:val="0"/>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34C55B5">
      <w:pPr>
        <w:wordWrap w:val="0"/>
        <w:spacing w:line="360" w:lineRule="auto"/>
        <w:ind w:firstLine="480" w:firstLineChars="200"/>
        <w:rPr>
          <w:rFonts w:hint="eastAsia" w:ascii="宋体" w:hAnsi="宋体" w:eastAsia="宋体" w:cs="宋体"/>
          <w:color w:val="auto"/>
          <w:sz w:val="24"/>
          <w:szCs w:val="18"/>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3546434">
      <w:pPr>
        <w:wordWrap w:val="0"/>
        <w:spacing w:line="360" w:lineRule="auto"/>
        <w:ind w:firstLine="480" w:firstLineChars="200"/>
        <w:jc w:val="left"/>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3.下列采购需求中：标注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18"/>
          <w:highlight w:val="none"/>
        </w:rPr>
        <w:t>的产品（核心产品），投标人在投标文件《主要中标标的承诺函》中填写名称、品牌、规格、型号、数量、单价等信息。</w:t>
      </w:r>
    </w:p>
    <w:p w14:paraId="495BCFC2">
      <w:pPr>
        <w:pStyle w:val="3"/>
        <w:wordWrap w:val="0"/>
        <w:ind w:firstLine="0" w:firstLineChars="0"/>
        <w:rPr>
          <w:rFonts w:eastAsia="黑体"/>
          <w:color w:val="auto"/>
          <w:highlight w:val="none"/>
        </w:rPr>
      </w:pPr>
      <w:bookmarkStart w:id="1" w:name="_Toc2025078090"/>
      <w:bookmarkStart w:id="2" w:name="_Toc1452677390"/>
      <w:bookmarkStart w:id="3" w:name="_Toc1899401549"/>
      <w:bookmarkStart w:id="4" w:name="_Toc292361325"/>
      <w:bookmarkStart w:id="5" w:name="_Toc337877615"/>
      <w:bookmarkStart w:id="6" w:name="_Toc1064185329"/>
      <w:bookmarkStart w:id="7" w:name="_Toc1437377518_WPSOffice_Level2"/>
      <w:bookmarkStart w:id="8" w:name="_Toc382548620"/>
      <w:r>
        <w:rPr>
          <w:rFonts w:hint="eastAsia" w:eastAsia="黑体"/>
          <w:color w:val="auto"/>
          <w:highlight w:val="none"/>
        </w:rPr>
        <w:t>一、采购需求前附表</w:t>
      </w:r>
      <w:bookmarkEnd w:id="1"/>
      <w:bookmarkEnd w:id="2"/>
      <w:bookmarkEnd w:id="3"/>
      <w:bookmarkEnd w:id="4"/>
      <w:bookmarkEnd w:id="5"/>
      <w:bookmarkEnd w:id="6"/>
      <w:bookmarkEnd w:id="7"/>
      <w:bookmarkEnd w:id="8"/>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18925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777B5E63">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
                <w:color w:val="auto"/>
                <w:kern w:val="2"/>
                <w:highlight w:val="none"/>
              </w:rPr>
            </w:pPr>
            <w:r>
              <w:rPr>
                <w:rFonts w:hint="eastAsia" w:ascii="宋体" w:hAnsi="宋体" w:eastAsia="宋体" w:cs="宋体"/>
                <w:b/>
                <w:color w:val="auto"/>
                <w:kern w:val="2"/>
                <w:highlight w:val="none"/>
              </w:rPr>
              <w:t>序号</w:t>
            </w:r>
          </w:p>
        </w:tc>
        <w:tc>
          <w:tcPr>
            <w:tcW w:w="2054" w:type="dxa"/>
            <w:vAlign w:val="center"/>
          </w:tcPr>
          <w:p w14:paraId="1801C661">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条款名称</w:t>
            </w:r>
          </w:p>
        </w:tc>
        <w:tc>
          <w:tcPr>
            <w:tcW w:w="5544" w:type="dxa"/>
            <w:vAlign w:val="center"/>
          </w:tcPr>
          <w:p w14:paraId="3F77F9A2">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内容、说明与要求</w:t>
            </w:r>
          </w:p>
        </w:tc>
      </w:tr>
      <w:tr w14:paraId="5613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71DA0343">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w:t>
            </w:r>
          </w:p>
        </w:tc>
        <w:tc>
          <w:tcPr>
            <w:tcW w:w="2054" w:type="dxa"/>
            <w:vAlign w:val="center"/>
          </w:tcPr>
          <w:p w14:paraId="4ED31361">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付款方式</w:t>
            </w:r>
          </w:p>
        </w:tc>
        <w:tc>
          <w:tcPr>
            <w:tcW w:w="5544" w:type="dxa"/>
            <w:vAlign w:val="center"/>
          </w:tcPr>
          <w:p w14:paraId="5769BCE5">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bCs w:val="0"/>
                <w:color w:val="auto"/>
                <w:sz w:val="24"/>
                <w:highlight w:val="none"/>
              </w:rPr>
            </w:pPr>
            <w:r>
              <w:rPr>
                <w:rFonts w:hint="eastAsia" w:ascii="宋体" w:hAnsi="宋体" w:eastAsia="宋体"/>
                <w:b w:val="0"/>
                <w:color w:val="auto"/>
                <w:sz w:val="24"/>
                <w:highlight w:val="none"/>
              </w:rPr>
              <w:t xml:space="preserve">项目验收合格后，一次性支付合同价款。     </w:t>
            </w:r>
            <w:r>
              <w:rPr>
                <w:rFonts w:hint="eastAsia" w:ascii="宋体" w:hAnsi="宋体" w:eastAsia="宋体" w:cs="宋体"/>
                <w:b w:val="0"/>
                <w:bCs w:val="0"/>
                <w:color w:val="auto"/>
                <w:sz w:val="24"/>
                <w:highlight w:val="none"/>
              </w:rPr>
              <w:t xml:space="preserve">  </w:t>
            </w:r>
          </w:p>
        </w:tc>
      </w:tr>
      <w:tr w14:paraId="1061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018" w:type="dxa"/>
            <w:vAlign w:val="center"/>
          </w:tcPr>
          <w:p w14:paraId="42026A70">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w:t>
            </w:r>
          </w:p>
        </w:tc>
        <w:tc>
          <w:tcPr>
            <w:tcW w:w="2054" w:type="dxa"/>
            <w:vAlign w:val="center"/>
          </w:tcPr>
          <w:p w14:paraId="4ADCBED7">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供货及安装地点</w:t>
            </w:r>
          </w:p>
        </w:tc>
        <w:tc>
          <w:tcPr>
            <w:tcW w:w="5544" w:type="dxa"/>
            <w:vAlign w:val="center"/>
          </w:tcPr>
          <w:p w14:paraId="316FBAF7">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lang w:eastAsia="zh-CN"/>
              </w:rPr>
              <w:t>安徽农业大学</w:t>
            </w:r>
            <w:r>
              <w:rPr>
                <w:rFonts w:hint="eastAsia" w:ascii="宋体" w:hAnsi="宋体" w:eastAsia="宋体" w:cs="宋体"/>
                <w:b w:val="0"/>
                <w:color w:val="auto"/>
                <w:sz w:val="24"/>
                <w:highlight w:val="none"/>
              </w:rPr>
              <w:t>，具体按采购人指定。</w:t>
            </w:r>
          </w:p>
        </w:tc>
      </w:tr>
      <w:tr w14:paraId="0908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18" w:type="dxa"/>
            <w:vAlign w:val="center"/>
          </w:tcPr>
          <w:p w14:paraId="56E7AA84">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3</w:t>
            </w:r>
          </w:p>
        </w:tc>
        <w:tc>
          <w:tcPr>
            <w:tcW w:w="2054" w:type="dxa"/>
            <w:vAlign w:val="center"/>
          </w:tcPr>
          <w:p w14:paraId="409C1A9A">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供货及安装期限</w:t>
            </w:r>
          </w:p>
        </w:tc>
        <w:tc>
          <w:tcPr>
            <w:tcW w:w="5544" w:type="dxa"/>
            <w:vAlign w:val="center"/>
          </w:tcPr>
          <w:p w14:paraId="17135501">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highlight w:val="none"/>
                <w:lang w:eastAsia="zh-CN"/>
              </w:rPr>
            </w:pPr>
            <w:r>
              <w:rPr>
                <w:rFonts w:hint="eastAsia" w:ascii="宋体" w:hAnsi="宋体" w:eastAsia="宋体" w:cs="宋体"/>
                <w:b w:val="0"/>
                <w:color w:val="auto"/>
                <w:sz w:val="24"/>
                <w:highlight w:val="none"/>
                <w:lang w:eastAsia="zh-CN"/>
              </w:rPr>
              <w:t>合同生效后，90个日历日内完成供货、安装、调试、培训等所有工作内容。</w:t>
            </w:r>
          </w:p>
        </w:tc>
      </w:tr>
      <w:tr w14:paraId="603E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21C21F3D">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4</w:t>
            </w:r>
          </w:p>
        </w:tc>
        <w:tc>
          <w:tcPr>
            <w:tcW w:w="2054" w:type="dxa"/>
            <w:vAlign w:val="center"/>
          </w:tcPr>
          <w:p w14:paraId="3B5AB874">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免费质保期</w:t>
            </w:r>
          </w:p>
        </w:tc>
        <w:tc>
          <w:tcPr>
            <w:tcW w:w="5544" w:type="dxa"/>
            <w:vAlign w:val="center"/>
          </w:tcPr>
          <w:p w14:paraId="1C66D44D">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自验收合格后</w:t>
            </w:r>
            <w:r>
              <w:rPr>
                <w:rFonts w:hint="eastAsia" w:ascii="宋体" w:hAnsi="宋体" w:eastAsia="宋体" w:cs="宋体"/>
                <w:b w:val="0"/>
                <w:color w:val="auto"/>
                <w:sz w:val="24"/>
                <w:highlight w:val="none"/>
                <w:lang w:val="en-US" w:eastAsia="zh-CN"/>
              </w:rPr>
              <w:t>1</w:t>
            </w:r>
            <w:r>
              <w:rPr>
                <w:rFonts w:hint="eastAsia" w:ascii="宋体" w:hAnsi="宋体" w:eastAsia="宋体" w:cs="宋体"/>
                <w:b w:val="0"/>
                <w:color w:val="auto"/>
                <w:sz w:val="24"/>
                <w:highlight w:val="none"/>
              </w:rPr>
              <w:t>年。</w:t>
            </w:r>
          </w:p>
          <w:p w14:paraId="2B5590D3">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注：免费质保期从验收合格之日起开始计算。</w:t>
            </w:r>
          </w:p>
        </w:tc>
      </w:tr>
    </w:tbl>
    <w:p w14:paraId="0271EEB9">
      <w:pPr>
        <w:pStyle w:val="3"/>
        <w:wordWrap w:val="0"/>
        <w:ind w:firstLine="0" w:firstLineChars="0"/>
        <w:rPr>
          <w:rFonts w:eastAsia="黑体"/>
          <w:color w:val="auto"/>
          <w:highlight w:val="none"/>
        </w:rPr>
      </w:pPr>
      <w:bookmarkStart w:id="9" w:name="_Toc626387511"/>
      <w:bookmarkStart w:id="10" w:name="_Toc1715351726"/>
      <w:bookmarkStart w:id="11" w:name="_Toc1693477008"/>
      <w:bookmarkStart w:id="12" w:name="_Toc302804901"/>
      <w:bookmarkStart w:id="13" w:name="_Toc717369146"/>
      <w:bookmarkStart w:id="14" w:name="_Toc369119811"/>
      <w:bookmarkStart w:id="15" w:name="_Toc58935147"/>
      <w:bookmarkStart w:id="16" w:name="_Toc1191965283_WPSOffice_Level2"/>
      <w:r>
        <w:rPr>
          <w:rFonts w:hint="eastAsia" w:eastAsia="黑体"/>
          <w:color w:val="auto"/>
          <w:highlight w:val="none"/>
        </w:rPr>
        <w:t>二、货物需求</w:t>
      </w:r>
      <w:bookmarkEnd w:id="9"/>
      <w:bookmarkEnd w:id="10"/>
      <w:bookmarkEnd w:id="11"/>
      <w:bookmarkEnd w:id="12"/>
      <w:bookmarkEnd w:id="13"/>
      <w:bookmarkEnd w:id="14"/>
      <w:bookmarkEnd w:id="15"/>
      <w:bookmarkEnd w:id="16"/>
    </w:p>
    <w:p w14:paraId="300B16CE">
      <w:pPr>
        <w:pStyle w:val="8"/>
        <w:wordWrap w:val="0"/>
        <w:spacing w:line="360" w:lineRule="auto"/>
        <w:ind w:left="0"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（一）货物需求说明</w:t>
      </w:r>
    </w:p>
    <w:tbl>
      <w:tblPr>
        <w:tblStyle w:val="9"/>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1277"/>
        <w:gridCol w:w="5692"/>
      </w:tblGrid>
      <w:tr w14:paraId="33A3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tcPr>
          <w:p w14:paraId="7F32E4A5">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需求内容类别</w:t>
            </w:r>
          </w:p>
        </w:tc>
        <w:tc>
          <w:tcPr>
            <w:tcW w:w="1277" w:type="dxa"/>
          </w:tcPr>
          <w:p w14:paraId="2E7B0F36">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标识符号</w:t>
            </w:r>
          </w:p>
        </w:tc>
        <w:tc>
          <w:tcPr>
            <w:tcW w:w="5692" w:type="dxa"/>
          </w:tcPr>
          <w:p w14:paraId="6B1AF368">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投标要求</w:t>
            </w:r>
          </w:p>
        </w:tc>
      </w:tr>
      <w:tr w14:paraId="6229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08A1622B">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重要指标项</w:t>
            </w:r>
          </w:p>
        </w:tc>
        <w:tc>
          <w:tcPr>
            <w:tcW w:w="1277" w:type="dxa"/>
            <w:vAlign w:val="center"/>
          </w:tcPr>
          <w:p w14:paraId="2723150D">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5692" w:type="dxa"/>
            <w:vAlign w:val="center"/>
          </w:tcPr>
          <w:p w14:paraId="52087767">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评分项，详见“第四章评标方法和标准”中评分细则。</w:t>
            </w:r>
          </w:p>
        </w:tc>
      </w:tr>
      <w:tr w14:paraId="41B9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96" w:type="dxa"/>
            <w:vAlign w:val="center"/>
          </w:tcPr>
          <w:p w14:paraId="460FC752">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关键指标项</w:t>
            </w:r>
          </w:p>
        </w:tc>
        <w:tc>
          <w:tcPr>
            <w:tcW w:w="1277" w:type="dxa"/>
            <w:vAlign w:val="center"/>
          </w:tcPr>
          <w:p w14:paraId="3D6B1C55">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5692" w:type="dxa"/>
            <w:vAlign w:val="center"/>
          </w:tcPr>
          <w:p w14:paraId="3E8750A5">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符合性审查项，该指标项负偏离或未响应，将导致</w:t>
            </w:r>
            <w:r>
              <w:rPr>
                <w:rFonts w:hint="eastAsia" w:ascii="宋体" w:hAnsi="宋体" w:eastAsia="宋体" w:cs="宋体"/>
                <w:b/>
                <w:bCs/>
                <w:color w:val="auto"/>
                <w:sz w:val="24"/>
                <w:szCs w:val="24"/>
                <w:highlight w:val="none"/>
              </w:rPr>
              <w:t>投标无效</w:t>
            </w:r>
            <w:r>
              <w:rPr>
                <w:rFonts w:hint="eastAsia" w:ascii="宋体" w:hAnsi="宋体" w:eastAsia="宋体" w:cs="宋体"/>
                <w:color w:val="auto"/>
                <w:sz w:val="24"/>
                <w:szCs w:val="24"/>
                <w:highlight w:val="none"/>
              </w:rPr>
              <w:t>。</w:t>
            </w:r>
          </w:p>
        </w:tc>
      </w:tr>
      <w:tr w14:paraId="723F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3935C7FA">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无标识项</w:t>
            </w:r>
          </w:p>
        </w:tc>
        <w:tc>
          <w:tcPr>
            <w:tcW w:w="1277" w:type="dxa"/>
            <w:vAlign w:val="center"/>
          </w:tcPr>
          <w:p w14:paraId="3177F10E">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highlight w:val="none"/>
              </w:rPr>
            </w:pPr>
          </w:p>
        </w:tc>
        <w:tc>
          <w:tcPr>
            <w:tcW w:w="5692" w:type="dxa"/>
            <w:vAlign w:val="center"/>
          </w:tcPr>
          <w:p w14:paraId="08722E4E">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highlight w:val="none"/>
              </w:rPr>
            </w:pPr>
            <w:r>
              <w:rPr>
                <w:rFonts w:hint="eastAsia" w:ascii="宋体" w:hAnsi="宋体" w:eastAsia="宋体" w:cs="宋体"/>
                <w:bCs/>
                <w:color w:val="auto"/>
                <w:kern w:val="2"/>
                <w:sz w:val="24"/>
                <w:szCs w:val="24"/>
                <w:highlight w:val="none"/>
                <w:lang w:val="en-US" w:eastAsia="zh-CN" w:bidi="ar-SA"/>
              </w:rPr>
              <w:t>符合性审查项，该指标项最大允许负偏离</w:t>
            </w:r>
            <w:r>
              <w:rPr>
                <w:rFonts w:hint="eastAsia" w:ascii="宋体" w:hAnsi="宋体" w:eastAsia="宋体" w:cs="宋体"/>
                <w:bCs/>
                <w:color w:val="auto"/>
                <w:kern w:val="2"/>
                <w:sz w:val="24"/>
                <w:szCs w:val="24"/>
                <w:highlight w:val="none"/>
                <w:u w:val="single"/>
                <w:lang w:val="en-US" w:eastAsia="zh-CN" w:bidi="ar-SA"/>
              </w:rPr>
              <w:t xml:space="preserve"> 5 </w:t>
            </w:r>
            <w:r>
              <w:rPr>
                <w:rFonts w:hint="eastAsia" w:ascii="宋体" w:hAnsi="宋体" w:eastAsia="宋体" w:cs="宋体"/>
                <w:bCs/>
                <w:color w:val="auto"/>
                <w:kern w:val="2"/>
                <w:sz w:val="24"/>
                <w:szCs w:val="24"/>
                <w:highlight w:val="none"/>
                <w:lang w:val="en-US" w:eastAsia="zh-CN" w:bidi="ar-SA"/>
              </w:rPr>
              <w:t>项，超过最大允许负偏离项数的，</w:t>
            </w:r>
            <w:r>
              <w:rPr>
                <w:rFonts w:hint="eastAsia" w:ascii="宋体" w:hAnsi="宋体" w:eastAsia="宋体" w:cs="宋体"/>
                <w:b/>
                <w:bCs w:val="0"/>
                <w:color w:val="auto"/>
                <w:kern w:val="2"/>
                <w:sz w:val="24"/>
                <w:szCs w:val="24"/>
                <w:highlight w:val="none"/>
                <w:lang w:val="en-US" w:eastAsia="zh-CN" w:bidi="ar-SA"/>
              </w:rPr>
              <w:t>投标无效</w:t>
            </w:r>
            <w:r>
              <w:rPr>
                <w:rFonts w:hint="eastAsia" w:ascii="宋体" w:hAnsi="宋体" w:eastAsia="宋体" w:cs="宋体"/>
                <w:bCs/>
                <w:color w:val="auto"/>
                <w:kern w:val="2"/>
                <w:sz w:val="24"/>
                <w:szCs w:val="24"/>
                <w:highlight w:val="none"/>
                <w:lang w:val="en-US" w:eastAsia="zh-CN" w:bidi="ar-SA"/>
              </w:rPr>
              <w:t>。</w:t>
            </w:r>
          </w:p>
        </w:tc>
      </w:tr>
      <w:tr w14:paraId="2692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5" w:type="dxa"/>
            <w:gridSpan w:val="3"/>
            <w:vAlign w:val="center"/>
          </w:tcPr>
          <w:p w14:paraId="41BBCB61">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38F45D0B">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default" w:ascii="宋体" w:hAnsi="宋体" w:eastAsia="宋体" w:cs="宋体"/>
                <w:color w:val="auto"/>
                <w:sz w:val="24"/>
                <w:szCs w:val="24"/>
                <w:highlight w:val="none"/>
              </w:rPr>
              <w:t>.如某项标识中包含多条技术参数或要求，则该项标识所含内容均需满足或优于招标文件要求，否则不予认可。</w:t>
            </w:r>
          </w:p>
          <w:p w14:paraId="1F1A5DF5">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default" w:ascii="宋体" w:hAnsi="宋体" w:eastAsia="宋体" w:cs="宋体"/>
                <w:color w:val="auto"/>
                <w:sz w:val="24"/>
                <w:szCs w:val="24"/>
                <w:highlight w:val="none"/>
              </w:rPr>
              <w:t>.“所属行业”栏标注为“/”的项为所投产品配套的工程或服务，无需在《中小企业声明函》中列明。</w:t>
            </w:r>
          </w:p>
        </w:tc>
      </w:tr>
    </w:tbl>
    <w:p w14:paraId="07F12FD8">
      <w:pPr>
        <w:pStyle w:val="8"/>
        <w:wordWrap w:val="0"/>
        <w:ind w:left="0" w:firstLine="0" w:firstLineChars="0"/>
        <w:rPr>
          <w:rFonts w:hint="eastAsia" w:ascii="宋体" w:hAnsi="宋体" w:eastAsia="宋体" w:cs="宋体"/>
          <w:b/>
          <w:bCs/>
          <w:color w:val="auto"/>
          <w:sz w:val="24"/>
          <w:szCs w:val="24"/>
          <w:highlight w:val="none"/>
        </w:rPr>
      </w:pPr>
    </w:p>
    <w:p w14:paraId="267A74CC">
      <w:pPr>
        <w:pStyle w:val="8"/>
        <w:wordWrap w:val="0"/>
        <w:spacing w:line="360" w:lineRule="auto"/>
        <w:ind w:left="0"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（二）货物需求清单</w:t>
      </w:r>
    </w:p>
    <w:p w14:paraId="60AC4BC6">
      <w:pPr>
        <w:pStyle w:val="8"/>
        <w:wordWrap w:val="0"/>
        <w:spacing w:line="360" w:lineRule="auto"/>
        <w:ind w:left="0"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针对下表中要求在投标文件中提供证明材料的参数，证明材料包括产品技术白皮书、产品技术说明书、产品彩页（产品功能截图）、厂家（制造商）官网截图、第三方证明材料（如检测报告，测试报告等），提供其中之一即可。未按以上要求提供证明材料的视为负偏离或未响应（为便于评审，建议投标人对证明材料中的关键参数进行标注）。</w:t>
      </w:r>
    </w:p>
    <w:p w14:paraId="4DA8A36C">
      <w:pPr>
        <w:pStyle w:val="7"/>
        <w:ind w:left="482" w:hanging="482"/>
        <w:rPr>
          <w:rFonts w:hint="eastAsia" w:ascii="宋体" w:hAnsi="宋体" w:cs="宋体"/>
          <w:b/>
          <w:bCs/>
          <w:color w:val="auto"/>
          <w:sz w:val="24"/>
          <w:highlight w:val="none"/>
        </w:rPr>
      </w:pPr>
    </w:p>
    <w:tbl>
      <w:tblPr>
        <w:tblStyle w:val="9"/>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230"/>
        <w:gridCol w:w="5175"/>
        <w:gridCol w:w="781"/>
        <w:gridCol w:w="794"/>
        <w:gridCol w:w="897"/>
      </w:tblGrid>
      <w:tr w14:paraId="0FEB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1BB98A49">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fldChar w:fldCharType="begin"/>
            </w:r>
            <w:r>
              <w:rPr>
                <w:rFonts w:hint="eastAsia" w:asciiTheme="minorEastAsia" w:hAnsiTheme="minorEastAsia" w:eastAsiaTheme="minorEastAsia" w:cstheme="minorEastAsia"/>
                <w:b/>
                <w:color w:val="auto"/>
                <w:sz w:val="24"/>
                <w:szCs w:val="24"/>
                <w:highlight w:val="none"/>
              </w:rPr>
              <w:instrText xml:space="preserve">ADDIN CNKISM.UserStyle</w:instrText>
            </w:r>
            <w:r>
              <w:rPr>
                <w:rFonts w:hint="eastAsia" w:asciiTheme="minorEastAsia" w:hAnsiTheme="minorEastAsia" w:eastAsiaTheme="minorEastAsia" w:cstheme="minorEastAsia"/>
                <w:b/>
                <w:color w:val="auto"/>
                <w:sz w:val="24"/>
                <w:szCs w:val="24"/>
                <w:highlight w:val="none"/>
              </w:rPr>
              <w:fldChar w:fldCharType="end"/>
            </w:r>
            <w:r>
              <w:rPr>
                <w:rFonts w:hint="eastAsia" w:asciiTheme="minorEastAsia" w:hAnsiTheme="minorEastAsia" w:eastAsiaTheme="minorEastAsia" w:cstheme="minorEastAsia"/>
                <w:b/>
                <w:color w:val="auto"/>
                <w:sz w:val="24"/>
                <w:szCs w:val="24"/>
                <w:highlight w:val="none"/>
              </w:rPr>
              <w:t>序号</w:t>
            </w:r>
          </w:p>
        </w:tc>
        <w:tc>
          <w:tcPr>
            <w:tcW w:w="1230" w:type="dxa"/>
            <w:vAlign w:val="center"/>
          </w:tcPr>
          <w:p w14:paraId="1D45E558">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货物名称</w:t>
            </w:r>
          </w:p>
        </w:tc>
        <w:tc>
          <w:tcPr>
            <w:tcW w:w="5175" w:type="dxa"/>
            <w:vAlign w:val="center"/>
          </w:tcPr>
          <w:p w14:paraId="413ACB84">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技术参数及要求</w:t>
            </w:r>
          </w:p>
        </w:tc>
        <w:tc>
          <w:tcPr>
            <w:tcW w:w="781" w:type="dxa"/>
            <w:vAlign w:val="center"/>
          </w:tcPr>
          <w:p w14:paraId="7B6B0A2E">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数量</w:t>
            </w:r>
          </w:p>
        </w:tc>
        <w:tc>
          <w:tcPr>
            <w:tcW w:w="794" w:type="dxa"/>
            <w:vAlign w:val="center"/>
          </w:tcPr>
          <w:p w14:paraId="0C3FA8BE">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所属行业</w:t>
            </w:r>
          </w:p>
        </w:tc>
        <w:tc>
          <w:tcPr>
            <w:tcW w:w="897" w:type="dxa"/>
            <w:vAlign w:val="center"/>
          </w:tcPr>
          <w:p w14:paraId="4C009E50">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备注（进口或强制节能）</w:t>
            </w:r>
          </w:p>
        </w:tc>
      </w:tr>
      <w:tr w14:paraId="271B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5EA7CC9E">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1230" w:type="dxa"/>
            <w:shd w:val="clear" w:color="auto" w:fill="auto"/>
            <w:vAlign w:val="center"/>
          </w:tcPr>
          <w:p w14:paraId="3BB3FF1A">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实时荧光定量PCR仪</w:t>
            </w:r>
          </w:p>
        </w:tc>
        <w:tc>
          <w:tcPr>
            <w:tcW w:w="5175" w:type="dxa"/>
            <w:shd w:val="clear" w:color="auto" w:fill="auto"/>
            <w:vAlign w:val="center"/>
          </w:tcPr>
          <w:p w14:paraId="0C0A39F7">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1.热反应模块：96孔银灰色铝合金材质（材质非银质或者非镀金材质），网孔式设计，顶部导热孔槽数量≥60个，四周传热孔槽数量≥30个。检测通道≥3个，无需额外参比染料通道</w:t>
            </w:r>
            <w:r>
              <w:rPr>
                <w:rFonts w:hint="eastAsia" w:asciiTheme="minorEastAsia" w:hAnsiTheme="minorEastAsia" w:eastAsiaTheme="minorEastAsia" w:cstheme="minorEastAsia"/>
                <w:color w:val="auto"/>
                <w:sz w:val="24"/>
                <w:highlight w:val="none"/>
                <w:lang w:eastAsia="zh-CN"/>
              </w:rPr>
              <w:t>；</w:t>
            </w:r>
          </w:p>
          <w:p w14:paraId="6383B403">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★2.定量PCR仪的热反应模块和样品放置架始终固定于仪器内的运行位置，非弹出式设计，在开启仓门/热盖，放入和取出PCR反应管等过程中不发生任何移动，避免反应管卡住仓门</w:t>
            </w:r>
            <w:r>
              <w:rPr>
                <w:rFonts w:hint="eastAsia" w:asciiTheme="minorEastAsia" w:hAnsiTheme="minorEastAsia" w:eastAsiaTheme="minorEastAsia" w:cstheme="minorEastAsia"/>
                <w:color w:val="auto"/>
                <w:sz w:val="24"/>
                <w:highlight w:val="none"/>
                <w:lang w:eastAsia="zh-CN"/>
              </w:rPr>
              <w:t>；</w:t>
            </w:r>
          </w:p>
          <w:p w14:paraId="2388C38E">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3.具有独立FRET通道，可实现蛋白质熔解分析及检测核酸蛋白相互作用</w:t>
            </w:r>
            <w:r>
              <w:rPr>
                <w:rFonts w:hint="eastAsia" w:asciiTheme="minorEastAsia" w:hAnsiTheme="minorEastAsia" w:eastAsiaTheme="minorEastAsia" w:cstheme="minorEastAsia"/>
                <w:color w:val="auto"/>
                <w:sz w:val="24"/>
                <w:highlight w:val="none"/>
                <w:lang w:eastAsia="zh-CN"/>
              </w:rPr>
              <w:t>；</w:t>
            </w:r>
          </w:p>
          <w:p w14:paraId="4A405A8F">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★4.光源：激发光源数量≥3个,每个通道激发光源独立设置，不是采用单光源配合滤光片分光方式来进行多通道激发</w:t>
            </w:r>
            <w:r>
              <w:rPr>
                <w:rFonts w:hint="eastAsia" w:asciiTheme="minorEastAsia" w:hAnsiTheme="minorEastAsia" w:eastAsiaTheme="minorEastAsia" w:cstheme="minorEastAsia"/>
                <w:b/>
                <w:bCs/>
                <w:color w:val="auto"/>
                <w:sz w:val="24"/>
                <w:highlight w:val="none"/>
              </w:rPr>
              <w:t>（投标文件中需提供证明材料）</w:t>
            </w:r>
            <w:r>
              <w:rPr>
                <w:rFonts w:hint="eastAsia" w:asciiTheme="minorEastAsia" w:hAnsiTheme="minorEastAsia" w:eastAsiaTheme="minorEastAsia" w:cstheme="minorEastAsia"/>
                <w:b/>
                <w:bCs/>
                <w:color w:val="auto"/>
                <w:sz w:val="24"/>
                <w:highlight w:val="none"/>
                <w:lang w:eastAsia="zh-CN"/>
              </w:rPr>
              <w:t>；</w:t>
            </w:r>
          </w:p>
          <w:p w14:paraId="17F90F81">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★5.检测器：检测器数量≥3个，每个通道检测器独立设置，不是采用拍照式CCD或CMOS检测</w:t>
            </w:r>
            <w:r>
              <w:rPr>
                <w:rFonts w:hint="eastAsia" w:asciiTheme="minorEastAsia" w:hAnsiTheme="minorEastAsia" w:eastAsiaTheme="minorEastAsia" w:cstheme="minorEastAsia"/>
                <w:b/>
                <w:bCs/>
                <w:color w:val="auto"/>
                <w:sz w:val="24"/>
                <w:highlight w:val="none"/>
              </w:rPr>
              <w:t>（投标文件中需提供证明材料）</w:t>
            </w:r>
            <w:r>
              <w:rPr>
                <w:rFonts w:hint="eastAsia" w:asciiTheme="minorEastAsia" w:hAnsiTheme="minorEastAsia" w:eastAsiaTheme="minorEastAsia" w:cstheme="minorEastAsia"/>
                <w:b/>
                <w:bCs/>
                <w:color w:val="auto"/>
                <w:sz w:val="24"/>
                <w:highlight w:val="none"/>
                <w:lang w:eastAsia="zh-CN"/>
              </w:rPr>
              <w:t>；</w:t>
            </w:r>
          </w:p>
          <w:p w14:paraId="681AEDDA">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★6.采集数据方式：检测模块在反应孔顶部移动，从第1孔到第2孔直到96孔逐孔检测（非光纤传导，非同时检测多孔）</w:t>
            </w:r>
            <w:r>
              <w:rPr>
                <w:rFonts w:hint="eastAsia" w:asciiTheme="minorEastAsia" w:hAnsiTheme="minorEastAsia" w:eastAsiaTheme="minorEastAsia" w:cstheme="minorEastAsia"/>
                <w:b/>
                <w:bCs/>
                <w:color w:val="auto"/>
                <w:sz w:val="24"/>
                <w:highlight w:val="none"/>
              </w:rPr>
              <w:t>（投标文件中需提供证明材料）</w:t>
            </w:r>
            <w:r>
              <w:rPr>
                <w:rFonts w:hint="eastAsia" w:asciiTheme="minorEastAsia" w:hAnsiTheme="minorEastAsia" w:eastAsiaTheme="minorEastAsia" w:cstheme="minorEastAsia"/>
                <w:b/>
                <w:bCs/>
                <w:color w:val="auto"/>
                <w:sz w:val="24"/>
                <w:highlight w:val="none"/>
                <w:lang w:eastAsia="zh-CN"/>
              </w:rPr>
              <w:t>；</w:t>
            </w:r>
          </w:p>
          <w:p w14:paraId="409908F8">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★7.仪器正面内置≥3种颜色LED指示灯（非外接），指示灯可以体现仪器运行和暂停、仪器运行结束、仪器故障</w:t>
            </w:r>
            <w:r>
              <w:rPr>
                <w:rFonts w:hint="eastAsia" w:asciiTheme="minorEastAsia" w:hAnsiTheme="minorEastAsia" w:eastAsiaTheme="minorEastAsia" w:cstheme="minorEastAsia"/>
                <w:color w:val="auto"/>
                <w:sz w:val="24"/>
                <w:highlight w:val="none"/>
                <w:lang w:eastAsia="zh-CN"/>
              </w:rPr>
              <w:t>；</w:t>
            </w:r>
          </w:p>
          <w:p w14:paraId="0347DA18">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8.最大升降温速度≥5℃/秒，升降温速率设置精度为0.1℃/秒</w:t>
            </w:r>
            <w:r>
              <w:rPr>
                <w:rFonts w:hint="eastAsia" w:asciiTheme="minorEastAsia" w:hAnsiTheme="minorEastAsia" w:eastAsiaTheme="minorEastAsia" w:cstheme="minorEastAsia"/>
                <w:color w:val="auto"/>
                <w:sz w:val="24"/>
                <w:highlight w:val="none"/>
                <w:lang w:eastAsia="zh-CN"/>
              </w:rPr>
              <w:t>；</w:t>
            </w:r>
          </w:p>
          <w:p w14:paraId="21CDADA9">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9.温度准确性≤±0.2℃（达到90℃后10S内）</w:t>
            </w:r>
            <w:r>
              <w:rPr>
                <w:rFonts w:hint="eastAsia" w:asciiTheme="minorEastAsia" w:hAnsiTheme="minorEastAsia" w:eastAsiaTheme="minorEastAsia" w:cstheme="minorEastAsia"/>
                <w:color w:val="auto"/>
                <w:sz w:val="24"/>
                <w:highlight w:val="none"/>
                <w:lang w:eastAsia="zh-CN"/>
              </w:rPr>
              <w:t>；</w:t>
            </w:r>
          </w:p>
          <w:p w14:paraId="5F0BE99F">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10.温度均一性≤±0.3℃（达到90℃后10S内）</w:t>
            </w:r>
            <w:r>
              <w:rPr>
                <w:rFonts w:hint="eastAsia" w:asciiTheme="minorEastAsia" w:hAnsiTheme="minorEastAsia" w:eastAsiaTheme="minorEastAsia" w:cstheme="minorEastAsia"/>
                <w:color w:val="auto"/>
                <w:sz w:val="24"/>
                <w:highlight w:val="none"/>
                <w:lang w:eastAsia="zh-CN"/>
              </w:rPr>
              <w:t>；</w:t>
            </w:r>
          </w:p>
          <w:p w14:paraId="4EF13F10">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11.具有动态温度梯度功能（非线性温度梯度或随机温度梯度），不同设定温度的所有反应孔在同一个时刻到达设定的目标温度，保持相同的孵育时间，1次实验可以优化≥12对引物，同时每对引物可优化≥8个不同退火温度</w:t>
            </w:r>
            <w:r>
              <w:rPr>
                <w:rFonts w:hint="eastAsia" w:asciiTheme="minorEastAsia" w:hAnsiTheme="minorEastAsia" w:eastAsiaTheme="minorEastAsia" w:cstheme="minorEastAsia"/>
                <w:b/>
                <w:bCs/>
                <w:color w:val="auto"/>
                <w:sz w:val="24"/>
                <w:highlight w:val="none"/>
              </w:rPr>
              <w:t>（投标文件中需提供证明材料）</w:t>
            </w:r>
            <w:r>
              <w:rPr>
                <w:rFonts w:hint="eastAsia" w:asciiTheme="minorEastAsia" w:hAnsiTheme="minorEastAsia" w:eastAsiaTheme="minorEastAsia" w:cstheme="minorEastAsia"/>
                <w:b/>
                <w:bCs/>
                <w:color w:val="auto"/>
                <w:sz w:val="24"/>
                <w:highlight w:val="none"/>
                <w:lang w:eastAsia="zh-CN"/>
              </w:rPr>
              <w:t>；</w:t>
            </w:r>
          </w:p>
          <w:p w14:paraId="258CA918">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12.一次实验可实现单一反应孔2重靶标基因检测，且各通道之间无荧光串扰</w:t>
            </w:r>
            <w:r>
              <w:rPr>
                <w:rFonts w:hint="eastAsia" w:asciiTheme="minorEastAsia" w:hAnsiTheme="minorEastAsia" w:eastAsiaTheme="minorEastAsia" w:cstheme="minorEastAsia"/>
                <w:color w:val="auto"/>
                <w:sz w:val="24"/>
                <w:highlight w:val="none"/>
                <w:lang w:eastAsia="zh-CN"/>
              </w:rPr>
              <w:t>；</w:t>
            </w:r>
          </w:p>
          <w:p w14:paraId="783B0B1C">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13.反应体系：单孔反应体积至少涵盖1-50µL</w:t>
            </w:r>
            <w:r>
              <w:rPr>
                <w:rFonts w:hint="eastAsia" w:asciiTheme="minorEastAsia" w:hAnsiTheme="minorEastAsia" w:eastAsiaTheme="minorEastAsia" w:cstheme="minorEastAsia"/>
                <w:color w:val="auto"/>
                <w:sz w:val="24"/>
                <w:highlight w:val="none"/>
                <w:lang w:eastAsia="zh-CN"/>
              </w:rPr>
              <w:t>；</w:t>
            </w:r>
          </w:p>
          <w:p w14:paraId="54547941">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14.后期可升级HRM软件进行SNP筛查、物种鉴定，甲基化等领域的研究</w:t>
            </w:r>
            <w:r>
              <w:rPr>
                <w:rFonts w:hint="eastAsia" w:asciiTheme="minorEastAsia" w:hAnsiTheme="minorEastAsia" w:eastAsiaTheme="minorEastAsia" w:cstheme="minorEastAsia"/>
                <w:color w:val="auto"/>
                <w:sz w:val="24"/>
                <w:highlight w:val="none"/>
                <w:lang w:eastAsia="zh-CN"/>
              </w:rPr>
              <w:t>；</w:t>
            </w:r>
          </w:p>
          <w:p w14:paraId="73D8D128">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15.检测器具备运输锁定装置</w:t>
            </w:r>
            <w:r>
              <w:rPr>
                <w:rFonts w:hint="eastAsia" w:asciiTheme="minorEastAsia" w:hAnsiTheme="minorEastAsia" w:eastAsiaTheme="minorEastAsia" w:cstheme="minorEastAsia"/>
                <w:color w:val="auto"/>
                <w:sz w:val="24"/>
                <w:highlight w:val="none"/>
                <w:lang w:eastAsia="zh-CN"/>
              </w:rPr>
              <w:t>；</w:t>
            </w:r>
          </w:p>
          <w:p w14:paraId="1C25A889">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16.后期可升级通讯方式：通过云账户进行运行进度监控和数据分析，可控制运行梯度PCR仪和定量PCR仪。仪器内置USB 2.0接口≥3个（非外接转接头和拓展接口），仪器可以通过USB接口连接鼠标控制等</w:t>
            </w:r>
            <w:r>
              <w:rPr>
                <w:rFonts w:hint="eastAsia" w:asciiTheme="minorEastAsia" w:hAnsiTheme="minorEastAsia" w:eastAsiaTheme="minorEastAsia" w:cstheme="minorEastAsia"/>
                <w:color w:val="auto"/>
                <w:sz w:val="24"/>
                <w:highlight w:val="none"/>
                <w:lang w:eastAsia="zh-CN"/>
              </w:rPr>
              <w:t>；</w:t>
            </w:r>
          </w:p>
          <w:p w14:paraId="760C32C2">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17.支持LIMS系统，API接口开放，可兼容自动化操作</w:t>
            </w:r>
            <w:r>
              <w:rPr>
                <w:rFonts w:hint="eastAsia" w:asciiTheme="minorEastAsia" w:hAnsiTheme="minorEastAsia" w:eastAsiaTheme="minorEastAsia" w:cstheme="minorEastAsia"/>
                <w:color w:val="auto"/>
                <w:sz w:val="24"/>
                <w:highlight w:val="none"/>
                <w:lang w:eastAsia="zh-CN"/>
              </w:rPr>
              <w:t>；</w:t>
            </w:r>
          </w:p>
          <w:p w14:paraId="7A545BE7">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18.开机即用，无需预热。出厂已校正，无需开机校正，使用中或搬动后无需光程校正</w:t>
            </w:r>
            <w:r>
              <w:rPr>
                <w:rFonts w:hint="eastAsia" w:asciiTheme="minorEastAsia" w:hAnsiTheme="minorEastAsia" w:eastAsiaTheme="minorEastAsia" w:cstheme="minorEastAsia"/>
                <w:color w:val="auto"/>
                <w:sz w:val="24"/>
                <w:highlight w:val="none"/>
                <w:lang w:eastAsia="zh-CN"/>
              </w:rPr>
              <w:t>；</w:t>
            </w:r>
          </w:p>
          <w:p w14:paraId="2E043F5D">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★19.仪器配备的控制分析软件具有多内参基因自动筛选功能：能够自动分析计算内参的稳定性，得到内参稳定系数（M值），并用至少3种颜色标记和判定是否可用</w:t>
            </w:r>
            <w:r>
              <w:rPr>
                <w:rFonts w:hint="eastAsia" w:asciiTheme="minorEastAsia" w:hAnsiTheme="minorEastAsia" w:eastAsiaTheme="minorEastAsia" w:cstheme="minorEastAsia"/>
                <w:b/>
                <w:bCs/>
                <w:color w:val="auto"/>
                <w:sz w:val="24"/>
                <w:highlight w:val="none"/>
              </w:rPr>
              <w:t>（投标文件中需提供软件截图证明材料）</w:t>
            </w:r>
            <w:r>
              <w:rPr>
                <w:rFonts w:hint="eastAsia" w:asciiTheme="minorEastAsia" w:hAnsiTheme="minorEastAsia" w:eastAsiaTheme="minorEastAsia" w:cstheme="minorEastAsia"/>
                <w:b/>
                <w:bCs/>
                <w:color w:val="auto"/>
                <w:sz w:val="24"/>
                <w:highlight w:val="none"/>
                <w:lang w:eastAsia="zh-CN"/>
              </w:rPr>
              <w:t>；</w:t>
            </w:r>
          </w:p>
          <w:p w14:paraId="032B6F09">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20.仪器配备的控制分析软件可直接导出RDML数据格式文件</w:t>
            </w:r>
            <w:r>
              <w:rPr>
                <w:rFonts w:hint="eastAsia" w:asciiTheme="minorEastAsia" w:hAnsiTheme="minorEastAsia" w:eastAsiaTheme="minorEastAsia" w:cstheme="minorEastAsia"/>
                <w:color w:val="auto"/>
                <w:sz w:val="24"/>
                <w:highlight w:val="none"/>
                <w:lang w:eastAsia="zh-CN"/>
              </w:rPr>
              <w:t>；</w:t>
            </w:r>
          </w:p>
          <w:p w14:paraId="3CACB519">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★21.仪器配备控制分析软件：无需联网，10秒内即可进行t-检验和方差统计学分析，并在4种水平上（0.1,0.05,0.01,0.001）自动判定样品组间差异是否显著</w:t>
            </w:r>
            <w:r>
              <w:rPr>
                <w:rFonts w:hint="eastAsia" w:asciiTheme="minorEastAsia" w:hAnsiTheme="minorEastAsia" w:eastAsiaTheme="minorEastAsia" w:cstheme="minorEastAsia"/>
                <w:color w:val="auto"/>
                <w:sz w:val="24"/>
                <w:highlight w:val="none"/>
                <w:lang w:eastAsia="zh-CN"/>
              </w:rPr>
              <w:t>；</w:t>
            </w:r>
          </w:p>
          <w:p w14:paraId="454E3F96">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22.可显示并导出每个反应孔每个循环的原始荧光值</w:t>
            </w:r>
            <w:r>
              <w:rPr>
                <w:rFonts w:hint="eastAsia" w:asciiTheme="minorEastAsia" w:hAnsiTheme="minorEastAsia" w:eastAsiaTheme="minorEastAsia" w:cstheme="minorEastAsia"/>
                <w:color w:val="auto"/>
                <w:sz w:val="24"/>
                <w:highlight w:val="none"/>
                <w:lang w:eastAsia="zh-CN"/>
              </w:rPr>
              <w:t>；</w:t>
            </w:r>
          </w:p>
          <w:p w14:paraId="165BCFEE">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highlight w:val="none"/>
              </w:rPr>
              <w:t>23.可支持导出样品板Excel 表格，可在表格内编辑反应孔相关信息（如样本编号、靶基因类型等）。该 Excel 表格可重新上传至控制分析软件，软件将依据编辑后的信息，自动执行相对定量或绝对定量检测或分析。</w:t>
            </w:r>
          </w:p>
        </w:tc>
        <w:tc>
          <w:tcPr>
            <w:tcW w:w="781" w:type="dxa"/>
            <w:shd w:val="clear" w:color="auto" w:fill="auto"/>
            <w:vAlign w:val="center"/>
          </w:tcPr>
          <w:p w14:paraId="26315354">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val="en-US" w:eastAsia="zh-CN"/>
              </w:rPr>
              <w:t>台</w:t>
            </w:r>
          </w:p>
        </w:tc>
        <w:tc>
          <w:tcPr>
            <w:tcW w:w="794" w:type="dxa"/>
            <w:vAlign w:val="center"/>
          </w:tcPr>
          <w:p w14:paraId="267AAEDE">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工业</w:t>
            </w:r>
          </w:p>
        </w:tc>
        <w:tc>
          <w:tcPr>
            <w:tcW w:w="897" w:type="dxa"/>
            <w:vAlign w:val="center"/>
          </w:tcPr>
          <w:p w14:paraId="033AB8F2">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进口</w:t>
            </w:r>
          </w:p>
        </w:tc>
      </w:tr>
      <w:tr w14:paraId="52591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6B00FFCB">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1230" w:type="dxa"/>
            <w:shd w:val="clear" w:color="auto" w:fill="auto"/>
            <w:vAlign w:val="center"/>
          </w:tcPr>
          <w:p w14:paraId="03F3113B">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双槽梯度PCR仪</w:t>
            </w:r>
          </w:p>
        </w:tc>
        <w:tc>
          <w:tcPr>
            <w:tcW w:w="5175" w:type="dxa"/>
            <w:shd w:val="clear" w:color="auto" w:fill="auto"/>
            <w:vAlign w:val="center"/>
          </w:tcPr>
          <w:p w14:paraId="0470704F">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★1.反应模块：2个48孔模块，每个模块可独立运行和独立控制</w:t>
            </w:r>
            <w:r>
              <w:rPr>
                <w:rFonts w:hint="eastAsia" w:asciiTheme="minorEastAsia" w:hAnsiTheme="minorEastAsia" w:eastAsiaTheme="minorEastAsia" w:cstheme="minorEastAsia"/>
                <w:b/>
                <w:bCs/>
                <w:color w:val="auto"/>
                <w:sz w:val="24"/>
                <w:highlight w:val="none"/>
              </w:rPr>
              <w:t>（投标文件中需提供证明材料）</w:t>
            </w:r>
            <w:r>
              <w:rPr>
                <w:rFonts w:hint="eastAsia" w:asciiTheme="minorEastAsia" w:hAnsiTheme="minorEastAsia" w:eastAsiaTheme="minorEastAsia" w:cstheme="minorEastAsia"/>
                <w:b/>
                <w:bCs/>
                <w:color w:val="auto"/>
                <w:sz w:val="24"/>
                <w:highlight w:val="none"/>
                <w:lang w:eastAsia="zh-CN"/>
              </w:rPr>
              <w:t>；</w:t>
            </w:r>
          </w:p>
          <w:p w14:paraId="0EB74F25">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2.实验体系：1-50μL</w:t>
            </w:r>
            <w:r>
              <w:rPr>
                <w:rFonts w:hint="eastAsia" w:asciiTheme="minorEastAsia" w:hAnsiTheme="minorEastAsia" w:eastAsiaTheme="minorEastAsia" w:cstheme="minorEastAsia"/>
                <w:color w:val="auto"/>
                <w:sz w:val="24"/>
                <w:highlight w:val="none"/>
                <w:lang w:eastAsia="zh-CN"/>
              </w:rPr>
              <w:t>；</w:t>
            </w:r>
          </w:p>
          <w:p w14:paraId="0B8094A6">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 xml:space="preserve">3.最大升降温速度≥4℃/s </w:t>
            </w:r>
            <w:r>
              <w:rPr>
                <w:rFonts w:hint="eastAsia" w:asciiTheme="minorEastAsia" w:hAnsiTheme="minorEastAsia" w:eastAsiaTheme="minorEastAsia" w:cstheme="minorEastAsia"/>
                <w:color w:val="auto"/>
                <w:sz w:val="24"/>
                <w:highlight w:val="none"/>
                <w:lang w:eastAsia="zh-CN"/>
              </w:rPr>
              <w:t>；</w:t>
            </w:r>
          </w:p>
          <w:p w14:paraId="38F7551F">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4.温控范围：4-100℃</w:t>
            </w:r>
            <w:r>
              <w:rPr>
                <w:rFonts w:hint="eastAsia" w:asciiTheme="minorEastAsia" w:hAnsiTheme="minorEastAsia" w:eastAsiaTheme="minorEastAsia" w:cstheme="minorEastAsia"/>
                <w:color w:val="auto"/>
                <w:sz w:val="24"/>
                <w:highlight w:val="none"/>
                <w:lang w:eastAsia="zh-CN"/>
              </w:rPr>
              <w:t>；</w:t>
            </w:r>
          </w:p>
          <w:p w14:paraId="27F71225">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★5.温度准确性：±0.2℃</w:t>
            </w:r>
            <w:r>
              <w:rPr>
                <w:rFonts w:hint="eastAsia" w:asciiTheme="minorEastAsia" w:hAnsiTheme="minorEastAsia" w:eastAsiaTheme="minorEastAsia" w:cstheme="minorEastAsia"/>
                <w:color w:val="auto"/>
                <w:sz w:val="24"/>
                <w:highlight w:val="none"/>
                <w:lang w:eastAsia="zh-CN"/>
              </w:rPr>
              <w:t>；</w:t>
            </w:r>
          </w:p>
          <w:p w14:paraId="61F42606">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6.温度均一性：±0.4℃</w:t>
            </w:r>
            <w:r>
              <w:rPr>
                <w:rFonts w:hint="eastAsia" w:asciiTheme="minorEastAsia" w:hAnsiTheme="minorEastAsia" w:eastAsiaTheme="minorEastAsia" w:cstheme="minorEastAsia"/>
                <w:color w:val="auto"/>
                <w:sz w:val="24"/>
                <w:highlight w:val="none"/>
                <w:lang w:eastAsia="zh-CN"/>
              </w:rPr>
              <w:t>；</w:t>
            </w:r>
          </w:p>
          <w:p w14:paraId="78EDE8A6">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★7.动态温度梯度功能：每个48孔模块都可以同时运行≥8个不同的温度</w:t>
            </w:r>
            <w:r>
              <w:rPr>
                <w:rFonts w:hint="eastAsia" w:asciiTheme="minorEastAsia" w:hAnsiTheme="minorEastAsia" w:eastAsiaTheme="minorEastAsia" w:cstheme="minorEastAsia"/>
                <w:b/>
                <w:bCs/>
                <w:color w:val="auto"/>
                <w:sz w:val="24"/>
                <w:highlight w:val="none"/>
              </w:rPr>
              <w:t>（投标文件中需提供证明材料）</w:t>
            </w:r>
            <w:r>
              <w:rPr>
                <w:rFonts w:hint="eastAsia" w:asciiTheme="minorEastAsia" w:hAnsiTheme="minorEastAsia" w:eastAsiaTheme="minorEastAsia" w:cstheme="minorEastAsia"/>
                <w:b/>
                <w:bCs/>
                <w:color w:val="auto"/>
                <w:sz w:val="24"/>
                <w:highlight w:val="none"/>
                <w:lang w:eastAsia="zh-CN"/>
              </w:rPr>
              <w:t>；</w:t>
            </w:r>
          </w:p>
          <w:p w14:paraId="0771B425">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8.温度梯度范围：30-100℃；温度梯度温差范围：1-24℃</w:t>
            </w:r>
            <w:r>
              <w:rPr>
                <w:rFonts w:hint="eastAsia" w:asciiTheme="minorEastAsia" w:hAnsiTheme="minorEastAsia" w:eastAsiaTheme="minorEastAsia" w:cstheme="minorEastAsia"/>
                <w:color w:val="auto"/>
                <w:sz w:val="24"/>
                <w:highlight w:val="none"/>
                <w:lang w:eastAsia="zh-CN"/>
              </w:rPr>
              <w:t>；</w:t>
            </w:r>
          </w:p>
          <w:p w14:paraId="2FA77F2F">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9.仪器为触摸屏设置，实验过程中实时显示温控及运行状态</w:t>
            </w:r>
            <w:r>
              <w:rPr>
                <w:rFonts w:hint="eastAsia" w:asciiTheme="minorEastAsia" w:hAnsiTheme="minorEastAsia" w:eastAsiaTheme="minorEastAsia" w:cstheme="minorEastAsia"/>
                <w:color w:val="auto"/>
                <w:sz w:val="24"/>
                <w:highlight w:val="none"/>
                <w:lang w:eastAsia="zh-CN"/>
              </w:rPr>
              <w:t>；</w:t>
            </w:r>
          </w:p>
          <w:p w14:paraId="4A32E2B6">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10.LED仪器状态指示灯，直观显示仪器运行状态，如待机、运行、结束、暂停、故障等</w:t>
            </w:r>
            <w:r>
              <w:rPr>
                <w:rFonts w:hint="eastAsia" w:asciiTheme="minorEastAsia" w:hAnsiTheme="minorEastAsia" w:eastAsiaTheme="minorEastAsia" w:cstheme="minorEastAsia"/>
                <w:color w:val="auto"/>
                <w:sz w:val="24"/>
                <w:highlight w:val="none"/>
                <w:lang w:eastAsia="zh-CN"/>
              </w:rPr>
              <w:t>；</w:t>
            </w:r>
          </w:p>
          <w:p w14:paraId="4E4BDC82">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11.一键式自动化热盖（可90°垂直打开），自动感应塑料耗材的高度</w:t>
            </w:r>
            <w:r>
              <w:rPr>
                <w:rFonts w:hint="eastAsia" w:asciiTheme="minorEastAsia" w:hAnsiTheme="minorEastAsia" w:eastAsiaTheme="minorEastAsia" w:cstheme="minorEastAsia"/>
                <w:color w:val="auto"/>
                <w:sz w:val="24"/>
                <w:highlight w:val="none"/>
                <w:lang w:eastAsia="zh-CN"/>
              </w:rPr>
              <w:t>；</w:t>
            </w:r>
          </w:p>
          <w:p w14:paraId="3B4322DB">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12.半导体加热制冷方式</w:t>
            </w:r>
            <w:r>
              <w:rPr>
                <w:rFonts w:hint="eastAsia" w:asciiTheme="minorEastAsia" w:hAnsiTheme="minorEastAsia" w:eastAsiaTheme="minorEastAsia" w:cstheme="minorEastAsia"/>
                <w:color w:val="auto"/>
                <w:sz w:val="24"/>
                <w:highlight w:val="none"/>
                <w:lang w:eastAsia="zh-CN"/>
              </w:rPr>
              <w:t>；</w:t>
            </w:r>
          </w:p>
          <w:p w14:paraId="75882F55">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★13.通过云平台而无需将电脑与仪器进行连接即可提供远程设置、仪器运行监视和数据管理功能，还可通过云平台将反应程序直接发送到仪器，快速启动运行</w:t>
            </w:r>
            <w:r>
              <w:rPr>
                <w:rFonts w:hint="eastAsia" w:asciiTheme="minorEastAsia" w:hAnsiTheme="minorEastAsia" w:eastAsiaTheme="minorEastAsia" w:cstheme="minorEastAsia"/>
                <w:b/>
                <w:bCs/>
                <w:color w:val="auto"/>
                <w:sz w:val="24"/>
                <w:highlight w:val="none"/>
              </w:rPr>
              <w:t>（投标文件中需提供证明材料）</w:t>
            </w:r>
            <w:r>
              <w:rPr>
                <w:rFonts w:hint="eastAsia" w:asciiTheme="minorEastAsia" w:hAnsiTheme="minorEastAsia" w:eastAsiaTheme="minorEastAsia" w:cstheme="minorEastAsia"/>
                <w:b/>
                <w:bCs/>
                <w:color w:val="auto"/>
                <w:sz w:val="24"/>
                <w:highlight w:val="none"/>
                <w:lang w:eastAsia="zh-CN"/>
              </w:rPr>
              <w:t>；</w:t>
            </w:r>
          </w:p>
          <w:p w14:paraId="34E8F242">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14.可设置休眠模式</w:t>
            </w:r>
            <w:r>
              <w:rPr>
                <w:rFonts w:hint="eastAsia" w:asciiTheme="minorEastAsia" w:hAnsiTheme="minorEastAsia" w:eastAsiaTheme="minorEastAsia" w:cstheme="minorEastAsia"/>
                <w:color w:val="auto"/>
                <w:sz w:val="24"/>
                <w:highlight w:val="none"/>
                <w:lang w:eastAsia="zh-CN"/>
              </w:rPr>
              <w:t>；</w:t>
            </w:r>
          </w:p>
          <w:p w14:paraId="4FB1650C">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15.接口：WiFi，USB，以太网；可外接鼠标控制</w:t>
            </w:r>
            <w:r>
              <w:rPr>
                <w:rFonts w:hint="eastAsia" w:asciiTheme="minorEastAsia" w:hAnsiTheme="minorEastAsia" w:eastAsiaTheme="minorEastAsia" w:cstheme="minorEastAsia"/>
                <w:color w:val="auto"/>
                <w:sz w:val="24"/>
                <w:highlight w:val="none"/>
                <w:lang w:eastAsia="zh-CN"/>
              </w:rPr>
              <w:t>；</w:t>
            </w:r>
          </w:p>
          <w:p w14:paraId="75871499">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16.存储：≥4GB；100,000个文件, 包括扩增程序和运行报告。同时可外接USB设备无限拓展存储空间</w:t>
            </w:r>
            <w:r>
              <w:rPr>
                <w:rFonts w:hint="eastAsia" w:asciiTheme="minorEastAsia" w:hAnsiTheme="minorEastAsia" w:eastAsiaTheme="minorEastAsia" w:cstheme="minorEastAsia"/>
                <w:color w:val="auto"/>
                <w:sz w:val="24"/>
                <w:highlight w:val="none"/>
                <w:lang w:eastAsia="zh-CN"/>
              </w:rPr>
              <w:t>；</w:t>
            </w:r>
          </w:p>
          <w:p w14:paraId="67D9F433">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highlight w:val="none"/>
              </w:rPr>
              <w:t>★17.API接口开放，可兼容自动化操作如与自动化移液工作站连用，实现24小时无人值守，同时也可以可用于实验室信息管理系统（LIS）的集成</w:t>
            </w:r>
            <w:r>
              <w:rPr>
                <w:rFonts w:hint="eastAsia" w:asciiTheme="minorEastAsia" w:hAnsiTheme="minorEastAsia" w:eastAsiaTheme="minorEastAsia" w:cstheme="minorEastAsia"/>
                <w:b/>
                <w:bCs/>
                <w:color w:val="auto"/>
                <w:sz w:val="24"/>
                <w:highlight w:val="none"/>
              </w:rPr>
              <w:t>（投标文件中需提供证明材料）</w:t>
            </w:r>
            <w:r>
              <w:rPr>
                <w:rFonts w:hint="eastAsia" w:asciiTheme="minorEastAsia" w:hAnsiTheme="minorEastAsia" w:eastAsiaTheme="minorEastAsia" w:cstheme="minorEastAsia"/>
                <w:color w:val="auto"/>
                <w:sz w:val="24"/>
                <w:highlight w:val="none"/>
              </w:rPr>
              <w:t>。</w:t>
            </w:r>
          </w:p>
        </w:tc>
        <w:tc>
          <w:tcPr>
            <w:tcW w:w="781" w:type="dxa"/>
            <w:shd w:val="clear" w:color="auto" w:fill="auto"/>
            <w:vAlign w:val="center"/>
          </w:tcPr>
          <w:p w14:paraId="71D66233">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val="en-US" w:eastAsia="zh-CN"/>
              </w:rPr>
              <w:t>台</w:t>
            </w:r>
          </w:p>
        </w:tc>
        <w:tc>
          <w:tcPr>
            <w:tcW w:w="794" w:type="dxa"/>
            <w:vAlign w:val="center"/>
          </w:tcPr>
          <w:p w14:paraId="4EA2D9AB">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工业</w:t>
            </w:r>
          </w:p>
        </w:tc>
        <w:tc>
          <w:tcPr>
            <w:tcW w:w="897" w:type="dxa"/>
            <w:vAlign w:val="center"/>
          </w:tcPr>
          <w:p w14:paraId="2F916A9C">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sz w:val="24"/>
                <w:highlight w:val="none"/>
                <w:lang w:val="en-US" w:eastAsia="zh-CN"/>
              </w:rPr>
              <w:t>进口</w:t>
            </w:r>
          </w:p>
        </w:tc>
      </w:tr>
      <w:tr w14:paraId="21B1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7243C337">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w:t>
            </w:r>
          </w:p>
        </w:tc>
        <w:tc>
          <w:tcPr>
            <w:tcW w:w="1230" w:type="dxa"/>
            <w:shd w:val="clear" w:color="auto" w:fill="auto"/>
            <w:vAlign w:val="center"/>
          </w:tcPr>
          <w:p w14:paraId="595AE859">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电穿孔仪</w:t>
            </w:r>
          </w:p>
        </w:tc>
        <w:tc>
          <w:tcPr>
            <w:tcW w:w="5175" w:type="dxa"/>
            <w:shd w:val="clear" w:color="auto" w:fill="auto"/>
            <w:vAlign w:val="center"/>
          </w:tcPr>
          <w:p w14:paraId="48FAEA7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textAlignment w:val="auto"/>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bCs/>
                <w:color w:val="auto"/>
                <w:sz w:val="24"/>
                <w:szCs w:val="20"/>
                <w:highlight w:val="none"/>
              </w:rPr>
              <w:t>■</w:t>
            </w:r>
            <w:r>
              <w:rPr>
                <w:rFonts w:hint="eastAsia" w:asciiTheme="minorEastAsia" w:hAnsiTheme="minorEastAsia" w:eastAsiaTheme="minorEastAsia" w:cstheme="minorEastAsia"/>
                <w:color w:val="auto"/>
                <w:sz w:val="24"/>
                <w:szCs w:val="20"/>
                <w:highlight w:val="none"/>
              </w:rPr>
              <w:t>1.组件及配（备）件：</w:t>
            </w:r>
          </w:p>
          <w:p w14:paraId="6F679E16">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1.1带有方波输出功能的主机1个；</w:t>
            </w:r>
          </w:p>
          <w:p w14:paraId="2F5BE740">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1.2原核细胞组件1个；</w:t>
            </w:r>
          </w:p>
          <w:p w14:paraId="06B721C2">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1.3哺乳动物细胞组件1个；</w:t>
            </w:r>
          </w:p>
          <w:p w14:paraId="4990F992">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 0.1cm电激转化杯5个，0.2cm电激转化杯5个，0.4cm电激转化杯5个。</w:t>
            </w:r>
          </w:p>
          <w:p w14:paraId="07B9B0D3">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2.系统输出波形：指数衰减和方波两种输出。</w:t>
            </w:r>
          </w:p>
          <w:p w14:paraId="518EB880">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3.输出电压：10–3000</w:t>
            </w:r>
            <w:r>
              <w:rPr>
                <w:rFonts w:hint="eastAsia" w:asciiTheme="minorEastAsia" w:hAnsiTheme="minorEastAsia" w:eastAsiaTheme="minorEastAsia" w:cstheme="minorEastAsia"/>
                <w:color w:val="auto"/>
                <w:sz w:val="24"/>
                <w:highlight w:val="none"/>
                <w:lang w:val="en-US" w:eastAsia="zh-CN"/>
              </w:rPr>
              <w:t>V</w:t>
            </w:r>
            <w:r>
              <w:rPr>
                <w:rFonts w:hint="eastAsia" w:asciiTheme="minorEastAsia" w:hAnsiTheme="minorEastAsia" w:eastAsiaTheme="minorEastAsia" w:cstheme="minorEastAsia"/>
                <w:color w:val="auto"/>
                <w:sz w:val="24"/>
                <w:highlight w:val="none"/>
              </w:rPr>
              <w:t>，最小调节量1</w:t>
            </w:r>
            <w:r>
              <w:rPr>
                <w:rFonts w:hint="eastAsia" w:asciiTheme="minorEastAsia" w:hAnsiTheme="minorEastAsia" w:eastAsiaTheme="minorEastAsia" w:cstheme="minorEastAsia"/>
                <w:color w:val="auto"/>
                <w:sz w:val="24"/>
                <w:highlight w:val="none"/>
                <w:lang w:val="en-US" w:eastAsia="zh-CN"/>
              </w:rPr>
              <w:t>V</w:t>
            </w:r>
            <w:r>
              <w:rPr>
                <w:rFonts w:hint="eastAsia" w:asciiTheme="minorEastAsia" w:hAnsiTheme="minorEastAsia" w:eastAsiaTheme="minorEastAsia" w:cstheme="minorEastAsia"/>
                <w:color w:val="auto"/>
                <w:sz w:val="24"/>
                <w:highlight w:val="none"/>
              </w:rPr>
              <w:t>。</w:t>
            </w:r>
          </w:p>
          <w:p w14:paraId="3CE15153">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4.电容容量：10–500</w:t>
            </w:r>
            <w:r>
              <w:rPr>
                <w:rFonts w:hint="eastAsia" w:asciiTheme="minorEastAsia" w:hAnsiTheme="minorEastAsia" w:eastAsiaTheme="minorEastAsia" w:cstheme="minorEastAsia"/>
                <w:color w:val="auto"/>
                <w:sz w:val="24"/>
                <w:highlight w:val="none"/>
                <w:lang w:val="en-US" w:eastAsia="zh-CN"/>
              </w:rPr>
              <w:t>V</w:t>
            </w:r>
            <w:r>
              <w:rPr>
                <w:rFonts w:hint="eastAsia" w:asciiTheme="minorEastAsia" w:hAnsiTheme="minorEastAsia" w:eastAsiaTheme="minorEastAsia" w:cstheme="minorEastAsia"/>
                <w:color w:val="auto"/>
                <w:sz w:val="24"/>
                <w:highlight w:val="none"/>
              </w:rPr>
              <w:t>：25–3275</w:t>
            </w:r>
            <w:r>
              <w:rPr>
                <w:rFonts w:hint="eastAsia" w:asciiTheme="minorEastAsia" w:hAnsiTheme="minorEastAsia" w:eastAsiaTheme="minorEastAsia" w:cstheme="minorEastAsia"/>
                <w:color w:val="auto"/>
                <w:sz w:val="24"/>
                <w:highlight w:val="none"/>
              </w:rPr>
              <w:sym w:font="Symbol" w:char="F06D"/>
            </w:r>
            <w:r>
              <w:rPr>
                <w:rFonts w:hint="eastAsia" w:asciiTheme="minorEastAsia" w:hAnsiTheme="minorEastAsia" w:eastAsiaTheme="minorEastAsia" w:cstheme="minorEastAsia"/>
                <w:color w:val="auto"/>
                <w:sz w:val="24"/>
                <w:highlight w:val="none"/>
              </w:rPr>
              <w:t>F以25</w:t>
            </w:r>
            <w:r>
              <w:rPr>
                <w:rFonts w:hint="eastAsia" w:asciiTheme="minorEastAsia" w:hAnsiTheme="minorEastAsia" w:eastAsiaTheme="minorEastAsia" w:cstheme="minorEastAsia"/>
                <w:color w:val="auto"/>
                <w:sz w:val="24"/>
                <w:highlight w:val="none"/>
              </w:rPr>
              <w:sym w:font="Symbol" w:char="F06D"/>
            </w:r>
            <w:r>
              <w:rPr>
                <w:rFonts w:hint="eastAsia" w:asciiTheme="minorEastAsia" w:hAnsiTheme="minorEastAsia" w:eastAsiaTheme="minorEastAsia" w:cstheme="minorEastAsia"/>
                <w:color w:val="auto"/>
                <w:sz w:val="24"/>
                <w:highlight w:val="none"/>
              </w:rPr>
              <w:t>F 递增，适合哺乳动物细胞需要。500–3000</w:t>
            </w:r>
            <w:r>
              <w:rPr>
                <w:rFonts w:hint="eastAsia" w:asciiTheme="minorEastAsia" w:hAnsiTheme="minorEastAsia" w:eastAsiaTheme="minorEastAsia" w:cstheme="minorEastAsia"/>
                <w:color w:val="auto"/>
                <w:sz w:val="24"/>
                <w:highlight w:val="none"/>
                <w:lang w:val="en-US" w:eastAsia="zh-CN"/>
              </w:rPr>
              <w:t>V</w:t>
            </w:r>
            <w:r>
              <w:rPr>
                <w:rFonts w:hint="eastAsia" w:asciiTheme="minorEastAsia" w:hAnsiTheme="minorEastAsia" w:eastAsiaTheme="minorEastAsia" w:cstheme="minorEastAsia"/>
                <w:color w:val="auto"/>
                <w:sz w:val="24"/>
                <w:highlight w:val="none"/>
              </w:rPr>
              <w:t>：10,25,50</w:t>
            </w:r>
            <w:r>
              <w:rPr>
                <w:rFonts w:hint="eastAsia" w:asciiTheme="minorEastAsia" w:hAnsiTheme="minorEastAsia" w:eastAsiaTheme="minorEastAsia" w:cstheme="minorEastAsia"/>
                <w:color w:val="auto"/>
                <w:sz w:val="24"/>
                <w:highlight w:val="none"/>
              </w:rPr>
              <w:sym w:font="Symbol" w:char="F06D"/>
            </w:r>
            <w:r>
              <w:rPr>
                <w:rFonts w:hint="eastAsia" w:asciiTheme="minorEastAsia" w:hAnsiTheme="minorEastAsia" w:eastAsiaTheme="minorEastAsia" w:cstheme="minorEastAsia"/>
                <w:color w:val="auto"/>
                <w:sz w:val="24"/>
                <w:highlight w:val="none"/>
              </w:rPr>
              <w:t>F三种调节，适应原核细胞要求。</w:t>
            </w:r>
          </w:p>
          <w:p w14:paraId="5F83699A">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5.电阻（并联）：50–1,000</w:t>
            </w:r>
            <w:r>
              <w:rPr>
                <w:rFonts w:hint="eastAsia" w:asciiTheme="minorEastAsia" w:hAnsiTheme="minorEastAsia" w:eastAsiaTheme="minorEastAsia" w:cstheme="minorEastAsia"/>
                <w:color w:val="auto"/>
                <w:sz w:val="24"/>
                <w:highlight w:val="none"/>
              </w:rPr>
              <w:sym w:font="Symbol" w:char="F057"/>
            </w:r>
            <w:r>
              <w:rPr>
                <w:rFonts w:hint="eastAsia" w:asciiTheme="minorEastAsia" w:hAnsiTheme="minorEastAsia" w:eastAsiaTheme="minorEastAsia" w:cstheme="minorEastAsia"/>
                <w:color w:val="auto"/>
                <w:sz w:val="24"/>
                <w:highlight w:val="none"/>
              </w:rPr>
              <w:t>以50</w:t>
            </w:r>
            <w:r>
              <w:rPr>
                <w:rFonts w:hint="eastAsia" w:asciiTheme="minorEastAsia" w:hAnsiTheme="minorEastAsia" w:eastAsiaTheme="minorEastAsia" w:cstheme="minorEastAsia"/>
                <w:color w:val="auto"/>
                <w:sz w:val="24"/>
                <w:highlight w:val="none"/>
              </w:rPr>
              <w:sym w:font="Symbol" w:char="F057"/>
            </w:r>
            <w:r>
              <w:rPr>
                <w:rFonts w:hint="eastAsia" w:asciiTheme="minorEastAsia" w:hAnsiTheme="minorEastAsia" w:eastAsiaTheme="minorEastAsia" w:cstheme="minorEastAsia"/>
                <w:color w:val="auto"/>
                <w:sz w:val="24"/>
                <w:highlight w:val="none"/>
              </w:rPr>
              <w:t>递增，及无限大设置</w:t>
            </w:r>
            <w:r>
              <w:rPr>
                <w:rFonts w:hint="eastAsia" w:asciiTheme="minorEastAsia" w:hAnsiTheme="minorEastAsia" w:eastAsiaTheme="minorEastAsia" w:cstheme="minorEastAsia"/>
                <w:color w:val="auto"/>
                <w:sz w:val="24"/>
                <w:highlight w:val="none"/>
                <w:lang w:eastAsia="zh-CN"/>
              </w:rPr>
              <w:t>。</w:t>
            </w:r>
          </w:p>
          <w:p w14:paraId="4C467FD9">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6.样品电阻：在10–2,500 V时，最小20 </w:t>
            </w:r>
            <w:r>
              <w:rPr>
                <w:rFonts w:hint="eastAsia" w:asciiTheme="minorEastAsia" w:hAnsiTheme="minorEastAsia" w:eastAsiaTheme="minorEastAsia" w:cstheme="minorEastAsia"/>
                <w:color w:val="auto"/>
                <w:sz w:val="24"/>
                <w:highlight w:val="none"/>
              </w:rPr>
              <w:sym w:font="Symbol" w:char="F057"/>
            </w:r>
            <w:r>
              <w:rPr>
                <w:rFonts w:hint="eastAsia" w:asciiTheme="minorEastAsia" w:hAnsiTheme="minorEastAsia" w:eastAsiaTheme="minorEastAsia" w:cstheme="minorEastAsia"/>
                <w:color w:val="auto"/>
                <w:sz w:val="24"/>
                <w:highlight w:val="none"/>
              </w:rPr>
              <w:t xml:space="preserve">  在2,500 – 3,000 V时，最小600 </w:t>
            </w:r>
            <w:r>
              <w:rPr>
                <w:rFonts w:hint="eastAsia" w:asciiTheme="minorEastAsia" w:hAnsiTheme="minorEastAsia" w:eastAsiaTheme="minorEastAsia" w:cstheme="minorEastAsia"/>
                <w:color w:val="auto"/>
                <w:sz w:val="24"/>
                <w:highlight w:val="none"/>
              </w:rPr>
              <w:sym w:font="Symbol" w:char="F057"/>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 xml:space="preserve"> </w:t>
            </w:r>
          </w:p>
          <w:p w14:paraId="06376025">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7.方波放电时间：10–500V档位:持续时间0.05–10ms时，以0.05ms递增，持续时间10–100ms时，以1ms递增，可设1–10次脉冲重复，0.1–10sec间隔；500–3000V档位: 持续时间0.05–5ms时，以0.05ms递增，可设1–2 次脉冲重复，5sec最小间隔</w:t>
            </w:r>
            <w:r>
              <w:rPr>
                <w:rFonts w:hint="eastAsia" w:asciiTheme="minorEastAsia" w:hAnsiTheme="minorEastAsia" w:eastAsiaTheme="minorEastAsia" w:cstheme="minorEastAsia"/>
                <w:color w:val="auto"/>
                <w:sz w:val="24"/>
                <w:highlight w:val="none"/>
                <w:lang w:eastAsia="zh-CN"/>
              </w:rPr>
              <w:t>。</w:t>
            </w:r>
          </w:p>
          <w:p w14:paraId="20803902">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8.主机：</w:t>
            </w:r>
          </w:p>
          <w:p w14:paraId="09F2CEFD">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8.1.输出波形：指数衰减和方波两种输出波形</w:t>
            </w:r>
            <w:r>
              <w:rPr>
                <w:rFonts w:hint="eastAsia" w:asciiTheme="minorEastAsia" w:hAnsiTheme="minorEastAsia" w:eastAsiaTheme="minorEastAsia" w:cstheme="minorEastAsia"/>
                <w:color w:val="auto"/>
                <w:sz w:val="24"/>
                <w:highlight w:val="none"/>
                <w:lang w:eastAsia="zh-CN"/>
              </w:rPr>
              <w:t>；</w:t>
            </w:r>
          </w:p>
          <w:p w14:paraId="280E06FC">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8.2.输出电压：200 – 3,000</w:t>
            </w:r>
            <w:r>
              <w:rPr>
                <w:rFonts w:hint="eastAsia" w:asciiTheme="minorEastAsia" w:hAnsiTheme="minorEastAsia" w:eastAsiaTheme="minorEastAsia" w:cstheme="minorEastAsia"/>
                <w:color w:val="auto"/>
                <w:sz w:val="24"/>
                <w:highlight w:val="none"/>
                <w:lang w:val="en-US" w:eastAsia="zh-CN"/>
              </w:rPr>
              <w:t>V</w:t>
            </w:r>
            <w:r>
              <w:rPr>
                <w:rFonts w:hint="eastAsia" w:asciiTheme="minorEastAsia" w:hAnsiTheme="minorEastAsia" w:eastAsiaTheme="minorEastAsia" w:cstheme="minorEastAsia"/>
                <w:color w:val="auto"/>
                <w:sz w:val="24"/>
                <w:highlight w:val="none"/>
                <w:lang w:eastAsia="zh-CN"/>
              </w:rPr>
              <w:t>；</w:t>
            </w:r>
          </w:p>
          <w:p w14:paraId="4C6444D8">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 xml:space="preserve">8.3.放电容量：10, 25, 50 </w:t>
            </w:r>
            <w:r>
              <w:rPr>
                <w:rFonts w:hint="eastAsia" w:asciiTheme="minorEastAsia" w:hAnsiTheme="minorEastAsia" w:eastAsiaTheme="minorEastAsia" w:cstheme="minorEastAsia"/>
                <w:color w:val="auto"/>
                <w:sz w:val="24"/>
                <w:highlight w:val="none"/>
              </w:rPr>
              <w:sym w:font="Symbol" w:char="F06D"/>
            </w:r>
            <w:r>
              <w:rPr>
                <w:rFonts w:hint="eastAsia" w:asciiTheme="minorEastAsia" w:hAnsiTheme="minorEastAsia" w:eastAsiaTheme="minorEastAsia" w:cstheme="minorEastAsia"/>
                <w:color w:val="auto"/>
                <w:sz w:val="24"/>
                <w:highlight w:val="none"/>
              </w:rPr>
              <w:t>F，三档调节</w:t>
            </w:r>
            <w:r>
              <w:rPr>
                <w:rFonts w:hint="eastAsia" w:asciiTheme="minorEastAsia" w:hAnsiTheme="minorEastAsia" w:eastAsiaTheme="minorEastAsia" w:cstheme="minorEastAsia"/>
                <w:color w:val="auto"/>
                <w:sz w:val="24"/>
                <w:highlight w:val="none"/>
                <w:lang w:eastAsia="zh-CN"/>
              </w:rPr>
              <w:t>；</w:t>
            </w:r>
          </w:p>
          <w:p w14:paraId="1CCA63BD">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8.4.样品电阻：最小20</w:t>
            </w:r>
            <w:r>
              <w:rPr>
                <w:rFonts w:hint="eastAsia" w:asciiTheme="minorEastAsia" w:hAnsiTheme="minorEastAsia" w:eastAsiaTheme="minorEastAsia" w:cstheme="minorEastAsia"/>
                <w:color w:val="auto"/>
                <w:sz w:val="24"/>
                <w:highlight w:val="none"/>
              </w:rPr>
              <w:sym w:font="Symbol" w:char="F057"/>
            </w:r>
            <w:r>
              <w:rPr>
                <w:rFonts w:hint="eastAsia" w:asciiTheme="minorEastAsia" w:hAnsiTheme="minorEastAsia" w:eastAsiaTheme="minorEastAsia" w:cstheme="minorEastAsia"/>
                <w:color w:val="auto"/>
                <w:sz w:val="24"/>
                <w:highlight w:val="none"/>
              </w:rPr>
              <w:t>，在10–2500V档位， 最小600</w:t>
            </w:r>
            <w:r>
              <w:rPr>
                <w:rFonts w:hint="eastAsia" w:asciiTheme="minorEastAsia" w:hAnsiTheme="minorEastAsia" w:eastAsiaTheme="minorEastAsia" w:cstheme="minorEastAsia"/>
                <w:color w:val="auto"/>
                <w:sz w:val="24"/>
                <w:highlight w:val="none"/>
              </w:rPr>
              <w:sym w:font="Symbol" w:char="F057"/>
            </w:r>
            <w:r>
              <w:rPr>
                <w:rFonts w:hint="eastAsia" w:asciiTheme="minorEastAsia" w:hAnsiTheme="minorEastAsia" w:eastAsiaTheme="minorEastAsia" w:cstheme="minorEastAsia"/>
                <w:color w:val="auto"/>
                <w:sz w:val="24"/>
                <w:highlight w:val="none"/>
              </w:rPr>
              <w:t>，在2500–3000V档位</w:t>
            </w:r>
            <w:r>
              <w:rPr>
                <w:rFonts w:hint="eastAsia" w:asciiTheme="minorEastAsia" w:hAnsiTheme="minorEastAsia" w:eastAsiaTheme="minorEastAsia" w:cstheme="minorEastAsia"/>
                <w:color w:val="auto"/>
                <w:sz w:val="24"/>
                <w:highlight w:val="none"/>
                <w:lang w:eastAsia="zh-CN"/>
              </w:rPr>
              <w:t>；</w:t>
            </w:r>
          </w:p>
          <w:p w14:paraId="1A4056CA">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8.5.方波放电时间：持续时间0.05–5ms时，以0.05ms递增，可设1–2次脉冲重复，5sec最小间隔；</w:t>
            </w:r>
          </w:p>
          <w:p w14:paraId="799309D2">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8.6.实验方法预存：≥24种程序预设；</w:t>
            </w:r>
          </w:p>
          <w:p w14:paraId="0F9E7239">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8.7.用户自定义方法储存：≥144个程序方便储存实验方法；</w:t>
            </w:r>
          </w:p>
          <w:p w14:paraId="1F8C0DAB">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8.8.脉冲波形检测：实时监测并显示脉冲波形</w:t>
            </w:r>
            <w:r>
              <w:rPr>
                <w:rFonts w:hint="eastAsia" w:asciiTheme="minorEastAsia" w:hAnsiTheme="minorEastAsia" w:eastAsiaTheme="minorEastAsia" w:cstheme="minorEastAsia"/>
                <w:color w:val="auto"/>
                <w:sz w:val="24"/>
                <w:highlight w:val="none"/>
                <w:lang w:eastAsia="zh-CN"/>
              </w:rPr>
              <w:t>。</w:t>
            </w:r>
          </w:p>
          <w:p w14:paraId="1D25D0C7">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9.原核细胞系统</w:t>
            </w:r>
          </w:p>
          <w:p w14:paraId="122E0F5C">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9.1输出波形：指数衰减或方波</w:t>
            </w:r>
            <w:r>
              <w:rPr>
                <w:rFonts w:hint="eastAsia" w:asciiTheme="minorEastAsia" w:hAnsiTheme="minorEastAsia" w:eastAsiaTheme="minorEastAsia" w:cstheme="minorEastAsia"/>
                <w:color w:val="auto"/>
                <w:sz w:val="24"/>
                <w:highlight w:val="none"/>
                <w:lang w:eastAsia="zh-CN"/>
              </w:rPr>
              <w:t>；</w:t>
            </w:r>
          </w:p>
          <w:p w14:paraId="00247383">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9.2输出电压：200 – 3,000</w:t>
            </w:r>
            <w:r>
              <w:rPr>
                <w:rFonts w:hint="eastAsia" w:asciiTheme="minorEastAsia" w:hAnsiTheme="minorEastAsia" w:eastAsiaTheme="minorEastAsia" w:cstheme="minorEastAsia"/>
                <w:color w:val="auto"/>
                <w:sz w:val="24"/>
                <w:highlight w:val="none"/>
                <w:lang w:val="en-US" w:eastAsia="zh-CN"/>
              </w:rPr>
              <w:t>V</w:t>
            </w:r>
            <w:r>
              <w:rPr>
                <w:rFonts w:hint="eastAsia" w:asciiTheme="minorEastAsia" w:hAnsiTheme="minorEastAsia" w:eastAsiaTheme="minorEastAsia" w:cstheme="minorEastAsia"/>
                <w:color w:val="auto"/>
                <w:sz w:val="24"/>
                <w:highlight w:val="none"/>
                <w:lang w:eastAsia="zh-CN"/>
              </w:rPr>
              <w:t>；</w:t>
            </w:r>
          </w:p>
          <w:p w14:paraId="1E5BC5A2">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 xml:space="preserve">9.3放电容量： 10, 25, 50 </w:t>
            </w:r>
            <w:r>
              <w:rPr>
                <w:rFonts w:hint="eastAsia" w:asciiTheme="minorEastAsia" w:hAnsiTheme="minorEastAsia" w:eastAsiaTheme="minorEastAsia" w:cstheme="minorEastAsia"/>
                <w:color w:val="auto"/>
                <w:sz w:val="24"/>
                <w:highlight w:val="none"/>
              </w:rPr>
              <w:sym w:font="Symbol" w:char="F06D"/>
            </w:r>
            <w:r>
              <w:rPr>
                <w:rFonts w:hint="eastAsia" w:asciiTheme="minorEastAsia" w:hAnsiTheme="minorEastAsia" w:eastAsiaTheme="minorEastAsia" w:cstheme="minorEastAsia"/>
                <w:color w:val="auto"/>
                <w:sz w:val="24"/>
                <w:highlight w:val="none"/>
              </w:rPr>
              <w:t>F</w:t>
            </w:r>
            <w:r>
              <w:rPr>
                <w:rFonts w:hint="eastAsia" w:asciiTheme="minorEastAsia" w:hAnsiTheme="minorEastAsia" w:eastAsiaTheme="minorEastAsia" w:cstheme="minorEastAsia"/>
                <w:color w:val="auto"/>
                <w:sz w:val="24"/>
                <w:highlight w:val="none"/>
                <w:lang w:eastAsia="zh-CN"/>
              </w:rPr>
              <w:t>；</w:t>
            </w:r>
          </w:p>
          <w:p w14:paraId="2B0A75F5">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 xml:space="preserve">9.4.样品电阻：在10 – 2,500 V ，20 </w:t>
            </w:r>
            <w:r>
              <w:rPr>
                <w:rFonts w:hint="eastAsia" w:asciiTheme="minorEastAsia" w:hAnsiTheme="minorEastAsia" w:eastAsiaTheme="minorEastAsia" w:cstheme="minorEastAsia"/>
                <w:color w:val="auto"/>
                <w:sz w:val="24"/>
                <w:highlight w:val="none"/>
              </w:rPr>
              <w:sym w:font="Symbol" w:char="F057"/>
            </w:r>
            <w:r>
              <w:rPr>
                <w:rFonts w:hint="eastAsia" w:asciiTheme="minorEastAsia" w:hAnsiTheme="minorEastAsia" w:eastAsiaTheme="minorEastAsia" w:cstheme="minorEastAsia"/>
                <w:color w:val="auto"/>
                <w:sz w:val="24"/>
                <w:highlight w:val="none"/>
              </w:rPr>
              <w:t xml:space="preserve">最小；在2,500 – 3,000 V，600 </w:t>
            </w:r>
            <w:r>
              <w:rPr>
                <w:rFonts w:hint="eastAsia" w:asciiTheme="minorEastAsia" w:hAnsiTheme="minorEastAsia" w:eastAsiaTheme="minorEastAsia" w:cstheme="minorEastAsia"/>
                <w:color w:val="auto"/>
                <w:sz w:val="24"/>
                <w:highlight w:val="none"/>
              </w:rPr>
              <w:sym w:font="Symbol" w:char="F057"/>
            </w:r>
            <w:r>
              <w:rPr>
                <w:rFonts w:hint="eastAsia" w:asciiTheme="minorEastAsia" w:hAnsiTheme="minorEastAsia" w:eastAsiaTheme="minorEastAsia" w:cstheme="minorEastAsia"/>
                <w:color w:val="auto"/>
                <w:sz w:val="24"/>
                <w:highlight w:val="none"/>
              </w:rPr>
              <w:t>最小</w:t>
            </w:r>
            <w:r>
              <w:rPr>
                <w:rFonts w:hint="eastAsia" w:asciiTheme="minorEastAsia" w:hAnsiTheme="minorEastAsia" w:eastAsiaTheme="minorEastAsia" w:cstheme="minorEastAsia"/>
                <w:color w:val="auto"/>
                <w:sz w:val="24"/>
                <w:highlight w:val="none"/>
                <w:lang w:eastAsia="zh-CN"/>
              </w:rPr>
              <w:t>；</w:t>
            </w:r>
          </w:p>
          <w:p w14:paraId="1334D7E0">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9.5.方波放电时间：持续时间0.05 – 5 ms以0.05 ms递增，1 – 2 次脉冲， 5 sec 最小间隔</w:t>
            </w:r>
            <w:r>
              <w:rPr>
                <w:rFonts w:hint="eastAsia" w:asciiTheme="minorEastAsia" w:hAnsiTheme="minorEastAsia" w:eastAsiaTheme="minorEastAsia" w:cstheme="minorEastAsia"/>
                <w:color w:val="auto"/>
                <w:sz w:val="24"/>
                <w:highlight w:val="none"/>
                <w:lang w:eastAsia="zh-CN"/>
              </w:rPr>
              <w:t>。</w:t>
            </w:r>
          </w:p>
          <w:p w14:paraId="53D78336">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10.哺乳动物系统:</w:t>
            </w:r>
            <w:r>
              <w:rPr>
                <w:rFonts w:hint="eastAsia" w:asciiTheme="minorEastAsia" w:hAnsiTheme="minorEastAsia" w:eastAsiaTheme="minorEastAsia" w:cstheme="minorEastAsia"/>
                <w:b/>
                <w:bCs/>
                <w:color w:val="auto"/>
                <w:sz w:val="24"/>
                <w:highlight w:val="none"/>
              </w:rPr>
              <w:tab/>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ab/>
            </w:r>
          </w:p>
          <w:p w14:paraId="0C199396">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10.1系统输出波形：指数衰减和方波两种输出，适合不同应用需要</w:t>
            </w:r>
            <w:r>
              <w:rPr>
                <w:rFonts w:hint="eastAsia" w:asciiTheme="minorEastAsia" w:hAnsiTheme="minorEastAsia" w:eastAsiaTheme="minorEastAsia" w:cstheme="minorEastAsia"/>
                <w:color w:val="auto"/>
                <w:sz w:val="24"/>
                <w:highlight w:val="none"/>
                <w:lang w:eastAsia="zh-CN"/>
              </w:rPr>
              <w:t>；</w:t>
            </w:r>
          </w:p>
          <w:p w14:paraId="3D55DB53">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10.2输出电压：10–3000</w:t>
            </w:r>
            <w:r>
              <w:rPr>
                <w:rFonts w:hint="eastAsia" w:asciiTheme="minorEastAsia" w:hAnsiTheme="minorEastAsia" w:eastAsiaTheme="minorEastAsia" w:cstheme="minorEastAsia"/>
                <w:color w:val="auto"/>
                <w:sz w:val="24"/>
                <w:highlight w:val="none"/>
                <w:lang w:val="en-US" w:eastAsia="zh-CN"/>
              </w:rPr>
              <w:t>V</w:t>
            </w:r>
            <w:r>
              <w:rPr>
                <w:rFonts w:hint="eastAsia" w:asciiTheme="minorEastAsia" w:hAnsiTheme="minorEastAsia" w:eastAsiaTheme="minorEastAsia" w:cstheme="minorEastAsia"/>
                <w:color w:val="auto"/>
                <w:sz w:val="24"/>
                <w:highlight w:val="none"/>
              </w:rPr>
              <w:t>，最小调节量1</w:t>
            </w:r>
            <w:r>
              <w:rPr>
                <w:rFonts w:hint="eastAsia" w:asciiTheme="minorEastAsia" w:hAnsiTheme="minorEastAsia" w:eastAsiaTheme="minorEastAsia" w:cstheme="minorEastAsia"/>
                <w:color w:val="auto"/>
                <w:sz w:val="24"/>
                <w:highlight w:val="none"/>
                <w:lang w:val="en-US" w:eastAsia="zh-CN"/>
              </w:rPr>
              <w:t>V</w:t>
            </w:r>
            <w:r>
              <w:rPr>
                <w:rFonts w:hint="eastAsia" w:asciiTheme="minorEastAsia" w:hAnsiTheme="minorEastAsia" w:eastAsiaTheme="minorEastAsia" w:cstheme="minorEastAsia"/>
                <w:color w:val="auto"/>
                <w:sz w:val="24"/>
                <w:highlight w:val="none"/>
                <w:lang w:eastAsia="zh-CN"/>
              </w:rPr>
              <w:t>；</w:t>
            </w:r>
          </w:p>
          <w:p w14:paraId="1803885A">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10.3电容容量：10–500</w:t>
            </w:r>
            <w:r>
              <w:rPr>
                <w:rFonts w:hint="eastAsia" w:asciiTheme="minorEastAsia" w:hAnsiTheme="minorEastAsia" w:eastAsiaTheme="minorEastAsia" w:cstheme="minorEastAsia"/>
                <w:color w:val="auto"/>
                <w:sz w:val="24"/>
                <w:highlight w:val="none"/>
                <w:lang w:val="en-US" w:eastAsia="zh-CN"/>
              </w:rPr>
              <w:t>V</w:t>
            </w:r>
            <w:r>
              <w:rPr>
                <w:rFonts w:hint="eastAsia" w:asciiTheme="minorEastAsia" w:hAnsiTheme="minorEastAsia" w:eastAsiaTheme="minorEastAsia" w:cstheme="minorEastAsia"/>
                <w:color w:val="auto"/>
                <w:sz w:val="24"/>
                <w:highlight w:val="none"/>
              </w:rPr>
              <w:t>：25–3275</w:t>
            </w:r>
            <w:r>
              <w:rPr>
                <w:rFonts w:hint="eastAsia" w:asciiTheme="minorEastAsia" w:hAnsiTheme="minorEastAsia" w:eastAsiaTheme="minorEastAsia" w:cstheme="minorEastAsia"/>
                <w:color w:val="auto"/>
                <w:sz w:val="24"/>
                <w:highlight w:val="none"/>
              </w:rPr>
              <w:sym w:font="Symbol" w:char="F06D"/>
            </w:r>
            <w:r>
              <w:rPr>
                <w:rFonts w:hint="eastAsia" w:asciiTheme="minorEastAsia" w:hAnsiTheme="minorEastAsia" w:eastAsiaTheme="minorEastAsia" w:cstheme="minorEastAsia"/>
                <w:color w:val="auto"/>
                <w:sz w:val="24"/>
                <w:highlight w:val="none"/>
              </w:rPr>
              <w:t>F以25</w:t>
            </w:r>
            <w:r>
              <w:rPr>
                <w:rFonts w:hint="eastAsia" w:asciiTheme="minorEastAsia" w:hAnsiTheme="minorEastAsia" w:eastAsiaTheme="minorEastAsia" w:cstheme="minorEastAsia"/>
                <w:color w:val="auto"/>
                <w:sz w:val="24"/>
                <w:highlight w:val="none"/>
              </w:rPr>
              <w:sym w:font="Symbol" w:char="F06D"/>
            </w:r>
            <w:r>
              <w:rPr>
                <w:rFonts w:hint="eastAsia" w:asciiTheme="minorEastAsia" w:hAnsiTheme="minorEastAsia" w:eastAsiaTheme="minorEastAsia" w:cstheme="minorEastAsia"/>
                <w:color w:val="auto"/>
                <w:sz w:val="24"/>
                <w:highlight w:val="none"/>
              </w:rPr>
              <w:t>F 递增，适合哺乳动物细胞需要。500–3000</w:t>
            </w:r>
            <w:r>
              <w:rPr>
                <w:rFonts w:hint="eastAsia" w:asciiTheme="minorEastAsia" w:hAnsiTheme="minorEastAsia" w:eastAsiaTheme="minorEastAsia" w:cstheme="minorEastAsia"/>
                <w:color w:val="auto"/>
                <w:sz w:val="24"/>
                <w:highlight w:val="none"/>
                <w:lang w:val="en-US" w:eastAsia="zh-CN"/>
              </w:rPr>
              <w:t>V</w:t>
            </w:r>
            <w:r>
              <w:rPr>
                <w:rFonts w:hint="eastAsia" w:asciiTheme="minorEastAsia" w:hAnsiTheme="minorEastAsia" w:eastAsiaTheme="minorEastAsia" w:cstheme="minorEastAsia"/>
                <w:color w:val="auto"/>
                <w:sz w:val="24"/>
                <w:highlight w:val="none"/>
              </w:rPr>
              <w:t xml:space="preserve">：10, 25, 50 </w:t>
            </w:r>
            <w:r>
              <w:rPr>
                <w:rFonts w:hint="eastAsia" w:asciiTheme="minorEastAsia" w:hAnsiTheme="minorEastAsia" w:eastAsiaTheme="minorEastAsia" w:cstheme="minorEastAsia"/>
                <w:color w:val="auto"/>
                <w:sz w:val="24"/>
                <w:highlight w:val="none"/>
              </w:rPr>
              <w:sym w:font="Symbol" w:char="F06D"/>
            </w:r>
            <w:r>
              <w:rPr>
                <w:rFonts w:hint="eastAsia" w:asciiTheme="minorEastAsia" w:hAnsiTheme="minorEastAsia" w:eastAsiaTheme="minorEastAsia" w:cstheme="minorEastAsia"/>
                <w:color w:val="auto"/>
                <w:sz w:val="24"/>
                <w:highlight w:val="none"/>
              </w:rPr>
              <w:t>F三种调节，适应原核细胞要求</w:t>
            </w:r>
            <w:r>
              <w:rPr>
                <w:rFonts w:hint="eastAsia" w:asciiTheme="minorEastAsia" w:hAnsiTheme="minorEastAsia" w:eastAsiaTheme="minorEastAsia" w:cstheme="minorEastAsia"/>
                <w:color w:val="auto"/>
                <w:sz w:val="24"/>
                <w:highlight w:val="none"/>
                <w:lang w:eastAsia="zh-CN"/>
              </w:rPr>
              <w:t>；</w:t>
            </w:r>
          </w:p>
          <w:p w14:paraId="72D15D22">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10.4.样品电阻：在10–2500V时，最小20</w:t>
            </w:r>
            <w:r>
              <w:rPr>
                <w:rFonts w:hint="eastAsia" w:asciiTheme="minorEastAsia" w:hAnsiTheme="minorEastAsia" w:eastAsiaTheme="minorEastAsia" w:cstheme="minorEastAsia"/>
                <w:color w:val="auto"/>
                <w:sz w:val="24"/>
                <w:highlight w:val="none"/>
              </w:rPr>
              <w:sym w:font="Symbol" w:char="F057"/>
            </w:r>
            <w:r>
              <w:rPr>
                <w:rFonts w:hint="eastAsia" w:asciiTheme="minorEastAsia" w:hAnsiTheme="minorEastAsia" w:eastAsiaTheme="minorEastAsia" w:cstheme="minorEastAsia"/>
                <w:color w:val="auto"/>
                <w:sz w:val="24"/>
                <w:highlight w:val="none"/>
              </w:rPr>
              <w:t>在2500–3000V时，最小600</w:t>
            </w:r>
            <w:r>
              <w:rPr>
                <w:rFonts w:hint="eastAsia" w:asciiTheme="minorEastAsia" w:hAnsiTheme="minorEastAsia" w:eastAsiaTheme="minorEastAsia" w:cstheme="minorEastAsia"/>
                <w:color w:val="auto"/>
                <w:sz w:val="24"/>
                <w:highlight w:val="none"/>
              </w:rPr>
              <w:sym w:font="Symbol" w:char="F057"/>
            </w:r>
            <w:r>
              <w:rPr>
                <w:rFonts w:hint="eastAsia" w:asciiTheme="minorEastAsia" w:hAnsiTheme="minorEastAsia" w:eastAsiaTheme="minorEastAsia" w:cstheme="minorEastAsia"/>
                <w:color w:val="auto"/>
                <w:sz w:val="24"/>
                <w:highlight w:val="none"/>
                <w:lang w:eastAsia="zh-CN"/>
              </w:rPr>
              <w:t>；</w:t>
            </w:r>
          </w:p>
          <w:p w14:paraId="4C87438E">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highlight w:val="none"/>
              </w:rPr>
              <w:t>10.5.方波放电时间：10–500V档位:持续时间0.05–10ms时，以0.05ms递增，持续时间10 –100ms时，以1ms递增，可设1–10次脉冲重复，0.1–10sec间隔；500–3000V档位:持续时间0.05–5ms时，以0.05ms递增，可设1–2次脉冲重复，5sec最小间隔</w:t>
            </w:r>
            <w:r>
              <w:rPr>
                <w:rFonts w:hint="eastAsia" w:asciiTheme="minorEastAsia" w:hAnsiTheme="minorEastAsia" w:eastAsiaTheme="minorEastAsia" w:cstheme="minorEastAsia"/>
                <w:color w:val="auto"/>
                <w:sz w:val="24"/>
                <w:highlight w:val="none"/>
                <w:lang w:eastAsia="zh-CN"/>
              </w:rPr>
              <w:t>。</w:t>
            </w:r>
          </w:p>
        </w:tc>
        <w:tc>
          <w:tcPr>
            <w:tcW w:w="781" w:type="dxa"/>
            <w:shd w:val="clear" w:color="auto" w:fill="auto"/>
            <w:vAlign w:val="center"/>
          </w:tcPr>
          <w:p w14:paraId="094E31AA">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val="en-US" w:eastAsia="zh-CN"/>
              </w:rPr>
              <w:t>台</w:t>
            </w:r>
          </w:p>
        </w:tc>
        <w:tc>
          <w:tcPr>
            <w:tcW w:w="794" w:type="dxa"/>
            <w:vAlign w:val="center"/>
          </w:tcPr>
          <w:p w14:paraId="2AE753CF">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sz w:val="24"/>
                <w:highlight w:val="none"/>
                <w:lang w:val="en-US" w:eastAsia="zh-CN"/>
              </w:rPr>
              <w:t>工业</w:t>
            </w:r>
          </w:p>
        </w:tc>
        <w:tc>
          <w:tcPr>
            <w:tcW w:w="897" w:type="dxa"/>
            <w:vAlign w:val="center"/>
          </w:tcPr>
          <w:p w14:paraId="1621874E">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sz w:val="24"/>
                <w:highlight w:val="none"/>
                <w:lang w:val="en-US" w:eastAsia="zh-CN"/>
              </w:rPr>
              <w:t>进口</w:t>
            </w:r>
          </w:p>
        </w:tc>
      </w:tr>
      <w:tr w14:paraId="2F8B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75BDFEA4">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4</w:t>
            </w:r>
          </w:p>
        </w:tc>
        <w:tc>
          <w:tcPr>
            <w:tcW w:w="1230" w:type="dxa"/>
            <w:shd w:val="clear" w:color="auto" w:fill="auto"/>
            <w:vAlign w:val="center"/>
          </w:tcPr>
          <w:p w14:paraId="7F070E64">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凝胶成像系统</w:t>
            </w:r>
          </w:p>
        </w:tc>
        <w:tc>
          <w:tcPr>
            <w:tcW w:w="5175" w:type="dxa"/>
            <w:shd w:val="clear" w:color="auto" w:fill="auto"/>
            <w:vAlign w:val="center"/>
          </w:tcPr>
          <w:p w14:paraId="122135C1">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1.功能涵盖：核酸凝胶成像，蛋白凝胶成像，免染成像等。</w:t>
            </w:r>
          </w:p>
          <w:p w14:paraId="23A21614">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★2.支持免染成像功能：可以实现样品蛋白质条带电泳结束之后直接成像，无需固定、染色和脱色。</w:t>
            </w:r>
          </w:p>
          <w:p w14:paraId="5D0A7167">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★3.检测器：CMOS检测器，分辨率≥600万像素。</w:t>
            </w:r>
            <w:r>
              <w:rPr>
                <w:rFonts w:hint="eastAsia" w:asciiTheme="minorEastAsia" w:hAnsiTheme="minorEastAsia" w:eastAsiaTheme="minorEastAsia" w:cstheme="minorEastAsia"/>
                <w:b/>
                <w:bCs/>
                <w:color w:val="auto"/>
                <w:sz w:val="24"/>
                <w:highlight w:val="none"/>
              </w:rPr>
              <w:t>（投标文件中需提供证明材料）</w:t>
            </w:r>
          </w:p>
          <w:p w14:paraId="560781EF">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★4.光源：配置反射白光和302 nm透射紫外。</w:t>
            </w:r>
            <w:r>
              <w:rPr>
                <w:rFonts w:hint="eastAsia" w:asciiTheme="minorEastAsia" w:hAnsiTheme="minorEastAsia" w:eastAsiaTheme="minorEastAsia" w:cstheme="minorEastAsia"/>
                <w:b/>
                <w:bCs/>
                <w:color w:val="auto"/>
                <w:sz w:val="24"/>
                <w:highlight w:val="none"/>
              </w:rPr>
              <w:t>（投标文件中需提供证明材料）</w:t>
            </w:r>
          </w:p>
          <w:p w14:paraId="3B2FCE58">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5.自动对焦：全缩放设置范围内的预校准自动对焦。</w:t>
            </w:r>
          </w:p>
          <w:p w14:paraId="5DE8C7C5">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6.图像平场校正：动态，对每个应用进行预校准和优化。</w:t>
            </w:r>
          </w:p>
          <w:p w14:paraId="24F15C1C">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7.最大成像面积≥14×21cm。</w:t>
            </w:r>
          </w:p>
          <w:p w14:paraId="195B2B96">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8.支持曝光模式：包括自动模式、手动模式、1S预览模式。</w:t>
            </w:r>
          </w:p>
          <w:p w14:paraId="1D8A0682">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9.仪器采用触摸屏控制，支持多点触控功能。</w:t>
            </w:r>
          </w:p>
          <w:p w14:paraId="012BAE1E">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★10.智能样品盘：系统自动识别插入的样品盘类型并自动选择成像功能，并相应的调整成像参数和软件选项。</w:t>
            </w:r>
            <w:r>
              <w:rPr>
                <w:rFonts w:hint="eastAsia" w:asciiTheme="minorEastAsia" w:hAnsiTheme="minorEastAsia" w:eastAsiaTheme="minorEastAsia" w:cstheme="minorEastAsia"/>
                <w:b/>
                <w:bCs/>
                <w:color w:val="auto"/>
                <w:sz w:val="24"/>
                <w:highlight w:val="none"/>
              </w:rPr>
              <w:t>（投标文件中需提供证明材料）</w:t>
            </w:r>
          </w:p>
          <w:p w14:paraId="31C844BF">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11.仪器支持切胶回收。</w:t>
            </w:r>
          </w:p>
          <w:p w14:paraId="74581911">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12.16bit数据采集（65,536灰度级），动力学范围≥3.5OD。</w:t>
            </w:r>
          </w:p>
          <w:p w14:paraId="1DDB9D2F">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13.数据输出：16位或者8位，支持格式为TIFF、JPEG或其它可溯源格式图像文件。</w:t>
            </w:r>
          </w:p>
          <w:p w14:paraId="68F62F43">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★14.仪器支持多用户操作，各用户可分别设置用户名及密码。</w:t>
            </w:r>
            <w:r>
              <w:rPr>
                <w:rFonts w:hint="eastAsia" w:asciiTheme="minorEastAsia" w:hAnsiTheme="minorEastAsia" w:eastAsiaTheme="minorEastAsia" w:cstheme="minorEastAsia"/>
                <w:b/>
                <w:bCs/>
                <w:color w:val="auto"/>
                <w:sz w:val="24"/>
                <w:highlight w:val="none"/>
              </w:rPr>
              <w:t>（投标文件中需提供证明材料）</w:t>
            </w:r>
          </w:p>
          <w:p w14:paraId="5EA41863">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自动条带检测、自动分子量测算、自动条带浓度测算、相对含量百分数分析、绝对浓度/密度计算、多幅图像合并显示并分析、显示过饱和像素保证精确定量、12种预设染料颜色标记显示及输出、添加各种格式的文字注释。</w:t>
            </w:r>
          </w:p>
          <w:p w14:paraId="6D68CC19">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★16.软件支持总蛋白内参定量分析功能，可提供总蛋白内参的均一化因子，并计算出均一化后的蛋白表达含量。</w:t>
            </w:r>
            <w:r>
              <w:rPr>
                <w:rFonts w:hint="eastAsia" w:asciiTheme="minorEastAsia" w:hAnsiTheme="minorEastAsia" w:eastAsiaTheme="minorEastAsia" w:cstheme="minorEastAsia"/>
                <w:b/>
                <w:bCs/>
                <w:color w:val="auto"/>
                <w:sz w:val="24"/>
                <w:highlight w:val="none"/>
              </w:rPr>
              <w:t>（投标文件中需提供软件截图证明材料）</w:t>
            </w:r>
          </w:p>
          <w:p w14:paraId="32BEDB56">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17.可通过USB及局域网输出原始格式数据及图片；图像输出格式：.tif、.bmp、.png、.jpg或其它可溯源格式；数据输出方式：剪贴板输出、数据库输出、Excel表格式输出、PDF输出。</w:t>
            </w:r>
          </w:p>
          <w:p w14:paraId="625C5E17">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highlight w:val="none"/>
              </w:rPr>
              <w:t>18.软件可自由安装于多台电脑同时分析；软件免费安装，免费升级。中文版、英文版软件自由切换，配有软件操作指南flash。</w:t>
            </w:r>
          </w:p>
        </w:tc>
        <w:tc>
          <w:tcPr>
            <w:tcW w:w="781" w:type="dxa"/>
            <w:shd w:val="clear" w:color="auto" w:fill="auto"/>
            <w:vAlign w:val="center"/>
          </w:tcPr>
          <w:p w14:paraId="35F2EBDC">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val="en-US" w:eastAsia="zh-CN"/>
              </w:rPr>
              <w:t>套</w:t>
            </w:r>
          </w:p>
        </w:tc>
        <w:tc>
          <w:tcPr>
            <w:tcW w:w="794" w:type="dxa"/>
            <w:vAlign w:val="center"/>
          </w:tcPr>
          <w:p w14:paraId="42318649">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工业</w:t>
            </w:r>
          </w:p>
        </w:tc>
        <w:tc>
          <w:tcPr>
            <w:tcW w:w="897" w:type="dxa"/>
            <w:vAlign w:val="center"/>
          </w:tcPr>
          <w:p w14:paraId="18A00288">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进口</w:t>
            </w:r>
          </w:p>
        </w:tc>
      </w:tr>
      <w:tr w14:paraId="68E6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50AD0636">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5</w:t>
            </w:r>
          </w:p>
        </w:tc>
        <w:tc>
          <w:tcPr>
            <w:tcW w:w="1230" w:type="dxa"/>
            <w:shd w:val="clear" w:color="auto" w:fill="auto"/>
            <w:vAlign w:val="center"/>
          </w:tcPr>
          <w:p w14:paraId="2CB518E7">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宋体" w:hAnsi="宋体" w:eastAsia="宋体" w:cs="宋体"/>
                <w:color w:val="auto"/>
                <w:sz w:val="24"/>
                <w:szCs w:val="24"/>
                <w:highlight w:val="none"/>
              </w:rPr>
              <w:t>▲</w:t>
            </w:r>
            <w:r>
              <w:rPr>
                <w:rFonts w:hint="eastAsia" w:asciiTheme="minorEastAsia" w:hAnsiTheme="minorEastAsia" w:eastAsiaTheme="minorEastAsia" w:cstheme="minorEastAsia"/>
                <w:color w:val="auto"/>
                <w:sz w:val="24"/>
                <w:highlight w:val="none"/>
                <w:lang w:val="en-US" w:eastAsia="zh-CN"/>
              </w:rPr>
              <w:t>显微操作系统</w:t>
            </w:r>
          </w:p>
        </w:tc>
        <w:tc>
          <w:tcPr>
            <w:tcW w:w="5175" w:type="dxa"/>
            <w:shd w:val="clear" w:color="auto" w:fill="auto"/>
            <w:vAlign w:val="top"/>
          </w:tcPr>
          <w:p w14:paraId="1C75C8DE">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Cs/>
                <w:color w:val="auto"/>
                <w:sz w:val="24"/>
                <w:highlight w:val="none"/>
              </w:rPr>
              <w:t>■</w:t>
            </w:r>
            <w:r>
              <w:rPr>
                <w:rFonts w:hint="eastAsia" w:asciiTheme="minorEastAsia" w:hAnsiTheme="minorEastAsia" w:eastAsiaTheme="minorEastAsia" w:cstheme="minorEastAsia"/>
                <w:color w:val="auto"/>
                <w:sz w:val="24"/>
                <w:highlight w:val="none"/>
              </w:rPr>
              <w:t>1．设备组成：</w:t>
            </w:r>
          </w:p>
          <w:p w14:paraId="5CC9DAFF">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1.1显微操作臂         1套</w:t>
            </w:r>
          </w:p>
          <w:p w14:paraId="4F95981F">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1.2微量自动显微注射仪 1套</w:t>
            </w:r>
          </w:p>
          <w:p w14:paraId="496E147A">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1.3通用适配器         1套</w:t>
            </w:r>
          </w:p>
          <w:p w14:paraId="206C280C">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1.4双针持针器         1套</w:t>
            </w:r>
          </w:p>
          <w:p w14:paraId="03E3DD35">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2.性能（技术参数）：</w:t>
            </w:r>
          </w:p>
          <w:p w14:paraId="245C1AFC">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★2.1控制方式：能够实现三维程序化自动操作。中央数控双速摇杆，运动方式可自由选择手动和程序化自动控制，也可以分布或连续运动</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b/>
                <w:bCs/>
                <w:color w:val="auto"/>
                <w:sz w:val="24"/>
                <w:highlight w:val="none"/>
              </w:rPr>
              <w:t>（投标文件中提供证明材料）</w:t>
            </w:r>
          </w:p>
          <w:p w14:paraId="0BB95377">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2.2操作方式：按键+转轮</w:t>
            </w:r>
            <w:r>
              <w:rPr>
                <w:rFonts w:hint="eastAsia" w:asciiTheme="minorEastAsia" w:hAnsiTheme="minorEastAsia" w:eastAsiaTheme="minorEastAsia" w:cstheme="minorEastAsia"/>
                <w:color w:val="auto"/>
                <w:sz w:val="24"/>
                <w:highlight w:val="none"/>
                <w:lang w:eastAsia="zh-CN"/>
              </w:rPr>
              <w:t>；</w:t>
            </w:r>
          </w:p>
          <w:p w14:paraId="627D7268">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★2.3最大可移动距离：各轴≥80mm；角度调整：-45~+ 90度，换针时操作臂可向前旋开，换样品时操作臂可向内旋进以方便工作，控制器步进分辨率：≤20nm/步；控制器步进速度：≥10,000μm/S</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b/>
                <w:bCs/>
                <w:color w:val="auto"/>
                <w:sz w:val="24"/>
                <w:highlight w:val="none"/>
              </w:rPr>
              <w:t>（投标文件中提供证明材料）</w:t>
            </w:r>
          </w:p>
          <w:p w14:paraId="15BDB61F">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★2.4具有包括但不限于单细胞分选，DNA 注射，单精注射等显微操作应用程序，或自行设定应用参数；具有显微操作控制器XYZ轴独立限定功能，位置记忆和自动复位功能等；具有自动步进注射功能，可直接用于鱼卵等注射；可以直接控制自动注射仪或压电式破膜仪</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b/>
                <w:bCs/>
                <w:color w:val="auto"/>
                <w:sz w:val="24"/>
                <w:highlight w:val="none"/>
              </w:rPr>
              <w:t>（投标文件中提供证明材料）</w:t>
            </w:r>
          </w:p>
          <w:p w14:paraId="195F1422">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★2.5注射参数</w:t>
            </w:r>
            <w:r>
              <w:rPr>
                <w:rFonts w:hint="eastAsia" w:asciiTheme="minorEastAsia" w:hAnsiTheme="minorEastAsia" w:eastAsiaTheme="minorEastAsia" w:cstheme="minorEastAsia"/>
                <w:b/>
                <w:bCs/>
                <w:color w:val="auto"/>
                <w:sz w:val="24"/>
                <w:highlight w:val="none"/>
              </w:rPr>
              <w:t>（投标文件中提供证明材料）</w:t>
            </w:r>
            <w:r>
              <w:rPr>
                <w:rFonts w:hint="eastAsia" w:asciiTheme="minorEastAsia" w:hAnsiTheme="minorEastAsia" w:eastAsiaTheme="minorEastAsia" w:cstheme="minorEastAsia"/>
                <w:color w:val="auto"/>
                <w:sz w:val="24"/>
                <w:highlight w:val="none"/>
              </w:rPr>
              <w:t>：</w:t>
            </w:r>
          </w:p>
          <w:p w14:paraId="5708F857">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2.5.1注射方式：参数设定的程序化注射</w:t>
            </w:r>
            <w:r>
              <w:rPr>
                <w:rFonts w:hint="eastAsia" w:asciiTheme="minorEastAsia" w:hAnsiTheme="minorEastAsia" w:eastAsiaTheme="minorEastAsia" w:cstheme="minorEastAsia"/>
                <w:color w:val="auto"/>
                <w:sz w:val="24"/>
                <w:highlight w:val="none"/>
                <w:lang w:eastAsia="zh-CN"/>
              </w:rPr>
              <w:t>；</w:t>
            </w:r>
          </w:p>
          <w:p w14:paraId="10162E64">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2.5.2注射体积范围：10</w:t>
            </w:r>
            <w:r>
              <w:rPr>
                <w:rFonts w:hint="eastAsia" w:asciiTheme="minorEastAsia" w:hAnsiTheme="minorEastAsia" w:eastAsiaTheme="minorEastAsia" w:cstheme="minorEastAsia"/>
                <w:color w:val="auto"/>
                <w:sz w:val="24"/>
                <w:highlight w:val="none"/>
                <w:vertAlign w:val="superscript"/>
              </w:rPr>
              <w:t>-15</w:t>
            </w:r>
            <w:r>
              <w:rPr>
                <w:rFonts w:hint="eastAsia" w:asciiTheme="minorEastAsia" w:hAnsiTheme="minorEastAsia" w:eastAsiaTheme="minorEastAsia" w:cstheme="minorEastAsia"/>
                <w:color w:val="auto"/>
                <w:sz w:val="24"/>
                <w:highlight w:val="none"/>
              </w:rPr>
              <w:t xml:space="preserve"> ～ 10</w:t>
            </w:r>
            <w:r>
              <w:rPr>
                <w:rFonts w:hint="eastAsia" w:asciiTheme="minorEastAsia" w:hAnsiTheme="minorEastAsia" w:eastAsiaTheme="minorEastAsia" w:cstheme="minorEastAsia"/>
                <w:color w:val="auto"/>
                <w:sz w:val="24"/>
                <w:highlight w:val="none"/>
                <w:vertAlign w:val="superscript"/>
              </w:rPr>
              <w:t>-9</w:t>
            </w:r>
            <w:r>
              <w:rPr>
                <w:rFonts w:hint="eastAsia" w:asciiTheme="minorEastAsia" w:hAnsiTheme="minorEastAsia" w:eastAsiaTheme="minorEastAsia" w:cstheme="minorEastAsia"/>
                <w:color w:val="auto"/>
                <w:sz w:val="24"/>
                <w:highlight w:val="none"/>
              </w:rPr>
              <w:t>L</w:t>
            </w:r>
            <w:r>
              <w:rPr>
                <w:rFonts w:hint="eastAsia" w:asciiTheme="minorEastAsia" w:hAnsiTheme="minorEastAsia" w:eastAsiaTheme="minorEastAsia" w:cstheme="minorEastAsia"/>
                <w:color w:val="auto"/>
                <w:sz w:val="24"/>
                <w:highlight w:val="none"/>
                <w:lang w:eastAsia="zh-CN"/>
              </w:rPr>
              <w:t>；</w:t>
            </w:r>
          </w:p>
          <w:p w14:paraId="365BBF64">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2.5.3注射时间范围：0.10～99.9秒，以0.01秒递增</w:t>
            </w:r>
            <w:r>
              <w:rPr>
                <w:rFonts w:hint="eastAsia" w:asciiTheme="minorEastAsia" w:hAnsiTheme="minorEastAsia" w:eastAsiaTheme="minorEastAsia" w:cstheme="minorEastAsia"/>
                <w:color w:val="auto"/>
                <w:sz w:val="24"/>
                <w:highlight w:val="none"/>
                <w:lang w:eastAsia="zh-CN"/>
              </w:rPr>
              <w:t>；</w:t>
            </w:r>
          </w:p>
          <w:p w14:paraId="06F3E7FA">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2.5.4注射压力范围：0; 5～6000hPa，以1hPa递增</w:t>
            </w:r>
            <w:r>
              <w:rPr>
                <w:rFonts w:hint="eastAsia" w:asciiTheme="minorEastAsia" w:hAnsiTheme="minorEastAsia" w:eastAsiaTheme="minorEastAsia" w:cstheme="minorEastAsia"/>
                <w:color w:val="auto"/>
                <w:sz w:val="24"/>
                <w:highlight w:val="none"/>
                <w:lang w:eastAsia="zh-CN"/>
              </w:rPr>
              <w:t>；</w:t>
            </w:r>
          </w:p>
          <w:p w14:paraId="449C1152">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2.5.5补偿压力范围：0; 5～6000hPa，以1hPa递增</w:t>
            </w:r>
            <w:r>
              <w:rPr>
                <w:rFonts w:hint="eastAsia" w:asciiTheme="minorEastAsia" w:hAnsiTheme="minorEastAsia" w:eastAsiaTheme="minorEastAsia" w:cstheme="minorEastAsia"/>
                <w:color w:val="auto"/>
                <w:sz w:val="24"/>
                <w:highlight w:val="none"/>
                <w:lang w:eastAsia="zh-CN"/>
              </w:rPr>
              <w:t>；</w:t>
            </w:r>
          </w:p>
          <w:p w14:paraId="3E8692C7">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2.5.6清针压力：≥6000hPa</w:t>
            </w:r>
            <w:r>
              <w:rPr>
                <w:rFonts w:hint="eastAsia" w:asciiTheme="minorEastAsia" w:hAnsiTheme="minorEastAsia" w:eastAsiaTheme="minorEastAsia" w:cstheme="minorEastAsia"/>
                <w:color w:val="auto"/>
                <w:sz w:val="24"/>
                <w:highlight w:val="none"/>
                <w:lang w:eastAsia="zh-CN"/>
              </w:rPr>
              <w:t>；</w:t>
            </w:r>
          </w:p>
          <w:p w14:paraId="5A728078">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highlight w:val="none"/>
              </w:rPr>
              <w:t>★2.6所有注射参数可以程序性记录；有清针功能；注射功能可通过脚控装置或显微操作仪直接启动</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b/>
                <w:bCs/>
                <w:color w:val="auto"/>
                <w:sz w:val="24"/>
                <w:highlight w:val="none"/>
              </w:rPr>
              <w:t>（投标文件中提供证明材料）</w:t>
            </w:r>
          </w:p>
        </w:tc>
        <w:tc>
          <w:tcPr>
            <w:tcW w:w="781" w:type="dxa"/>
            <w:shd w:val="clear" w:color="auto" w:fill="auto"/>
            <w:vAlign w:val="center"/>
          </w:tcPr>
          <w:p w14:paraId="3E645ED7">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val="en-US" w:eastAsia="zh-CN"/>
              </w:rPr>
              <w:t>套</w:t>
            </w:r>
          </w:p>
        </w:tc>
        <w:tc>
          <w:tcPr>
            <w:tcW w:w="794" w:type="dxa"/>
            <w:vAlign w:val="center"/>
          </w:tcPr>
          <w:p w14:paraId="52519A7F">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sz w:val="24"/>
                <w:highlight w:val="none"/>
                <w:lang w:val="en-US" w:eastAsia="zh-CN"/>
              </w:rPr>
              <w:t>工业</w:t>
            </w:r>
          </w:p>
        </w:tc>
        <w:tc>
          <w:tcPr>
            <w:tcW w:w="897" w:type="dxa"/>
            <w:vAlign w:val="center"/>
          </w:tcPr>
          <w:p w14:paraId="5697307D">
            <w:pPr>
              <w:pStyle w:val="1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leftChars="0" w:right="0" w:firstLine="0" w:firstLineChars="0"/>
              <w:jc w:val="center"/>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sz w:val="24"/>
                <w:highlight w:val="none"/>
                <w:lang w:val="en-US" w:eastAsia="zh-CN"/>
              </w:rPr>
              <w:t>进口</w:t>
            </w:r>
          </w:p>
        </w:tc>
      </w:tr>
    </w:tbl>
    <w:p w14:paraId="61CD243F">
      <w:pPr>
        <w:pStyle w:val="7"/>
        <w:ind w:left="482" w:hanging="482"/>
        <w:rPr>
          <w:rFonts w:hint="eastAsia" w:ascii="宋体" w:hAnsi="宋体" w:cs="宋体"/>
          <w:b/>
          <w:bCs/>
          <w:color w:val="auto"/>
          <w:sz w:val="24"/>
          <w:highlight w:val="none"/>
        </w:rPr>
      </w:pPr>
    </w:p>
    <w:p w14:paraId="635A87EB">
      <w:pPr>
        <w:pStyle w:val="3"/>
        <w:wordWrap w:val="0"/>
        <w:ind w:firstLine="0" w:firstLineChars="0"/>
        <w:rPr>
          <w:rFonts w:hint="eastAsia" w:eastAsia="黑体" w:cs="Times New Roman"/>
          <w:color w:val="auto"/>
          <w:highlight w:val="none"/>
        </w:rPr>
      </w:pPr>
      <w:bookmarkStart w:id="17" w:name="_Toc4843"/>
      <w:bookmarkStart w:id="18" w:name="_Toc7421"/>
      <w:r>
        <w:rPr>
          <w:rFonts w:hint="eastAsia" w:eastAsia="黑体" w:cs="Times New Roman"/>
          <w:color w:val="auto"/>
          <w:highlight w:val="none"/>
        </w:rPr>
        <w:t>三、报价要求</w:t>
      </w:r>
      <w:bookmarkEnd w:id="17"/>
      <w:bookmarkEnd w:id="18"/>
    </w:p>
    <w:p w14:paraId="606F269E">
      <w:pPr>
        <w:wordWrap w:val="0"/>
        <w:spacing w:line="360" w:lineRule="auto"/>
        <w:ind w:firstLine="480" w:firstLineChars="200"/>
        <w:rPr>
          <w:rFonts w:hint="eastAsia" w:ascii="宋体" w:hAnsi="宋体" w:eastAsia="宋体"/>
          <w:b/>
          <w:color w:val="auto"/>
          <w:sz w:val="24"/>
          <w:szCs w:val="18"/>
          <w:highlight w:val="none"/>
        </w:rPr>
      </w:pPr>
      <w:r>
        <w:rPr>
          <w:rFonts w:hint="eastAsia" w:ascii="宋体" w:hAnsi="宋体" w:eastAsia="宋体" w:cs="宋体"/>
          <w:color w:val="auto"/>
          <w:sz w:val="24"/>
          <w:highlight w:val="none"/>
        </w:rPr>
        <w:t>本项目报总价，投标报价包括本项目需求的全部货物及所需附件购置费、包装费、运输费、人工费、安装调试费、各种税费、资料费、售后服务费及完成项目应有的全部费用。</w:t>
      </w:r>
    </w:p>
    <w:p w14:paraId="3E7F4632">
      <w:pPr>
        <w:pStyle w:val="3"/>
        <w:wordWrap w:val="0"/>
        <w:ind w:firstLine="0" w:firstLineChars="0"/>
        <w:rPr>
          <w:rFonts w:hint="eastAsia" w:eastAsia="黑体" w:cs="Times New Roman"/>
          <w:color w:val="auto"/>
          <w:highlight w:val="none"/>
        </w:rPr>
      </w:pPr>
      <w:r>
        <w:rPr>
          <w:rFonts w:hint="eastAsia" w:eastAsia="黑体" w:cs="Times New Roman"/>
          <w:color w:val="auto"/>
          <w:highlight w:val="none"/>
        </w:rPr>
        <w:t>四、备品备件及专用工具</w:t>
      </w:r>
    </w:p>
    <w:p w14:paraId="73DB2F44">
      <w:pPr>
        <w:wordWrap w:val="0"/>
        <w:spacing w:line="360" w:lineRule="auto"/>
        <w:ind w:firstLine="480" w:firstLineChars="200"/>
        <w:rPr>
          <w:rFonts w:hint="eastAsia" w:ascii="宋体" w:hAnsi="宋体" w:eastAsia="宋体" w:cs="宋体"/>
          <w:color w:val="auto"/>
          <w:sz w:val="24"/>
          <w:highlight w:val="none"/>
        </w:rPr>
      </w:pPr>
      <w:bookmarkStart w:id="19" w:name="_Toc455587093"/>
      <w:bookmarkStart w:id="20" w:name="_Toc445554752"/>
      <w:bookmarkStart w:id="21" w:name="_Toc455587277"/>
      <w:r>
        <w:rPr>
          <w:rFonts w:hint="eastAsia" w:ascii="宋体" w:hAnsi="宋体" w:eastAsia="宋体" w:cs="宋体"/>
          <w:color w:val="auto"/>
          <w:sz w:val="24"/>
          <w:highlight w:val="none"/>
        </w:rPr>
        <w:t>1、备品备件：中标人提供能够满足质量保证期内的设备维修要求的备品备件，备品备件应是新品。</w:t>
      </w:r>
    </w:p>
    <w:p w14:paraId="7B8DC2B3">
      <w:pPr>
        <w:wordWrap w:val="0"/>
        <w:spacing w:line="360" w:lineRule="auto"/>
        <w:ind w:firstLine="480" w:firstLineChars="200"/>
        <w:rPr>
          <w:rFonts w:hint="eastAsia" w:ascii="宋体" w:hAnsi="宋体" w:eastAsia="宋体"/>
          <w:b/>
          <w:color w:val="auto"/>
          <w:sz w:val="24"/>
          <w:szCs w:val="18"/>
          <w:highlight w:val="none"/>
        </w:rPr>
      </w:pPr>
      <w:r>
        <w:rPr>
          <w:rFonts w:hint="eastAsia" w:ascii="宋体" w:hAnsi="宋体" w:eastAsia="宋体" w:cs="宋体"/>
          <w:color w:val="auto"/>
          <w:sz w:val="24"/>
          <w:highlight w:val="none"/>
        </w:rPr>
        <w:t>2、专用工具：中标人提供设备安装、调试、维修、保养所必要的专用工具、仪器、仪表等工具。</w:t>
      </w:r>
    </w:p>
    <w:bookmarkEnd w:id="19"/>
    <w:bookmarkEnd w:id="20"/>
    <w:bookmarkEnd w:id="21"/>
    <w:p w14:paraId="1EAF2108">
      <w:pPr>
        <w:pStyle w:val="3"/>
        <w:wordWrap w:val="0"/>
        <w:ind w:firstLine="0" w:firstLineChars="0"/>
        <w:rPr>
          <w:rFonts w:hint="eastAsia" w:eastAsia="黑体" w:cs="Times New Roman"/>
          <w:color w:val="auto"/>
          <w:highlight w:val="none"/>
        </w:rPr>
      </w:pPr>
      <w:bookmarkStart w:id="22" w:name="_Toc532199625"/>
      <w:bookmarkStart w:id="23" w:name="_Toc455587278"/>
      <w:bookmarkStart w:id="24" w:name="_Toc445554753"/>
      <w:bookmarkStart w:id="25" w:name="_Toc455587094"/>
      <w:r>
        <w:rPr>
          <w:rFonts w:hint="eastAsia" w:eastAsia="黑体" w:cs="Times New Roman"/>
          <w:color w:val="auto"/>
          <w:highlight w:val="none"/>
          <w:lang w:eastAsia="zh-CN"/>
        </w:rPr>
        <w:t>五</w:t>
      </w:r>
      <w:r>
        <w:rPr>
          <w:rFonts w:hint="eastAsia" w:eastAsia="黑体" w:cs="Times New Roman"/>
          <w:color w:val="auto"/>
          <w:highlight w:val="none"/>
        </w:rPr>
        <w:t>、安装调试、验收试验及质量保证</w:t>
      </w:r>
      <w:bookmarkEnd w:id="22"/>
    </w:p>
    <w:p w14:paraId="4CB94345">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1、中标人在设备安装地点负责安装、调试。</w:t>
      </w:r>
    </w:p>
    <w:p w14:paraId="10969287">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2、具体设备验收标准和程序按采购人要求执行，下列验收程序可参照执行：</w:t>
      </w:r>
    </w:p>
    <w:p w14:paraId="6029DB32">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p>
    <w:p w14:paraId="10B5D333">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243398B0">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 中标人应根据采购人使用单位的技术要求提供相应的产品。由中标人所提供的设备部件间的连线和插接件均应视为设备内部器件，包含在相应的设备之中。</w:t>
      </w:r>
    </w:p>
    <w:p w14:paraId="38D887F0">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p>
    <w:p w14:paraId="0B0C1649">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 中标人应向采购人提供安装调试过程中的各种文档资料,以便采购人今后能掌握操作和维护方法。</w:t>
      </w:r>
    </w:p>
    <w:p w14:paraId="6D10304D">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3、如设备在验收时有一个或多个指标未能达到要求而属于中标人责任时，则中标人自费采取有效措施，在</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规定时间内使之达到保证指标。如在</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规定的时间内仍达不到合格标准时，则中标人应向采购人赔偿。</w:t>
      </w:r>
    </w:p>
    <w:p w14:paraId="4387F38F">
      <w:pPr>
        <w:pStyle w:val="3"/>
        <w:wordWrap w:val="0"/>
        <w:ind w:firstLine="0" w:firstLineChars="0"/>
        <w:rPr>
          <w:rFonts w:hint="eastAsia" w:eastAsia="黑体" w:cs="Times New Roman"/>
          <w:color w:val="auto"/>
          <w:highlight w:val="none"/>
        </w:rPr>
      </w:pPr>
      <w:bookmarkStart w:id="26" w:name="_Toc532199626"/>
      <w:r>
        <w:rPr>
          <w:rFonts w:hint="eastAsia" w:eastAsia="黑体" w:cs="Times New Roman"/>
          <w:color w:val="auto"/>
          <w:highlight w:val="none"/>
        </w:rPr>
        <w:t>六、包装运输</w:t>
      </w:r>
      <w:bookmarkEnd w:id="23"/>
      <w:bookmarkEnd w:id="24"/>
      <w:bookmarkEnd w:id="25"/>
      <w:bookmarkEnd w:id="26"/>
    </w:p>
    <w:p w14:paraId="256BBC41">
      <w:pPr>
        <w:wordWrap w:val="0"/>
        <w:spacing w:line="360" w:lineRule="auto"/>
        <w:ind w:firstLine="480" w:firstLineChars="200"/>
        <w:rPr>
          <w:rFonts w:hint="eastAsia" w:ascii="宋体" w:hAnsi="宋体" w:eastAsia="宋体" w:cs="宋体"/>
          <w:color w:val="auto"/>
          <w:sz w:val="24"/>
          <w:highlight w:val="none"/>
        </w:rPr>
      </w:pPr>
      <w:bookmarkStart w:id="27" w:name="_Toc455587095"/>
      <w:bookmarkStart w:id="28" w:name="_Toc455587279"/>
      <w:bookmarkStart w:id="29" w:name="_Toc445554754"/>
      <w:r>
        <w:rPr>
          <w:rFonts w:hint="eastAsia" w:ascii="宋体" w:hAnsi="宋体" w:eastAsia="宋体" w:cs="宋体"/>
          <w:color w:val="auto"/>
          <w:sz w:val="24"/>
          <w:highlight w:val="none"/>
        </w:rPr>
        <w:t>1、中标人负责设备包装、办理运输和保险，将设备安全运抵交货地点。</w:t>
      </w:r>
    </w:p>
    <w:p w14:paraId="03A26545">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2、设备制造完成并通过试验后应及时包装，否则应得到切实的保护，确保其不受污损。</w:t>
      </w:r>
    </w:p>
    <w:p w14:paraId="012C46E2">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3、在包装箱外应标明采购人的订货号、发货号。</w:t>
      </w:r>
    </w:p>
    <w:p w14:paraId="77B14428">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4、各种包装应能确保各零部件在运输过程中不致遭到损坏、丢失、变形、受潮和腐蚀。</w:t>
      </w:r>
    </w:p>
    <w:p w14:paraId="39EF0C14">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5、包装箱上应有明显的包装储运图示标志。</w:t>
      </w:r>
    </w:p>
    <w:p w14:paraId="3F86FBCD">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6、整体产品或分别运输的部件都要适应运输和装载的要求。</w:t>
      </w:r>
    </w:p>
    <w:p w14:paraId="5E5197B7">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7、随产品提供的技术资料应完整无缺。</w:t>
      </w:r>
    </w:p>
    <w:p w14:paraId="13EEFF3D">
      <w:pPr>
        <w:pStyle w:val="3"/>
        <w:wordWrap w:val="0"/>
        <w:ind w:firstLine="0" w:firstLineChars="0"/>
        <w:rPr>
          <w:rFonts w:hint="eastAsia" w:eastAsia="黑体" w:cs="Times New Roman"/>
          <w:color w:val="auto"/>
          <w:highlight w:val="none"/>
        </w:rPr>
      </w:pPr>
      <w:bookmarkStart w:id="30" w:name="_Toc532199627"/>
      <w:r>
        <w:rPr>
          <w:rFonts w:hint="eastAsia" w:eastAsia="黑体" w:cs="Times New Roman"/>
          <w:color w:val="auto"/>
          <w:highlight w:val="none"/>
          <w:lang w:eastAsia="zh-CN"/>
        </w:rPr>
        <w:t>七</w:t>
      </w:r>
      <w:r>
        <w:rPr>
          <w:rFonts w:hint="eastAsia" w:eastAsia="黑体" w:cs="Times New Roman"/>
          <w:color w:val="auto"/>
          <w:highlight w:val="none"/>
        </w:rPr>
        <w:t>、技术培训</w:t>
      </w:r>
      <w:bookmarkEnd w:id="27"/>
      <w:bookmarkEnd w:id="28"/>
      <w:bookmarkEnd w:id="29"/>
      <w:bookmarkEnd w:id="30"/>
    </w:p>
    <w:p w14:paraId="2A274F78">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1、为使合同设备能正常安装和运行，由中标人提供相应的技术培训</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培训费用</w:t>
      </w:r>
      <w:r>
        <w:rPr>
          <w:rFonts w:hint="eastAsia" w:ascii="宋体" w:hAnsi="宋体" w:eastAsia="宋体" w:cs="宋体"/>
          <w:color w:val="auto"/>
          <w:sz w:val="24"/>
          <w:highlight w:val="none"/>
          <w:lang w:val="en-US" w:eastAsia="zh-CN"/>
        </w:rPr>
        <w:t>包含在投标报价内</w:t>
      </w:r>
      <w:r>
        <w:rPr>
          <w:rFonts w:hint="eastAsia" w:ascii="宋体" w:hAnsi="宋体" w:eastAsia="宋体" w:cs="宋体"/>
          <w:color w:val="auto"/>
          <w:sz w:val="24"/>
          <w:highlight w:val="none"/>
        </w:rPr>
        <w:t>。</w:t>
      </w:r>
    </w:p>
    <w:p w14:paraId="20489495">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2、培训的时间、人数、地点等具体内容由买卖双方商定，内容至少包括：设备原理、使用、维护、运行操作、常见故障处理等。</w:t>
      </w:r>
    </w:p>
    <w:p w14:paraId="58B3C6C5">
      <w:pPr>
        <w:pStyle w:val="3"/>
        <w:wordWrap w:val="0"/>
        <w:ind w:firstLine="0" w:firstLineChars="0"/>
        <w:rPr>
          <w:rFonts w:hint="eastAsia" w:eastAsia="黑体" w:cs="Times New Roman"/>
          <w:color w:val="auto"/>
          <w:highlight w:val="none"/>
        </w:rPr>
      </w:pPr>
      <w:bookmarkStart w:id="31" w:name="_Toc532199628"/>
      <w:r>
        <w:rPr>
          <w:rFonts w:hint="eastAsia" w:eastAsia="黑体" w:cs="Times New Roman"/>
          <w:color w:val="auto"/>
          <w:highlight w:val="none"/>
          <w:lang w:eastAsia="zh-CN"/>
        </w:rPr>
        <w:t>八</w:t>
      </w:r>
      <w:r>
        <w:rPr>
          <w:rFonts w:hint="eastAsia" w:eastAsia="黑体" w:cs="Times New Roman"/>
          <w:color w:val="auto"/>
          <w:highlight w:val="none"/>
        </w:rPr>
        <w:t>、质保及售后服务</w:t>
      </w:r>
    </w:p>
    <w:p w14:paraId="5130C4A7">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1、自双方签订《验收报告》起进入质保期。</w:t>
      </w:r>
    </w:p>
    <w:p w14:paraId="2F531EC7">
      <w:pPr>
        <w:wordWrap w:val="0"/>
        <w:spacing w:line="360" w:lineRule="auto"/>
        <w:ind w:firstLine="480" w:firstLineChars="200"/>
        <w:rPr>
          <w:rFonts w:hint="eastAsia" w:ascii="宋体" w:hAnsi="宋体" w:eastAsia="宋体"/>
          <w:b/>
          <w:color w:val="auto"/>
          <w:sz w:val="24"/>
          <w:szCs w:val="18"/>
          <w:highlight w:val="none"/>
        </w:rPr>
      </w:pPr>
      <w:r>
        <w:rPr>
          <w:rFonts w:hint="eastAsia" w:ascii="宋体" w:hAnsi="宋体" w:eastAsia="宋体" w:cs="宋体"/>
          <w:color w:val="auto"/>
          <w:sz w:val="24"/>
          <w:highlight w:val="none"/>
        </w:rPr>
        <w:t>2、在质保期间内，非采购人过失和故意并且在正常使用的情况下发现商品有缺陷，中标人</w:t>
      </w:r>
      <w:r>
        <w:rPr>
          <w:rFonts w:hint="eastAsia" w:ascii="宋体" w:hAnsi="宋体" w:eastAsia="宋体" w:cs="宋体"/>
          <w:color w:val="auto"/>
          <w:sz w:val="24"/>
          <w:highlight w:val="none"/>
          <w:lang w:val="en-US" w:eastAsia="zh-CN"/>
        </w:rPr>
        <w:t>应</w:t>
      </w:r>
      <w:r>
        <w:rPr>
          <w:rFonts w:hint="eastAsia" w:ascii="宋体" w:hAnsi="宋体" w:eastAsia="宋体" w:cs="宋体"/>
          <w:color w:val="auto"/>
          <w:sz w:val="24"/>
          <w:highlight w:val="none"/>
        </w:rPr>
        <w:t>修理或替换该设备；在质保期间内，非采购人过失和故意并且在正常使用的情况下设备发生故障，中标人应及时提供服务。</w:t>
      </w:r>
      <w:bookmarkEnd w:id="31"/>
    </w:p>
    <w:bookmarkEnd w:id="0"/>
    <w:p w14:paraId="59DF99C2">
      <w:pPr>
        <w:wordWrap w:val="0"/>
        <w:spacing w:line="360" w:lineRule="auto"/>
      </w:pPr>
      <w:bookmarkStart w:id="32" w:name="_GoBack"/>
      <w:bookmarkEnd w:id="3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201060001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9849BF"/>
    <w:rsid w:val="51B15D53"/>
    <w:rsid w:val="715D23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qFormat/>
    <w:uiPriority w:val="9"/>
    <w:pPr>
      <w:keepNext/>
      <w:keepLines/>
      <w:spacing w:line="360" w:lineRule="auto"/>
      <w:jc w:val="center"/>
      <w:outlineLvl w:val="0"/>
    </w:pPr>
    <w:rPr>
      <w:rFonts w:ascii="Times New Roman" w:hAnsi="Times New Roman" w:eastAsia="方正小标宋_GBK" w:cs="Times New Roman"/>
      <w:bCs/>
      <w:kern w:val="44"/>
      <w:sz w:val="44"/>
      <w:szCs w:val="44"/>
    </w:rPr>
  </w:style>
  <w:style w:type="paragraph" w:styleId="3">
    <w:name w:val="heading 2"/>
    <w:basedOn w:val="1"/>
    <w:next w:val="1"/>
    <w:qFormat/>
    <w:uiPriority w:val="0"/>
    <w:pPr>
      <w:keepNext/>
      <w:keepLines/>
      <w:spacing w:before="240" w:line="360" w:lineRule="auto"/>
      <w:ind w:firstLine="640" w:firstLineChars="200"/>
      <w:jc w:val="left"/>
      <w:outlineLvl w:val="1"/>
    </w:pPr>
    <w:rPr>
      <w:rFonts w:ascii="Arial" w:hAnsi="Arial" w:eastAsia="方正黑体_GBK" w:cs="Times New Roman"/>
      <w:bCs/>
      <w:kern w:val="0"/>
      <w:sz w:val="28"/>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next w:val="5"/>
    <w:unhideWhenUsed/>
    <w:qFormat/>
    <w:uiPriority w:val="99"/>
    <w:pPr>
      <w:ind w:firstLine="645"/>
    </w:pPr>
    <w:rPr>
      <w:rFonts w:ascii="楷体_GB2312" w:eastAsia="楷体_GB2312"/>
      <w:sz w:val="32"/>
    </w:rPr>
  </w:style>
  <w:style w:type="paragraph" w:styleId="5">
    <w:name w:val="envelope return"/>
    <w:basedOn w:val="1"/>
    <w:qFormat/>
    <w:uiPriority w:val="99"/>
    <w:pPr>
      <w:snapToGrid w:val="0"/>
    </w:pPr>
    <w:rPr>
      <w:rFonts w:ascii="Arial" w:hAnsi="Arial" w:cs="Arial"/>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w:basedOn w:val="1"/>
    <w:unhideWhenUsed/>
    <w:qFormat/>
    <w:uiPriority w:val="99"/>
    <w:pPr>
      <w:ind w:left="200" w:hanging="200" w:hangingChars="200"/>
      <w:contextualSpacing/>
    </w:pPr>
    <w:rPr>
      <w:rFonts w:ascii="Times New Roman" w:hAnsi="Times New Roman" w:eastAsia="宋体" w:cs="Times New Roman"/>
      <w:szCs w:val="24"/>
    </w:rPr>
  </w:style>
  <w:style w:type="paragraph" w:styleId="8">
    <w:name w:val="Body Text First Indent 2"/>
    <w:basedOn w:val="4"/>
    <w:unhideWhenUsed/>
    <w:qFormat/>
    <w:uiPriority w:val="99"/>
    <w:pPr>
      <w:ind w:left="420" w:firstLine="420" w:firstLineChars="200"/>
    </w:pPr>
    <w:rPr>
      <w:rFonts w:ascii="Times New Roman" w:cs="Times New Roman"/>
    </w:rPr>
  </w:style>
  <w:style w:type="paragraph" w:customStyle="1" w:styleId="11">
    <w:name w:val="D&amp;L"/>
    <w:basedOn w:val="6"/>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2">
    <w:name w:val="xl31"/>
    <w:basedOn w:val="1"/>
    <w:qFormat/>
    <w:uiPriority w:val="0"/>
    <w:pPr>
      <w:widowControl/>
      <w:spacing w:before="100" w:beforeAutospacing="1" w:after="100" w:afterAutospacing="1"/>
      <w:jc w:val="center"/>
    </w:pPr>
    <w:rPr>
      <w:b/>
      <w:bCs/>
      <w:kern w:val="0"/>
      <w:sz w:val="28"/>
      <w:szCs w:val="28"/>
    </w:rPr>
  </w:style>
  <w:style w:type="paragraph" w:styleId="13">
    <w:name w:val="List Paragraph"/>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3565</Words>
  <Characters>4142</Characters>
  <Lines>0</Lines>
  <Paragraphs>0</Paragraphs>
  <TotalTime>0</TotalTime>
  <ScaleCrop>false</ScaleCrop>
  <LinksUpToDate>false</LinksUpToDate>
  <CharactersWithSpaces>4228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2026-07-30T10:30:00Z</dcterms:created>
  <dc:creator>Lenovo</dc:creator>
  <cp:lastModifiedBy>省招</cp:lastModifiedBy>
  <dcterms:modified xsi:type="dcterms:W3CDTF">2026-08-04T13:33:55Z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eyJoZGlkIjoiMmM2MTA4NWRhZjRiYWU5NDgyMzc3NDQyMDk2Y2ZlODgiLCJ1c2VySWQiOiIxOTg2ODM5MjAifQ==</vt:lpwstr>
  </property>
  <property fmtid="{D5CDD505-2E9C-101B-9397-08002B2CF9AE}" pid="4" name="ICV">
    <vt:lpwstr>5506D9A83E4A471C9069B74029541A84_12</vt:lpwstr>
  </property>
</Properties>
</file>