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486C5">
      <w:pPr>
        <w:numPr>
          <w:ilvl w:val="0"/>
          <w:numId w:val="1"/>
        </w:numPr>
        <w:spacing w:line="360" w:lineRule="auto"/>
        <w:jc w:val="center"/>
        <w:outlineLvl w:val="0"/>
        <w:rPr>
          <w:rFonts w:hint="eastAsia" w:ascii="宋体" w:hAnsi="宋体" w:eastAsia="宋体" w:cs="@仿宋_GB2312"/>
          <w:b/>
          <w:color w:val="auto"/>
          <w:sz w:val="28"/>
          <w:szCs w:val="20"/>
          <w:highlight w:val="none"/>
          <w:lang w:eastAsia="zh-CN"/>
        </w:rPr>
      </w:pPr>
      <w:bookmarkStart w:id="0" w:name="_Toc22605"/>
      <w:r>
        <w:rPr>
          <w:rFonts w:hint="eastAsia" w:ascii="宋体" w:hAnsi="宋体" w:eastAsia="宋体" w:cs="@仿宋_GB2312"/>
          <w:b/>
          <w:color w:val="auto"/>
          <w:sz w:val="28"/>
          <w:szCs w:val="20"/>
          <w:highlight w:val="none"/>
        </w:rPr>
        <w:t>采购需求</w:t>
      </w:r>
      <w:bookmarkEnd w:id="0"/>
    </w:p>
    <w:p w14:paraId="5C551FC0">
      <w:pPr>
        <w:spacing w:line="360" w:lineRule="auto"/>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前注：</w:t>
      </w:r>
    </w:p>
    <w:p w14:paraId="2820613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226B28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441BA2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C644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18456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仿宋_GB2312"/>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75BA4D0A">
      <w:pPr>
        <w:spacing w:line="360" w:lineRule="auto"/>
        <w:ind w:firstLine="437"/>
        <w:outlineLvl w:val="1"/>
        <w:rPr>
          <w:rFonts w:ascii="宋体" w:hAnsi="宋体" w:eastAsia="宋体" w:cs="@仿宋_GB2312"/>
          <w:b/>
          <w:color w:val="auto"/>
          <w:sz w:val="24"/>
          <w:szCs w:val="18"/>
          <w:highlight w:val="none"/>
        </w:rPr>
      </w:pPr>
      <w:bookmarkStart w:id="1" w:name="_Toc4148"/>
      <w:bookmarkStart w:id="2" w:name="_Toc21798"/>
      <w:bookmarkStart w:id="3" w:name="_Hlk23621890"/>
      <w:r>
        <w:rPr>
          <w:rFonts w:hint="eastAsia" w:ascii="宋体" w:hAnsi="宋体" w:eastAsia="宋体" w:cs="@仿宋_GB2312"/>
          <w:b/>
          <w:color w:val="auto"/>
          <w:sz w:val="24"/>
          <w:szCs w:val="18"/>
          <w:highlight w:val="none"/>
        </w:rPr>
        <w:t>一、采购需求前附表</w:t>
      </w:r>
      <w:bookmarkEnd w:id="1"/>
      <w:bookmarkEnd w:id="2"/>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57E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F2DA6D">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highlight w:val="none"/>
                <w:lang w:val="en-US" w:eastAsia="zh-CN" w:bidi="ar-SA"/>
              </w:rPr>
            </w:pPr>
            <w:r>
              <w:rPr>
                <w:rFonts w:hint="eastAsia" w:ascii="宋体" w:hAnsi="宋体" w:eastAsia="宋体" w:cs="@仿宋_GB2312"/>
                <w:b/>
                <w:color w:val="auto"/>
                <w:kern w:val="2"/>
                <w:sz w:val="24"/>
                <w:szCs w:val="20"/>
                <w:highlight w:val="none"/>
                <w:lang w:val="en-US" w:eastAsia="zh-CN" w:bidi="ar-SA"/>
              </w:rPr>
              <w:t>序号</w:t>
            </w:r>
          </w:p>
        </w:tc>
        <w:tc>
          <w:tcPr>
            <w:tcW w:w="1192" w:type="pct"/>
            <w:vAlign w:val="center"/>
          </w:tcPr>
          <w:p w14:paraId="27250930">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条款名称</w:t>
            </w:r>
          </w:p>
        </w:tc>
        <w:tc>
          <w:tcPr>
            <w:tcW w:w="3217" w:type="pct"/>
            <w:vAlign w:val="center"/>
          </w:tcPr>
          <w:p w14:paraId="50F41726">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内容、说明与要求</w:t>
            </w:r>
          </w:p>
        </w:tc>
      </w:tr>
      <w:tr w14:paraId="3953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9FA764">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w:t>
            </w:r>
          </w:p>
        </w:tc>
        <w:tc>
          <w:tcPr>
            <w:tcW w:w="1192" w:type="pct"/>
            <w:vAlign w:val="center"/>
          </w:tcPr>
          <w:p w14:paraId="4E66DAD3">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217" w:type="pct"/>
            <w:vAlign w:val="center"/>
          </w:tcPr>
          <w:p w14:paraId="26E67490">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（一）中标人为中小微企业时适用（中标人为联合体的，联合体各方均为中小微企业，或小微企业合同份额占总金额30%以上的，同样适用）</w:t>
            </w:r>
          </w:p>
          <w:p w14:paraId="44F6B47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合同预付款比例为每次委托任务对应合同价款的40%，中标人需提交银行、保险公司、担保公司等金融机构出具的预付款保函或其他担保措施。</w:t>
            </w:r>
          </w:p>
          <w:p w14:paraId="17487961">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预付款在合同、担保措施生效以及具备实施条件后5个工作日内支付。</w:t>
            </w:r>
          </w:p>
          <w:p w14:paraId="7FAD6269">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每次完成委托任务提交成果并满足采购人评估要求后，收到发票7个工作日内支付对应剩余合同价款的60%，累计支付金额总额按所完成项目中标价格计算。费用支付前中标人须向采购人开具相应金额的增值税发票。</w:t>
            </w:r>
          </w:p>
          <w:p w14:paraId="42D110ED">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中标人付款申请经甲方确认后10个日历日内，中标人应按照采购人要求出具合法有效的增值税专用发票并完成送达。</w:t>
            </w:r>
          </w:p>
          <w:p w14:paraId="34F17CE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（二）中标人为非中小微企业时适用</w:t>
            </w:r>
          </w:p>
          <w:p w14:paraId="2001227B">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根据实际委托任务按项目结算，每次完成委托任务提交成果并满足评估要求后，收到发票7个工作日内支付，每次支付金额按所完成项目中标价格计算。费用支付前中标人须向采购人开具相应金额的增值税发票。</w:t>
            </w:r>
          </w:p>
          <w:p w14:paraId="0167D0C6">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中标人付款申请经甲方确认后10个日历日内，中标人应按照采购人要求出具合法有效的增值税专用发票并完成送达。</w:t>
            </w:r>
          </w:p>
        </w:tc>
      </w:tr>
      <w:tr w14:paraId="653B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353BAE">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p>
        </w:tc>
        <w:tc>
          <w:tcPr>
            <w:tcW w:w="1192" w:type="pct"/>
            <w:vAlign w:val="center"/>
          </w:tcPr>
          <w:p w14:paraId="5916BDCE">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3217" w:type="pct"/>
            <w:vAlign w:val="center"/>
          </w:tcPr>
          <w:p w14:paraId="45F133DC">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安徽省合肥市，采购人指定地点。</w:t>
            </w:r>
          </w:p>
        </w:tc>
      </w:tr>
      <w:tr w14:paraId="35F1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ED58AB0">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3</w:t>
            </w:r>
          </w:p>
        </w:tc>
        <w:tc>
          <w:tcPr>
            <w:tcW w:w="1192" w:type="pct"/>
            <w:vAlign w:val="center"/>
          </w:tcPr>
          <w:p w14:paraId="22AAA8F7">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3217" w:type="pct"/>
            <w:vAlign w:val="center"/>
          </w:tcPr>
          <w:p w14:paraId="0165C013">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自合同签订之日起至2027年12月31日止；接到具体任务后，两周内提交该任务最终服务成果。</w:t>
            </w:r>
          </w:p>
        </w:tc>
      </w:tr>
      <w:tr w14:paraId="6C4B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D3C96F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0"/>
                <w:sz w:val="24"/>
                <w:szCs w:val="20"/>
                <w:highlight w:val="none"/>
                <w:lang w:val="en-US" w:eastAsia="zh-CN" w:bidi="ar-SA"/>
              </w:rPr>
              <w:t>4</w:t>
            </w:r>
          </w:p>
        </w:tc>
        <w:tc>
          <w:tcPr>
            <w:tcW w:w="1192" w:type="pct"/>
            <w:vAlign w:val="center"/>
          </w:tcPr>
          <w:p w14:paraId="41802E6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项目负责人</w:t>
            </w:r>
          </w:p>
        </w:tc>
        <w:tc>
          <w:tcPr>
            <w:tcW w:w="3217" w:type="pct"/>
            <w:vAlign w:val="center"/>
          </w:tcPr>
          <w:p w14:paraId="07A16D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仿宋_GB2312"/>
                <w:color w:val="auto"/>
                <w:sz w:val="24"/>
                <w:szCs w:val="20"/>
                <w:highlight w:val="none"/>
              </w:rPr>
            </w:pPr>
            <w:r>
              <w:rPr>
                <w:rFonts w:hint="eastAsia" w:ascii="宋体" w:hAnsi="宋体" w:eastAsia="宋体" w:cs="@仿宋_GB2312"/>
                <w:b/>
                <w:bCs w:val="0"/>
                <w:color w:val="auto"/>
                <w:sz w:val="24"/>
                <w:szCs w:val="20"/>
                <w:highlight w:val="none"/>
                <w:u w:val="single"/>
                <w:lang w:eastAsia="zh-CN"/>
              </w:rPr>
              <w:t>项目负责人应</w:t>
            </w:r>
            <w:r>
              <w:rPr>
                <w:rFonts w:hint="eastAsia" w:ascii="宋体" w:hAnsi="宋体" w:eastAsia="宋体" w:cs="@仿宋_GB2312"/>
                <w:b/>
                <w:bCs w:val="0"/>
                <w:color w:val="auto"/>
                <w:sz w:val="24"/>
                <w:szCs w:val="20"/>
                <w:highlight w:val="none"/>
                <w:u w:val="single"/>
              </w:rPr>
              <w:t>具备</w:t>
            </w:r>
            <w:r>
              <w:rPr>
                <w:rFonts w:hint="eastAsia" w:ascii="宋体" w:hAnsi="宋体" w:eastAsia="宋体" w:cs="@仿宋_GB2312"/>
                <w:b/>
                <w:color w:val="auto"/>
                <w:sz w:val="24"/>
                <w:szCs w:val="20"/>
                <w:highlight w:val="none"/>
                <w:u w:val="single"/>
              </w:rPr>
              <w:t>注册土木工程师（港口与航道工程）证书</w:t>
            </w:r>
            <w:r>
              <w:rPr>
                <w:rFonts w:hint="eastAsia" w:ascii="宋体" w:hAnsi="宋体" w:eastAsia="宋体" w:cs="@仿宋_GB2312"/>
                <w:b/>
                <w:color w:val="auto"/>
                <w:sz w:val="24"/>
                <w:szCs w:val="20"/>
                <w:highlight w:val="none"/>
                <w:u w:val="single"/>
                <w:lang w:eastAsia="zh-CN"/>
              </w:rPr>
              <w:t>。</w:t>
            </w:r>
          </w:p>
        </w:tc>
      </w:tr>
      <w:tr w14:paraId="088C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B042ED">
            <w:pPr>
              <w:widowControl w:val="0"/>
              <w:pBdr>
                <w:bottom w:val="none" w:color="auto" w:sz="0" w:space="0"/>
              </w:pBdr>
              <w:adjustRightInd/>
              <w:snapToGrid/>
              <w:spacing w:line="240" w:lineRule="auto"/>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5</w:t>
            </w:r>
          </w:p>
        </w:tc>
        <w:tc>
          <w:tcPr>
            <w:tcW w:w="1192" w:type="pct"/>
            <w:vAlign w:val="center"/>
          </w:tcPr>
          <w:p w14:paraId="5C9580D3">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本项目采购标的名称及所属行业</w:t>
            </w:r>
          </w:p>
        </w:tc>
        <w:tc>
          <w:tcPr>
            <w:tcW w:w="3217" w:type="pct"/>
            <w:vAlign w:val="center"/>
          </w:tcPr>
          <w:p w14:paraId="309F28C3">
            <w:pPr>
              <w:spacing w:line="360" w:lineRule="auto"/>
              <w:jc w:val="lef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标的名称：重点水运项目设计审批技术咨询</w:t>
            </w:r>
          </w:p>
          <w:p w14:paraId="6256D5D2">
            <w:pPr>
              <w:spacing w:line="360" w:lineRule="auto"/>
              <w:jc w:val="lef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所属行业：其他未列明行业</w:t>
            </w:r>
          </w:p>
        </w:tc>
      </w:tr>
    </w:tbl>
    <w:p w14:paraId="65A6C53A">
      <w:pPr>
        <w:numPr>
          <w:ilvl w:val="0"/>
          <w:numId w:val="0"/>
        </w:numPr>
        <w:spacing w:line="360" w:lineRule="auto"/>
        <w:outlineLvl w:val="9"/>
        <w:rPr>
          <w:rFonts w:hint="eastAsia" w:ascii="宋体" w:hAnsi="宋体" w:eastAsia="宋体" w:cs="@仿宋_GB2312"/>
          <w:b/>
          <w:color w:val="auto"/>
          <w:sz w:val="24"/>
          <w:szCs w:val="18"/>
          <w:highlight w:val="none"/>
          <w:lang w:val="en-US" w:eastAsia="zh-CN"/>
        </w:rPr>
      </w:pPr>
      <w:bookmarkStart w:id="4" w:name="_Toc16543"/>
      <w:bookmarkStart w:id="5" w:name="_Hlk16461016"/>
    </w:p>
    <w:p w14:paraId="69784730">
      <w:pPr>
        <w:numPr>
          <w:ilvl w:val="0"/>
          <w:numId w:val="0"/>
        </w:numPr>
        <w:spacing w:line="360" w:lineRule="auto"/>
        <w:ind w:firstLine="482" w:firstLineChars="200"/>
        <w:outlineLvl w:val="1"/>
        <w:rPr>
          <w:rFonts w:hint="eastAsia" w:ascii="宋体" w:hAnsi="宋体" w:eastAsia="宋体" w:cs="@仿宋_GB2312"/>
          <w:b/>
          <w:color w:val="auto"/>
          <w:sz w:val="24"/>
          <w:szCs w:val="18"/>
          <w:highlight w:val="none"/>
        </w:rPr>
      </w:pPr>
      <w:bookmarkStart w:id="6" w:name="_Toc8753"/>
      <w:r>
        <w:rPr>
          <w:rFonts w:hint="eastAsia" w:ascii="宋体" w:hAnsi="宋体" w:eastAsia="宋体" w:cs="@仿宋_GB2312"/>
          <w:b/>
          <w:color w:val="auto"/>
          <w:sz w:val="24"/>
          <w:szCs w:val="18"/>
          <w:highlight w:val="none"/>
          <w:lang w:val="en-US" w:eastAsia="zh-CN"/>
        </w:rPr>
        <w:t>二、</w:t>
      </w:r>
      <w:r>
        <w:rPr>
          <w:rFonts w:hint="eastAsia" w:ascii="宋体" w:hAnsi="宋体" w:eastAsia="宋体" w:cs="@仿宋_GB2312"/>
          <w:b/>
          <w:color w:val="auto"/>
          <w:sz w:val="24"/>
          <w:szCs w:val="18"/>
          <w:highlight w:val="none"/>
        </w:rPr>
        <w:t>项目概况</w:t>
      </w:r>
      <w:bookmarkEnd w:id="4"/>
      <w:bookmarkEnd w:id="6"/>
    </w:p>
    <w:p w14:paraId="223F1DD4">
      <w:pPr>
        <w:spacing w:line="360" w:lineRule="auto"/>
        <w:ind w:firstLine="437"/>
        <w:outlineLvl w:val="1"/>
        <w:rPr>
          <w:rFonts w:hint="eastAsia" w:ascii="宋体" w:hAnsi="宋体" w:eastAsia="宋体" w:cs="宋体"/>
          <w:b w:val="0"/>
          <w:bCs w:val="0"/>
          <w:color w:val="auto"/>
          <w:kern w:val="0"/>
          <w:sz w:val="24"/>
          <w:szCs w:val="20"/>
          <w:highlight w:val="none"/>
        </w:rPr>
      </w:pPr>
      <w:r>
        <w:rPr>
          <w:rFonts w:hint="eastAsia" w:ascii="宋体" w:hAnsi="宋体" w:eastAsia="宋体" w:cs="宋体"/>
          <w:b w:val="0"/>
          <w:bCs w:val="0"/>
          <w:color w:val="auto"/>
          <w:kern w:val="0"/>
          <w:sz w:val="24"/>
          <w:szCs w:val="20"/>
          <w:highlight w:val="none"/>
        </w:rPr>
        <w:t>根据《关于做好权责清单公共服务清单行政权力中介服务清单（2025年版）公布实施相关工作的通知》（皖编〔2026〕3号）以及交通运输部《航道工程建设管理规定》《港口工程建设管理规定》等规定，省级重点水运建设项目设计文件技术审查咨询由省厅委托有关机构开展。</w:t>
      </w:r>
    </w:p>
    <w:p w14:paraId="59249824">
      <w:pPr>
        <w:spacing w:line="360" w:lineRule="auto"/>
        <w:ind w:firstLine="437"/>
        <w:outlineLvl w:val="1"/>
        <w:rPr>
          <w:rFonts w:hint="eastAsia" w:ascii="宋体" w:hAnsi="宋体" w:eastAsia="宋体" w:cs="宋体"/>
          <w:b w:val="0"/>
          <w:bCs w:val="0"/>
          <w:color w:val="auto"/>
          <w:kern w:val="0"/>
          <w:sz w:val="24"/>
          <w:szCs w:val="20"/>
          <w:highlight w:val="none"/>
        </w:rPr>
      </w:pPr>
      <w:r>
        <w:rPr>
          <w:rFonts w:hint="eastAsia" w:ascii="宋体" w:hAnsi="宋体" w:eastAsia="宋体" w:cs="宋体"/>
          <w:b w:val="0"/>
          <w:bCs w:val="0"/>
          <w:color w:val="auto"/>
          <w:kern w:val="0"/>
          <w:sz w:val="24"/>
          <w:szCs w:val="20"/>
          <w:highlight w:val="none"/>
        </w:rPr>
        <w:t>结合项目前期工作推进情况，梳理了今年需开展初步设计技术审查咨询单位招标的重点水运项目共4个，分别为兆西河高等级航道整治一期工程、兆西河航道整治工程、庄墓河航道整治工程、合肥国际港务区下派多式联运枢纽一期工程。</w:t>
      </w:r>
    </w:p>
    <w:p w14:paraId="22B4BBD4">
      <w:pPr>
        <w:spacing w:line="360" w:lineRule="auto"/>
        <w:ind w:firstLine="437"/>
        <w:outlineLvl w:val="1"/>
        <w:rPr>
          <w:rFonts w:hint="eastAsia" w:ascii="宋体" w:hAnsi="宋体" w:eastAsia="宋体" w:cs="宋体"/>
          <w:b w:val="0"/>
          <w:bCs w:val="0"/>
          <w:color w:val="auto"/>
          <w:kern w:val="0"/>
          <w:sz w:val="24"/>
          <w:szCs w:val="20"/>
          <w:highlight w:val="none"/>
          <w:lang w:eastAsia="zh-CN"/>
        </w:rPr>
      </w:pPr>
      <w:r>
        <w:rPr>
          <w:rFonts w:hint="eastAsia" w:ascii="宋体" w:hAnsi="宋体" w:eastAsia="宋体" w:cs="宋体"/>
          <w:b w:val="0"/>
          <w:bCs w:val="0"/>
          <w:color w:val="auto"/>
          <w:kern w:val="0"/>
          <w:sz w:val="24"/>
          <w:szCs w:val="20"/>
          <w:highlight w:val="none"/>
          <w:lang w:eastAsia="zh-CN"/>
        </w:rPr>
        <w:t>各项目概况如下：</w:t>
      </w:r>
    </w:p>
    <w:p w14:paraId="5F642810">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1.兆西河高等级航道整治一期工程初步设计技术咨询</w:t>
      </w:r>
    </w:p>
    <w:p w14:paraId="72EF62BC">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工程位于无为市，按照一级船闸标准建设兆西河凤凰颈船闸，船闸有效尺度280m</w:t>
      </w:r>
      <w:r>
        <w:rPr>
          <w:rFonts w:hint="default" w:ascii="宋体" w:hAnsi="宋体" w:eastAsia="宋体" w:cs="宋体"/>
          <w:b w:val="0"/>
          <w:bCs w:val="0"/>
          <w:color w:val="auto"/>
          <w:kern w:val="0"/>
          <w:sz w:val="24"/>
          <w:szCs w:val="20"/>
          <w:highlight w:val="none"/>
          <w:lang w:val="en-US" w:eastAsia="zh-CN"/>
        </w:rPr>
        <w:t>×</w:t>
      </w:r>
      <w:r>
        <w:rPr>
          <w:rFonts w:hint="eastAsia" w:ascii="宋体" w:hAnsi="宋体" w:eastAsia="宋体" w:cs="宋体"/>
          <w:b w:val="0"/>
          <w:bCs w:val="0"/>
          <w:color w:val="auto"/>
          <w:kern w:val="0"/>
          <w:sz w:val="24"/>
          <w:szCs w:val="20"/>
          <w:highlight w:val="none"/>
          <w:lang w:val="en-US" w:eastAsia="zh-CN"/>
        </w:rPr>
        <w:t>34m×8m（长度×宽度×门槛水深），主要建设内容包括船闸主体、上下游引航道、退建大堤、跨闸桥梁、道路改建、金属结构及机械设备、航标、电气控制及自动化、生产辅助建筑物、给排水及消防、鱼道影响处理等工程，估算总投资30.0亿元。</w:t>
      </w:r>
    </w:p>
    <w:p w14:paraId="43EB5AD9">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2.兆西河航道整治工程初步设计技术咨询</w:t>
      </w:r>
    </w:p>
    <w:p w14:paraId="7F94F954">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项目位于安徽省合肥市和芜湖市，起自合肥国际港务区，经派河口枢纽向东进入巢湖，在巢湖兆河口门向南进入兆河，经兆河枢纽在缺口向东进入西河，在凤凰颈枢纽向南入长江，依次经过合肥市包河区、肥西县、庐江县、巢湖市和芜湖无为市，全长约125.4km。工程按I级航道标准进行整治，航道尺度6m×80m（湖区段100m）×550m（航道水深×航道底宽×最小弯曲半径）；本项目主要建设内容包括：整治航道125.4km，建设兆河复线船闸工程，船闸规模为280m×34m×8m（闸室有效长度×闸室有效宽度×门槛最小水深，下同），改建跨河桥梁5座（G346兆河特大桥、杨塘河特大桥、庐铜铁路特大桥、山东湾特大桥、G347西河特大桥），新建水利影响处理工程等配套工程等。项目总投资约212.72亿元。</w:t>
      </w:r>
    </w:p>
    <w:p w14:paraId="575B302B">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3.庄墓河航道整治工程初步设计技术咨询</w:t>
      </w:r>
    </w:p>
    <w:p w14:paraId="69949756">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工程位于合肥市、淮南市，航道工程全长约18.6km，工程按Ⅲ级航道标准进行整治；码头工程新建5个500吨级通用泊位（水工结构按照2000吨级船舶设计），年设计通过能力为470万吨，建设1.73公里疏港道路等配套设施，工程总投资约8.51亿元。</w:t>
      </w:r>
    </w:p>
    <w:p w14:paraId="5C1358EA">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4.合肥国际港务区下派多式联运枢纽一期工程初步设计技术咨询</w:t>
      </w:r>
    </w:p>
    <w:p w14:paraId="694CD941">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工程位于合肥市肥西县，合肥港下派作业区，建设内容包括新建10个2000吨级泊位（水工结构按5000吨级考虑），并配套建设后方陆域货物仓储区及生产辅助建筑物、进港道路等，拟建道路等级为一级公路，设计速度60km/h，路基宽度32.0m，双向六车道。设计年吞吐量1056万吨。工程总投资约35亿元。</w:t>
      </w:r>
    </w:p>
    <w:p w14:paraId="2B89522C">
      <w:pPr>
        <w:numPr>
          <w:ilvl w:val="0"/>
          <w:numId w:val="0"/>
        </w:numPr>
        <w:spacing w:line="360" w:lineRule="auto"/>
        <w:ind w:left="437" w:leftChars="0"/>
        <w:outlineLvl w:val="1"/>
        <w:rPr>
          <w:rFonts w:hint="eastAsia" w:ascii="宋体" w:hAnsi="宋体" w:eastAsia="宋体" w:cs="@仿宋_GB2312"/>
          <w:b/>
          <w:color w:val="auto"/>
          <w:sz w:val="24"/>
          <w:szCs w:val="18"/>
          <w:highlight w:val="none"/>
        </w:rPr>
      </w:pPr>
      <w:bookmarkStart w:id="7" w:name="_Toc13016"/>
      <w:bookmarkStart w:id="8" w:name="_Toc27920"/>
      <w:r>
        <w:rPr>
          <w:rFonts w:hint="eastAsia" w:ascii="宋体" w:hAnsi="宋体" w:eastAsia="宋体" w:cs="@仿宋_GB2312"/>
          <w:b/>
          <w:color w:val="auto"/>
          <w:sz w:val="24"/>
          <w:szCs w:val="18"/>
          <w:highlight w:val="none"/>
          <w:lang w:val="en-US" w:eastAsia="zh-CN"/>
        </w:rPr>
        <w:t>三、</w:t>
      </w:r>
      <w:r>
        <w:rPr>
          <w:rFonts w:hint="eastAsia" w:ascii="宋体" w:hAnsi="宋体" w:eastAsia="宋体" w:cs="@仿宋_GB2312"/>
          <w:b/>
          <w:color w:val="auto"/>
          <w:sz w:val="24"/>
          <w:szCs w:val="18"/>
          <w:highlight w:val="none"/>
        </w:rPr>
        <w:t>服务需求</w:t>
      </w:r>
      <w:bookmarkEnd w:id="7"/>
      <w:bookmarkEnd w:id="8"/>
    </w:p>
    <w:p w14:paraId="52792368">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1.技术咨询机构提供的设计文件技术咨询服务包括符合性审查，文件审查，现场审查和补充文件审查四个阶段，并应具体提供以下技术咨询服务：</w:t>
      </w:r>
    </w:p>
    <w:p w14:paraId="76574DEF">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（1）工程勘察、设计依据的基本资料是否完整，准确，可靠，设计方案论证是否充分，计算是否可靠，是否符合系统运行安全的要求；</w:t>
      </w:r>
    </w:p>
    <w:p w14:paraId="7700EA92">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（2）有关设计方案，特殊工点，施工方案和施工组织的可行性；</w:t>
      </w:r>
    </w:p>
    <w:p w14:paraId="3568F2E5">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（3）设计文件总体性和各专业间的衔接是否满足要求；</w:t>
      </w:r>
    </w:p>
    <w:p w14:paraId="4B9B6717">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（4）设计文件各专业是否满足先进、适用、安全、节能、消防、环保、美观、经济的原则；</w:t>
      </w:r>
    </w:p>
    <w:p w14:paraId="008C1430">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（5）有关规模、投资与功能是否合理，综合技术经济指标是否适宜；</w:t>
      </w:r>
    </w:p>
    <w:p w14:paraId="1365BDC3">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（6）有关费用编制依据、费率、设计概（预）算的合理性；</w:t>
      </w:r>
    </w:p>
    <w:p w14:paraId="2F03C9AE">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（7）工程测量、勘察、设计是否符合国家现行有关法律、法规和政策；</w:t>
      </w:r>
    </w:p>
    <w:p w14:paraId="62338FE1">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（8）工程测量及勘察成果、设计文件是否符合交通行业规范、规程、技术标准和有关设计文件编制办法的要求，是否完全执行了强制性条文的规定；</w:t>
      </w:r>
    </w:p>
    <w:p w14:paraId="3534FEB0">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（9）工程测量及勘察成果、设计文件是否落实了可行性研究报告或初步设计的批复精神；</w:t>
      </w:r>
    </w:p>
    <w:p w14:paraId="48A8CFC6">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（10）设计文件是否最大限度地维护了社会公众利益和保证公众安全；</w:t>
      </w:r>
    </w:p>
    <w:p w14:paraId="25472FBB">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（11）满足上述要求的前提下提出进一步优化建议，在不降低工程技术标准的前提下，尽可能减少工程造价；</w:t>
      </w:r>
    </w:p>
    <w:p w14:paraId="3D9D78C4">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（12）编写技术咨询报告；</w:t>
      </w:r>
    </w:p>
    <w:p w14:paraId="0089C9DC">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2.如采购人需要，成交供应商需提供本阶段设计变更及概算调整审批技术咨询服务，相关费用已包含在合同总价中，采购人不再另行支付。</w:t>
      </w:r>
    </w:p>
    <w:p w14:paraId="6A86546E">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3.承担技术咨询任务的机构应当建立和完善内部管理制度，根据委托合同书的要求和委托事项的类型，优化技术咨询工作流程，制定相应的工作方案，配置专业人员，保证独立、客观、公正、科学地开展技术咨询工作。技术咨询服务必须符合国家经济技术政策、规定，符合委托方的技术、质量要求。</w:t>
      </w:r>
    </w:p>
    <w:p w14:paraId="447E7132">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4.技术咨询机构不得为所投合同包项目的设计文件（初步设计文件、施工图设计文件）编制单位或项目业主委托的该项目设计咨询单位。</w:t>
      </w:r>
    </w:p>
    <w:p w14:paraId="7459DDAD">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5.</w:t>
      </w:r>
      <w:r>
        <w:rPr>
          <w:rFonts w:hint="eastAsia" w:ascii="宋体" w:hAnsi="宋体" w:eastAsia="宋体" w:cs="宋体"/>
          <w:b w:val="0"/>
          <w:bCs w:val="0"/>
          <w:color w:val="auto"/>
          <w:kern w:val="0"/>
          <w:sz w:val="24"/>
          <w:szCs w:val="20"/>
          <w:highlight w:val="none"/>
        </w:rPr>
        <w:t>技术咨询机构</w:t>
      </w:r>
      <w:r>
        <w:rPr>
          <w:rFonts w:hint="eastAsia" w:ascii="宋体" w:hAnsi="宋体" w:eastAsia="宋体" w:cs="宋体"/>
          <w:b w:val="0"/>
          <w:bCs w:val="0"/>
          <w:color w:val="auto"/>
          <w:kern w:val="0"/>
          <w:sz w:val="24"/>
          <w:szCs w:val="20"/>
          <w:highlight w:val="none"/>
          <w:lang w:val="en-US" w:eastAsia="zh-CN"/>
        </w:rPr>
        <w:t>须为本项目配备不少于7个专业技术人员(含项目负责人1人)，其中，道路与桥梁工程相关专业技术人员至少1人、港口与航道工程相关专业技术人员至少2人。</w:t>
      </w:r>
      <w:r>
        <w:rPr>
          <w:rFonts w:hint="eastAsia" w:ascii="宋体" w:hAnsi="宋体" w:eastAsia="宋体" w:cs="宋体"/>
          <w:b w:val="0"/>
          <w:bCs w:val="0"/>
          <w:color w:val="auto"/>
          <w:kern w:val="0"/>
          <w:sz w:val="24"/>
          <w:szCs w:val="20"/>
          <w:highlight w:val="none"/>
        </w:rPr>
        <w:t>除评分办法中要求提供的相关人员证明材料外，相关人员的其他证明材料无须在投标文件中提供，采购人在合同签订后，</w:t>
      </w:r>
      <w:r>
        <w:rPr>
          <w:rFonts w:hint="eastAsia" w:ascii="宋体" w:hAnsi="宋体" w:eastAsia="宋体" w:cs="宋体"/>
          <w:b w:val="0"/>
          <w:bCs w:val="0"/>
          <w:color w:val="auto"/>
          <w:kern w:val="0"/>
          <w:sz w:val="24"/>
          <w:szCs w:val="20"/>
          <w:highlight w:val="none"/>
          <w:lang w:val="en-US" w:eastAsia="zh-CN"/>
        </w:rPr>
        <w:t>技术咨询机构</w:t>
      </w:r>
      <w:r>
        <w:rPr>
          <w:rFonts w:hint="eastAsia" w:ascii="宋体" w:hAnsi="宋体" w:eastAsia="宋体" w:cs="宋体"/>
          <w:b w:val="0"/>
          <w:bCs w:val="0"/>
          <w:color w:val="auto"/>
          <w:kern w:val="0"/>
          <w:sz w:val="24"/>
          <w:szCs w:val="20"/>
          <w:highlight w:val="none"/>
        </w:rPr>
        <w:t>开始服务前核查配备人员相关证明，人员须按照要求配备到位，经采购人认可后</w:t>
      </w:r>
      <w:r>
        <w:rPr>
          <w:rFonts w:hint="eastAsia" w:ascii="宋体" w:hAnsi="宋体" w:eastAsia="宋体" w:cs="宋体"/>
          <w:b w:val="0"/>
          <w:bCs w:val="0"/>
          <w:color w:val="auto"/>
          <w:kern w:val="0"/>
          <w:sz w:val="24"/>
          <w:szCs w:val="20"/>
          <w:highlight w:val="none"/>
          <w:lang w:val="en-US" w:eastAsia="zh-CN"/>
        </w:rPr>
        <w:t>方</w:t>
      </w:r>
      <w:r>
        <w:rPr>
          <w:rFonts w:hint="eastAsia" w:ascii="宋体" w:hAnsi="宋体" w:eastAsia="宋体" w:cs="宋体"/>
          <w:b w:val="0"/>
          <w:bCs w:val="0"/>
          <w:color w:val="auto"/>
          <w:kern w:val="0"/>
          <w:sz w:val="24"/>
          <w:szCs w:val="20"/>
          <w:highlight w:val="none"/>
        </w:rPr>
        <w:t>可正式开始服务。</w:t>
      </w:r>
    </w:p>
    <w:p w14:paraId="439678CC">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6.技术咨询机构应制定工作计划，接到具体任务后，定期反馈技术咨询工作进度等情况，两周内提交最终服务成果。每个项目初步设计批复后，省厅组织验收。</w:t>
      </w:r>
    </w:p>
    <w:p w14:paraId="2EB16E32">
      <w:pPr>
        <w:spacing w:line="360" w:lineRule="auto"/>
        <w:ind w:firstLine="437"/>
        <w:outlineLvl w:val="1"/>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7.因特殊情况难以在规定时限内完成的，技术咨询机构应当在规定时限到期5个工作日之前向安徽省交通运输厅书面申请延期，征得书面同意后，应在安徽省交通运输厅批准的延期时限内完成评估任务。</w:t>
      </w:r>
    </w:p>
    <w:p w14:paraId="61CF9843">
      <w:pPr>
        <w:spacing w:line="360" w:lineRule="auto"/>
        <w:ind w:firstLine="437"/>
        <w:outlineLvl w:val="1"/>
        <w:rPr>
          <w:rFonts w:hint="eastAsia" w:ascii="宋体" w:hAnsi="宋体" w:eastAsia="宋体" w:cs="@仿宋_GB2312"/>
          <w:b/>
          <w:color w:val="auto"/>
          <w:sz w:val="24"/>
          <w:szCs w:val="18"/>
          <w:highlight w:val="none"/>
          <w:lang w:val="en-US" w:eastAsia="zh-CN"/>
        </w:rPr>
      </w:pPr>
      <w:r>
        <w:rPr>
          <w:rFonts w:hint="eastAsia" w:ascii="宋体" w:hAnsi="宋体" w:eastAsia="宋体" w:cs="宋体"/>
          <w:b w:val="0"/>
          <w:bCs w:val="0"/>
          <w:color w:val="auto"/>
          <w:kern w:val="0"/>
          <w:sz w:val="24"/>
          <w:szCs w:val="20"/>
          <w:highlight w:val="none"/>
          <w:lang w:val="en-US" w:eastAsia="zh-CN"/>
        </w:rPr>
        <w:t>8.技术咨询机构应当充分了解委托事项的建设条件和各方面意见，客观、公正、及时完成技术咨询报告。技术咨询应当以技术咨询机构的名义报送安徽省交通运输厅，报告内容应当重点突出、数据详实、观点鲜明、结论明确，重大分歧意见须在报告中反映并有结论性建议。</w:t>
      </w:r>
      <w:bookmarkStart w:id="9" w:name="_Toc16414"/>
      <w:bookmarkStart w:id="10" w:name="_Toc20717"/>
    </w:p>
    <w:p w14:paraId="08E4D823">
      <w:pPr>
        <w:spacing w:line="360" w:lineRule="auto"/>
        <w:ind w:firstLine="437"/>
        <w:outlineLvl w:val="1"/>
        <w:rPr>
          <w:rFonts w:hint="eastAsia"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lang w:val="en-US" w:eastAsia="zh-CN"/>
        </w:rPr>
        <w:t>四、</w:t>
      </w:r>
      <w:r>
        <w:rPr>
          <w:rFonts w:hint="eastAsia" w:ascii="宋体" w:hAnsi="宋体" w:eastAsia="宋体" w:cs="@仿宋_GB2312"/>
          <w:b/>
          <w:color w:val="auto"/>
          <w:sz w:val="24"/>
          <w:szCs w:val="18"/>
          <w:highlight w:val="none"/>
        </w:rPr>
        <w:t>报价要求</w:t>
      </w:r>
      <w:bookmarkEnd w:id="9"/>
      <w:bookmarkEnd w:id="10"/>
    </w:p>
    <w:bookmarkEnd w:id="3"/>
    <w:bookmarkEnd w:id="5"/>
    <w:p w14:paraId="62C3A98C">
      <w:pPr>
        <w:spacing w:line="360" w:lineRule="auto"/>
        <w:ind w:firstLine="480"/>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本项目报价采用总价报价，</w:t>
      </w:r>
      <w:r>
        <w:rPr>
          <w:rFonts w:hint="eastAsia" w:ascii="宋体" w:hAnsi="宋体" w:eastAsia="宋体" w:cs="宋体"/>
          <w:b w:val="0"/>
          <w:bCs/>
          <w:color w:val="auto"/>
          <w:kern w:val="0"/>
          <w:sz w:val="24"/>
          <w:szCs w:val="24"/>
          <w:highlight w:val="none"/>
          <w:lang w:val="en-US" w:eastAsia="zh-CN"/>
        </w:rPr>
        <w:t>投标人</w:t>
      </w:r>
      <w:r>
        <w:rPr>
          <w:rFonts w:hint="eastAsia" w:ascii="宋体" w:hAnsi="宋体" w:eastAsia="宋体" w:cs="宋体"/>
          <w:b w:val="0"/>
          <w:bCs/>
          <w:color w:val="auto"/>
          <w:kern w:val="0"/>
          <w:sz w:val="24"/>
          <w:szCs w:val="24"/>
          <w:highlight w:val="none"/>
        </w:rPr>
        <w:t>报价不超过本项目总预算</w:t>
      </w:r>
      <w:r>
        <w:rPr>
          <w:rFonts w:hint="eastAsia" w:ascii="宋体" w:hAnsi="宋体" w:eastAsia="宋体" w:cs="宋体"/>
          <w:b w:val="0"/>
          <w:bCs/>
          <w:color w:val="auto"/>
          <w:kern w:val="0"/>
          <w:sz w:val="24"/>
          <w:szCs w:val="24"/>
          <w:highlight w:val="none"/>
          <w:lang w:val="en-US" w:eastAsia="zh-CN"/>
        </w:rPr>
        <w:t>200</w:t>
      </w:r>
      <w:r>
        <w:rPr>
          <w:rFonts w:hint="eastAsia" w:ascii="宋体" w:hAnsi="宋体" w:eastAsia="宋体" w:cs="宋体"/>
          <w:b w:val="0"/>
          <w:bCs/>
          <w:color w:val="auto"/>
          <w:kern w:val="0"/>
          <w:sz w:val="24"/>
          <w:szCs w:val="24"/>
          <w:highlight w:val="none"/>
        </w:rPr>
        <w:t>万元，且不得超过各分项预算</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超过总预算或各分项预算视为</w:t>
      </w:r>
      <w:r>
        <w:rPr>
          <w:rFonts w:hint="eastAsia" w:ascii="宋体" w:hAnsi="宋体" w:eastAsia="宋体" w:cs="宋体"/>
          <w:b w:val="0"/>
          <w:bCs/>
          <w:color w:val="auto"/>
          <w:kern w:val="0"/>
          <w:sz w:val="24"/>
          <w:szCs w:val="24"/>
          <w:highlight w:val="none"/>
          <w:lang w:val="en-US" w:eastAsia="zh-CN"/>
        </w:rPr>
        <w:t>投标</w:t>
      </w:r>
      <w:r>
        <w:rPr>
          <w:rFonts w:hint="eastAsia" w:ascii="宋体" w:hAnsi="宋体" w:eastAsia="宋体" w:cs="宋体"/>
          <w:b w:val="0"/>
          <w:bCs/>
          <w:color w:val="auto"/>
          <w:kern w:val="0"/>
          <w:sz w:val="24"/>
          <w:szCs w:val="24"/>
          <w:highlight w:val="none"/>
        </w:rPr>
        <w:t>无效。</w:t>
      </w:r>
      <w:r>
        <w:rPr>
          <w:rFonts w:hint="eastAsia" w:ascii="宋体" w:hAnsi="宋体" w:eastAsia="宋体" w:cs="宋体"/>
          <w:color w:val="auto"/>
          <w:kern w:val="0"/>
          <w:sz w:val="24"/>
          <w:szCs w:val="20"/>
          <w:highlight w:val="none"/>
          <w:lang w:eastAsia="zh-CN"/>
        </w:rPr>
        <w:t>报价包括人工费、现场踏勘费用、交通费等完成技术咨询服务产生的全部费用，采购人后期不追加任何费用，请各投标人自行考虑谨慎报价。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3671"/>
        <w:gridCol w:w="1506"/>
        <w:gridCol w:w="2129"/>
      </w:tblGrid>
      <w:tr w14:paraId="7D8D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Align w:val="center"/>
          </w:tcPr>
          <w:p w14:paraId="0C148F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eastAsia="zh-CN"/>
              </w:rPr>
            </w:pPr>
            <w:r>
              <w:rPr>
                <w:rFonts w:hint="eastAsia" w:ascii="宋体" w:hAnsi="宋体" w:eastAsia="宋体" w:cs="宋体"/>
                <w:b/>
                <w:color w:val="auto"/>
                <w:kern w:val="0"/>
                <w:sz w:val="24"/>
                <w:szCs w:val="24"/>
                <w:highlight w:val="none"/>
                <w:vertAlign w:val="baseline"/>
                <w:lang w:eastAsia="zh-CN"/>
              </w:rPr>
              <w:t>合同包</w:t>
            </w:r>
          </w:p>
        </w:tc>
        <w:tc>
          <w:tcPr>
            <w:tcW w:w="3671" w:type="dxa"/>
            <w:vAlign w:val="center"/>
          </w:tcPr>
          <w:p w14:paraId="09D72F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eastAsia="zh-CN"/>
              </w:rPr>
            </w:pPr>
            <w:r>
              <w:rPr>
                <w:rFonts w:hint="eastAsia" w:ascii="宋体" w:hAnsi="宋体" w:eastAsia="宋体" w:cs="宋体"/>
                <w:b/>
                <w:color w:val="auto"/>
                <w:kern w:val="0"/>
                <w:sz w:val="24"/>
                <w:szCs w:val="24"/>
                <w:highlight w:val="none"/>
                <w:vertAlign w:val="baseline"/>
                <w:lang w:eastAsia="zh-CN"/>
              </w:rPr>
              <w:t>项目名称</w:t>
            </w:r>
          </w:p>
        </w:tc>
        <w:tc>
          <w:tcPr>
            <w:tcW w:w="1506" w:type="dxa"/>
            <w:vAlign w:val="center"/>
          </w:tcPr>
          <w:p w14:paraId="21646F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eastAsia="zh-CN"/>
              </w:rPr>
            </w:pPr>
            <w:r>
              <w:rPr>
                <w:rFonts w:hint="eastAsia" w:ascii="宋体" w:hAnsi="宋体" w:eastAsia="宋体" w:cs="宋体"/>
                <w:b/>
                <w:color w:val="auto"/>
                <w:kern w:val="0"/>
                <w:sz w:val="24"/>
                <w:szCs w:val="24"/>
                <w:highlight w:val="none"/>
                <w:vertAlign w:val="baseline"/>
                <w:lang w:eastAsia="zh-CN"/>
              </w:rPr>
              <w:t>最高限价（万元）</w:t>
            </w:r>
          </w:p>
        </w:tc>
        <w:tc>
          <w:tcPr>
            <w:tcW w:w="2129" w:type="dxa"/>
            <w:vAlign w:val="center"/>
          </w:tcPr>
          <w:p w14:paraId="1DBB3B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eastAsia="zh-CN"/>
              </w:rPr>
            </w:pPr>
            <w:r>
              <w:rPr>
                <w:rFonts w:hint="eastAsia" w:ascii="宋体" w:hAnsi="宋体" w:eastAsia="宋体" w:cs="宋体"/>
                <w:b/>
                <w:color w:val="auto"/>
                <w:kern w:val="0"/>
                <w:sz w:val="24"/>
                <w:szCs w:val="24"/>
                <w:highlight w:val="none"/>
                <w:vertAlign w:val="baseline"/>
                <w:lang w:eastAsia="zh-CN"/>
              </w:rPr>
              <w:t>分项最高限价（万元）</w:t>
            </w:r>
          </w:p>
        </w:tc>
      </w:tr>
      <w:tr w14:paraId="5CE4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restart"/>
            <w:vAlign w:val="center"/>
          </w:tcPr>
          <w:p w14:paraId="417B21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val="en-US" w:eastAsia="zh-CN"/>
              </w:rPr>
            </w:pPr>
            <w:r>
              <w:rPr>
                <w:rFonts w:hint="eastAsia" w:ascii="宋体" w:hAnsi="宋体" w:eastAsia="宋体" w:cs="宋体"/>
                <w:b/>
                <w:color w:val="auto"/>
                <w:kern w:val="0"/>
                <w:sz w:val="24"/>
                <w:szCs w:val="24"/>
                <w:highlight w:val="none"/>
                <w:vertAlign w:val="baseline"/>
                <w:lang w:val="en-US" w:eastAsia="zh-CN"/>
              </w:rPr>
              <w:t>01</w:t>
            </w:r>
          </w:p>
        </w:tc>
        <w:tc>
          <w:tcPr>
            <w:tcW w:w="3671" w:type="dxa"/>
            <w:vAlign w:val="center"/>
          </w:tcPr>
          <w:p w14:paraId="29B05C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r>
              <w:rPr>
                <w:rFonts w:hint="eastAsia" w:ascii="宋体" w:hAnsi="宋体" w:eastAsia="宋体" w:cs="宋体"/>
                <w:b w:val="0"/>
                <w:bCs w:val="0"/>
                <w:color w:val="auto"/>
                <w:kern w:val="0"/>
                <w:sz w:val="24"/>
                <w:szCs w:val="20"/>
                <w:highlight w:val="none"/>
              </w:rPr>
              <w:t>兆西河高等级航道整治一期工程</w:t>
            </w:r>
          </w:p>
        </w:tc>
        <w:tc>
          <w:tcPr>
            <w:tcW w:w="1506" w:type="dxa"/>
            <w:vMerge w:val="restart"/>
            <w:vAlign w:val="center"/>
          </w:tcPr>
          <w:p w14:paraId="58199E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val="en-US" w:eastAsia="zh-CN"/>
              </w:rPr>
            </w:pPr>
            <w:r>
              <w:rPr>
                <w:rFonts w:hint="eastAsia" w:ascii="宋体" w:hAnsi="宋体" w:eastAsia="宋体" w:cs="宋体"/>
                <w:b/>
                <w:color w:val="auto"/>
                <w:kern w:val="0"/>
                <w:sz w:val="24"/>
                <w:szCs w:val="24"/>
                <w:highlight w:val="none"/>
                <w:vertAlign w:val="baseline"/>
                <w:lang w:val="en-US" w:eastAsia="zh-CN"/>
              </w:rPr>
              <w:t>200</w:t>
            </w:r>
          </w:p>
        </w:tc>
        <w:tc>
          <w:tcPr>
            <w:tcW w:w="2129" w:type="dxa"/>
            <w:vAlign w:val="center"/>
          </w:tcPr>
          <w:p w14:paraId="72D907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val="en-US" w:eastAsia="zh-CN"/>
              </w:rPr>
            </w:pPr>
            <w:r>
              <w:rPr>
                <w:rFonts w:hint="eastAsia" w:ascii="宋体" w:hAnsi="宋体" w:eastAsia="宋体" w:cs="宋体"/>
                <w:b/>
                <w:color w:val="auto"/>
                <w:kern w:val="0"/>
                <w:sz w:val="24"/>
                <w:szCs w:val="24"/>
                <w:highlight w:val="none"/>
                <w:vertAlign w:val="baseline"/>
                <w:lang w:val="en-US" w:eastAsia="zh-CN"/>
              </w:rPr>
              <w:t>45</w:t>
            </w:r>
          </w:p>
        </w:tc>
      </w:tr>
      <w:tr w14:paraId="733F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2D10D3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p>
        </w:tc>
        <w:tc>
          <w:tcPr>
            <w:tcW w:w="3671" w:type="dxa"/>
            <w:vAlign w:val="center"/>
          </w:tcPr>
          <w:p w14:paraId="16FF4A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r>
              <w:rPr>
                <w:rFonts w:hint="eastAsia" w:ascii="宋体" w:hAnsi="宋体" w:eastAsia="宋体" w:cs="宋体"/>
                <w:b w:val="0"/>
                <w:bCs w:val="0"/>
                <w:color w:val="auto"/>
                <w:kern w:val="0"/>
                <w:sz w:val="24"/>
                <w:szCs w:val="20"/>
                <w:highlight w:val="none"/>
              </w:rPr>
              <w:t>兆西河航道整治工程</w:t>
            </w:r>
          </w:p>
        </w:tc>
        <w:tc>
          <w:tcPr>
            <w:tcW w:w="1506" w:type="dxa"/>
            <w:vMerge w:val="continue"/>
            <w:vAlign w:val="center"/>
          </w:tcPr>
          <w:p w14:paraId="108DEE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p>
        </w:tc>
        <w:tc>
          <w:tcPr>
            <w:tcW w:w="2129" w:type="dxa"/>
            <w:vAlign w:val="center"/>
          </w:tcPr>
          <w:p w14:paraId="45FF0C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val="en-US" w:eastAsia="zh-CN"/>
              </w:rPr>
            </w:pPr>
            <w:r>
              <w:rPr>
                <w:rFonts w:hint="eastAsia" w:ascii="宋体" w:hAnsi="宋体" w:eastAsia="宋体" w:cs="宋体"/>
                <w:b/>
                <w:color w:val="auto"/>
                <w:kern w:val="0"/>
                <w:sz w:val="24"/>
                <w:szCs w:val="24"/>
                <w:highlight w:val="none"/>
                <w:vertAlign w:val="baseline"/>
                <w:lang w:val="en-US" w:eastAsia="zh-CN"/>
              </w:rPr>
              <w:t>75</w:t>
            </w:r>
          </w:p>
        </w:tc>
      </w:tr>
      <w:tr w14:paraId="790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1E3B92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p>
        </w:tc>
        <w:tc>
          <w:tcPr>
            <w:tcW w:w="3671" w:type="dxa"/>
            <w:vAlign w:val="center"/>
          </w:tcPr>
          <w:p w14:paraId="5AC980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r>
              <w:rPr>
                <w:rFonts w:hint="eastAsia" w:ascii="宋体" w:hAnsi="宋体" w:eastAsia="宋体" w:cs="宋体"/>
                <w:b w:val="0"/>
                <w:bCs w:val="0"/>
                <w:color w:val="auto"/>
                <w:kern w:val="0"/>
                <w:sz w:val="24"/>
                <w:szCs w:val="20"/>
                <w:highlight w:val="none"/>
              </w:rPr>
              <w:t>庄墓河航道整治工程</w:t>
            </w:r>
          </w:p>
        </w:tc>
        <w:tc>
          <w:tcPr>
            <w:tcW w:w="1506" w:type="dxa"/>
            <w:vMerge w:val="continue"/>
            <w:vAlign w:val="center"/>
          </w:tcPr>
          <w:p w14:paraId="6C6359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p>
        </w:tc>
        <w:tc>
          <w:tcPr>
            <w:tcW w:w="2129" w:type="dxa"/>
            <w:vAlign w:val="center"/>
          </w:tcPr>
          <w:p w14:paraId="09EB64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val="en-US" w:eastAsia="zh-CN"/>
              </w:rPr>
            </w:pPr>
            <w:r>
              <w:rPr>
                <w:rFonts w:hint="eastAsia" w:ascii="宋体" w:hAnsi="宋体" w:eastAsia="宋体" w:cs="宋体"/>
                <w:b/>
                <w:color w:val="auto"/>
                <w:kern w:val="0"/>
                <w:sz w:val="24"/>
                <w:szCs w:val="24"/>
                <w:highlight w:val="none"/>
                <w:vertAlign w:val="baseline"/>
                <w:lang w:val="en-US" w:eastAsia="zh-CN"/>
              </w:rPr>
              <w:t>35</w:t>
            </w:r>
          </w:p>
        </w:tc>
      </w:tr>
      <w:tr w14:paraId="15FF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14:paraId="48CDF0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p>
        </w:tc>
        <w:tc>
          <w:tcPr>
            <w:tcW w:w="3671" w:type="dxa"/>
            <w:vAlign w:val="center"/>
          </w:tcPr>
          <w:p w14:paraId="0DC27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r>
              <w:rPr>
                <w:rFonts w:hint="eastAsia" w:ascii="宋体" w:hAnsi="宋体" w:eastAsia="宋体" w:cs="宋体"/>
                <w:b w:val="0"/>
                <w:bCs w:val="0"/>
                <w:color w:val="auto"/>
                <w:kern w:val="0"/>
                <w:sz w:val="24"/>
                <w:szCs w:val="20"/>
                <w:highlight w:val="none"/>
              </w:rPr>
              <w:t>合肥国际港务区下派多式联运枢纽一期工程</w:t>
            </w:r>
          </w:p>
        </w:tc>
        <w:tc>
          <w:tcPr>
            <w:tcW w:w="1506" w:type="dxa"/>
            <w:vMerge w:val="continue"/>
            <w:vAlign w:val="center"/>
          </w:tcPr>
          <w:p w14:paraId="3775E8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rPr>
            </w:pPr>
          </w:p>
        </w:tc>
        <w:tc>
          <w:tcPr>
            <w:tcW w:w="2129" w:type="dxa"/>
            <w:vAlign w:val="center"/>
          </w:tcPr>
          <w:p w14:paraId="4D77EA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vertAlign w:val="baseline"/>
                <w:lang w:val="en-US" w:eastAsia="zh-CN"/>
              </w:rPr>
            </w:pPr>
            <w:r>
              <w:rPr>
                <w:rFonts w:hint="eastAsia" w:ascii="宋体" w:hAnsi="宋体" w:eastAsia="宋体" w:cs="宋体"/>
                <w:b/>
                <w:color w:val="auto"/>
                <w:kern w:val="0"/>
                <w:sz w:val="24"/>
                <w:szCs w:val="24"/>
                <w:highlight w:val="none"/>
                <w:vertAlign w:val="baseline"/>
                <w:lang w:val="en-US" w:eastAsia="zh-CN"/>
              </w:rPr>
              <w:t>45</w:t>
            </w:r>
          </w:p>
        </w:tc>
      </w:tr>
    </w:tbl>
    <w:p w14:paraId="0602DC7A">
      <w:pPr>
        <w:widowControl w:val="0"/>
        <w:numPr>
          <w:ilvl w:val="0"/>
          <w:numId w:val="0"/>
        </w:numPr>
        <w:spacing w:after="120"/>
        <w:jc w:val="both"/>
        <w:rPr>
          <w:rFonts w:hint="eastAsia" w:ascii="@微软简标宋" w:hAnsi="@微软简标宋" w:eastAsia="@微软简标宋" w:cs="@微软简标宋"/>
          <w:b w:val="0"/>
          <w:bCs/>
          <w:kern w:val="2"/>
          <w:sz w:val="21"/>
          <w:szCs w:val="24"/>
          <w:lang w:val="zh-CN" w:eastAsia="zh-CN" w:bidi="ar-SA"/>
        </w:rPr>
      </w:pPr>
    </w:p>
    <w:p w14:paraId="119606AD">
      <w:pPr>
        <w:widowControl w:val="0"/>
        <w:numPr>
          <w:ilvl w:val="0"/>
          <w:numId w:val="0"/>
        </w:numPr>
        <w:spacing w:after="120"/>
        <w:jc w:val="both"/>
        <w:rPr>
          <w:rFonts w:hint="eastAsia" w:ascii="@微软简标宋" w:hAnsi="@微软简标宋" w:eastAsia="@微软简标宋" w:cs="@微软简标宋"/>
          <w:b w:val="0"/>
          <w:bCs/>
          <w:kern w:val="2"/>
          <w:sz w:val="21"/>
          <w:szCs w:val="24"/>
          <w:lang w:val="zh-CN" w:eastAsia="zh-CN" w:bidi="ar-SA"/>
        </w:rPr>
      </w:pPr>
    </w:p>
    <w:p w14:paraId="2E7DC5F4">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134B6"/>
    <w:rsid w:val="1CE1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2026-07-17T07:46:00Z</dcterms:created>
  <dc:creator>省招</dc:creator>
  <cp:lastModifiedBy>省招</cp:lastModifiedBy>
  <dcterms:modified xsi:type="dcterms:W3CDTF">2026-07-17T07:46:34Z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2052-12.1.0.26885</vt:lpwstr>
  </property>
  <property fmtid="{D5CDD505-2E9C-101B-9397-08002B2CF9AE}" pid="3" name="ICV">
    <vt:lpwstr>F2C19F07F1E944669E7C70AF7D9E94C4_11</vt:lpwstr>
  </property>
  <property fmtid="{D5CDD505-2E9C-101B-9397-08002B2CF9AE}" pid="4" name="KSOTemplateDocerSaveRecord">
    <vt:lpwstr>eyJoZGlkIjoiNGE0NTA1ZjVlZjFkNWEyMGEzNzc0YTVkMmFlY2IzNTAifQ==</vt:lpwstr>
  </property>
</Properties>
</file>