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6975D">
      <w:pPr>
        <w:numPr>
          <w:ilvl w:val="0"/>
          <w:numId w:val="1"/>
        </w:num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22605"/>
      <w:r>
        <w:rPr>
          <w:rFonts w:hint="eastAsia" w:asciiTheme="minorEastAsia" w:hAnsiTheme="minorEastAsia" w:eastAsiaTheme="minorEastAsia"/>
          <w:b/>
          <w:color w:val="auto"/>
          <w:sz w:val="28"/>
          <w:highlight w:val="none"/>
        </w:rPr>
        <w:t>采购需求</w:t>
      </w:r>
      <w:bookmarkEnd w:id="0"/>
    </w:p>
    <w:p w14:paraId="6A5DD343">
      <w:pPr>
        <w:spacing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前注：</w:t>
      </w:r>
    </w:p>
    <w:p w14:paraId="055322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4B27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bCs/>
          <w:color w:val="auto"/>
          <w:sz w:val="24"/>
          <w:szCs w:val="24"/>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04C4E16E">
      <w:pPr>
        <w:spacing w:line="360" w:lineRule="auto"/>
        <w:ind w:firstLine="437"/>
        <w:outlineLvl w:val="1"/>
        <w:rPr>
          <w:rFonts w:ascii="宋体" w:hAnsi="宋体" w:eastAsia="宋体"/>
          <w:b/>
          <w:color w:val="auto"/>
          <w:sz w:val="24"/>
          <w:szCs w:val="24"/>
          <w:highlight w:val="none"/>
        </w:rPr>
      </w:pPr>
      <w:bookmarkStart w:id="1" w:name="_Toc21798"/>
      <w:bookmarkStart w:id="2" w:name="_Toc4148"/>
      <w:r>
        <w:rPr>
          <w:rFonts w:hint="eastAsia" w:ascii="宋体" w:hAnsi="宋体" w:eastAsia="宋体"/>
          <w:b/>
          <w:color w:val="auto"/>
          <w:sz w:val="24"/>
          <w:szCs w:val="24"/>
          <w:highlight w:val="none"/>
        </w:rPr>
        <w:t>一、采购需求前附表</w:t>
      </w:r>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6"/>
              <w:pBdr>
                <w:bottom w:val="none" w:color="auto" w:sz="0" w:space="0"/>
              </w:pBdr>
              <w:tabs>
                <w:tab w:val="clear" w:pos="4153"/>
                <w:tab w:val="clear" w:pos="8306"/>
              </w:tabs>
              <w:adjustRightInd/>
              <w:spacing w:line="240" w:lineRule="auto"/>
              <w:textAlignment w:val="auto"/>
              <w:rPr>
                <w:rFonts w:ascii="宋体" w:hAnsi="宋体" w:eastAsia="宋体"/>
                <w:b/>
                <w:color w:val="auto"/>
                <w:kern w:val="2"/>
                <w:sz w:val="24"/>
                <w:szCs w:val="24"/>
                <w:highlight w:val="none"/>
              </w:rPr>
            </w:pPr>
            <w:r>
              <w:rPr>
                <w:rFonts w:hint="eastAsia" w:ascii="宋体" w:hAnsi="宋体" w:eastAsia="宋体"/>
                <w:b/>
                <w:color w:val="auto"/>
                <w:kern w:val="2"/>
                <w:sz w:val="24"/>
                <w:szCs w:val="24"/>
                <w:highlight w:val="none"/>
              </w:rPr>
              <w:t>序号</w:t>
            </w:r>
          </w:p>
        </w:tc>
        <w:tc>
          <w:tcPr>
            <w:tcW w:w="1192" w:type="pct"/>
            <w:vAlign w:val="center"/>
          </w:tcPr>
          <w:p w14:paraId="3383168B">
            <w:pPr>
              <w:pStyle w:val="7"/>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条款名称</w:t>
            </w:r>
          </w:p>
        </w:tc>
        <w:tc>
          <w:tcPr>
            <w:tcW w:w="3217" w:type="pct"/>
            <w:vAlign w:val="center"/>
          </w:tcPr>
          <w:p w14:paraId="58F59389">
            <w:pPr>
              <w:pStyle w:val="7"/>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1</w:t>
            </w:r>
          </w:p>
        </w:tc>
        <w:tc>
          <w:tcPr>
            <w:tcW w:w="1192" w:type="pct"/>
            <w:vAlign w:val="center"/>
          </w:tcPr>
          <w:p w14:paraId="1BFE8AAF">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3217" w:type="pct"/>
            <w:vAlign w:val="center"/>
          </w:tcPr>
          <w:p w14:paraId="6DFD3FE6">
            <w:pPr>
              <w:spacing w:line="360" w:lineRule="auto"/>
              <w:jc w:val="left"/>
              <w:rPr>
                <w:rFonts w:hint="eastAsia" w:ascii="宋体" w:hAnsi="宋体" w:eastAsia="宋体"/>
                <w:b w:val="0"/>
                <w:color w:val="auto"/>
                <w:sz w:val="24"/>
                <w:szCs w:val="24"/>
                <w:highlight w:val="none"/>
                <w:u w:val="single"/>
                <w:lang w:eastAsia="zh-CN"/>
              </w:rPr>
            </w:pPr>
            <w:r>
              <w:rPr>
                <w:rFonts w:hint="eastAsia" w:ascii="宋体" w:hAnsi="宋体" w:eastAsia="宋体"/>
                <w:b w:val="0"/>
                <w:color w:val="auto"/>
                <w:sz w:val="24"/>
                <w:szCs w:val="24"/>
                <w:highlight w:val="none"/>
                <w:u w:val="single"/>
                <w:lang w:eastAsia="zh-CN"/>
              </w:rPr>
              <w:t>合同签订后支付合同款的60%，合同履约期结束，验收合格后支付合同款的40%。</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2</w:t>
            </w:r>
          </w:p>
        </w:tc>
        <w:tc>
          <w:tcPr>
            <w:tcW w:w="1192" w:type="pct"/>
            <w:vAlign w:val="center"/>
          </w:tcPr>
          <w:p w14:paraId="1C182C68">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服务地点</w:t>
            </w:r>
          </w:p>
        </w:tc>
        <w:tc>
          <w:tcPr>
            <w:tcW w:w="3217" w:type="pct"/>
            <w:vAlign w:val="center"/>
          </w:tcPr>
          <w:p w14:paraId="3F86AE39">
            <w:pPr>
              <w:pStyle w:val="7"/>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安徽省内，具体按采购人指定地点。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3</w:t>
            </w:r>
          </w:p>
        </w:tc>
        <w:tc>
          <w:tcPr>
            <w:tcW w:w="1192" w:type="pct"/>
            <w:vAlign w:val="center"/>
          </w:tcPr>
          <w:p w14:paraId="616F3567">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服务期限</w:t>
            </w:r>
          </w:p>
        </w:tc>
        <w:tc>
          <w:tcPr>
            <w:tcW w:w="3217" w:type="pct"/>
            <w:vAlign w:val="center"/>
          </w:tcPr>
          <w:p w14:paraId="70AF4A40">
            <w:pPr>
              <w:pStyle w:val="7"/>
              <w:widowControl w:val="0"/>
              <w:spacing w:before="0" w:beforeAutospacing="0" w:after="0" w:afterAutospacing="0" w:line="360" w:lineRule="auto"/>
              <w:jc w:val="both"/>
              <w:rPr>
                <w:rFonts w:hint="eastAsia" w:ascii="宋体" w:hAnsi="宋体" w:eastAsia="宋体"/>
                <w:b w:val="0"/>
                <w:color w:val="auto"/>
                <w:sz w:val="24"/>
                <w:szCs w:val="24"/>
                <w:highlight w:val="none"/>
                <w:lang w:eastAsia="zh-CN"/>
              </w:rPr>
            </w:pPr>
            <w:r>
              <w:rPr>
                <w:rFonts w:hint="eastAsia" w:ascii="宋体" w:hAnsi="宋体" w:eastAsia="宋体"/>
                <w:b w:val="0"/>
                <w:color w:val="auto"/>
                <w:sz w:val="24"/>
                <w:szCs w:val="24"/>
                <w:highlight w:val="none"/>
                <w:lang w:eastAsia="zh-CN"/>
              </w:rPr>
              <w:t>合同签订后，一年内“中国·皖美山水”骑行赛全部结束（2026年下半年和2027年上半年）。第一年合同履约完成后，经采购人考核合格，在保持总费用和服务不变、年度预算能够保障前提下，经双方协商，可续签下一年合同，合同一年一签，续签不超过2次。</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sz w:val="24"/>
                <w:szCs w:val="24"/>
                <w:highlight w:val="none"/>
                <w:lang w:val="en-US" w:eastAsia="zh-CN"/>
              </w:rPr>
            </w:pPr>
            <w:r>
              <w:rPr>
                <w:rFonts w:hint="eastAsia" w:ascii="宋体" w:hAnsi="宋体" w:eastAsia="宋体"/>
                <w:bCs/>
                <w:color w:val="auto"/>
                <w:kern w:val="2"/>
                <w:sz w:val="24"/>
                <w:szCs w:val="24"/>
                <w:highlight w:val="none"/>
                <w:lang w:val="en-US" w:eastAsia="zh-CN"/>
              </w:rPr>
              <w:t>4</w:t>
            </w:r>
          </w:p>
        </w:tc>
        <w:tc>
          <w:tcPr>
            <w:tcW w:w="1192" w:type="pct"/>
            <w:vAlign w:val="center"/>
          </w:tcPr>
          <w:p w14:paraId="51BB34FC">
            <w:pPr>
              <w:pStyle w:val="7"/>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本项目采购标的名称及所属行业</w:t>
            </w:r>
          </w:p>
        </w:tc>
        <w:tc>
          <w:tcPr>
            <w:tcW w:w="3217" w:type="pct"/>
            <w:vAlign w:val="center"/>
          </w:tcPr>
          <w:p w14:paraId="74EDA201">
            <w:pPr>
              <w:spacing w:line="360" w:lineRule="auto"/>
              <w:jc w:val="left"/>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标的名称：</w:t>
            </w:r>
            <w:r>
              <w:rPr>
                <w:rFonts w:hint="eastAsia" w:asciiTheme="minorEastAsia" w:hAnsiTheme="minorEastAsia" w:eastAsiaTheme="minorEastAsia"/>
                <w:color w:val="auto"/>
                <w:sz w:val="24"/>
                <w:szCs w:val="24"/>
                <w:highlight w:val="none"/>
                <w:lang w:eastAsia="zh-CN"/>
              </w:rPr>
              <w:t>“中国·皖美山水”骑行赛整体策划运营服务</w:t>
            </w:r>
          </w:p>
          <w:p w14:paraId="5625FDBC">
            <w:pPr>
              <w:spacing w:line="360"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所属行业：其他未列明行业</w:t>
            </w:r>
          </w:p>
        </w:tc>
      </w:tr>
    </w:tbl>
    <w:p w14:paraId="35AC6B93">
      <w:pPr>
        <w:numPr>
          <w:ilvl w:val="0"/>
          <w:numId w:val="0"/>
        </w:numPr>
        <w:spacing w:line="360" w:lineRule="auto"/>
        <w:outlineLvl w:val="9"/>
        <w:rPr>
          <w:rFonts w:hint="eastAsia" w:ascii="宋体" w:hAnsi="宋体" w:eastAsia="宋体"/>
          <w:b/>
          <w:color w:val="auto"/>
          <w:sz w:val="24"/>
          <w:szCs w:val="24"/>
          <w:highlight w:val="none"/>
          <w:lang w:val="en-US" w:eastAsia="zh-CN"/>
        </w:rPr>
      </w:pPr>
      <w:bookmarkStart w:id="3" w:name="_Toc16543"/>
    </w:p>
    <w:p w14:paraId="44B8D379">
      <w:pPr>
        <w:numPr>
          <w:ilvl w:val="0"/>
          <w:numId w:val="0"/>
        </w:numPr>
        <w:spacing w:line="360" w:lineRule="auto"/>
        <w:ind w:firstLine="482" w:firstLineChars="200"/>
        <w:outlineLvl w:val="1"/>
        <w:rPr>
          <w:rFonts w:hint="eastAsia" w:ascii="宋体" w:hAnsi="宋体" w:eastAsia="宋体"/>
          <w:b/>
          <w:color w:val="auto"/>
          <w:sz w:val="24"/>
          <w:szCs w:val="24"/>
          <w:highlight w:val="none"/>
        </w:rPr>
      </w:pPr>
      <w:bookmarkStart w:id="4" w:name="_Toc8753"/>
      <w:r>
        <w:rPr>
          <w:rFonts w:hint="eastAsia" w:ascii="宋体" w:hAnsi="宋体" w:eastAsia="宋体"/>
          <w:b/>
          <w:color w:val="auto"/>
          <w:sz w:val="24"/>
          <w:szCs w:val="24"/>
          <w:highlight w:val="none"/>
          <w:lang w:val="en-US" w:eastAsia="zh-CN"/>
        </w:rPr>
        <w:t>二、</w:t>
      </w:r>
      <w:r>
        <w:rPr>
          <w:rFonts w:hint="eastAsia" w:ascii="宋体" w:hAnsi="宋体" w:eastAsia="宋体"/>
          <w:b/>
          <w:color w:val="auto"/>
          <w:sz w:val="24"/>
          <w:szCs w:val="24"/>
          <w:highlight w:val="none"/>
        </w:rPr>
        <w:t>项目概况</w:t>
      </w:r>
      <w:bookmarkEnd w:id="3"/>
      <w:bookmarkEnd w:id="4"/>
    </w:p>
    <w:p w14:paraId="2A1C37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国·皖美山水”骑行赛是由中国自行车运动协会、安徽省体育局联合各承办地市人民政府主办，作为安徽省体育局按照“国际视野、全国一流、安徽特色”重点打造的群众性原创品牌赛事，2026赛季继续坚持“体育+文旅+商业”融合发展理念，有效赋能承办地市经济社会高质量发展。本次骑行赛将在安徽省各地市以“分站赛+总决赛”的形式举办。现拟对本项目进行公开招标。本项目中标人的中标价格应包括整体策划运营服务，主要包括但不限于赛事总体规划、策划、运营、赛事报名、赛事总体宣传和推广、赛事自媒矩阵建设及运维、赛事整体市场开发、视觉VI系统的升级、各站赛事申办、各站竞赛组织的管理及监督、结合各分站特色开展“一站一品”的配套活动等，确保赛事顺利有序进行。本项目不包含各分站赛事执行费用。</w:t>
      </w:r>
    </w:p>
    <w:p w14:paraId="73351B3C">
      <w:pPr>
        <w:numPr>
          <w:ilvl w:val="0"/>
          <w:numId w:val="0"/>
        </w:numPr>
        <w:spacing w:line="360" w:lineRule="auto"/>
        <w:ind w:left="437" w:leftChars="0"/>
        <w:outlineLvl w:val="1"/>
        <w:rPr>
          <w:rFonts w:hint="eastAsia" w:ascii="宋体" w:hAnsi="宋体" w:eastAsia="宋体"/>
          <w:b/>
          <w:color w:val="auto"/>
          <w:sz w:val="24"/>
          <w:szCs w:val="24"/>
          <w:highlight w:val="none"/>
        </w:rPr>
      </w:pPr>
      <w:bookmarkStart w:id="5" w:name="_Toc13016"/>
      <w:bookmarkStart w:id="6" w:name="_Toc27920"/>
      <w:r>
        <w:rPr>
          <w:rFonts w:hint="eastAsia" w:ascii="宋体" w:hAnsi="宋体" w:eastAsia="宋体"/>
          <w:b/>
          <w:color w:val="auto"/>
          <w:sz w:val="24"/>
          <w:szCs w:val="24"/>
          <w:highlight w:val="none"/>
          <w:lang w:val="en-US" w:eastAsia="zh-CN"/>
        </w:rPr>
        <w:t>三、</w:t>
      </w:r>
      <w:r>
        <w:rPr>
          <w:rFonts w:hint="eastAsia" w:ascii="宋体" w:hAnsi="宋体" w:eastAsia="宋体"/>
          <w:b/>
          <w:color w:val="auto"/>
          <w:sz w:val="24"/>
          <w:szCs w:val="24"/>
          <w:highlight w:val="none"/>
        </w:rPr>
        <w:t>服务需求</w:t>
      </w:r>
      <w:bookmarkEnd w:id="5"/>
      <w:bookmarkEnd w:id="6"/>
    </w:p>
    <w:p w14:paraId="49EE7825">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（一）赛事总体规划、策划、运营</w:t>
      </w:r>
    </w:p>
    <w:p w14:paraId="6A617116">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结合全民健身国家战略、安徽地理区位、山水人文资源、骑行运动发展制定</w:t>
      </w:r>
      <w:r>
        <w:rPr>
          <w:rFonts w:hint="eastAsia" w:ascii="宋体" w:hAnsi="宋体" w:eastAsia="宋体" w:cs="宋体"/>
          <w:bCs/>
          <w:color w:val="auto"/>
          <w:sz w:val="24"/>
          <w:szCs w:val="24"/>
          <w:highlight w:val="none"/>
        </w:rPr>
        <w:t>“中国·皖美山水”骑行赛</w:t>
      </w:r>
      <w:r>
        <w:rPr>
          <w:rFonts w:hint="eastAsia" w:ascii="宋体" w:hAnsi="宋体" w:eastAsia="宋体" w:cs="宋体"/>
          <w:snapToGrid w:val="0"/>
          <w:color w:val="auto"/>
          <w:kern w:val="0"/>
          <w:sz w:val="24"/>
          <w:szCs w:val="24"/>
          <w:highlight w:val="none"/>
        </w:rPr>
        <w:t>总体运营策划方案，内容包括但不限于可行性分析、赛事背景、策划思路、发展目标、品牌建设、赛事概况、赛事特点、亮点打造、赛事传播、工作分工、节点计划、实施进度、工作要求等内容，方案需结合实际具有创意性、可实施性。力争打造成为国内群众性骑行赛事第一品牌，成为全国百姓身边的“环法”。</w:t>
      </w:r>
    </w:p>
    <w:p w14:paraId="3701A3EE">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二</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视觉VI系统的升级</w:t>
      </w:r>
    </w:p>
    <w:p w14:paraId="5698518D">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结合“国际视野、全国一流、安徽特色”的品牌定位制定</w:t>
      </w:r>
      <w:r>
        <w:rPr>
          <w:rFonts w:hint="eastAsia" w:ascii="宋体" w:hAnsi="宋体" w:eastAsia="宋体" w:cs="宋体"/>
          <w:snapToGrid w:val="0"/>
          <w:color w:val="auto"/>
          <w:kern w:val="0"/>
          <w:sz w:val="24"/>
          <w:szCs w:val="24"/>
          <w:highlight w:val="none"/>
          <w:lang w:eastAsia="zh-CN"/>
        </w:rPr>
        <w:t>“中国·皖美山水”骑行赛</w:t>
      </w:r>
      <w:r>
        <w:rPr>
          <w:rFonts w:hint="eastAsia" w:ascii="宋体" w:hAnsi="宋体" w:eastAsia="宋体" w:cs="宋体"/>
          <w:snapToGrid w:val="0"/>
          <w:color w:val="auto"/>
          <w:kern w:val="0"/>
          <w:sz w:val="24"/>
          <w:szCs w:val="24"/>
          <w:highlight w:val="none"/>
        </w:rPr>
        <w:t>视觉识别系统（VIS）手册，内容包括但不限于：</w:t>
      </w:r>
    </w:p>
    <w:p w14:paraId="0023BF18">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第一部分：VIS基础系统</w:t>
      </w:r>
    </w:p>
    <w:p w14:paraId="5F5B3F04">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ascii="宋体" w:hAnsi="宋体" w:eastAsia="宋体" w:cs="宋体"/>
          <w:b/>
          <w:bCs/>
          <w:snapToGrid w:val="0"/>
          <w:color w:val="auto"/>
          <w:kern w:val="0"/>
          <w:sz w:val="24"/>
          <w:szCs w:val="24"/>
          <w:highlight w:val="none"/>
        </w:rPr>
        <w:t>品牌核心定位</w:t>
      </w:r>
    </w:p>
    <w:p w14:paraId="602CDBFF">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赛事精神：速度、耐力、团队协作、环保理念</w:t>
      </w:r>
      <w:r>
        <w:rPr>
          <w:rFonts w:hint="eastAsia" w:ascii="宋体" w:hAnsi="宋体" w:eastAsia="宋体" w:cs="宋体"/>
          <w:snapToGrid w:val="0"/>
          <w:color w:val="auto"/>
          <w:kern w:val="0"/>
          <w:sz w:val="24"/>
          <w:szCs w:val="24"/>
          <w:highlight w:val="none"/>
        </w:rPr>
        <w:t>；</w:t>
      </w:r>
    </w:p>
    <w:p w14:paraId="2CB0AA3F">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目标人群：专业车手、骑行爱好者、户外运动观众、城市人群</w:t>
      </w:r>
      <w:r>
        <w:rPr>
          <w:rFonts w:hint="eastAsia" w:ascii="宋体" w:hAnsi="宋体" w:eastAsia="宋体" w:cs="宋体"/>
          <w:snapToGrid w:val="0"/>
          <w:color w:val="auto"/>
          <w:kern w:val="0"/>
          <w:sz w:val="24"/>
          <w:szCs w:val="24"/>
          <w:highlight w:val="none"/>
        </w:rPr>
        <w:t>；</w:t>
      </w:r>
    </w:p>
    <w:p w14:paraId="1B2CCA9A">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视觉关键词：动感、科技感、自然融合（山地赛）/城市律动（公路赛）</w:t>
      </w:r>
      <w:r>
        <w:rPr>
          <w:rFonts w:hint="eastAsia" w:ascii="宋体" w:hAnsi="宋体" w:eastAsia="宋体" w:cs="宋体"/>
          <w:snapToGrid w:val="0"/>
          <w:color w:val="auto"/>
          <w:kern w:val="0"/>
          <w:sz w:val="24"/>
          <w:szCs w:val="24"/>
          <w:highlight w:val="none"/>
        </w:rPr>
        <w:t>；</w:t>
      </w:r>
    </w:p>
    <w:p w14:paraId="3B37D8BB">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r>
        <w:rPr>
          <w:rFonts w:ascii="宋体" w:hAnsi="宋体" w:eastAsia="宋体" w:cs="宋体"/>
          <w:b/>
          <w:bCs/>
          <w:snapToGrid w:val="0"/>
          <w:color w:val="auto"/>
          <w:kern w:val="0"/>
          <w:sz w:val="24"/>
          <w:szCs w:val="24"/>
          <w:highlight w:val="none"/>
        </w:rPr>
        <w:t>标志（Logo）设计规范</w:t>
      </w:r>
    </w:p>
    <w:p w14:paraId="17366804">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主标志：动态线条（象征赛道与速度）+抽象车轮/山峰元素</w:t>
      </w:r>
      <w:r>
        <w:rPr>
          <w:rFonts w:hint="eastAsia" w:ascii="宋体" w:hAnsi="宋体" w:eastAsia="宋体" w:cs="宋体"/>
          <w:snapToGrid w:val="0"/>
          <w:color w:val="auto"/>
          <w:kern w:val="0"/>
          <w:sz w:val="24"/>
          <w:szCs w:val="24"/>
          <w:highlight w:val="none"/>
        </w:rPr>
        <w:t>；</w:t>
      </w:r>
      <w:r>
        <w:rPr>
          <w:rFonts w:ascii="宋体" w:hAnsi="宋体" w:eastAsia="宋体" w:cs="宋体"/>
          <w:snapToGrid w:val="0"/>
          <w:color w:val="auto"/>
          <w:kern w:val="0"/>
          <w:sz w:val="24"/>
          <w:szCs w:val="24"/>
          <w:highlight w:val="none"/>
        </w:rPr>
        <w:t>标准色号、黑白反白版本、最小使用尺寸（如≥3cm）</w:t>
      </w:r>
      <w:r>
        <w:rPr>
          <w:rFonts w:hint="eastAsia" w:ascii="宋体" w:hAnsi="宋体" w:eastAsia="宋体" w:cs="宋体"/>
          <w:snapToGrid w:val="0"/>
          <w:color w:val="auto"/>
          <w:kern w:val="0"/>
          <w:sz w:val="24"/>
          <w:szCs w:val="24"/>
          <w:highlight w:val="none"/>
        </w:rPr>
        <w:t>；</w:t>
      </w:r>
    </w:p>
    <w:p w14:paraId="69A58DA1">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禁用场景：拉伸变形、叠加复杂背景、非授权配色</w:t>
      </w:r>
      <w:r>
        <w:rPr>
          <w:rFonts w:hint="eastAsia" w:ascii="宋体" w:hAnsi="宋体" w:eastAsia="宋体" w:cs="宋体"/>
          <w:snapToGrid w:val="0"/>
          <w:color w:val="auto"/>
          <w:kern w:val="0"/>
          <w:sz w:val="24"/>
          <w:szCs w:val="24"/>
          <w:highlight w:val="none"/>
        </w:rPr>
        <w:t>。</w:t>
      </w:r>
    </w:p>
    <w:p w14:paraId="62FB9B72">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3.色彩系统</w:t>
      </w:r>
    </w:p>
    <w:p w14:paraId="624A67E0">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标准色提取，标准色、</w:t>
      </w:r>
      <w:r>
        <w:rPr>
          <w:rFonts w:ascii="宋体" w:hAnsi="宋体" w:eastAsia="宋体" w:cs="宋体"/>
          <w:snapToGrid w:val="0"/>
          <w:color w:val="auto"/>
          <w:kern w:val="0"/>
          <w:sz w:val="24"/>
          <w:szCs w:val="24"/>
          <w:highlight w:val="none"/>
        </w:rPr>
        <w:t>辅助色</w:t>
      </w:r>
      <w:r>
        <w:rPr>
          <w:rFonts w:hint="eastAsia" w:ascii="宋体" w:hAnsi="宋体" w:eastAsia="宋体" w:cs="宋体"/>
          <w:snapToGrid w:val="0"/>
          <w:color w:val="auto"/>
          <w:kern w:val="0"/>
          <w:sz w:val="24"/>
          <w:szCs w:val="24"/>
          <w:highlight w:val="none"/>
        </w:rPr>
        <w:t>；</w:t>
      </w:r>
    </w:p>
    <w:p w14:paraId="45D57EFA">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配色比例：主色70%、辅助色25%、留白5%（确保视觉呼吸感）</w:t>
      </w:r>
      <w:r>
        <w:rPr>
          <w:rFonts w:hint="eastAsia" w:ascii="宋体" w:hAnsi="宋体" w:eastAsia="宋体" w:cs="宋体"/>
          <w:snapToGrid w:val="0"/>
          <w:color w:val="auto"/>
          <w:kern w:val="0"/>
          <w:sz w:val="24"/>
          <w:szCs w:val="24"/>
          <w:highlight w:val="none"/>
        </w:rPr>
        <w:t>。</w:t>
      </w:r>
    </w:p>
    <w:p w14:paraId="5EDFB83F">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4.专用字体</w:t>
      </w:r>
    </w:p>
    <w:p w14:paraId="27CEE64B">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标题字体：无衬线字体</w:t>
      </w:r>
      <w:r>
        <w:rPr>
          <w:rFonts w:hint="eastAsia" w:ascii="宋体" w:hAnsi="宋体" w:eastAsia="宋体" w:cs="宋体"/>
          <w:snapToGrid w:val="0"/>
          <w:color w:val="auto"/>
          <w:kern w:val="0"/>
          <w:sz w:val="24"/>
          <w:szCs w:val="24"/>
          <w:highlight w:val="none"/>
        </w:rPr>
        <w:t>，</w:t>
      </w:r>
      <w:r>
        <w:rPr>
          <w:rFonts w:ascii="宋体" w:hAnsi="宋体" w:eastAsia="宋体" w:cs="宋体"/>
          <w:snapToGrid w:val="0"/>
          <w:color w:val="auto"/>
          <w:kern w:val="0"/>
          <w:sz w:val="24"/>
          <w:szCs w:val="24"/>
          <w:highlight w:val="none"/>
        </w:rPr>
        <w:t>强化现代感</w:t>
      </w:r>
      <w:r>
        <w:rPr>
          <w:rFonts w:hint="eastAsia" w:ascii="宋体" w:hAnsi="宋体" w:eastAsia="宋体" w:cs="宋体"/>
          <w:snapToGrid w:val="0"/>
          <w:color w:val="auto"/>
          <w:kern w:val="0"/>
          <w:sz w:val="24"/>
          <w:szCs w:val="24"/>
          <w:highlight w:val="none"/>
        </w:rPr>
        <w:t>；</w:t>
      </w:r>
    </w:p>
    <w:p w14:paraId="197ECB7C">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正文字体：易读性优先</w:t>
      </w:r>
      <w:r>
        <w:rPr>
          <w:rFonts w:hint="eastAsia" w:ascii="宋体" w:hAnsi="宋体" w:eastAsia="宋体" w:cs="宋体"/>
          <w:snapToGrid w:val="0"/>
          <w:color w:val="auto"/>
          <w:kern w:val="0"/>
          <w:sz w:val="24"/>
          <w:szCs w:val="24"/>
          <w:highlight w:val="none"/>
        </w:rPr>
        <w:t>；</w:t>
      </w:r>
    </w:p>
    <w:p w14:paraId="277265F3">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书法</w:t>
      </w:r>
      <w:r>
        <w:rPr>
          <w:rFonts w:ascii="宋体" w:hAnsi="宋体" w:eastAsia="宋体" w:cs="宋体"/>
          <w:snapToGrid w:val="0"/>
          <w:color w:val="auto"/>
          <w:kern w:val="0"/>
          <w:sz w:val="24"/>
          <w:szCs w:val="24"/>
          <w:highlight w:val="none"/>
        </w:rPr>
        <w:t>字体：定制</w:t>
      </w:r>
      <w:r>
        <w:rPr>
          <w:rFonts w:hint="eastAsia" w:ascii="宋体" w:hAnsi="宋体" w:eastAsia="宋体" w:cs="宋体"/>
          <w:snapToGrid w:val="0"/>
          <w:color w:val="auto"/>
          <w:kern w:val="0"/>
          <w:sz w:val="24"/>
          <w:szCs w:val="24"/>
          <w:highlight w:val="none"/>
        </w:rPr>
        <w:t>书法字体</w:t>
      </w:r>
      <w:r>
        <w:rPr>
          <w:rFonts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中国皖美山水</w:t>
      </w:r>
      <w:r>
        <w:rPr>
          <w:rFonts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w:t>
      </w:r>
    </w:p>
    <w:p w14:paraId="4CA9832B">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5.品牌图形</w:t>
      </w:r>
    </w:p>
    <w:p w14:paraId="7178CE79">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辅助图形</w:t>
      </w:r>
      <w:r>
        <w:rPr>
          <w:rFonts w:hint="eastAsia" w:ascii="宋体" w:hAnsi="宋体" w:eastAsia="宋体" w:cs="宋体"/>
          <w:snapToGrid w:val="0"/>
          <w:color w:val="auto"/>
          <w:kern w:val="0"/>
          <w:sz w:val="24"/>
          <w:szCs w:val="24"/>
          <w:highlight w:val="none"/>
        </w:rPr>
        <w:t>设计、</w:t>
      </w:r>
      <w:r>
        <w:rPr>
          <w:rFonts w:ascii="宋体" w:hAnsi="宋体" w:eastAsia="宋体" w:cs="宋体"/>
          <w:snapToGrid w:val="0"/>
          <w:color w:val="auto"/>
          <w:kern w:val="0"/>
          <w:sz w:val="24"/>
          <w:szCs w:val="24"/>
          <w:highlight w:val="none"/>
        </w:rPr>
        <w:t>功能图标</w:t>
      </w:r>
      <w:r>
        <w:rPr>
          <w:rFonts w:hint="eastAsia" w:ascii="宋体" w:hAnsi="宋体" w:eastAsia="宋体" w:cs="宋体"/>
          <w:snapToGrid w:val="0"/>
          <w:color w:val="auto"/>
          <w:kern w:val="0"/>
          <w:sz w:val="24"/>
          <w:szCs w:val="24"/>
          <w:highlight w:val="none"/>
        </w:rPr>
        <w:t>（</w:t>
      </w:r>
      <w:r>
        <w:rPr>
          <w:rFonts w:ascii="宋体" w:hAnsi="宋体" w:eastAsia="宋体" w:cs="宋体"/>
          <w:snapToGrid w:val="0"/>
          <w:color w:val="auto"/>
          <w:kern w:val="0"/>
          <w:sz w:val="24"/>
          <w:szCs w:val="24"/>
          <w:highlight w:val="none"/>
        </w:rPr>
        <w:t>赛道难度分级、补给点、医疗站标准化图标</w:t>
      </w:r>
      <w:r>
        <w:rPr>
          <w:rFonts w:hint="eastAsia" w:ascii="宋体" w:hAnsi="宋体" w:eastAsia="宋体" w:cs="宋体"/>
          <w:snapToGrid w:val="0"/>
          <w:color w:val="auto"/>
          <w:kern w:val="0"/>
          <w:sz w:val="24"/>
          <w:szCs w:val="24"/>
          <w:highlight w:val="none"/>
        </w:rPr>
        <w:t>等）</w:t>
      </w:r>
    </w:p>
    <w:p w14:paraId="1FDF90AB">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第二部分：VIS应用系统</w:t>
      </w:r>
    </w:p>
    <w:p w14:paraId="630274B0">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ascii="宋体" w:hAnsi="宋体" w:eastAsia="宋体" w:cs="宋体"/>
          <w:b/>
          <w:bCs/>
          <w:snapToGrid w:val="0"/>
          <w:color w:val="auto"/>
          <w:kern w:val="0"/>
          <w:sz w:val="24"/>
          <w:szCs w:val="24"/>
          <w:highlight w:val="none"/>
        </w:rPr>
        <w:t>赛事</w:t>
      </w:r>
      <w:r>
        <w:rPr>
          <w:rFonts w:hint="eastAsia" w:ascii="宋体" w:hAnsi="宋体" w:eastAsia="宋体" w:cs="宋体"/>
          <w:b/>
          <w:bCs/>
          <w:snapToGrid w:val="0"/>
          <w:color w:val="auto"/>
          <w:kern w:val="0"/>
          <w:sz w:val="24"/>
          <w:szCs w:val="24"/>
          <w:highlight w:val="none"/>
        </w:rPr>
        <w:t>主背景视觉设计</w:t>
      </w:r>
    </w:p>
    <w:p w14:paraId="0DECC2C9">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创意思路、设计理念、核心主元素提炼、主元素组合设计与运用、主元素延展设计与运用、主背景场景使用等。</w:t>
      </w:r>
    </w:p>
    <w:p w14:paraId="6E539C35">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r>
        <w:rPr>
          <w:rFonts w:ascii="宋体" w:hAnsi="宋体" w:eastAsia="宋体" w:cs="宋体"/>
          <w:b/>
          <w:bCs/>
          <w:snapToGrid w:val="0"/>
          <w:color w:val="auto"/>
          <w:kern w:val="0"/>
          <w:sz w:val="24"/>
          <w:szCs w:val="24"/>
          <w:highlight w:val="none"/>
        </w:rPr>
        <w:t>赛事</w:t>
      </w:r>
      <w:r>
        <w:rPr>
          <w:rFonts w:hint="eastAsia" w:ascii="宋体" w:hAnsi="宋体" w:eastAsia="宋体" w:cs="宋体"/>
          <w:b/>
          <w:bCs/>
          <w:snapToGrid w:val="0"/>
          <w:color w:val="auto"/>
          <w:kern w:val="0"/>
          <w:sz w:val="24"/>
          <w:szCs w:val="24"/>
          <w:highlight w:val="none"/>
        </w:rPr>
        <w:t>奖牌与奖杯</w:t>
      </w:r>
    </w:p>
    <w:p w14:paraId="209F381C">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创意思路、设计理念、手绘稿、平面效果图、3D效果图、制作工艺图等。</w:t>
      </w:r>
    </w:p>
    <w:p w14:paraId="1CBE2AC0">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w:t>
      </w:r>
      <w:r>
        <w:rPr>
          <w:rFonts w:ascii="宋体" w:hAnsi="宋体" w:eastAsia="宋体" w:cs="宋体"/>
          <w:b/>
          <w:bCs/>
          <w:snapToGrid w:val="0"/>
          <w:color w:val="auto"/>
          <w:kern w:val="0"/>
          <w:sz w:val="24"/>
          <w:szCs w:val="24"/>
          <w:highlight w:val="none"/>
        </w:rPr>
        <w:t>赛事服装</w:t>
      </w:r>
      <w:r>
        <w:rPr>
          <w:rFonts w:hint="eastAsia" w:ascii="宋体" w:hAnsi="宋体" w:eastAsia="宋体" w:cs="宋体"/>
          <w:b/>
          <w:bCs/>
          <w:snapToGrid w:val="0"/>
          <w:color w:val="auto"/>
          <w:kern w:val="0"/>
          <w:sz w:val="24"/>
          <w:szCs w:val="24"/>
          <w:highlight w:val="none"/>
        </w:rPr>
        <w:t>与赛事包</w:t>
      </w:r>
    </w:p>
    <w:p w14:paraId="6CEE5D1E">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赛事服装（选手服装、工作人员服装）、赛事包（参赛包、完赛包）。</w:t>
      </w:r>
    </w:p>
    <w:p w14:paraId="03A998C7">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r>
        <w:rPr>
          <w:rFonts w:ascii="宋体" w:hAnsi="宋体" w:eastAsia="宋体" w:cs="宋体"/>
          <w:b/>
          <w:bCs/>
          <w:snapToGrid w:val="0"/>
          <w:color w:val="auto"/>
          <w:kern w:val="0"/>
          <w:sz w:val="24"/>
          <w:szCs w:val="24"/>
          <w:highlight w:val="none"/>
        </w:rPr>
        <w:t>赛道与</w:t>
      </w:r>
      <w:r>
        <w:rPr>
          <w:rFonts w:hint="eastAsia" w:ascii="宋体" w:hAnsi="宋体" w:eastAsia="宋体" w:cs="宋体"/>
          <w:b/>
          <w:bCs/>
          <w:snapToGrid w:val="0"/>
          <w:color w:val="auto"/>
          <w:kern w:val="0"/>
          <w:sz w:val="24"/>
          <w:szCs w:val="24"/>
          <w:highlight w:val="none"/>
        </w:rPr>
        <w:t>主会场</w:t>
      </w:r>
    </w:p>
    <w:p w14:paraId="6D4A88F8">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赛道标识</w:t>
      </w:r>
      <w:r>
        <w:rPr>
          <w:rFonts w:hint="eastAsia" w:ascii="宋体" w:hAnsi="宋体" w:eastAsia="宋体" w:cs="宋体"/>
          <w:snapToGrid w:val="0"/>
          <w:color w:val="auto"/>
          <w:kern w:val="0"/>
          <w:sz w:val="24"/>
          <w:szCs w:val="24"/>
          <w:highlight w:val="none"/>
        </w:rPr>
        <w:t>（</w:t>
      </w:r>
      <w:r>
        <w:rPr>
          <w:rFonts w:ascii="宋体" w:hAnsi="宋体" w:eastAsia="宋体" w:cs="宋体"/>
          <w:snapToGrid w:val="0"/>
          <w:color w:val="auto"/>
          <w:kern w:val="0"/>
          <w:sz w:val="24"/>
          <w:szCs w:val="24"/>
          <w:highlight w:val="none"/>
        </w:rPr>
        <w:t>方向箭头、</w:t>
      </w:r>
      <w:r>
        <w:rPr>
          <w:rFonts w:hint="eastAsia" w:ascii="宋体" w:hAnsi="宋体" w:eastAsia="宋体" w:cs="宋体"/>
          <w:snapToGrid w:val="0"/>
          <w:color w:val="auto"/>
          <w:kern w:val="0"/>
          <w:sz w:val="24"/>
          <w:szCs w:val="24"/>
          <w:highlight w:val="none"/>
        </w:rPr>
        <w:t>公里牌、特定标识、</w:t>
      </w:r>
      <w:r>
        <w:rPr>
          <w:rFonts w:ascii="宋体" w:hAnsi="宋体" w:eastAsia="宋体" w:cs="宋体"/>
          <w:snapToGrid w:val="0"/>
          <w:color w:val="auto"/>
          <w:kern w:val="0"/>
          <w:sz w:val="24"/>
          <w:szCs w:val="24"/>
          <w:highlight w:val="none"/>
        </w:rPr>
        <w:t>危险路段反光警示牌</w:t>
      </w:r>
      <w:r>
        <w:rPr>
          <w:rFonts w:hint="eastAsia" w:ascii="宋体" w:hAnsi="宋体" w:eastAsia="宋体" w:cs="宋体"/>
          <w:snapToGrid w:val="0"/>
          <w:color w:val="auto"/>
          <w:kern w:val="0"/>
          <w:sz w:val="24"/>
          <w:szCs w:val="24"/>
          <w:highlight w:val="none"/>
        </w:rPr>
        <w:t>等）、</w:t>
      </w:r>
      <w:r>
        <w:rPr>
          <w:rFonts w:ascii="宋体" w:hAnsi="宋体" w:eastAsia="宋体" w:cs="宋体"/>
          <w:snapToGrid w:val="0"/>
          <w:color w:val="auto"/>
          <w:kern w:val="0"/>
          <w:sz w:val="24"/>
          <w:szCs w:val="24"/>
          <w:highlight w:val="none"/>
        </w:rPr>
        <w:t>起终点拱门</w:t>
      </w:r>
      <w:r>
        <w:rPr>
          <w:rFonts w:hint="eastAsia" w:ascii="宋体" w:hAnsi="宋体" w:eastAsia="宋体" w:cs="宋体"/>
          <w:snapToGrid w:val="0"/>
          <w:color w:val="auto"/>
          <w:kern w:val="0"/>
          <w:sz w:val="24"/>
          <w:szCs w:val="24"/>
          <w:highlight w:val="none"/>
        </w:rPr>
        <w:t>设计、主会场氛围营造设计（签名墙、合影墙、赛道图、承办地文旅宣传板、赞助商宣传展板、赞助商展位设计等）。</w:t>
      </w:r>
    </w:p>
    <w:p w14:paraId="0F8B4E23">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ascii="宋体" w:hAnsi="宋体" w:eastAsia="宋体" w:cs="宋体"/>
          <w:b/>
          <w:bCs/>
          <w:snapToGrid w:val="0"/>
          <w:color w:val="auto"/>
          <w:kern w:val="0"/>
          <w:sz w:val="24"/>
          <w:szCs w:val="24"/>
          <w:highlight w:val="none"/>
        </w:rPr>
        <w:t>宣传与数字媒体</w:t>
      </w:r>
    </w:p>
    <w:p w14:paraId="76EDABBA">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主视觉海报：车手剪影+抽象赛道背景（适配竖版/横版）</w:t>
      </w:r>
    </w:p>
    <w:p w14:paraId="419C3F27">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户外媒体模板：户外高炮、墙体广告牌、灯杆旗、广告灯箱、公交站台广告、城市LED大屏等；</w:t>
      </w:r>
    </w:p>
    <w:p w14:paraId="29CC9D64">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社交媒体模板：赛程倒计时、成绩公布、冠军海报统一版式</w:t>
      </w:r>
      <w:r>
        <w:rPr>
          <w:rFonts w:hint="eastAsia" w:ascii="宋体" w:hAnsi="宋体" w:eastAsia="宋体" w:cs="宋体"/>
          <w:snapToGrid w:val="0"/>
          <w:color w:val="auto"/>
          <w:kern w:val="0"/>
          <w:sz w:val="24"/>
          <w:szCs w:val="24"/>
          <w:highlight w:val="none"/>
        </w:rPr>
        <w:t>；</w:t>
      </w:r>
    </w:p>
    <w:p w14:paraId="1102C3BF">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ascii="宋体" w:hAnsi="宋体" w:eastAsia="宋体" w:cs="宋体"/>
          <w:snapToGrid w:val="0"/>
          <w:color w:val="auto"/>
          <w:kern w:val="0"/>
          <w:sz w:val="24"/>
          <w:szCs w:val="24"/>
          <w:highlight w:val="none"/>
        </w:rPr>
        <w:t>动态视觉：赛事</w:t>
      </w:r>
      <w:r>
        <w:rPr>
          <w:rFonts w:hint="eastAsia" w:ascii="宋体" w:hAnsi="宋体" w:eastAsia="宋体" w:cs="宋体"/>
          <w:snapToGrid w:val="0"/>
          <w:color w:val="auto"/>
          <w:kern w:val="0"/>
          <w:sz w:val="24"/>
          <w:szCs w:val="24"/>
          <w:highlight w:val="none"/>
        </w:rPr>
        <w:t>落版</w:t>
      </w:r>
      <w:r>
        <w:rPr>
          <w:rFonts w:ascii="宋体" w:hAnsi="宋体" w:eastAsia="宋体" w:cs="宋体"/>
          <w:snapToGrid w:val="0"/>
          <w:color w:val="auto"/>
          <w:kern w:val="0"/>
          <w:sz w:val="24"/>
          <w:szCs w:val="24"/>
          <w:highlight w:val="none"/>
        </w:rPr>
        <w:t>视频模板</w:t>
      </w:r>
      <w:r>
        <w:rPr>
          <w:rFonts w:hint="eastAsia" w:ascii="宋体" w:hAnsi="宋体" w:eastAsia="宋体" w:cs="宋体"/>
          <w:snapToGrid w:val="0"/>
          <w:color w:val="auto"/>
          <w:kern w:val="0"/>
          <w:sz w:val="24"/>
          <w:szCs w:val="24"/>
          <w:highlight w:val="none"/>
        </w:rPr>
        <w:t>（动态logo标识呈现）。</w:t>
      </w:r>
    </w:p>
    <w:p w14:paraId="608D86F1">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
          <w:bCs/>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6.</w:t>
      </w:r>
      <w:r>
        <w:rPr>
          <w:rFonts w:ascii="宋体" w:hAnsi="宋体" w:eastAsia="宋体" w:cs="宋体"/>
          <w:b/>
          <w:bCs/>
          <w:snapToGrid w:val="0"/>
          <w:color w:val="auto"/>
          <w:kern w:val="0"/>
          <w:sz w:val="24"/>
          <w:szCs w:val="24"/>
          <w:highlight w:val="none"/>
        </w:rPr>
        <w:t>印刷</w:t>
      </w:r>
      <w:r>
        <w:rPr>
          <w:rFonts w:hint="eastAsia" w:ascii="宋体" w:hAnsi="宋体" w:eastAsia="宋体" w:cs="宋体"/>
          <w:b/>
          <w:bCs/>
          <w:snapToGrid w:val="0"/>
          <w:color w:val="auto"/>
          <w:kern w:val="0"/>
          <w:sz w:val="24"/>
          <w:szCs w:val="24"/>
          <w:highlight w:val="none"/>
          <w:lang w:val="en-US" w:eastAsia="zh-CN"/>
        </w:rPr>
        <w:t>制品</w:t>
      </w:r>
    </w:p>
    <w:p w14:paraId="18D12BBC">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赛事手册</w:t>
      </w:r>
      <w:r>
        <w:rPr>
          <w:rFonts w:ascii="宋体" w:hAnsi="宋体" w:eastAsia="宋体" w:cs="宋体"/>
          <w:snapToGrid w:val="0"/>
          <w:color w:val="auto"/>
          <w:kern w:val="0"/>
          <w:sz w:val="24"/>
          <w:szCs w:val="24"/>
          <w:highlight w:val="none"/>
        </w:rPr>
        <w:t>：模块化设计（</w:t>
      </w:r>
      <w:r>
        <w:rPr>
          <w:rFonts w:hint="eastAsia" w:ascii="宋体" w:hAnsi="宋体" w:eastAsia="宋体" w:cs="宋体"/>
          <w:snapToGrid w:val="0"/>
          <w:color w:val="auto"/>
          <w:kern w:val="0"/>
          <w:sz w:val="24"/>
          <w:szCs w:val="24"/>
          <w:highlight w:val="none"/>
        </w:rPr>
        <w:t>承办地简介、竞赛规程、组委会架构、日程安排、预计到达时间表、参赛选手名单、赛道线路图</w:t>
      </w:r>
      <w:r>
        <w:rPr>
          <w:rFonts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起终点平面图、</w:t>
      </w:r>
      <w:r>
        <w:rPr>
          <w:rFonts w:ascii="宋体" w:hAnsi="宋体" w:eastAsia="宋体" w:cs="宋体"/>
          <w:snapToGrid w:val="0"/>
          <w:color w:val="auto"/>
          <w:kern w:val="0"/>
          <w:sz w:val="24"/>
          <w:szCs w:val="24"/>
          <w:highlight w:val="none"/>
        </w:rPr>
        <w:t>赞助商页</w:t>
      </w:r>
      <w:r>
        <w:rPr>
          <w:rFonts w:hint="eastAsia" w:ascii="宋体" w:hAnsi="宋体" w:eastAsia="宋体" w:cs="宋体"/>
          <w:snapToGrid w:val="0"/>
          <w:color w:val="auto"/>
          <w:kern w:val="0"/>
          <w:sz w:val="24"/>
          <w:szCs w:val="24"/>
          <w:highlight w:val="none"/>
        </w:rPr>
        <w:t>等</w:t>
      </w:r>
      <w:r>
        <w:rPr>
          <w:rFonts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，投标文件中选取某一站为示例；</w:t>
      </w:r>
    </w:p>
    <w:p w14:paraId="16952936">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手提袋：设计样式、制作工艺等；</w:t>
      </w:r>
    </w:p>
    <w:p w14:paraId="4DA17040">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文创衍生品：</w:t>
      </w:r>
    </w:p>
    <w:p w14:paraId="7B3D43E7">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打造赛事完整专属IP体系，原创设计赛事形象吉祥物，结合安徽山水地貌、骑行运动元素赋予IP专属人设、背景故事与视觉释义，配套产出IP表情包、动态形象、延展海报等全套衍生视觉素材；</w:t>
      </w:r>
    </w:p>
    <w:p w14:paraId="186010CD">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围绕核心赛事IP，分层开发纪念收藏类、实用骑行类、文旅融合类多品类文创衍生品，构建完整赛事IP资产，强化赛事独家品牌记忆，实现赛事品牌长效传播。</w:t>
      </w:r>
    </w:p>
    <w:p w14:paraId="20AF8468">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ascii="宋体" w:hAnsi="宋体" w:eastAsia="宋体" w:cs="宋体"/>
          <w:b/>
          <w:bCs/>
          <w:snapToGrid w:val="0"/>
          <w:color w:val="auto"/>
          <w:kern w:val="0"/>
          <w:sz w:val="24"/>
          <w:szCs w:val="24"/>
          <w:highlight w:val="none"/>
        </w:rPr>
        <w:t>车辆与运输系统</w:t>
      </w:r>
    </w:p>
    <w:p w14:paraId="66EB71B2">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转播车/后勤</w:t>
      </w:r>
      <w:r>
        <w:rPr>
          <w:rFonts w:hint="eastAsia" w:ascii="宋体" w:hAnsi="宋体" w:eastAsia="宋体" w:cs="宋体"/>
          <w:snapToGrid w:val="0"/>
          <w:color w:val="auto"/>
          <w:kern w:val="0"/>
          <w:sz w:val="24"/>
          <w:szCs w:val="24"/>
          <w:highlight w:val="none"/>
        </w:rPr>
        <w:t>保障</w:t>
      </w:r>
      <w:r>
        <w:rPr>
          <w:rFonts w:ascii="宋体" w:hAnsi="宋体" w:eastAsia="宋体" w:cs="宋体"/>
          <w:snapToGrid w:val="0"/>
          <w:color w:val="auto"/>
          <w:kern w:val="0"/>
          <w:sz w:val="24"/>
          <w:szCs w:val="24"/>
          <w:highlight w:val="none"/>
        </w:rPr>
        <w:t>车：主色渐变+巨型赛事Logo</w:t>
      </w:r>
      <w:r>
        <w:rPr>
          <w:rFonts w:hint="eastAsia" w:ascii="宋体" w:hAnsi="宋体" w:eastAsia="宋体" w:cs="宋体"/>
          <w:snapToGrid w:val="0"/>
          <w:color w:val="auto"/>
          <w:kern w:val="0"/>
          <w:sz w:val="24"/>
          <w:szCs w:val="24"/>
          <w:highlight w:val="none"/>
          <w:lang w:eastAsia="zh-CN"/>
        </w:rPr>
        <w:t>。</w:t>
      </w:r>
    </w:p>
    <w:p w14:paraId="5DCAABCC">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选手</w:t>
      </w:r>
      <w:r>
        <w:rPr>
          <w:rFonts w:hint="eastAsia" w:ascii="宋体" w:hAnsi="宋体" w:eastAsia="宋体" w:cs="宋体"/>
          <w:snapToGrid w:val="0"/>
          <w:color w:val="auto"/>
          <w:kern w:val="0"/>
          <w:sz w:val="24"/>
          <w:szCs w:val="24"/>
          <w:highlight w:val="none"/>
        </w:rPr>
        <w:t>摆渡</w:t>
      </w:r>
      <w:r>
        <w:rPr>
          <w:rFonts w:ascii="宋体" w:hAnsi="宋体" w:eastAsia="宋体" w:cs="宋体"/>
          <w:snapToGrid w:val="0"/>
          <w:color w:val="auto"/>
          <w:kern w:val="0"/>
          <w:sz w:val="24"/>
          <w:szCs w:val="24"/>
          <w:highlight w:val="none"/>
        </w:rPr>
        <w:t>大巴：</w:t>
      </w:r>
      <w:r>
        <w:rPr>
          <w:rFonts w:hint="eastAsia" w:ascii="宋体" w:hAnsi="宋体" w:eastAsia="宋体" w:cs="宋体"/>
          <w:snapToGrid w:val="0"/>
          <w:color w:val="auto"/>
          <w:kern w:val="0"/>
          <w:sz w:val="24"/>
          <w:szCs w:val="24"/>
          <w:highlight w:val="none"/>
        </w:rPr>
        <w:t>车体贴有赛事明显标识</w:t>
      </w:r>
      <w:r>
        <w:rPr>
          <w:rFonts w:hint="eastAsia" w:ascii="宋体" w:hAnsi="宋体" w:eastAsia="宋体" w:cs="宋体"/>
          <w:snapToGrid w:val="0"/>
          <w:color w:val="auto"/>
          <w:kern w:val="0"/>
          <w:sz w:val="24"/>
          <w:szCs w:val="24"/>
          <w:highlight w:val="none"/>
          <w:lang w:eastAsia="zh-CN"/>
        </w:rPr>
        <w:t>。</w:t>
      </w:r>
    </w:p>
    <w:p w14:paraId="11C220A9">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第三部分：VIS扩展系统</w:t>
      </w:r>
    </w:p>
    <w:p w14:paraId="0D3A5D7C">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1.配套活动</w:t>
      </w:r>
      <w:r>
        <w:rPr>
          <w:rFonts w:ascii="宋体" w:hAnsi="宋体" w:eastAsia="宋体" w:cs="宋体"/>
          <w:b/>
          <w:bCs/>
          <w:snapToGrid w:val="0"/>
          <w:color w:val="auto"/>
          <w:kern w:val="0"/>
          <w:sz w:val="24"/>
          <w:szCs w:val="24"/>
          <w:highlight w:val="none"/>
        </w:rPr>
        <w:t>品牌联动</w:t>
      </w:r>
    </w:p>
    <w:p w14:paraId="7A0E70AD">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各分站“一站一品”的配套活动</w:t>
      </w:r>
      <w:r>
        <w:rPr>
          <w:rFonts w:ascii="宋体" w:hAnsi="宋体" w:eastAsia="宋体" w:cs="宋体"/>
          <w:snapToGrid w:val="0"/>
          <w:color w:val="auto"/>
          <w:kern w:val="0"/>
          <w:sz w:val="24"/>
          <w:szCs w:val="24"/>
          <w:highlight w:val="none"/>
        </w:rPr>
        <w:t>专属视觉方案</w:t>
      </w:r>
      <w:r>
        <w:rPr>
          <w:rFonts w:hint="eastAsia" w:ascii="宋体" w:hAnsi="宋体" w:eastAsia="宋体" w:cs="宋体"/>
          <w:snapToGrid w:val="0"/>
          <w:color w:val="auto"/>
          <w:kern w:val="0"/>
          <w:sz w:val="24"/>
          <w:szCs w:val="24"/>
          <w:highlight w:val="none"/>
          <w:lang w:eastAsia="zh-CN"/>
        </w:rPr>
        <w:t>。</w:t>
      </w:r>
    </w:p>
    <w:p w14:paraId="19E7205E">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r>
        <w:rPr>
          <w:rFonts w:ascii="宋体" w:hAnsi="宋体" w:eastAsia="宋体" w:cs="宋体"/>
          <w:b/>
          <w:bCs/>
          <w:snapToGrid w:val="0"/>
          <w:color w:val="auto"/>
          <w:kern w:val="0"/>
          <w:sz w:val="24"/>
          <w:szCs w:val="24"/>
          <w:highlight w:val="none"/>
        </w:rPr>
        <w:t>赞助商权益融合</w:t>
      </w:r>
    </w:p>
    <w:p w14:paraId="45333287">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Logo露出规范（尺寸、位置、配色兼容性）</w:t>
      </w:r>
      <w:r>
        <w:rPr>
          <w:rFonts w:hint="eastAsia" w:ascii="宋体" w:hAnsi="宋体" w:eastAsia="宋体" w:cs="宋体"/>
          <w:snapToGrid w:val="0"/>
          <w:color w:val="auto"/>
          <w:kern w:val="0"/>
          <w:sz w:val="24"/>
          <w:szCs w:val="24"/>
          <w:highlight w:val="none"/>
          <w:lang w:eastAsia="zh-CN"/>
        </w:rPr>
        <w:t>。</w:t>
      </w:r>
    </w:p>
    <w:p w14:paraId="7F53F4D4">
      <w:pPr>
        <w:keepNext w:val="0"/>
        <w:keepLines w:val="0"/>
        <w:pageBreakBefore w:val="0"/>
        <w:widowControl w:val="0"/>
        <w:kinsoku/>
        <w:wordWrap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ascii="宋体" w:hAnsi="宋体" w:eastAsia="宋体" w:cs="宋体"/>
          <w:b/>
          <w:bCs/>
          <w:snapToGrid w:val="0"/>
          <w:color w:val="auto"/>
          <w:kern w:val="0"/>
          <w:sz w:val="24"/>
          <w:szCs w:val="24"/>
          <w:highlight w:val="none"/>
        </w:rPr>
        <w:t>第四部分：VIS使用规范</w:t>
      </w:r>
    </w:p>
    <w:p w14:paraId="0E275037">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文件格式：提供矢量源文件（AI/EPS）、标准PNG/JPG</w:t>
      </w:r>
      <w:r>
        <w:rPr>
          <w:rFonts w:hint="eastAsia" w:ascii="宋体" w:hAnsi="宋体" w:eastAsia="宋体" w:cs="宋体"/>
          <w:snapToGrid w:val="0"/>
          <w:color w:val="auto"/>
          <w:kern w:val="0"/>
          <w:sz w:val="24"/>
          <w:szCs w:val="24"/>
          <w:highlight w:val="none"/>
          <w:lang w:eastAsia="zh-CN"/>
        </w:rPr>
        <w:t>。</w:t>
      </w:r>
    </w:p>
    <w:p w14:paraId="4EA8AB0C">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错误示例：列举常见错误（如色彩偏差、图标变形）</w:t>
      </w:r>
      <w:r>
        <w:rPr>
          <w:rFonts w:hint="eastAsia" w:ascii="宋体" w:hAnsi="宋体" w:eastAsia="宋体" w:cs="宋体"/>
          <w:snapToGrid w:val="0"/>
          <w:color w:val="auto"/>
          <w:kern w:val="0"/>
          <w:sz w:val="24"/>
          <w:szCs w:val="24"/>
          <w:highlight w:val="none"/>
          <w:lang w:eastAsia="zh-CN"/>
        </w:rPr>
        <w:t>。</w:t>
      </w:r>
    </w:p>
    <w:p w14:paraId="7D1F4663">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ascii="宋体" w:hAnsi="宋体" w:eastAsia="宋体" w:cs="宋体"/>
          <w:snapToGrid w:val="0"/>
          <w:color w:val="auto"/>
          <w:kern w:val="0"/>
          <w:sz w:val="24"/>
          <w:szCs w:val="24"/>
          <w:highlight w:val="none"/>
        </w:rPr>
        <w:t>版权声明：禁止未授权商用或二次修改</w:t>
      </w:r>
      <w:r>
        <w:rPr>
          <w:rFonts w:hint="eastAsia" w:ascii="宋体" w:hAnsi="宋体" w:eastAsia="宋体" w:cs="宋体"/>
          <w:snapToGrid w:val="0"/>
          <w:color w:val="auto"/>
          <w:kern w:val="0"/>
          <w:sz w:val="24"/>
          <w:szCs w:val="24"/>
          <w:highlight w:val="none"/>
          <w:lang w:eastAsia="zh-CN"/>
        </w:rPr>
        <w:t>。</w:t>
      </w:r>
    </w:p>
    <w:p w14:paraId="72A4C18E">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三</w:t>
      </w:r>
      <w:r>
        <w:rPr>
          <w:rFonts w:hint="eastAsia" w:ascii="宋体" w:hAnsi="宋体" w:eastAsia="宋体" w:cs="宋体"/>
          <w:b/>
          <w:bCs/>
          <w:snapToGrid w:val="0"/>
          <w:color w:val="auto"/>
          <w:kern w:val="0"/>
          <w:sz w:val="24"/>
          <w:szCs w:val="24"/>
          <w:highlight w:val="none"/>
        </w:rPr>
        <w:t>）分站赛事策划指导</w:t>
      </w:r>
    </w:p>
    <w:p w14:paraId="4916635B">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协助指导各承办地制定单站赛事总体工作方案，方案具体内容包括但不限于指导思想、组织机构、赛事主题、时间地点、赛事规模、竞赛组别、赛事线路、日程安排、宣传亮点、赛事工作安排、组委会成员名单、承办工作指挥部名单、各工作组职责分工、承办指挥部各成员单位职责任务分工表等内容。</w:t>
      </w:r>
    </w:p>
    <w:p w14:paraId="12280B5F">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（四）路线勘察</w:t>
      </w:r>
    </w:p>
    <w:p w14:paraId="5EA5BA11">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结合中国自行车运动协会办赛指南，根据办赛的赛道要求对各承办地比赛线路进行勘察，并制定线路勘察报告，报告内容具体包括但不限于本地举办中国皖美山水骑行赛的可行性分析、赛事基本信息（时间、地点、赛道长度）、线路概况（赛道规划图、海拔图、起/终点赛道宽度、直道距离、赛道路况、赛道风险等级）、线路优点与不足、线路优化建议、线路勘察报告结论等内容。线路勘察报告选取某一举办地为例，报告内容要结合实际，需附实地勘察照片。中标人须负责邀请中自协相关技术人员勘察赛道，并承担相关费用。</w:t>
      </w:r>
    </w:p>
    <w:p w14:paraId="643DF9F5">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default"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（五）竞赛组织指导</w:t>
      </w:r>
    </w:p>
    <w:p w14:paraId="64129BD9">
      <w:pPr>
        <w:keepNext w:val="0"/>
        <w:keepLines w:val="0"/>
        <w:pageBreakBefore w:val="0"/>
        <w:widowControl w:val="0"/>
        <w:kinsoku/>
        <w:wordWrap w:val="0"/>
        <w:topLinePunct/>
        <w:autoSpaceDE/>
        <w:autoSpaceDN/>
        <w:bidi w:val="0"/>
        <w:adjustRightInd w:val="0"/>
        <w:snapToGrid w:val="0"/>
        <w:spacing w:line="360" w:lineRule="auto"/>
        <w:ind w:left="0" w:leftChars="0" w:firstLine="480" w:firstLineChars="200"/>
        <w:jc w:val="left"/>
        <w:textAlignment w:val="baseline"/>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1.各站赛事申办：中标人全权承担本项目年度所有分站赛事的申办相关工作及全部申办费用，所有申办工作须合规完成，确保各分站赛事取得合法办赛资质，顺利通过主管部门备案审批。</w:t>
      </w:r>
    </w:p>
    <w:p w14:paraId="4E45316C">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结合中国自行车运动协会办赛指南和</w:t>
      </w:r>
      <w:r>
        <w:rPr>
          <w:rFonts w:hint="eastAsia" w:ascii="宋体" w:hAnsi="宋体" w:eastAsia="宋体" w:cs="宋体"/>
          <w:snapToGrid w:val="0"/>
          <w:color w:val="auto"/>
          <w:kern w:val="0"/>
          <w:sz w:val="24"/>
          <w:szCs w:val="24"/>
          <w:highlight w:val="none"/>
          <w:lang w:eastAsia="zh-CN"/>
        </w:rPr>
        <w:t>“中国·皖美山水”骑行赛</w:t>
      </w:r>
      <w:r>
        <w:rPr>
          <w:rFonts w:hint="eastAsia" w:ascii="宋体" w:hAnsi="宋体" w:eastAsia="宋体" w:cs="宋体"/>
          <w:snapToGrid w:val="0"/>
          <w:color w:val="auto"/>
          <w:kern w:val="0"/>
          <w:sz w:val="24"/>
          <w:szCs w:val="24"/>
          <w:highlight w:val="none"/>
        </w:rPr>
        <w:t>的赛事特点，制定竞赛组织工作范本材料汇编，具体内容包括但不限于：</w:t>
      </w:r>
    </w:p>
    <w:p w14:paraId="27F3AF38">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赛事规程总则；</w:t>
      </w:r>
    </w:p>
    <w:p w14:paraId="2D621B6F">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竞赛组织实施方案；</w:t>
      </w:r>
    </w:p>
    <w:p w14:paraId="2170C3E4">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安全保障方案（内含人员保障、交通保障和医疗保障方案）；</w:t>
      </w:r>
    </w:p>
    <w:p w14:paraId="603FBAA9">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新闻宣传与舆情管理工作方案；</w:t>
      </w:r>
    </w:p>
    <w:p w14:paraId="19DE59B5">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突发事件应急预案；</w:t>
      </w:r>
    </w:p>
    <w:p w14:paraId="502CEFB5">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赛事熔断工作方案；</w:t>
      </w:r>
    </w:p>
    <w:p w14:paraId="76163F97">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选手参赛三书（组委会声明书、公共安全承诺书、自愿参赛风险告知书）。</w:t>
      </w:r>
      <w:bookmarkStart w:id="7" w:name="_GoBack"/>
      <w:bookmarkEnd w:id="7"/>
    </w:p>
    <w:p w14:paraId="1A0797C9">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
          <w:bCs/>
          <w:snapToGrid w:val="0"/>
          <w:color w:val="auto"/>
          <w:kern w:val="0"/>
          <w:sz w:val="24"/>
          <w:szCs w:val="24"/>
          <w:highlight w:val="none"/>
        </w:rPr>
        <w:t>注：以2-7方案内容选取某一分站赛为例进行编写，方案内容完整，具有可实施性。</w:t>
      </w:r>
    </w:p>
    <w:p w14:paraId="39090E74">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六</w:t>
      </w:r>
      <w:r>
        <w:rPr>
          <w:rFonts w:hint="eastAsia" w:ascii="宋体" w:hAnsi="宋体" w:eastAsia="宋体" w:cs="宋体"/>
          <w:b/>
          <w:bCs/>
          <w:snapToGrid w:val="0"/>
          <w:color w:val="auto"/>
          <w:kern w:val="0"/>
          <w:sz w:val="24"/>
          <w:szCs w:val="24"/>
          <w:highlight w:val="none"/>
        </w:rPr>
        <w:t>）赛事报名</w:t>
      </w:r>
    </w:p>
    <w:p w14:paraId="65DA514E">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结合</w:t>
      </w:r>
      <w:r>
        <w:rPr>
          <w:rFonts w:hint="eastAsia" w:ascii="宋体" w:hAnsi="宋体" w:eastAsia="宋体" w:cs="宋体"/>
          <w:snapToGrid w:val="0"/>
          <w:color w:val="auto"/>
          <w:kern w:val="0"/>
          <w:sz w:val="24"/>
          <w:szCs w:val="24"/>
          <w:highlight w:val="none"/>
          <w:lang w:eastAsia="zh-CN"/>
        </w:rPr>
        <w:t>“中国·皖美山水”骑行赛</w:t>
      </w:r>
      <w:r>
        <w:rPr>
          <w:rFonts w:hint="eastAsia" w:ascii="宋体" w:hAnsi="宋体" w:eastAsia="宋体" w:cs="宋体"/>
          <w:snapToGrid w:val="0"/>
          <w:color w:val="auto"/>
          <w:kern w:val="0"/>
          <w:sz w:val="24"/>
          <w:szCs w:val="24"/>
          <w:highlight w:val="none"/>
        </w:rPr>
        <w:t>的竞赛特点制定赛事报名服务工作方案，方案主要内容包括但不限于整体赛事报名工作计划、赛事报名系统的应用、赛事报名数据的分析与整理等内容。</w:t>
      </w:r>
    </w:p>
    <w:p w14:paraId="440C1661">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1.整体赛事报名工作计划</w:t>
      </w:r>
      <w:r>
        <w:rPr>
          <w:rFonts w:hint="eastAsia" w:ascii="宋体" w:hAnsi="宋体" w:eastAsia="宋体" w:cs="宋体"/>
          <w:snapToGrid w:val="0"/>
          <w:color w:val="auto"/>
          <w:kern w:val="0"/>
          <w:sz w:val="24"/>
          <w:szCs w:val="24"/>
          <w:highlight w:val="none"/>
          <w:lang w:eastAsia="zh-CN"/>
        </w:rPr>
        <w:t>。</w:t>
      </w:r>
    </w:p>
    <w:p w14:paraId="0F2A267A">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方案中需列出明晰的工作计划表及报名工作人员的数量、职责及相关要求。</w:t>
      </w:r>
    </w:p>
    <w:p w14:paraId="70774AD8">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2.赛事报名系统的应用</w:t>
      </w:r>
      <w:r>
        <w:rPr>
          <w:rFonts w:hint="eastAsia" w:ascii="宋体" w:hAnsi="宋体" w:eastAsia="宋体" w:cs="宋体"/>
          <w:snapToGrid w:val="0"/>
          <w:color w:val="auto"/>
          <w:kern w:val="0"/>
          <w:sz w:val="24"/>
          <w:szCs w:val="24"/>
          <w:highlight w:val="none"/>
          <w:lang w:eastAsia="zh-CN"/>
        </w:rPr>
        <w:t>。</w:t>
      </w:r>
    </w:p>
    <w:p w14:paraId="5AF06AF2">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中标人需应用专业的赛事报名服务系统，开展线上报名工作，报名系统需满足以下功能：</w:t>
      </w:r>
    </w:p>
    <w:p w14:paraId="3AA813CA">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赛事管理功能。可满足赛事的灵活创建、配置、设置独立页面、账号等功能；实现对赛事的组别、小项、人数、年龄段、个人或团队、是否公开、是否允许兼项、报名费用等进行配置，并支持组别、小项间进行条件关联。</w:t>
      </w:r>
    </w:p>
    <w:p w14:paraId="740C6410">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赛事报名功能。满足PC端、手机端双端通报，实现个人和车队批量报名；可设置添加常用报名人、电子签名、赛事押金线上支付和退还、报名短信通知、赛事订单的查看、编辑、删除等功能；后台可进行报名人员审核、报名数据下载、运动员证件批量生成等。</w:t>
      </w:r>
    </w:p>
    <w:p w14:paraId="7F713E5B">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（3）综合查询功能。系统可进行竞赛规程、报项报名信息、成绩、证书、秩序册、成绩册等的查询及下载。</w:t>
      </w:r>
    </w:p>
    <w:p w14:paraId="14FCB1D5">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（4）赛事信息发布功能。系统可实现赛事的文件通知、赛事公告、赛事资讯等有关赛事信息的发布与分享。</w:t>
      </w:r>
    </w:p>
    <w:p w14:paraId="27BF1AE3">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3.赛事报名数据的分析与整理</w:t>
      </w:r>
    </w:p>
    <w:p w14:paraId="0403400D">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中标人需对赛事报名数据进行分析，分析点包括男女比例、参赛年龄、区域、消费能力等；对所有站次报名数据进行整理汇编归档。</w:t>
      </w:r>
    </w:p>
    <w:p w14:paraId="5F489D40">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2" w:firstLineChars="200"/>
        <w:jc w:val="left"/>
        <w:textAlignment w:val="baseline"/>
        <w:rPr>
          <w:rFonts w:hint="default"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七</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赛事传播推广</w:t>
      </w:r>
    </w:p>
    <w:p w14:paraId="115E7E48">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结合</w:t>
      </w:r>
      <w:r>
        <w:rPr>
          <w:rFonts w:hint="eastAsia" w:ascii="宋体" w:hAnsi="宋体" w:eastAsia="宋体" w:cs="宋体"/>
          <w:snapToGrid w:val="0"/>
          <w:color w:val="auto"/>
          <w:kern w:val="0"/>
          <w:sz w:val="24"/>
          <w:szCs w:val="24"/>
          <w:highlight w:val="none"/>
          <w:lang w:eastAsia="zh-CN"/>
        </w:rPr>
        <w:t>“中国·皖美山水”骑行赛</w:t>
      </w:r>
      <w:r>
        <w:rPr>
          <w:rFonts w:hint="eastAsia" w:ascii="宋体" w:hAnsi="宋体" w:eastAsia="宋体" w:cs="宋体"/>
          <w:snapToGrid w:val="0"/>
          <w:color w:val="auto"/>
          <w:kern w:val="0"/>
          <w:sz w:val="24"/>
          <w:szCs w:val="24"/>
          <w:highlight w:val="none"/>
        </w:rPr>
        <w:t>的赛事定位及办赛要求制定赛事传播推广方案，方案内容包括但不限于赛事传播推广策略分析、策略定位、传播推广目标、实施计划及内容、人员安排及分工等。</w:t>
      </w:r>
    </w:p>
    <w:p w14:paraId="479CAB06">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具体要求：</w:t>
      </w:r>
    </w:p>
    <w:p w14:paraId="75D86266">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传播</w:t>
      </w:r>
      <w:r>
        <w:rPr>
          <w:rFonts w:hint="eastAsia" w:ascii="宋体" w:hAnsi="宋体" w:eastAsia="宋体" w:cs="宋体"/>
          <w:snapToGrid w:val="0"/>
          <w:color w:val="auto"/>
          <w:kern w:val="0"/>
          <w:sz w:val="24"/>
          <w:szCs w:val="24"/>
          <w:highlight w:val="none"/>
        </w:rPr>
        <w:t>策略分析。需综合分析国内外具有影响力的自行车赛赛事品牌（环法、环广西、环青海湖、环千赛、环岛赛、环上海、云南格兰芬多等）制定本项目传播推广策略；</w:t>
      </w:r>
    </w:p>
    <w:p w14:paraId="04FC3212">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传播</w:t>
      </w:r>
      <w:r>
        <w:rPr>
          <w:rFonts w:hint="eastAsia" w:ascii="宋体" w:hAnsi="宋体" w:eastAsia="宋体" w:cs="宋体"/>
          <w:snapToGrid w:val="0"/>
          <w:color w:val="auto"/>
          <w:kern w:val="0"/>
          <w:sz w:val="24"/>
          <w:szCs w:val="24"/>
          <w:highlight w:val="none"/>
        </w:rPr>
        <w:t>策略定位。需紧扣“国际视野、全国一流、安徽特色”这一赛事定位进行制定，具有可实施性；</w:t>
      </w:r>
    </w:p>
    <w:p w14:paraId="42CF0FFD">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3.传播推广目标。方案中需量化指标，积极争取在国内体育赛事品牌或自行车赛事品牌相关奖项评选中获得荣誉；</w:t>
      </w:r>
    </w:p>
    <w:p w14:paraId="5B742A74">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4.实施计划及内容。方案中需体现实施计划表，传播推广的具体内容包括媒体发布计划；制定赛事直播工作方案及要求；剪辑制作本项目赛事宣传片、总结片；设计制作本项目宣传推广画册等</w:t>
      </w:r>
      <w:r>
        <w:rPr>
          <w:rFonts w:hint="eastAsia" w:ascii="宋体" w:hAnsi="宋体" w:eastAsia="宋体" w:cs="宋体"/>
          <w:snapToGrid w:val="0"/>
          <w:color w:val="auto"/>
          <w:kern w:val="0"/>
          <w:sz w:val="24"/>
          <w:szCs w:val="24"/>
          <w:highlight w:val="none"/>
          <w:lang w:eastAsia="zh-CN"/>
        </w:rPr>
        <w:t>；</w:t>
      </w:r>
    </w:p>
    <w:p w14:paraId="75ED5246">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5.人员安排及分工。方案中需明确人员数量及工作职责，中标人须安排专人负责本项目的传播推广工作，并以书面报告的形式进行定期汇报。</w:t>
      </w:r>
    </w:p>
    <w:p w14:paraId="1D1C0AF6">
      <w:pPr>
        <w:keepNext w:val="0"/>
        <w:keepLines w:val="0"/>
        <w:pageBreakBefore w:val="0"/>
        <w:widowControl w:val="0"/>
        <w:kinsoku/>
        <w:wordWrap w:val="0"/>
        <w:overflowPunct w:val="0"/>
        <w:topLinePunct/>
        <w:autoSpaceDE/>
        <w:autoSpaceDN/>
        <w:bidi w:val="0"/>
        <w:adjustRightInd w:val="0"/>
        <w:snapToGrid w:val="0"/>
        <w:spacing w:line="360" w:lineRule="auto"/>
        <w:ind w:left="0" w:leftChars="0" w:firstLine="480" w:firstLineChars="200"/>
        <w:jc w:val="left"/>
        <w:textAlignment w:val="baseline"/>
        <w:rPr>
          <w:rFonts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6.赛事自媒矩阵建设及运维。</w:t>
      </w:r>
      <w:r>
        <w:rPr>
          <w:rFonts w:hint="eastAsia" w:ascii="宋体" w:hAnsi="宋体" w:eastAsia="宋体" w:cs="宋体"/>
          <w:snapToGrid w:val="0"/>
          <w:color w:val="auto"/>
          <w:kern w:val="0"/>
          <w:sz w:val="24"/>
          <w:szCs w:val="24"/>
          <w:highlight w:val="none"/>
        </w:rPr>
        <w:t>方案内容包括但不限于矩阵搭建范围、日常运维服务、品牌调性统一、内容运营要求、人员安排及分工等。</w:t>
      </w:r>
    </w:p>
    <w:p w14:paraId="1D33E11F">
      <w:pPr>
        <w:keepNext w:val="0"/>
        <w:keepLines w:val="0"/>
        <w:pageBreakBefore w:val="0"/>
        <w:widowControl w:val="0"/>
        <w:kinsoku/>
        <w:wordWrap w:val="0"/>
        <w:topLinePunct/>
        <w:autoSpaceDE/>
        <w:autoSpaceDN/>
        <w:bidi w:val="0"/>
        <w:spacing w:line="360" w:lineRule="auto"/>
        <w:ind w:left="0" w:leftChars="0" w:firstLine="482" w:firstLineChars="200"/>
        <w:rPr>
          <w:rFonts w:hint="default"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八</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配套活动策划</w:t>
      </w:r>
    </w:p>
    <w:p w14:paraId="1368D589">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中标人需结合各分站承办地文旅资源、地域文化、城市特色，围绕主赛事开展差异化配套活动，落实赛事一站一品办赛要求，丰富赛事内容、赋能地方文旅宣传，具体要求如下：</w:t>
      </w:r>
    </w:p>
    <w:p w14:paraId="3DE45A78">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1.分站差异化策划：杜绝全分站配套活动同质化，每站结合当地特色量身定制专属配套活动，贴合地方风土人情与城市名片。</w:t>
      </w:r>
    </w:p>
    <w:p w14:paraId="69EB0AE3">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2.活动内容要求：配套活动需贴合骑行运动主题，兼顾观赏性、参与性与传播性，可结合文旅打卡、户外嘉年华、地方非遗展示、全民健身互动体验等形式开展。</w:t>
      </w:r>
    </w:p>
    <w:p w14:paraId="739D7BBB">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3.流程与报审要求：编制全年度分站配套活动总体方案及单站执行细则，所有活动方案需提前报送采购人及组委会审核，审核通过后方可落地执行。</w:t>
      </w:r>
    </w:p>
    <w:p w14:paraId="32965CC4">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4现场执行保障：全权负责配套活动全流程现场执行、人员调度、氛围布置、流程把控及应急保障，保障主赛事与配套活动有序衔接、平稳运行。</w:t>
      </w:r>
    </w:p>
    <w:p w14:paraId="0F37BEB3">
      <w:pPr>
        <w:keepNext w:val="0"/>
        <w:keepLines w:val="0"/>
        <w:pageBreakBefore w:val="0"/>
        <w:widowControl w:val="0"/>
        <w:kinsoku/>
        <w:wordWrap w:val="0"/>
        <w:topLinePunct/>
        <w:autoSpaceDE/>
        <w:autoSpaceDN/>
        <w:bidi w:val="0"/>
        <w:spacing w:line="360" w:lineRule="auto"/>
        <w:ind w:left="0" w:leftChars="0" w:firstLine="482" w:firstLineChars="200"/>
        <w:rPr>
          <w:rFonts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九</w:t>
      </w:r>
      <w:r>
        <w:rPr>
          <w:rFonts w:hint="eastAsia" w:ascii="宋体" w:hAnsi="宋体" w:eastAsia="宋体" w:cs="宋体"/>
          <w:b/>
          <w:bCs/>
          <w:snapToGrid w:val="0"/>
          <w:color w:val="auto"/>
          <w:kern w:val="0"/>
          <w:sz w:val="24"/>
          <w:szCs w:val="24"/>
          <w:highlight w:val="none"/>
        </w:rPr>
        <w:t>）年度积分奖励</w:t>
      </w:r>
    </w:p>
    <w:p w14:paraId="340A8629">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1.体系方案编制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中标人需结合本赛事年度办赛规划、竞赛规则、参赛体系，搭建科学、公平、合理、透明的赛事年度积分奖励体系，编制专项年度积分奖励方案。</w:t>
      </w:r>
    </w:p>
    <w:p w14:paraId="17ECA18F">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2.方案核心内容</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方案需完整涵盖积分体系整体架构、各类别参赛选手积分计取标准、各分站积分分配规则、年度总积分核算办法、积分清零规则、名次核算规则、年度积分对应奖励项目、奖励标准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年度积分奖励专项总预算（税前）为185000元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、发放流程、公示机制等全套内容。</w:t>
      </w:r>
    </w:p>
    <w:p w14:paraId="62241979">
      <w:pPr>
        <w:keepNext w:val="0"/>
        <w:keepLines w:val="0"/>
        <w:pageBreakBefore w:val="0"/>
        <w:widowControl w:val="0"/>
        <w:kinsoku/>
        <w:wordWrap w:val="0"/>
        <w:topLinePunct/>
        <w:autoSpaceDE/>
        <w:autoSpaceDN/>
        <w:bidi w:val="0"/>
        <w:spacing w:line="360" w:lineRule="auto"/>
        <w:ind w:left="0" w:leftChars="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十</w:t>
      </w:r>
      <w:r>
        <w:rPr>
          <w:rFonts w:hint="eastAsia" w:ascii="宋体" w:hAnsi="宋体" w:eastAsia="宋体" w:cs="宋体"/>
          <w:b/>
          <w:bCs/>
          <w:snapToGrid w:val="0"/>
          <w:color w:val="auto"/>
          <w:kern w:val="0"/>
          <w:sz w:val="24"/>
          <w:szCs w:val="24"/>
          <w:highlight w:val="none"/>
        </w:rPr>
        <w:t>）运营公司人员配备方案</w:t>
      </w:r>
    </w:p>
    <w:p w14:paraId="2111E806">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中标人需配备专业团队服务本项目，其中项目负责人1人，及其他具备自行车赛事项目运营管理经验相关竞赛组织服务人员。</w:t>
      </w:r>
    </w:p>
    <w:p w14:paraId="4B015075">
      <w:pPr>
        <w:keepNext w:val="0"/>
        <w:keepLines w:val="0"/>
        <w:pageBreakBefore w:val="0"/>
        <w:widowControl w:val="0"/>
        <w:kinsoku/>
        <w:wordWrap w:val="0"/>
        <w:topLinePunct/>
        <w:autoSpaceDE/>
        <w:autoSpaceDN/>
        <w:bidi w:val="0"/>
        <w:spacing w:line="360" w:lineRule="auto"/>
        <w:ind w:left="0" w:leftChars="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（十一）相关服务费用</w:t>
      </w:r>
    </w:p>
    <w:p w14:paraId="0B83BB1C">
      <w:pPr>
        <w:pStyle w:val="2"/>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firstLine="480" w:firstLineChars="200"/>
        <w:jc w:val="both"/>
        <w:textAlignment w:val="baseline"/>
        <w:outlineLvl w:val="9"/>
        <w:rPr>
          <w:rFonts w:hint="eastAsia" w:asciiTheme="minorEastAsia" w:hAnsiTheme="minorEastAsia" w:eastAsiaTheme="minorEastAsia" w:cstheme="minorEastAsia"/>
          <w:b w:val="0"/>
          <w:bCs w:val="0"/>
          <w:color w:val="auto"/>
          <w:sz w:val="24"/>
          <w:szCs w:val="24"/>
        </w:rPr>
      </w:pPr>
      <w:r>
        <w:rPr>
          <w:rFonts w:hint="eastAsia" w:ascii="宋体" w:hAnsi="宋体" w:eastAsia="宋体" w:cs="宋体"/>
          <w:b w:val="0"/>
          <w:bCs w:val="0"/>
          <w:snapToGrid w:val="0"/>
          <w:color w:val="auto"/>
          <w:kern w:val="0"/>
          <w:sz w:val="24"/>
          <w:szCs w:val="24"/>
          <w:highlight w:val="none"/>
        </w:rPr>
        <w:t>负责与中国自行车协会对接竞赛组织相关工作，承担中国自行车协会赛事技术服务费用，支付中国自行车协会官员、技术团队、裁判员、工作人员等相关劳务、交通和食宿费用。</w:t>
      </w:r>
    </w:p>
    <w:p w14:paraId="060FEE3C">
      <w:pPr>
        <w:keepNext w:val="0"/>
        <w:keepLines w:val="0"/>
        <w:pageBreakBefore w:val="0"/>
        <w:widowControl w:val="0"/>
        <w:kinsoku/>
        <w:wordWrap w:val="0"/>
        <w:topLinePunct/>
        <w:autoSpaceDE/>
        <w:autoSpaceDN/>
        <w:bidi w:val="0"/>
        <w:spacing w:line="360" w:lineRule="auto"/>
        <w:ind w:left="0" w:leftChars="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四、报价要求</w:t>
      </w:r>
    </w:p>
    <w:p w14:paraId="6235AA54">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本项目报总价，报价包含为完成本项目所需一切费用，采购人后期不再追加任何费用。</w:t>
      </w:r>
    </w:p>
    <w:p w14:paraId="195399B4">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投标人自行考虑税收费用及保险，中标后须按国家相关规定缴纳税金并按采购人要求提供发票，费用含在本次总价中，费用不作调整。</w:t>
      </w:r>
    </w:p>
    <w:p w14:paraId="00192DEA">
      <w:pPr>
        <w:keepNext w:val="0"/>
        <w:keepLines w:val="0"/>
        <w:pageBreakBefore w:val="0"/>
        <w:widowControl w:val="0"/>
        <w:kinsoku/>
        <w:wordWrap w:val="0"/>
        <w:topLinePunct/>
        <w:autoSpaceDE/>
        <w:autoSpaceDN/>
        <w:bidi w:val="0"/>
        <w:spacing w:line="360" w:lineRule="auto"/>
        <w:ind w:left="0" w:leftChars="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五、其他要求</w:t>
      </w:r>
    </w:p>
    <w:p w14:paraId="43089705">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本项目中标人须具有组织或承办活动能力，应当取得服务许可，禁止未经许可或超越许可范围开展服务活动。如因此导致采购人损失的，供应商须承担全部赔偿责任。</w:t>
      </w:r>
    </w:p>
    <w:p w14:paraId="52B1B695">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采购人验收时，由采购人组成验收小组，验收小组应严格依照采购文件、采购合同及相</w:t>
      </w:r>
    </w:p>
    <w:p w14:paraId="66B5F934">
      <w:pPr>
        <w:keepNext w:val="0"/>
        <w:keepLines w:val="0"/>
        <w:pageBreakBefore w:val="0"/>
        <w:widowControl w:val="0"/>
        <w:kinsoku/>
        <w:wordWrap w:val="0"/>
        <w:topLinePunct/>
        <w:autoSpaceDE/>
        <w:autoSpaceDN/>
        <w:bidi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关验收规范进行核对、验收，形成验收结论，并出具书面验收报告。</w:t>
      </w:r>
    </w:p>
    <w:p w14:paraId="5053C5A7">
      <w:pPr>
        <w:keepNext w:val="0"/>
        <w:keepLines w:val="0"/>
        <w:pageBreakBefore w:val="0"/>
        <w:widowControl w:val="0"/>
        <w:kinsoku/>
        <w:wordWrap w:val="0"/>
        <w:topLinePunct/>
        <w:autoSpaceDE/>
        <w:autoSpaceDN/>
        <w:bidi w:val="0"/>
        <w:spacing w:line="360" w:lineRule="auto"/>
        <w:ind w:left="0" w:leftChars="0" w:firstLine="480" w:firstLineChars="200"/>
        <w:rPr>
          <w:rFonts w:hint="eastAsia" w:ascii="宋体" w:hAnsi="宋体" w:eastAsia="宋体" w:cs="宋体"/>
          <w:b w:val="0"/>
          <w:bCs w:val="0"/>
          <w:snapToGrid w:val="0"/>
          <w:color w:val="auto"/>
          <w:kern w:val="0"/>
          <w:sz w:val="24"/>
          <w:szCs w:val="24"/>
          <w:highlight w:val="none"/>
          <w:lang w:eastAsia="zh-CN"/>
        </w:rPr>
      </w:pPr>
      <w:r>
        <w:rPr>
          <w:rFonts w:hint="eastAsia" w:ascii="宋体" w:hAnsi="宋体" w:eastAsia="宋体" w:cs="宋体"/>
          <w:b w:val="0"/>
          <w:bCs w:val="0"/>
          <w:snapToGrid w:val="0"/>
          <w:color w:val="auto"/>
          <w:kern w:val="0"/>
          <w:sz w:val="24"/>
          <w:szCs w:val="24"/>
          <w:highlight w:val="none"/>
        </w:rPr>
        <w:t>本次比赛无形资产开发权属于采购单位，中标人或承办单位进行无形资产开发应提前与采购单位协商。</w:t>
      </w:r>
    </w:p>
    <w:p w14:paraId="751F39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64A37"/>
    <w:multiLevelType w:val="singleLevel"/>
    <w:tmpl w:val="2A064A37"/>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C13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2026-07-22T01:55:06Z</dcterms:created>
  <dc:creator>Lenovo</dc:creator>
  <cp:lastModifiedBy>省招</cp:lastModifiedBy>
  <dcterms:modified xsi:type="dcterms:W3CDTF">2026-07-22T01:56:12Z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F5D25BECE6B44009B31ED2D8019703B8_12</vt:lpwstr>
  </property>
</Properties>
</file>