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51AC7">
      <w:pPr>
        <w:tabs>
          <w:tab w:val="left" w:pos="315"/>
          <w:tab w:val="left" w:pos="8820"/>
        </w:tabs>
        <w:spacing w:before="240" w:beforeLines="100" w:after="120" w:afterLines="50" w:line="500" w:lineRule="exact"/>
        <w:ind w:right="267" w:rightChars="127"/>
        <w:jc w:val="center"/>
        <w:rPr>
          <w:b/>
          <w:bCs/>
          <w:sz w:val="52"/>
          <w:szCs w:val="52"/>
          <w:highlight w:val="none"/>
          <w:vertAlign w:val="superscript"/>
        </w:rPr>
      </w:pPr>
    </w:p>
    <w:p w14:paraId="4454AFA4">
      <w:pPr>
        <w:tabs>
          <w:tab w:val="left" w:pos="315"/>
          <w:tab w:val="left" w:pos="8820"/>
        </w:tabs>
        <w:spacing w:before="240" w:beforeLines="100" w:after="120" w:afterLines="50" w:line="500" w:lineRule="exact"/>
        <w:ind w:right="267" w:rightChars="127"/>
        <w:jc w:val="center"/>
        <w:rPr>
          <w:b/>
          <w:bCs/>
          <w:sz w:val="52"/>
          <w:szCs w:val="52"/>
          <w:highlight w:val="none"/>
        </w:rPr>
      </w:pPr>
    </w:p>
    <w:p w14:paraId="0FDF6929">
      <w:pPr>
        <w:tabs>
          <w:tab w:val="left" w:pos="315"/>
          <w:tab w:val="left" w:pos="8820"/>
        </w:tabs>
        <w:spacing w:before="240" w:beforeLines="100" w:after="120" w:afterLines="50" w:line="500" w:lineRule="exact"/>
        <w:ind w:right="267" w:rightChars="127"/>
        <w:jc w:val="center"/>
        <w:rPr>
          <w:rFonts w:eastAsia="宋体"/>
          <w:b/>
          <w:bCs/>
          <w:sz w:val="52"/>
          <w:szCs w:val="52"/>
          <w:highlight w:val="none"/>
        </w:rPr>
      </w:pPr>
      <w:bookmarkStart w:id="0" w:name="_Hlk9544796"/>
      <w:r>
        <w:rPr>
          <w:rFonts w:hint="eastAsia"/>
          <w:b/>
          <w:bCs/>
          <w:sz w:val="52"/>
          <w:szCs w:val="52"/>
          <w:highlight w:val="none"/>
        </w:rPr>
        <w:t>安徽省政府采购项目</w:t>
      </w:r>
    </w:p>
    <w:p w14:paraId="26D3E496">
      <w:pPr>
        <w:tabs>
          <w:tab w:val="left" w:pos="315"/>
          <w:tab w:val="left" w:pos="8820"/>
        </w:tabs>
        <w:spacing w:before="240" w:beforeLines="100" w:after="120" w:afterLines="50" w:line="500" w:lineRule="exact"/>
        <w:ind w:right="267" w:rightChars="127"/>
        <w:jc w:val="center"/>
        <w:rPr>
          <w:b/>
          <w:bCs/>
          <w:sz w:val="52"/>
          <w:szCs w:val="52"/>
          <w:highlight w:val="none"/>
        </w:rPr>
      </w:pPr>
      <w:r>
        <w:rPr>
          <w:rFonts w:hint="eastAsia"/>
          <w:b/>
          <w:bCs/>
          <w:sz w:val="52"/>
          <w:szCs w:val="52"/>
          <w:highlight w:val="none"/>
        </w:rPr>
        <w:t>竞争性磋商文件示范文本（工程类）</w:t>
      </w:r>
    </w:p>
    <w:p w14:paraId="126167D6">
      <w:pPr>
        <w:tabs>
          <w:tab w:val="left" w:pos="315"/>
          <w:tab w:val="left" w:pos="8820"/>
        </w:tabs>
        <w:spacing w:before="240" w:beforeLines="100" w:after="120" w:afterLines="50" w:line="500" w:lineRule="exact"/>
        <w:ind w:right="267" w:rightChars="127"/>
        <w:jc w:val="center"/>
        <w:rPr>
          <w:b/>
          <w:bCs/>
          <w:sz w:val="52"/>
          <w:szCs w:val="52"/>
          <w:highlight w:val="none"/>
        </w:rPr>
      </w:pPr>
      <w:r>
        <w:rPr>
          <w:rFonts w:hint="eastAsia"/>
          <w:b/>
          <w:bCs/>
          <w:sz w:val="52"/>
          <w:szCs w:val="52"/>
          <w:highlight w:val="none"/>
        </w:rPr>
        <w:t>（2024版本）</w:t>
      </w:r>
    </w:p>
    <w:bookmarkEnd w:id="0"/>
    <w:p w14:paraId="5D6BC7F2">
      <w:pPr>
        <w:tabs>
          <w:tab w:val="left" w:pos="315"/>
          <w:tab w:val="left" w:pos="8820"/>
        </w:tabs>
        <w:spacing w:before="240" w:beforeLines="100" w:after="120" w:afterLines="50" w:line="500" w:lineRule="exact"/>
        <w:ind w:right="267" w:rightChars="127"/>
        <w:jc w:val="center"/>
        <w:rPr>
          <w:bCs/>
          <w:sz w:val="44"/>
          <w:szCs w:val="44"/>
          <w:highlight w:val="none"/>
        </w:rPr>
      </w:pPr>
    </w:p>
    <w:p w14:paraId="030E945D">
      <w:pPr>
        <w:tabs>
          <w:tab w:val="left" w:pos="315"/>
          <w:tab w:val="left" w:pos="8820"/>
        </w:tabs>
        <w:spacing w:before="240" w:beforeLines="100" w:after="120" w:afterLines="50" w:line="500" w:lineRule="exact"/>
        <w:ind w:right="267" w:rightChars="127"/>
        <w:jc w:val="center"/>
        <w:rPr>
          <w:b/>
          <w:bCs/>
          <w:sz w:val="44"/>
          <w:szCs w:val="44"/>
          <w:highlight w:val="none"/>
        </w:rPr>
      </w:pPr>
    </w:p>
    <w:p w14:paraId="2EF01718">
      <w:pPr>
        <w:tabs>
          <w:tab w:val="left" w:pos="315"/>
          <w:tab w:val="left" w:pos="8820"/>
        </w:tabs>
        <w:spacing w:before="240" w:beforeLines="100" w:after="120" w:afterLines="50" w:line="500" w:lineRule="exact"/>
        <w:ind w:right="267" w:rightChars="127"/>
        <w:jc w:val="center"/>
        <w:rPr>
          <w:b/>
          <w:bCs/>
          <w:sz w:val="44"/>
          <w:szCs w:val="44"/>
          <w:highlight w:val="none"/>
        </w:rPr>
      </w:pPr>
    </w:p>
    <w:p w14:paraId="244C089C">
      <w:pPr>
        <w:tabs>
          <w:tab w:val="left" w:pos="315"/>
          <w:tab w:val="left" w:pos="8820"/>
        </w:tabs>
        <w:spacing w:before="240" w:beforeLines="100" w:after="120" w:afterLines="50" w:line="500" w:lineRule="exact"/>
        <w:ind w:right="267" w:rightChars="127"/>
        <w:jc w:val="center"/>
        <w:rPr>
          <w:b/>
          <w:bCs/>
          <w:sz w:val="44"/>
          <w:szCs w:val="44"/>
          <w:highlight w:val="none"/>
        </w:rPr>
      </w:pPr>
    </w:p>
    <w:p w14:paraId="07CF8CE9">
      <w:pPr>
        <w:tabs>
          <w:tab w:val="left" w:pos="315"/>
          <w:tab w:val="left" w:pos="8820"/>
        </w:tabs>
        <w:spacing w:before="240" w:beforeLines="100" w:after="120" w:afterLines="50" w:line="500" w:lineRule="exact"/>
        <w:ind w:right="267" w:rightChars="127"/>
        <w:jc w:val="center"/>
        <w:rPr>
          <w:b/>
          <w:bCs/>
          <w:sz w:val="44"/>
          <w:szCs w:val="44"/>
          <w:highlight w:val="none"/>
        </w:rPr>
      </w:pPr>
    </w:p>
    <w:p w14:paraId="0E4FF00A">
      <w:pPr>
        <w:tabs>
          <w:tab w:val="left" w:pos="315"/>
          <w:tab w:val="left" w:pos="8820"/>
        </w:tabs>
        <w:spacing w:before="240" w:beforeLines="100" w:after="120" w:afterLines="50" w:line="500" w:lineRule="exact"/>
        <w:ind w:right="267" w:rightChars="127"/>
        <w:jc w:val="center"/>
        <w:rPr>
          <w:b/>
          <w:bCs/>
          <w:sz w:val="44"/>
          <w:szCs w:val="44"/>
          <w:highlight w:val="none"/>
        </w:rPr>
      </w:pPr>
    </w:p>
    <w:p w14:paraId="261A9D2D">
      <w:pPr>
        <w:tabs>
          <w:tab w:val="left" w:pos="2410"/>
        </w:tabs>
        <w:autoSpaceDE w:val="0"/>
        <w:autoSpaceDN w:val="0"/>
        <w:adjustRightInd w:val="0"/>
        <w:snapToGrid w:val="0"/>
        <w:spacing w:line="360" w:lineRule="auto"/>
        <w:rPr>
          <w:rFonts w:eastAsia="宋体"/>
          <w:b/>
          <w:spacing w:val="20"/>
          <w:sz w:val="32"/>
          <w:szCs w:val="32"/>
          <w:highlight w:val="none"/>
        </w:rPr>
      </w:pPr>
      <w:r>
        <w:rPr>
          <w:rFonts w:hint="eastAsia"/>
          <w:b/>
          <w:spacing w:val="20"/>
          <w:sz w:val="32"/>
          <w:szCs w:val="32"/>
          <w:highlight w:val="none"/>
        </w:rPr>
        <w:t>项目名称：</w:t>
      </w:r>
      <w:r>
        <w:rPr>
          <w:rFonts w:hint="eastAsia"/>
          <w:b/>
          <w:spacing w:val="20"/>
          <w:sz w:val="32"/>
          <w:szCs w:val="32"/>
          <w:highlight w:val="none"/>
          <w:u w:val="none"/>
        </w:rPr>
        <w:t>安徽省农业科学院院区环境提升项目</w:t>
      </w:r>
    </w:p>
    <w:p w14:paraId="049002BE">
      <w:pPr>
        <w:tabs>
          <w:tab w:val="left" w:pos="2410"/>
        </w:tabs>
        <w:autoSpaceDE w:val="0"/>
        <w:autoSpaceDN w:val="0"/>
        <w:adjustRightInd w:val="0"/>
        <w:snapToGrid w:val="0"/>
        <w:spacing w:line="360" w:lineRule="auto"/>
        <w:rPr>
          <w:b/>
          <w:spacing w:val="20"/>
          <w:sz w:val="32"/>
          <w:szCs w:val="32"/>
          <w:highlight w:val="none"/>
          <w:u w:val="single"/>
        </w:rPr>
      </w:pPr>
      <w:r>
        <w:rPr>
          <w:rFonts w:hint="eastAsia"/>
          <w:b/>
          <w:spacing w:val="20"/>
          <w:sz w:val="32"/>
          <w:szCs w:val="32"/>
          <w:highlight w:val="none"/>
        </w:rPr>
        <w:t>项目编号：ZF2025-17-0585</w:t>
      </w:r>
    </w:p>
    <w:p w14:paraId="11E0C762">
      <w:pPr>
        <w:tabs>
          <w:tab w:val="left" w:pos="2410"/>
        </w:tabs>
        <w:autoSpaceDE w:val="0"/>
        <w:autoSpaceDN w:val="0"/>
        <w:adjustRightInd w:val="0"/>
        <w:snapToGrid w:val="0"/>
        <w:spacing w:line="360" w:lineRule="auto"/>
        <w:rPr>
          <w:rFonts w:eastAsia="宋体"/>
          <w:b/>
          <w:spacing w:val="20"/>
          <w:sz w:val="32"/>
          <w:szCs w:val="32"/>
          <w:highlight w:val="none"/>
        </w:rPr>
      </w:pPr>
      <w:r>
        <w:rPr>
          <w:rFonts w:hint="eastAsia"/>
          <w:b/>
          <w:spacing w:val="20"/>
          <w:sz w:val="32"/>
          <w:szCs w:val="32"/>
          <w:highlight w:val="none"/>
        </w:rPr>
        <w:t>采 购 人：安徽省农业科学院</w:t>
      </w:r>
    </w:p>
    <w:p w14:paraId="57BAC1C5">
      <w:pPr>
        <w:tabs>
          <w:tab w:val="left" w:pos="2410"/>
        </w:tabs>
        <w:autoSpaceDE w:val="0"/>
        <w:autoSpaceDN w:val="0"/>
        <w:adjustRightInd w:val="0"/>
        <w:snapToGrid w:val="0"/>
        <w:spacing w:line="360" w:lineRule="auto"/>
        <w:rPr>
          <w:b/>
          <w:spacing w:val="20"/>
          <w:sz w:val="32"/>
          <w:szCs w:val="32"/>
          <w:highlight w:val="none"/>
          <w:u w:val="none"/>
        </w:rPr>
      </w:pPr>
      <w:r>
        <w:rPr>
          <w:rFonts w:hint="eastAsia"/>
          <w:b/>
          <w:spacing w:val="20"/>
          <w:sz w:val="32"/>
          <w:szCs w:val="32"/>
          <w:highlight w:val="none"/>
        </w:rPr>
        <w:t>采购代理机构：</w:t>
      </w:r>
      <w:r>
        <w:rPr>
          <w:rFonts w:hint="eastAsia"/>
          <w:b/>
          <w:spacing w:val="20"/>
          <w:sz w:val="32"/>
          <w:szCs w:val="32"/>
          <w:highlight w:val="none"/>
          <w:u w:val="none"/>
        </w:rPr>
        <w:t>安徽省招标集团股份有限公司</w:t>
      </w:r>
    </w:p>
    <w:p w14:paraId="508AEB04">
      <w:pPr>
        <w:tabs>
          <w:tab w:val="left" w:pos="315"/>
          <w:tab w:val="left" w:pos="8820"/>
        </w:tabs>
        <w:spacing w:before="240" w:beforeLines="100" w:after="120" w:afterLines="50" w:line="500" w:lineRule="exact"/>
        <w:ind w:right="267" w:rightChars="127"/>
        <w:jc w:val="center"/>
        <w:rPr>
          <w:b/>
          <w:bCs/>
          <w:sz w:val="44"/>
          <w:szCs w:val="44"/>
          <w:highlight w:val="none"/>
        </w:rPr>
      </w:pPr>
    </w:p>
    <w:p w14:paraId="08E225A6">
      <w:pPr>
        <w:tabs>
          <w:tab w:val="left" w:pos="2410"/>
        </w:tabs>
        <w:autoSpaceDE w:val="0"/>
        <w:autoSpaceDN w:val="0"/>
        <w:adjustRightInd w:val="0"/>
        <w:snapToGrid w:val="0"/>
        <w:spacing w:line="360" w:lineRule="auto"/>
        <w:jc w:val="center"/>
        <w:rPr>
          <w:b/>
          <w:sz w:val="36"/>
          <w:highlight w:val="none"/>
        </w:rPr>
      </w:pPr>
    </w:p>
    <w:p w14:paraId="288C6E9B">
      <w:pPr>
        <w:spacing w:line="360" w:lineRule="auto"/>
        <w:jc w:val="center"/>
        <w:rPr>
          <w:b/>
          <w:sz w:val="36"/>
          <w:highlight w:val="none"/>
        </w:rPr>
        <w:sectPr>
          <w:footerReference r:id="rId4" w:type="first"/>
          <w:footerReference r:id="rId3" w:type="default"/>
          <w:pgSz w:w="11907" w:h="16840"/>
          <w:pgMar w:top="1474" w:right="1814" w:bottom="1474" w:left="1814" w:header="851" w:footer="992" w:gutter="0"/>
          <w:cols w:space="720" w:num="1"/>
          <w:docGrid w:linePitch="462" w:charSpace="0"/>
        </w:sectPr>
      </w:pPr>
      <w:r>
        <w:rPr>
          <w:rFonts w:hint="eastAsia"/>
          <w:b/>
          <w:sz w:val="36"/>
          <w:highlight w:val="none"/>
          <w:u w:val="single"/>
        </w:rPr>
        <w:t>2025</w:t>
      </w:r>
      <w:r>
        <w:rPr>
          <w:rFonts w:hint="eastAsia"/>
          <w:b/>
          <w:sz w:val="36"/>
          <w:highlight w:val="none"/>
        </w:rPr>
        <w:t>年</w:t>
      </w:r>
      <w:r>
        <w:rPr>
          <w:rFonts w:hint="eastAsia"/>
          <w:b/>
          <w:sz w:val="36"/>
          <w:highlight w:val="none"/>
          <w:u w:val="single"/>
          <w:lang w:val="en-US" w:eastAsia="zh-CN"/>
        </w:rPr>
        <w:t>5</w:t>
      </w:r>
      <w:bookmarkStart w:id="754" w:name="_GoBack"/>
      <w:bookmarkEnd w:id="754"/>
      <w:r>
        <w:rPr>
          <w:rFonts w:hint="eastAsia"/>
          <w:b/>
          <w:sz w:val="36"/>
          <w:highlight w:val="none"/>
        </w:rPr>
        <w:t>月</w:t>
      </w:r>
    </w:p>
    <w:p w14:paraId="43A0534B">
      <w:pPr>
        <w:spacing w:line="360" w:lineRule="auto"/>
        <w:jc w:val="center"/>
        <w:outlineLvl w:val="0"/>
        <w:rPr>
          <w:rFonts w:asciiTheme="minorEastAsia" w:hAnsiTheme="minorEastAsia"/>
          <w:b/>
          <w:sz w:val="28"/>
          <w:highlight w:val="none"/>
        </w:rPr>
      </w:pPr>
      <w:r>
        <w:rPr>
          <w:rFonts w:hint="eastAsia" w:asciiTheme="minorEastAsia" w:hAnsiTheme="minorEastAsia"/>
          <w:b/>
          <w:sz w:val="28"/>
          <w:highlight w:val="none"/>
        </w:rPr>
        <w:t>安徽省农业科学院院区环境提升项目竞争性磋商公告</w:t>
      </w:r>
    </w:p>
    <w:p w14:paraId="25262E68">
      <w:pPr>
        <w:rPr>
          <w:highlight w:val="none"/>
        </w:rPr>
      </w:pPr>
    </w:p>
    <w:p w14:paraId="23130807">
      <w:pPr>
        <w:pBdr>
          <w:top w:val="single" w:color="auto" w:sz="4" w:space="1"/>
          <w:left w:val="single" w:color="auto" w:sz="4" w:space="4"/>
          <w:bottom w:val="single" w:color="auto" w:sz="4" w:space="1"/>
          <w:right w:val="single" w:color="auto" w:sz="4" w:space="4"/>
        </w:pBd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项目概况</w:t>
      </w:r>
    </w:p>
    <w:p w14:paraId="1C509C23">
      <w:pPr>
        <w:pBdr>
          <w:top w:val="single" w:color="auto" w:sz="4" w:space="1"/>
          <w:left w:val="single" w:color="auto" w:sz="4" w:space="4"/>
          <w:bottom w:val="single" w:color="auto" w:sz="4" w:space="1"/>
          <w:right w:val="single" w:color="auto" w:sz="4" w:space="4"/>
        </w:pBdr>
        <w:wordWrap w:val="0"/>
        <w:spacing w:line="360" w:lineRule="auto"/>
        <w:ind w:firstLine="539"/>
        <w:rPr>
          <w:b/>
          <w:bCs/>
          <w:sz w:val="24"/>
          <w:szCs w:val="18"/>
          <w:highlight w:val="none"/>
        </w:rPr>
      </w:pPr>
      <w:r>
        <w:rPr>
          <w:rFonts w:hint="eastAsia" w:ascii="宋体" w:hAnsi="宋体" w:eastAsia="宋体" w:cs="宋体"/>
          <w:sz w:val="24"/>
          <w:highlight w:val="none"/>
        </w:rPr>
        <w:t>安徽省农业科学院院区环境提升项目的潜在投标人应在“优质采招标采购平台（www.yzczb.com）</w:t>
      </w:r>
      <w:r>
        <w:rPr>
          <w:rFonts w:hint="eastAsia" w:ascii="宋体" w:hAnsi="宋体" w:eastAsia="宋体" w:cs="宋体"/>
          <w:sz w:val="24"/>
          <w:highlight w:val="none"/>
          <w:u w:val="none"/>
        </w:rPr>
        <w:t>”或“优质采云采购平台（www.youzhicai.com）”获取采购文件，并于2025年</w:t>
      </w:r>
      <w:r>
        <w:rPr>
          <w:rFonts w:hint="eastAsia" w:ascii="宋体" w:hAnsi="宋体" w:eastAsia="宋体" w:cs="宋体"/>
          <w:sz w:val="24"/>
          <w:highlight w:val="none"/>
          <w:u w:val="none"/>
          <w:lang w:val="en-US" w:eastAsia="zh-CN"/>
        </w:rPr>
        <w:t>5</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19</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14</w:t>
      </w:r>
      <w:r>
        <w:rPr>
          <w:rFonts w:hint="eastAsia" w:ascii="宋体" w:hAnsi="宋体" w:eastAsia="宋体" w:cs="宋体"/>
          <w:sz w:val="24"/>
          <w:highlight w:val="none"/>
          <w:u w:val="none"/>
        </w:rPr>
        <w:t>点</w:t>
      </w:r>
      <w:r>
        <w:rPr>
          <w:rFonts w:hint="eastAsia" w:ascii="宋体" w:hAnsi="宋体" w:eastAsia="宋体" w:cs="宋体"/>
          <w:sz w:val="24"/>
          <w:highlight w:val="none"/>
          <w:u w:val="none"/>
          <w:lang w:val="en-US" w:eastAsia="zh-CN"/>
        </w:rPr>
        <w:t>30</w:t>
      </w:r>
      <w:r>
        <w:rPr>
          <w:rFonts w:hint="eastAsia" w:ascii="宋体" w:hAnsi="宋体" w:eastAsia="宋体" w:cs="宋体"/>
          <w:sz w:val="24"/>
          <w:highlight w:val="none"/>
          <w:u w:val="none"/>
        </w:rPr>
        <w:t>分</w:t>
      </w:r>
      <w:r>
        <w:rPr>
          <w:rFonts w:hint="eastAsia" w:ascii="宋体" w:hAnsi="宋体" w:eastAsia="宋体" w:cs="宋体"/>
          <w:sz w:val="24"/>
          <w:highlight w:val="none"/>
        </w:rPr>
        <w:t>（北京时间）前递交响应文件。</w:t>
      </w:r>
    </w:p>
    <w:p w14:paraId="7FCFB880">
      <w:pPr>
        <w:spacing w:line="360" w:lineRule="auto"/>
        <w:ind w:firstLine="435"/>
        <w:outlineLvl w:val="1"/>
        <w:rPr>
          <w:b/>
          <w:bCs/>
          <w:sz w:val="24"/>
          <w:szCs w:val="18"/>
          <w:highlight w:val="none"/>
        </w:rPr>
      </w:pPr>
      <w:r>
        <w:rPr>
          <w:rFonts w:hint="eastAsia"/>
          <w:b/>
          <w:bCs/>
          <w:sz w:val="24"/>
          <w:szCs w:val="18"/>
          <w:highlight w:val="none"/>
        </w:rPr>
        <w:t>一、项目基本情况</w:t>
      </w:r>
    </w:p>
    <w:p w14:paraId="60B82680">
      <w:pPr>
        <w:spacing w:line="360" w:lineRule="auto"/>
        <w:ind w:firstLine="435"/>
        <w:rPr>
          <w:rFonts w:asciiTheme="minorEastAsia" w:hAnsiTheme="minorEastAsia"/>
          <w:sz w:val="24"/>
          <w:highlight w:val="none"/>
          <w:u w:val="single"/>
        </w:rPr>
      </w:pPr>
      <w:r>
        <w:rPr>
          <w:rFonts w:hint="eastAsia" w:asciiTheme="minorEastAsia" w:hAnsiTheme="minorEastAsia"/>
          <w:sz w:val="24"/>
          <w:highlight w:val="none"/>
        </w:rPr>
        <w:t>1.项目编号：ZF2025-17-0585</w:t>
      </w:r>
    </w:p>
    <w:p w14:paraId="5CB13959">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2.项目名称：安徽省农业科学院院区环境提升项目</w:t>
      </w:r>
    </w:p>
    <w:p w14:paraId="0994D5E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3.预算金额：</w:t>
      </w:r>
      <w:r>
        <w:rPr>
          <w:rFonts w:hint="eastAsia" w:asciiTheme="minorEastAsia" w:hAnsiTheme="minorEastAsia"/>
          <w:sz w:val="24"/>
          <w:highlight w:val="none"/>
          <w:lang w:val="en-US" w:eastAsia="zh-CN"/>
        </w:rPr>
        <w:t>134</w:t>
      </w:r>
      <w:r>
        <w:rPr>
          <w:rFonts w:hint="eastAsia"/>
          <w:sz w:val="24"/>
          <w:highlight w:val="none"/>
        </w:rPr>
        <w:t>万元</w:t>
      </w:r>
    </w:p>
    <w:p w14:paraId="6A9C3CB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4.最高限价：133.995869万</w:t>
      </w:r>
      <w:r>
        <w:rPr>
          <w:rFonts w:hint="eastAsia"/>
          <w:sz w:val="24"/>
          <w:highlight w:val="none"/>
        </w:rPr>
        <w:t>元</w:t>
      </w:r>
    </w:p>
    <w:p w14:paraId="32FF0C14">
      <w:pPr>
        <w:spacing w:line="360" w:lineRule="auto"/>
        <w:ind w:firstLine="480" w:firstLineChars="200"/>
        <w:jc w:val="left"/>
        <w:rPr>
          <w:rFonts w:ascii="宋体" w:hAnsi="宋体" w:eastAsia="宋体"/>
          <w:sz w:val="24"/>
          <w:szCs w:val="18"/>
          <w:highlight w:val="none"/>
          <w:u w:val="single"/>
        </w:rPr>
      </w:pPr>
      <w:r>
        <w:rPr>
          <w:rFonts w:hint="eastAsia" w:asciiTheme="minorEastAsia" w:hAnsiTheme="minorEastAsia"/>
          <w:sz w:val="24"/>
          <w:highlight w:val="none"/>
        </w:rPr>
        <w:t>5.采购需求：</w:t>
      </w:r>
      <w:r>
        <w:rPr>
          <w:rFonts w:hint="eastAsia" w:ascii="宋体" w:hAnsi="宋体" w:eastAsia="宋体" w:cs="宋体"/>
          <w:sz w:val="24"/>
          <w:highlight w:val="none"/>
        </w:rPr>
        <w:t>安徽省农业科学院院区环境提升项目</w:t>
      </w:r>
      <w:r>
        <w:rPr>
          <w:rFonts w:hint="eastAsia" w:asciiTheme="minorEastAsia" w:hAnsiTheme="minorEastAsia"/>
          <w:sz w:val="24"/>
          <w:highlight w:val="none"/>
        </w:rPr>
        <w:t>，具体内容详见采购需求、清单及图纸</w:t>
      </w:r>
      <w:r>
        <w:rPr>
          <w:rFonts w:hint="eastAsia" w:ascii="宋体" w:hAnsi="宋体" w:eastAsia="宋体"/>
          <w:sz w:val="24"/>
          <w:szCs w:val="18"/>
          <w:highlight w:val="none"/>
        </w:rPr>
        <w:t>。</w:t>
      </w:r>
    </w:p>
    <w:p w14:paraId="21A27280">
      <w:pPr>
        <w:spacing w:line="360" w:lineRule="auto"/>
        <w:ind w:firstLine="435"/>
        <w:rPr>
          <w:rFonts w:asciiTheme="minorEastAsia" w:hAnsiTheme="minorEastAsia"/>
          <w:sz w:val="24"/>
          <w:highlight w:val="none"/>
        </w:rPr>
      </w:pPr>
      <w:r>
        <w:rPr>
          <w:rFonts w:hint="eastAsia" w:asciiTheme="minorEastAsia" w:hAnsiTheme="minorEastAsia"/>
          <w:sz w:val="24"/>
          <w:highlight w:val="none"/>
        </w:rPr>
        <w:t>6.合同履行期限：90日历天</w:t>
      </w:r>
    </w:p>
    <w:p w14:paraId="63FEAC43">
      <w:pPr>
        <w:spacing w:line="360" w:lineRule="auto"/>
        <w:ind w:firstLine="435"/>
        <w:rPr>
          <w:rFonts w:asciiTheme="minorEastAsia" w:hAnsiTheme="minorEastAsia"/>
          <w:sz w:val="24"/>
          <w:highlight w:val="none"/>
        </w:rPr>
      </w:pPr>
      <w:r>
        <w:rPr>
          <w:rFonts w:hint="eastAsia" w:asciiTheme="minorEastAsia" w:hAnsiTheme="minorEastAsia"/>
          <w:sz w:val="24"/>
          <w:highlight w:val="none"/>
        </w:rPr>
        <w:t>7.本项目不接受联合体。</w:t>
      </w:r>
    </w:p>
    <w:p w14:paraId="3599CA54">
      <w:pPr>
        <w:spacing w:line="360" w:lineRule="auto"/>
        <w:ind w:firstLine="435"/>
        <w:outlineLvl w:val="1"/>
        <w:rPr>
          <w:rFonts w:eastAsia="宋体"/>
          <w:b/>
          <w:bCs/>
          <w:sz w:val="24"/>
          <w:szCs w:val="18"/>
          <w:highlight w:val="none"/>
        </w:rPr>
      </w:pPr>
      <w:r>
        <w:rPr>
          <w:rFonts w:hint="eastAsia"/>
          <w:b/>
          <w:bCs/>
          <w:sz w:val="24"/>
          <w:szCs w:val="18"/>
          <w:highlight w:val="none"/>
        </w:rPr>
        <w:t>二</w:t>
      </w:r>
      <w:r>
        <w:rPr>
          <w:rFonts w:hint="eastAsia" w:asciiTheme="minorEastAsia" w:hAnsiTheme="minorEastAsia"/>
          <w:b/>
          <w:sz w:val="24"/>
          <w:highlight w:val="none"/>
        </w:rPr>
        <w:t>、申请人的</w:t>
      </w:r>
      <w:r>
        <w:rPr>
          <w:rFonts w:hint="eastAsia"/>
          <w:b/>
          <w:bCs/>
          <w:sz w:val="24"/>
          <w:szCs w:val="18"/>
          <w:highlight w:val="none"/>
        </w:rPr>
        <w:t>资格要求</w:t>
      </w:r>
    </w:p>
    <w:p w14:paraId="6669E04E">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1.满足《中华人民共和国政府采购法》第二十二条规定；</w:t>
      </w:r>
    </w:p>
    <w:p w14:paraId="47381A4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2.落实政府采购政策需满足的资格要求：</w:t>
      </w:r>
    </w:p>
    <w:p w14:paraId="45E851C9">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2.1中小企业政策</w:t>
      </w:r>
    </w:p>
    <w:p w14:paraId="058A103D">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2.1.1本项目专门面向中小企业采购。同时落实监狱企业、残疾人福利性单位扶持政策。</w:t>
      </w:r>
    </w:p>
    <w:p w14:paraId="52163353">
      <w:pPr>
        <w:spacing w:line="360" w:lineRule="auto"/>
        <w:ind w:firstLine="435"/>
        <w:rPr>
          <w:rFonts w:asciiTheme="minorEastAsia" w:hAnsiTheme="minorEastAsia"/>
          <w:sz w:val="24"/>
          <w:highlight w:val="none"/>
        </w:rPr>
      </w:pPr>
      <w:r>
        <w:rPr>
          <w:rFonts w:asciiTheme="minorEastAsia" w:hAnsiTheme="minorEastAsia"/>
          <w:sz w:val="24"/>
          <w:highlight w:val="none"/>
        </w:rPr>
        <w:t>2.2</w:t>
      </w:r>
      <w:r>
        <w:rPr>
          <w:rFonts w:hint="eastAsia" w:asciiTheme="minorEastAsia" w:hAnsiTheme="minorEastAsia"/>
          <w:sz w:val="24"/>
          <w:highlight w:val="none"/>
        </w:rPr>
        <w:t>其它落实政府采购政策的资格要求：</w:t>
      </w:r>
      <w:r>
        <w:rPr>
          <w:rFonts w:hint="eastAsia" w:asciiTheme="minorEastAsia" w:hAnsiTheme="minorEastAsia"/>
          <w:sz w:val="24"/>
          <w:highlight w:val="none"/>
          <w:u w:val="none"/>
        </w:rPr>
        <w:t>无</w:t>
      </w:r>
      <w:r>
        <w:rPr>
          <w:rFonts w:hint="eastAsia" w:asciiTheme="minorEastAsia" w:hAnsiTheme="minorEastAsia"/>
          <w:sz w:val="24"/>
          <w:highlight w:val="none"/>
        </w:rPr>
        <w:t>。</w:t>
      </w:r>
    </w:p>
    <w:p w14:paraId="282B83AB">
      <w:pPr>
        <w:numPr>
          <w:ilvl w:val="0"/>
          <w:numId w:val="2"/>
        </w:numPr>
        <w:spacing w:line="360" w:lineRule="auto"/>
        <w:ind w:firstLine="435"/>
        <w:rPr>
          <w:rFonts w:asciiTheme="minorEastAsia" w:hAnsiTheme="minorEastAsia"/>
          <w:sz w:val="24"/>
          <w:highlight w:val="none"/>
        </w:rPr>
      </w:pPr>
      <w:r>
        <w:rPr>
          <w:rFonts w:hint="eastAsia" w:asciiTheme="minorEastAsia" w:hAnsiTheme="minorEastAsia"/>
          <w:sz w:val="24"/>
          <w:highlight w:val="none"/>
        </w:rPr>
        <w:t>本项目的特定资格要求：</w:t>
      </w:r>
    </w:p>
    <w:p w14:paraId="1681FFE1">
      <w:pPr>
        <w:numPr>
          <w:ilvl w:val="0"/>
          <w:numId w:val="3"/>
        </w:num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供应商须具备有效的建筑工程施工总承包三级及以上资质，具备有效的安全生产许可证。</w:t>
      </w:r>
    </w:p>
    <w:p w14:paraId="3552370E">
      <w:pPr>
        <w:numPr>
          <w:ilvl w:val="0"/>
          <w:numId w:val="3"/>
        </w:num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拟委任项目经理须具备建筑工程专业二级及以上注册建造师资格，具备有效的安全生产考核合格证书（B证）。</w:t>
      </w:r>
    </w:p>
    <w:p w14:paraId="48F838EF">
      <w:pPr>
        <w:spacing w:line="360" w:lineRule="auto"/>
        <w:ind w:firstLine="435"/>
        <w:outlineLvl w:val="1"/>
        <w:rPr>
          <w:b/>
          <w:bCs/>
          <w:sz w:val="24"/>
          <w:highlight w:val="none"/>
        </w:rPr>
      </w:pPr>
      <w:r>
        <w:rPr>
          <w:rFonts w:hint="eastAsia"/>
          <w:b/>
          <w:bCs/>
          <w:sz w:val="24"/>
          <w:highlight w:val="none"/>
        </w:rPr>
        <w:t>三、获取采购文件</w:t>
      </w:r>
    </w:p>
    <w:p w14:paraId="6C116F0D">
      <w:pPr>
        <w:spacing w:line="360" w:lineRule="auto"/>
        <w:ind w:firstLine="435"/>
        <w:rPr>
          <w:rFonts w:asciiTheme="minorEastAsia" w:hAnsiTheme="minorEastAsia"/>
          <w:sz w:val="24"/>
          <w:highlight w:val="none"/>
        </w:rPr>
      </w:pPr>
      <w:r>
        <w:rPr>
          <w:rFonts w:hint="eastAsia" w:asciiTheme="minorEastAsia" w:hAnsiTheme="minorEastAsia"/>
          <w:sz w:val="24"/>
          <w:highlight w:val="none"/>
        </w:rPr>
        <w:t>时间：2025年</w:t>
      </w:r>
      <w:r>
        <w:rPr>
          <w:rFonts w:hint="eastAsia" w:asciiTheme="minorEastAsia" w:hAnsiTheme="minorEastAsia"/>
          <w:sz w:val="24"/>
          <w:highlight w:val="none"/>
          <w:u w:val="none"/>
          <w:lang w:val="en-US" w:eastAsia="zh-CN"/>
        </w:rPr>
        <w:t>5</w:t>
      </w:r>
      <w:r>
        <w:rPr>
          <w:rFonts w:hint="eastAsia" w:asciiTheme="minorEastAsia" w:hAnsiTheme="minorEastAsia"/>
          <w:sz w:val="24"/>
          <w:highlight w:val="none"/>
          <w:u w:val="none"/>
        </w:rPr>
        <w:t>月</w:t>
      </w:r>
      <w:r>
        <w:rPr>
          <w:rFonts w:hint="eastAsia" w:asciiTheme="minorEastAsia" w:hAnsiTheme="minorEastAsia"/>
          <w:sz w:val="24"/>
          <w:highlight w:val="none"/>
          <w:u w:val="none"/>
          <w:lang w:val="en-US" w:eastAsia="zh-CN"/>
        </w:rPr>
        <w:t>6</w:t>
      </w:r>
      <w:r>
        <w:rPr>
          <w:rFonts w:hint="eastAsia" w:asciiTheme="minorEastAsia" w:hAnsiTheme="minorEastAsia"/>
          <w:sz w:val="24"/>
          <w:highlight w:val="none"/>
          <w:u w:val="none"/>
        </w:rPr>
        <w:t>日至2025年</w:t>
      </w:r>
      <w:r>
        <w:rPr>
          <w:rFonts w:hint="eastAsia" w:asciiTheme="minorEastAsia" w:hAnsiTheme="minorEastAsia"/>
          <w:sz w:val="24"/>
          <w:highlight w:val="none"/>
          <w:u w:val="none"/>
          <w:lang w:val="en-US" w:eastAsia="zh-CN"/>
        </w:rPr>
        <w:t>5</w:t>
      </w:r>
      <w:r>
        <w:rPr>
          <w:rFonts w:hint="eastAsia" w:asciiTheme="minorEastAsia" w:hAnsiTheme="minorEastAsia"/>
          <w:sz w:val="24"/>
          <w:highlight w:val="none"/>
          <w:u w:val="none"/>
        </w:rPr>
        <w:t>月</w:t>
      </w:r>
      <w:r>
        <w:rPr>
          <w:rFonts w:hint="eastAsia" w:asciiTheme="minorEastAsia" w:hAnsiTheme="minorEastAsia"/>
          <w:sz w:val="24"/>
          <w:highlight w:val="none"/>
          <w:u w:val="none"/>
          <w:lang w:val="en-US" w:eastAsia="zh-CN"/>
        </w:rPr>
        <w:t>19</w:t>
      </w:r>
      <w:r>
        <w:rPr>
          <w:rFonts w:hint="eastAsia" w:asciiTheme="minorEastAsia" w:hAnsiTheme="minorEastAsia"/>
          <w:sz w:val="24"/>
          <w:highlight w:val="none"/>
        </w:rPr>
        <w:t>日，每天上午0:00到12：00 ，下午12:00到23:59（北京时间，法定节假日除外）</w:t>
      </w:r>
    </w:p>
    <w:p w14:paraId="01C73F8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地点：</w:t>
      </w:r>
      <w:r>
        <w:rPr>
          <w:rFonts w:hint="eastAsia" w:ascii="宋体" w:hAnsi="宋体" w:eastAsia="宋体" w:cs="宋体"/>
          <w:sz w:val="24"/>
          <w:highlight w:val="none"/>
        </w:rPr>
        <w:t>“优质采招标采购平台(www.yzczb.com)”或“优质采云采购平台(www.youzhicai.com)”</w:t>
      </w:r>
    </w:p>
    <w:p w14:paraId="23A21070">
      <w:pPr>
        <w:spacing w:line="360" w:lineRule="auto"/>
        <w:ind w:firstLine="435"/>
        <w:jc w:val="left"/>
        <w:rPr>
          <w:rFonts w:asciiTheme="minorEastAsia" w:hAnsiTheme="minorEastAsia"/>
          <w:sz w:val="24"/>
          <w:highlight w:val="none"/>
        </w:rPr>
      </w:pPr>
      <w:r>
        <w:rPr>
          <w:rFonts w:hint="eastAsia" w:asciiTheme="minorEastAsia" w:hAnsiTheme="minorEastAsia"/>
          <w:sz w:val="24"/>
          <w:highlight w:val="none"/>
        </w:rPr>
        <w:t>方式：</w:t>
      </w:r>
      <w:r>
        <w:rPr>
          <w:rFonts w:hint="eastAsia" w:ascii="宋体" w:hAnsi="宋体" w:eastAsia="宋体" w:cs="宋体"/>
          <w:sz w:val="24"/>
          <w:highlight w:val="none"/>
        </w:rPr>
        <w:t>在线下载</w:t>
      </w:r>
    </w:p>
    <w:p w14:paraId="43AF5BC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售价（元）：</w:t>
      </w:r>
      <w:r>
        <w:rPr>
          <w:rFonts w:ascii="宋体" w:hAnsi="宋体" w:eastAsia="宋体" w:cs="宋体"/>
          <w:sz w:val="24"/>
          <w:highlight w:val="none"/>
        </w:rPr>
        <w:t>0</w:t>
      </w:r>
    </w:p>
    <w:p w14:paraId="397BA9D1">
      <w:pPr>
        <w:spacing w:line="360" w:lineRule="auto"/>
        <w:ind w:firstLine="435"/>
        <w:outlineLvl w:val="1"/>
        <w:rPr>
          <w:b/>
          <w:bCs/>
          <w:sz w:val="24"/>
          <w:highlight w:val="none"/>
        </w:rPr>
      </w:pPr>
      <w:r>
        <w:rPr>
          <w:rFonts w:hint="eastAsia"/>
          <w:b/>
          <w:bCs/>
          <w:sz w:val="24"/>
          <w:highlight w:val="none"/>
        </w:rPr>
        <w:t>四、响应文件提交</w:t>
      </w:r>
    </w:p>
    <w:p w14:paraId="6FF4EF10">
      <w:pPr>
        <w:spacing w:line="360" w:lineRule="auto"/>
        <w:ind w:firstLine="480" w:firstLineChars="200"/>
        <w:rPr>
          <w:rFonts w:asciiTheme="minorEastAsia" w:hAnsiTheme="minorEastAsia" w:cstheme="minorEastAsia"/>
          <w:bCs/>
          <w:sz w:val="24"/>
          <w:highlight w:val="none"/>
        </w:rPr>
      </w:pPr>
      <w:r>
        <w:rPr>
          <w:rFonts w:hint="eastAsia" w:asciiTheme="minorEastAsia" w:hAnsiTheme="minorEastAsia" w:cstheme="minorEastAsia"/>
          <w:sz w:val="24"/>
          <w:highlight w:val="none"/>
        </w:rPr>
        <w:t>截止时间</w:t>
      </w:r>
      <w:r>
        <w:rPr>
          <w:rFonts w:hint="eastAsia" w:asciiTheme="minorEastAsia" w:hAnsiTheme="minorEastAsia" w:cstheme="minorEastAsia"/>
          <w:sz w:val="24"/>
          <w:highlight w:val="none"/>
          <w:lang w:eastAsia="zh-CN"/>
        </w:rPr>
        <w:t>：</w:t>
      </w:r>
      <w:r>
        <w:rPr>
          <w:rFonts w:hint="eastAsia" w:asciiTheme="minorEastAsia" w:hAnsiTheme="minorEastAsia"/>
          <w:sz w:val="24"/>
          <w:highlight w:val="none"/>
        </w:rPr>
        <w:t>2025年</w:t>
      </w:r>
      <w:r>
        <w:rPr>
          <w:rFonts w:hint="eastAsia" w:asciiTheme="minorEastAsia" w:hAnsiTheme="minorEastAsia"/>
          <w:sz w:val="24"/>
          <w:highlight w:val="none"/>
          <w:u w:val="none"/>
          <w:lang w:val="en-US" w:eastAsia="zh-CN"/>
        </w:rPr>
        <w:t>5</w:t>
      </w:r>
      <w:r>
        <w:rPr>
          <w:rFonts w:hint="eastAsia" w:asciiTheme="minorEastAsia" w:hAnsiTheme="minorEastAsia"/>
          <w:sz w:val="24"/>
          <w:highlight w:val="none"/>
          <w:u w:val="none"/>
        </w:rPr>
        <w:t>月</w:t>
      </w:r>
      <w:r>
        <w:rPr>
          <w:rFonts w:hint="eastAsia" w:asciiTheme="minorEastAsia" w:hAnsiTheme="minorEastAsia"/>
          <w:sz w:val="24"/>
          <w:highlight w:val="none"/>
          <w:u w:val="none"/>
          <w:lang w:val="en-US" w:eastAsia="zh-CN"/>
        </w:rPr>
        <w:t>19</w:t>
      </w:r>
      <w:r>
        <w:rPr>
          <w:rFonts w:hint="eastAsia" w:asciiTheme="minorEastAsia" w:hAnsiTheme="minorEastAsia"/>
          <w:sz w:val="24"/>
          <w:highlight w:val="none"/>
        </w:rPr>
        <w:t>日</w:t>
      </w:r>
      <w:r>
        <w:rPr>
          <w:rFonts w:hint="eastAsia" w:asciiTheme="minorEastAsia" w:hAnsiTheme="minorEastAsia"/>
          <w:sz w:val="24"/>
          <w:highlight w:val="none"/>
          <w:lang w:val="en-US" w:eastAsia="zh-CN"/>
        </w:rPr>
        <w:t>14时30分</w:t>
      </w:r>
      <w:r>
        <w:rPr>
          <w:rFonts w:hint="eastAsia" w:asciiTheme="minorEastAsia" w:hAnsiTheme="minorEastAsia" w:cstheme="minorEastAsia"/>
          <w:bCs/>
          <w:sz w:val="24"/>
          <w:highlight w:val="none"/>
        </w:rPr>
        <w:t>（北京时间）</w:t>
      </w:r>
    </w:p>
    <w:p w14:paraId="69021C51">
      <w:pPr>
        <w:spacing w:line="360" w:lineRule="auto"/>
        <w:ind w:firstLine="480" w:firstLineChars="200"/>
        <w:rPr>
          <w:rFonts w:ascii="宋体" w:hAnsi="宋体" w:eastAsia="宋体"/>
          <w:sz w:val="24"/>
          <w:szCs w:val="18"/>
          <w:highlight w:val="none"/>
        </w:rPr>
      </w:pPr>
      <w:r>
        <w:rPr>
          <w:rFonts w:hint="eastAsia" w:asciiTheme="minorEastAsia" w:hAnsiTheme="minorEastAsia" w:cstheme="minorEastAsia"/>
          <w:sz w:val="24"/>
          <w:highlight w:val="none"/>
        </w:rPr>
        <w:t>地点：线上开标：“优质采招标采购平台(www.yzczb.com)”或“优质采云采购平台(www.youzhicai.com)”</w:t>
      </w:r>
    </w:p>
    <w:p w14:paraId="13E92DDA">
      <w:pPr>
        <w:spacing w:line="360" w:lineRule="auto"/>
        <w:ind w:firstLine="435"/>
        <w:outlineLvl w:val="1"/>
        <w:rPr>
          <w:b/>
          <w:bCs/>
          <w:sz w:val="24"/>
          <w:highlight w:val="none"/>
        </w:rPr>
      </w:pPr>
      <w:r>
        <w:rPr>
          <w:rFonts w:hint="eastAsia"/>
          <w:b/>
          <w:bCs/>
          <w:sz w:val="24"/>
          <w:highlight w:val="none"/>
        </w:rPr>
        <w:t>五、开启</w:t>
      </w:r>
    </w:p>
    <w:p w14:paraId="351CA8B9">
      <w:pPr>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时间：</w:t>
      </w:r>
      <w:r>
        <w:rPr>
          <w:rFonts w:hint="eastAsia" w:asciiTheme="minorEastAsia" w:hAnsiTheme="minorEastAsia"/>
          <w:sz w:val="24"/>
          <w:highlight w:val="none"/>
        </w:rPr>
        <w:t>2025年</w:t>
      </w:r>
      <w:r>
        <w:rPr>
          <w:rFonts w:hint="eastAsia" w:asciiTheme="minorEastAsia" w:hAnsiTheme="minorEastAsia"/>
          <w:sz w:val="24"/>
          <w:highlight w:val="none"/>
          <w:u w:val="none"/>
          <w:lang w:val="en-US" w:eastAsia="zh-CN"/>
        </w:rPr>
        <w:t>5</w:t>
      </w:r>
      <w:r>
        <w:rPr>
          <w:rFonts w:hint="eastAsia" w:asciiTheme="minorEastAsia" w:hAnsiTheme="minorEastAsia"/>
          <w:sz w:val="24"/>
          <w:highlight w:val="none"/>
          <w:u w:val="none"/>
        </w:rPr>
        <w:t>月</w:t>
      </w:r>
      <w:r>
        <w:rPr>
          <w:rFonts w:hint="eastAsia" w:asciiTheme="minorEastAsia" w:hAnsiTheme="minorEastAsia"/>
          <w:sz w:val="24"/>
          <w:highlight w:val="none"/>
          <w:u w:val="none"/>
          <w:lang w:val="en-US" w:eastAsia="zh-CN"/>
        </w:rPr>
        <w:t>19</w:t>
      </w:r>
      <w:r>
        <w:rPr>
          <w:rFonts w:hint="eastAsia" w:asciiTheme="minorEastAsia" w:hAnsiTheme="minorEastAsia"/>
          <w:sz w:val="24"/>
          <w:highlight w:val="none"/>
        </w:rPr>
        <w:t>日</w:t>
      </w:r>
      <w:r>
        <w:rPr>
          <w:rFonts w:hint="eastAsia" w:asciiTheme="minorEastAsia" w:hAnsiTheme="minorEastAsia"/>
          <w:sz w:val="24"/>
          <w:highlight w:val="none"/>
          <w:lang w:val="en-US" w:eastAsia="zh-CN"/>
        </w:rPr>
        <w:t>14时30分</w:t>
      </w:r>
      <w:r>
        <w:rPr>
          <w:rFonts w:hint="eastAsia" w:asciiTheme="minorEastAsia" w:hAnsiTheme="minorEastAsia" w:cstheme="minorEastAsia"/>
          <w:bCs/>
          <w:sz w:val="24"/>
          <w:highlight w:val="none"/>
        </w:rPr>
        <w:t>（北京时间）</w:t>
      </w:r>
    </w:p>
    <w:p w14:paraId="4B80AFF8">
      <w:pPr>
        <w:spacing w:line="360" w:lineRule="auto"/>
        <w:ind w:firstLine="480" w:firstLineChars="200"/>
        <w:rPr>
          <w:highlight w:val="none"/>
        </w:rPr>
      </w:pPr>
      <w:r>
        <w:rPr>
          <w:rFonts w:hint="eastAsia" w:ascii="宋体" w:hAnsi="宋体" w:eastAsia="宋体" w:cs="宋体"/>
          <w:sz w:val="24"/>
          <w:highlight w:val="none"/>
        </w:rPr>
        <w:t>地点：</w:t>
      </w:r>
      <w:r>
        <w:rPr>
          <w:rFonts w:hint="eastAsia" w:asciiTheme="minorEastAsia" w:hAnsiTheme="minorEastAsia" w:cstheme="minorEastAsia"/>
          <w:sz w:val="24"/>
          <w:highlight w:val="none"/>
        </w:rPr>
        <w:t>线上开启地点：“优质采招标采购平台(www.yzczb.com)”或“优质采云采购平台(www.youzhicai.com)”</w:t>
      </w:r>
    </w:p>
    <w:p w14:paraId="78439483">
      <w:pPr>
        <w:spacing w:line="360" w:lineRule="auto"/>
        <w:ind w:firstLine="435"/>
        <w:outlineLvl w:val="1"/>
        <w:rPr>
          <w:b/>
          <w:bCs/>
          <w:sz w:val="24"/>
          <w:highlight w:val="none"/>
        </w:rPr>
      </w:pPr>
      <w:r>
        <w:rPr>
          <w:rFonts w:hint="eastAsia"/>
          <w:b/>
          <w:bCs/>
          <w:sz w:val="24"/>
          <w:highlight w:val="none"/>
        </w:rPr>
        <w:t>六、公告期限</w:t>
      </w:r>
    </w:p>
    <w:p w14:paraId="0EED8600">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自本公告发布之日起3个工作日。</w:t>
      </w:r>
    </w:p>
    <w:p w14:paraId="53DE36BE">
      <w:pPr>
        <w:spacing w:line="360" w:lineRule="auto"/>
        <w:ind w:firstLine="437"/>
        <w:outlineLvl w:val="1"/>
        <w:rPr>
          <w:rFonts w:ascii="宋体" w:hAnsi="宋体" w:eastAsia="宋体"/>
          <w:b/>
          <w:bCs/>
          <w:sz w:val="24"/>
          <w:szCs w:val="18"/>
          <w:highlight w:val="none"/>
        </w:rPr>
      </w:pPr>
      <w:r>
        <w:rPr>
          <w:rFonts w:hint="eastAsia"/>
          <w:b/>
          <w:bCs/>
          <w:sz w:val="24"/>
          <w:szCs w:val="18"/>
          <w:highlight w:val="none"/>
        </w:rPr>
        <w:t>七</w:t>
      </w:r>
      <w:r>
        <w:rPr>
          <w:rFonts w:hint="eastAsia" w:ascii="宋体" w:hAnsi="宋体" w:eastAsia="宋体"/>
          <w:b/>
          <w:bCs/>
          <w:sz w:val="24"/>
          <w:szCs w:val="18"/>
          <w:highlight w:val="none"/>
        </w:rPr>
        <w:t>、其他补充事宜</w:t>
      </w:r>
    </w:p>
    <w:p w14:paraId="464D1527">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1.本项目相关信息同时在“安徽省政府采购网（www.ccgp-anhui.gov.cn）、优质采云采购平台（www.youzhicai.com）、优质采招标采购平台（www.yzczb.com）、安徽省招标投标信息网</w:t>
      </w:r>
      <w:r>
        <w:rPr>
          <w:rFonts w:ascii="宋体" w:hAnsi="宋体" w:eastAsia="宋体" w:cs="宋体"/>
          <w:sz w:val="24"/>
          <w:highlight w:val="none"/>
        </w:rPr>
        <w:t>（www.ahtba.org.cn）</w:t>
      </w:r>
      <w:r>
        <w:rPr>
          <w:rFonts w:hint="eastAsia" w:ascii="宋体" w:hAnsi="宋体" w:eastAsia="宋体" w:cs="宋体"/>
          <w:sz w:val="24"/>
          <w:highlight w:val="none"/>
        </w:rPr>
        <w:t>”媒介上发布。</w:t>
      </w:r>
    </w:p>
    <w:p w14:paraId="7FA6BA2C">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2.本项目需落实的节能环保、中小企业扶持等相关政府采购政策详见招标文件。</w:t>
      </w:r>
    </w:p>
    <w:p w14:paraId="06587E7A">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3.根据《政府采购促进中小企业发展管理办法》（财库〔2020〕46号）第六条规定，本次采购项目符合不专门面向中小企业预留采购份额情形：按照本办法规定预留采购份额无法确保充分供应、充分竞争，或者存在可能影响政府采购目标实现的情形。投标人如有疑问，可按招标文件约定提出询问或质疑。</w:t>
      </w:r>
    </w:p>
    <w:p w14:paraId="24C28187">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4.政府采购电子化交易要求：</w:t>
      </w:r>
    </w:p>
    <w:p w14:paraId="009BB3EB">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1）潜在投标人/供应商须登录“优质采招标采购平台（www.yzczb.com）”或“优质采云采购平台（www.youzhicai.com）”（以下称“优质采平台”）参与本项目招标采购活动。首次登录须办理注册手续，请务必选择注册为“投标人角色”类型。注册流程见优质采平台“用户注册”栏目，咨询电话：0551-62624922、400-0099-555。因未及时办理注册手续影响参加招标采购活动的，责任自负。</w:t>
      </w:r>
    </w:p>
    <w:p w14:paraId="52CCD4EE">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38433403">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（3）已注册的潜在投标人/供应商若注册信息发生变更（如：与初始注册信息不一致），应及时网上提交变更申请。因未及时变更导致不利后果的，责任自负。</w:t>
      </w:r>
    </w:p>
    <w:p w14:paraId="1AE78355">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www.youzhicai.com/nd/a_8f80a7ec-911f-4c4d-a123-f8849880f045.html）；咨询热线：0551-62624922、400-0099-555。</w:t>
      </w:r>
    </w:p>
    <w:p w14:paraId="21578742">
      <w:pPr>
        <w:wordWrap w:val="0"/>
        <w:spacing w:line="360" w:lineRule="auto"/>
        <w:ind w:firstLine="539"/>
        <w:rPr>
          <w:rFonts w:ascii="宋体" w:hAnsi="宋体"/>
          <w:sz w:val="24"/>
          <w:highlight w:val="none"/>
        </w:rPr>
      </w:pPr>
      <w:r>
        <w:rPr>
          <w:rFonts w:hint="eastAsia" w:ascii="宋体" w:hAnsi="宋体" w:eastAsia="宋体" w:cs="宋体"/>
          <w:sz w:val="24"/>
          <w:highlight w:val="none"/>
        </w:rPr>
        <w:t>（5）电子投标/响应文件必须使用“优质采投标文件制作工具”制作生成并上传。下载地址：http://toolcdn.youzhicai.com/tools/BidderTools.zip，使用说明书及视频教程下载地址: http://file.youzhicai.com/files/BidderHelp.rar。</w:t>
      </w:r>
    </w:p>
    <w:p w14:paraId="174DB346">
      <w:pPr>
        <w:spacing w:line="360" w:lineRule="auto"/>
        <w:ind w:firstLine="437"/>
        <w:outlineLvl w:val="1"/>
        <w:rPr>
          <w:b/>
          <w:bCs/>
          <w:sz w:val="24"/>
          <w:szCs w:val="18"/>
          <w:highlight w:val="none"/>
        </w:rPr>
      </w:pPr>
      <w:r>
        <w:rPr>
          <w:rFonts w:hint="eastAsia" w:asciiTheme="minorEastAsia" w:hAnsiTheme="minorEastAsia"/>
          <w:b/>
          <w:sz w:val="24"/>
          <w:highlight w:val="none"/>
        </w:rPr>
        <w:t>八、</w:t>
      </w:r>
      <w:r>
        <w:rPr>
          <w:rFonts w:hint="eastAsia" w:ascii="宋体" w:hAnsi="宋体" w:eastAsia="宋体"/>
          <w:b/>
          <w:bCs/>
          <w:sz w:val="24"/>
          <w:szCs w:val="18"/>
          <w:highlight w:val="none"/>
        </w:rPr>
        <w:t>对本次采购提出询问，请按以下方式联系</w:t>
      </w:r>
    </w:p>
    <w:p w14:paraId="43D2C627">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1.采购人信息</w:t>
      </w:r>
    </w:p>
    <w:p w14:paraId="2CDF42BB">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名称：安徽省农业科学院</w:t>
      </w:r>
    </w:p>
    <w:p w14:paraId="06351EA0">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地址：安徽省合肥市庐阳区农科南路40号</w:t>
      </w:r>
    </w:p>
    <w:p w14:paraId="5C85F91D">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联系方式：0551-62160888</w:t>
      </w:r>
    </w:p>
    <w:p w14:paraId="7DC60A32">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2.采购代理机构信息</w:t>
      </w:r>
    </w:p>
    <w:p w14:paraId="25C0AFE2">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名称：安徽省招标集团股份有限公司</w:t>
      </w:r>
    </w:p>
    <w:p w14:paraId="69473B4C">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地址：合肥市包河区紫云路</w:t>
      </w:r>
      <w:r>
        <w:rPr>
          <w:rFonts w:hint="eastAsia" w:ascii="宋体" w:hAnsi="宋体" w:eastAsia="宋体" w:cs="宋体"/>
          <w:sz w:val="24"/>
          <w:highlight w:val="none"/>
          <w:lang w:val="en-US"/>
        </w:rPr>
        <w:t>888</w:t>
      </w:r>
      <w:r>
        <w:rPr>
          <w:rFonts w:hint="eastAsia" w:ascii="宋体" w:hAnsi="宋体" w:eastAsia="宋体" w:cs="宋体"/>
          <w:sz w:val="24"/>
          <w:highlight w:val="none"/>
        </w:rPr>
        <w:t>号</w:t>
      </w:r>
    </w:p>
    <w:p w14:paraId="2E4D3D08">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联系人：胡松、高婷婷、秦帅</w:t>
      </w:r>
    </w:p>
    <w:p w14:paraId="6D4B0F1C">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联系方式：0551-66061496、6606149</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、17755065733</w:t>
      </w:r>
    </w:p>
    <w:p w14:paraId="6DB37EA9">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应急客服电话：0551-62220153（接听时间：8:30-12:00,13:30-17:30，节假日除外。潜在投标人应优先拨打项目联系人联系电话，无人接听时再拨打该“应急客服电话”）</w:t>
      </w:r>
    </w:p>
    <w:p w14:paraId="15D9EA47">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3.项目联系方式</w:t>
      </w:r>
    </w:p>
    <w:p w14:paraId="7366B74D">
      <w:pPr>
        <w:wordWrap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项目联系人：胡松、高婷婷、秦帅</w:t>
      </w:r>
    </w:p>
    <w:p w14:paraId="05EC57BF">
      <w:pPr>
        <w:spacing w:line="360" w:lineRule="auto"/>
        <w:ind w:firstLine="480" w:firstLineChars="200"/>
        <w:rPr>
          <w:rFonts w:ascii="宋体" w:hAnsi="宋体" w:eastAsia="宋体" w:cs="宋体"/>
          <w:sz w:val="24"/>
          <w:highlight w:val="none"/>
        </w:rPr>
        <w:sectPr>
          <w:footerReference r:id="rId5" w:type="default"/>
          <w:pgSz w:w="11907" w:h="16840"/>
          <w:pgMar w:top="1474" w:right="1814" w:bottom="1474" w:left="1814" w:header="851" w:footer="992" w:gutter="0"/>
          <w:pgNumType w:start="1"/>
          <w:cols w:space="720" w:num="1"/>
          <w:docGrid w:linePitch="462" w:charSpace="0"/>
        </w:sectPr>
      </w:pPr>
      <w:r>
        <w:rPr>
          <w:rFonts w:hint="eastAsia" w:ascii="宋体" w:hAnsi="宋体" w:eastAsia="宋体" w:cs="宋体"/>
          <w:sz w:val="24"/>
          <w:highlight w:val="none"/>
        </w:rPr>
        <w:t>电话：0551-66061496、6606149</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、17755065733</w:t>
      </w:r>
    </w:p>
    <w:p w14:paraId="574DADA1">
      <w:pPr>
        <w:spacing w:line="360" w:lineRule="auto"/>
        <w:ind w:firstLine="435"/>
        <w:rPr>
          <w:sz w:val="24"/>
          <w:szCs w:val="18"/>
          <w:highlight w:val="none"/>
        </w:rPr>
      </w:pPr>
      <w:r>
        <w:rPr>
          <w:sz w:val="24"/>
          <w:szCs w:val="18"/>
          <w:highlight w:val="none"/>
        </w:rPr>
        <w:br w:type="page"/>
      </w:r>
    </w:p>
    <w:p w14:paraId="6FFA5DB9">
      <w:pPr>
        <w:tabs>
          <w:tab w:val="left" w:pos="2410"/>
        </w:tabs>
        <w:autoSpaceDE w:val="0"/>
        <w:autoSpaceDN w:val="0"/>
        <w:adjustRightInd w:val="0"/>
        <w:snapToGrid w:val="0"/>
        <w:spacing w:line="360" w:lineRule="auto"/>
        <w:jc w:val="center"/>
        <w:rPr>
          <w:b/>
          <w:sz w:val="32"/>
          <w:szCs w:val="32"/>
          <w:highlight w:val="none"/>
        </w:rPr>
      </w:pPr>
      <w:r>
        <w:rPr>
          <w:rFonts w:hint="eastAsia"/>
          <w:b/>
          <w:sz w:val="32"/>
          <w:szCs w:val="32"/>
          <w:highlight w:val="none"/>
        </w:rPr>
        <w:t>目  录</w:t>
      </w:r>
    </w:p>
    <w:p w14:paraId="1134765A">
      <w:pPr>
        <w:tabs>
          <w:tab w:val="left" w:pos="2410"/>
        </w:tabs>
        <w:autoSpaceDE w:val="0"/>
        <w:autoSpaceDN w:val="0"/>
        <w:adjustRightInd w:val="0"/>
        <w:snapToGrid w:val="0"/>
        <w:spacing w:line="360" w:lineRule="auto"/>
        <w:jc w:val="center"/>
        <w:rPr>
          <w:b/>
          <w:sz w:val="28"/>
          <w:highlight w:val="none"/>
        </w:rPr>
      </w:pPr>
    </w:p>
    <w:p w14:paraId="5557C26C">
      <w:pPr>
        <w:pStyle w:val="35"/>
        <w:tabs>
          <w:tab w:val="right" w:leader="dot" w:pos="8279"/>
        </w:tabs>
        <w:spacing w:line="360" w:lineRule="auto"/>
        <w:rPr>
          <w:sz w:val="24"/>
          <w:highlight w:val="none"/>
        </w:rPr>
      </w:pPr>
      <w:r>
        <w:rPr>
          <w:rFonts w:asciiTheme="minorEastAsia" w:hAnsiTheme="minorEastAsia"/>
          <w:b/>
          <w:sz w:val="24"/>
          <w:highlight w:val="none"/>
        </w:rPr>
        <w:fldChar w:fldCharType="begin"/>
      </w:r>
      <w:r>
        <w:rPr>
          <w:rFonts w:asciiTheme="minorEastAsia" w:hAnsiTheme="minorEastAsia"/>
          <w:b/>
          <w:sz w:val="24"/>
          <w:highlight w:val="none"/>
        </w:rPr>
        <w:instrText xml:space="preserve"> </w:instrText>
      </w:r>
      <w:r>
        <w:rPr>
          <w:rFonts w:hint="eastAsia" w:asciiTheme="minorEastAsia" w:hAnsiTheme="minorEastAsia"/>
          <w:b/>
          <w:sz w:val="24"/>
          <w:highlight w:val="none"/>
        </w:rPr>
        <w:instrText xml:space="preserve">TOC \o "1-2" \h \z \u</w:instrText>
      </w:r>
      <w:r>
        <w:rPr>
          <w:rFonts w:asciiTheme="minorEastAsia" w:hAnsiTheme="minorEastAsia"/>
          <w:b/>
          <w:sz w:val="24"/>
          <w:highlight w:val="none"/>
        </w:rPr>
        <w:instrText xml:space="preserve"> </w:instrText>
      </w:r>
      <w:r>
        <w:rPr>
          <w:rFonts w:asciiTheme="minorEastAsia" w:hAnsiTheme="minorEastAsia"/>
          <w:b/>
          <w:sz w:val="24"/>
          <w:highlight w:val="none"/>
        </w:rPr>
        <w:fldChar w:fldCharType="separate"/>
      </w:r>
      <w:r>
        <w:rPr>
          <w:highlight w:val="none"/>
        </w:rPr>
        <w:fldChar w:fldCharType="begin"/>
      </w:r>
      <w:r>
        <w:rPr>
          <w:highlight w:val="none"/>
        </w:rPr>
        <w:instrText xml:space="preserve"> HYPERLINK \l "_Toc11403" </w:instrText>
      </w:r>
      <w:r>
        <w:rPr>
          <w:highlight w:val="none"/>
        </w:rPr>
        <w:fldChar w:fldCharType="separate"/>
      </w:r>
      <w:r>
        <w:rPr>
          <w:rFonts w:hint="eastAsia" w:asciiTheme="minorEastAsia" w:hAnsiTheme="minorEastAsia"/>
          <w:sz w:val="24"/>
          <w:highlight w:val="none"/>
        </w:rPr>
        <w:t xml:space="preserve">第一章 </w:t>
      </w:r>
      <w:r>
        <w:rPr>
          <w:rFonts w:asciiTheme="minorEastAsia" w:hAnsiTheme="minorEastAsia"/>
          <w:sz w:val="24"/>
          <w:highlight w:val="none"/>
        </w:rPr>
        <w:t xml:space="preserve"> </w:t>
      </w:r>
      <w:r>
        <w:rPr>
          <w:rFonts w:hint="eastAsia" w:asciiTheme="minorEastAsia" w:hAnsiTheme="minorEastAsia"/>
          <w:sz w:val="24"/>
          <w:highlight w:val="none"/>
        </w:rPr>
        <w:t>磋商邀请</w:t>
      </w:r>
      <w:r>
        <w:rPr>
          <w:sz w:val="24"/>
          <w:highlight w:val="none"/>
        </w:rPr>
        <w:tab/>
      </w:r>
      <w:r>
        <w:rPr>
          <w:sz w:val="24"/>
          <w:highlight w:val="none"/>
        </w:rPr>
        <w:fldChar w:fldCharType="begin"/>
      </w:r>
      <w:r>
        <w:rPr>
          <w:sz w:val="24"/>
          <w:highlight w:val="none"/>
        </w:rPr>
        <w:instrText xml:space="preserve"> PAGEREF _Toc11403 \h </w:instrText>
      </w:r>
      <w:r>
        <w:rPr>
          <w:sz w:val="24"/>
          <w:highlight w:val="none"/>
        </w:rPr>
        <w:fldChar w:fldCharType="separate"/>
      </w:r>
      <w:r>
        <w:rPr>
          <w:sz w:val="24"/>
          <w:highlight w:val="none"/>
        </w:rPr>
        <w:t>6</w:t>
      </w:r>
      <w:r>
        <w:rPr>
          <w:sz w:val="24"/>
          <w:highlight w:val="none"/>
        </w:rPr>
        <w:fldChar w:fldCharType="end"/>
      </w:r>
      <w:r>
        <w:rPr>
          <w:sz w:val="24"/>
          <w:highlight w:val="none"/>
        </w:rPr>
        <w:fldChar w:fldCharType="end"/>
      </w:r>
    </w:p>
    <w:p w14:paraId="27008675">
      <w:pPr>
        <w:pStyle w:val="35"/>
        <w:tabs>
          <w:tab w:val="right" w:leader="dot" w:pos="8279"/>
        </w:tabs>
        <w:spacing w:line="360" w:lineRule="auto"/>
        <w:rPr>
          <w:sz w:val="24"/>
          <w:highlight w:val="none"/>
        </w:rPr>
      </w:pPr>
      <w:r>
        <w:rPr>
          <w:highlight w:val="none"/>
        </w:rPr>
        <w:fldChar w:fldCharType="begin"/>
      </w:r>
      <w:r>
        <w:rPr>
          <w:highlight w:val="none"/>
        </w:rPr>
        <w:instrText xml:space="preserve"> HYPERLINK \l "_Toc28080" </w:instrText>
      </w:r>
      <w:r>
        <w:rPr>
          <w:highlight w:val="none"/>
        </w:rPr>
        <w:fldChar w:fldCharType="separate"/>
      </w:r>
      <w:r>
        <w:rPr>
          <w:rFonts w:hint="eastAsia" w:asciiTheme="minorEastAsia" w:hAnsiTheme="minorEastAsia"/>
          <w:sz w:val="24"/>
          <w:highlight w:val="none"/>
        </w:rPr>
        <w:t>第二章</w:t>
      </w:r>
      <w:r>
        <w:rPr>
          <w:rFonts w:asciiTheme="minorEastAsia" w:hAnsiTheme="minorEastAsia"/>
          <w:sz w:val="24"/>
          <w:highlight w:val="none"/>
        </w:rPr>
        <w:t xml:space="preserve"> </w:t>
      </w:r>
      <w:r>
        <w:rPr>
          <w:rFonts w:hint="eastAsia" w:asciiTheme="minorEastAsia" w:hAnsiTheme="minorEastAsia"/>
          <w:sz w:val="24"/>
          <w:highlight w:val="none"/>
        </w:rPr>
        <w:t xml:space="preserve"> 供应商</w:t>
      </w:r>
      <w:r>
        <w:rPr>
          <w:rFonts w:asciiTheme="minorEastAsia" w:hAnsiTheme="minorEastAsia"/>
          <w:sz w:val="24"/>
          <w:highlight w:val="none"/>
        </w:rPr>
        <w:t>须知</w:t>
      </w:r>
      <w:r>
        <w:rPr>
          <w:sz w:val="24"/>
          <w:highlight w:val="none"/>
        </w:rPr>
        <w:tab/>
      </w:r>
      <w:r>
        <w:rPr>
          <w:sz w:val="24"/>
          <w:highlight w:val="none"/>
        </w:rPr>
        <w:fldChar w:fldCharType="begin"/>
      </w:r>
      <w:r>
        <w:rPr>
          <w:sz w:val="24"/>
          <w:highlight w:val="none"/>
        </w:rPr>
        <w:instrText xml:space="preserve"> PAGEREF _Toc28080 \h </w:instrText>
      </w:r>
      <w:r>
        <w:rPr>
          <w:sz w:val="24"/>
          <w:highlight w:val="none"/>
        </w:rPr>
        <w:fldChar w:fldCharType="separate"/>
      </w:r>
      <w:r>
        <w:rPr>
          <w:sz w:val="24"/>
          <w:highlight w:val="none"/>
        </w:rPr>
        <w:t>8</w:t>
      </w:r>
      <w:r>
        <w:rPr>
          <w:sz w:val="24"/>
          <w:highlight w:val="none"/>
        </w:rPr>
        <w:fldChar w:fldCharType="end"/>
      </w:r>
      <w:r>
        <w:rPr>
          <w:sz w:val="24"/>
          <w:highlight w:val="none"/>
        </w:rPr>
        <w:fldChar w:fldCharType="end"/>
      </w:r>
    </w:p>
    <w:p w14:paraId="5BA73852">
      <w:pPr>
        <w:pStyle w:val="35"/>
        <w:tabs>
          <w:tab w:val="right" w:leader="dot" w:pos="8279"/>
        </w:tabs>
        <w:spacing w:line="360" w:lineRule="auto"/>
        <w:rPr>
          <w:sz w:val="24"/>
          <w:highlight w:val="none"/>
        </w:rPr>
      </w:pPr>
      <w:r>
        <w:rPr>
          <w:highlight w:val="none"/>
        </w:rPr>
        <w:fldChar w:fldCharType="begin"/>
      </w:r>
      <w:r>
        <w:rPr>
          <w:highlight w:val="none"/>
        </w:rPr>
        <w:instrText xml:space="preserve"> HYPERLINK \l "_Toc30873" </w:instrText>
      </w:r>
      <w:r>
        <w:rPr>
          <w:highlight w:val="none"/>
        </w:rPr>
        <w:fldChar w:fldCharType="separate"/>
      </w:r>
      <w:r>
        <w:rPr>
          <w:rFonts w:hint="eastAsia" w:asciiTheme="minorEastAsia" w:hAnsiTheme="minorEastAsia"/>
          <w:sz w:val="24"/>
          <w:highlight w:val="none"/>
        </w:rPr>
        <w:t>第三章  采购需求</w:t>
      </w:r>
      <w:r>
        <w:rPr>
          <w:sz w:val="24"/>
          <w:highlight w:val="none"/>
        </w:rPr>
        <w:tab/>
      </w:r>
      <w:r>
        <w:rPr>
          <w:sz w:val="24"/>
          <w:highlight w:val="none"/>
        </w:rPr>
        <w:fldChar w:fldCharType="begin"/>
      </w:r>
      <w:r>
        <w:rPr>
          <w:sz w:val="24"/>
          <w:highlight w:val="none"/>
        </w:rPr>
        <w:instrText xml:space="preserve"> PAGEREF _Toc30873 \h </w:instrText>
      </w:r>
      <w:r>
        <w:rPr>
          <w:sz w:val="24"/>
          <w:highlight w:val="none"/>
        </w:rPr>
        <w:fldChar w:fldCharType="separate"/>
      </w:r>
      <w:r>
        <w:rPr>
          <w:sz w:val="24"/>
          <w:highlight w:val="none"/>
        </w:rPr>
        <w:t>25</w:t>
      </w:r>
      <w:r>
        <w:rPr>
          <w:sz w:val="24"/>
          <w:highlight w:val="none"/>
        </w:rPr>
        <w:fldChar w:fldCharType="end"/>
      </w:r>
      <w:r>
        <w:rPr>
          <w:sz w:val="24"/>
          <w:highlight w:val="none"/>
        </w:rPr>
        <w:fldChar w:fldCharType="end"/>
      </w:r>
    </w:p>
    <w:p w14:paraId="6D4F6041">
      <w:pPr>
        <w:pStyle w:val="35"/>
        <w:tabs>
          <w:tab w:val="right" w:leader="dot" w:pos="8279"/>
        </w:tabs>
        <w:spacing w:line="360" w:lineRule="auto"/>
        <w:rPr>
          <w:sz w:val="24"/>
          <w:highlight w:val="none"/>
        </w:rPr>
      </w:pPr>
      <w:r>
        <w:rPr>
          <w:highlight w:val="none"/>
        </w:rPr>
        <w:fldChar w:fldCharType="begin"/>
      </w:r>
      <w:r>
        <w:rPr>
          <w:highlight w:val="none"/>
        </w:rPr>
        <w:instrText xml:space="preserve"> HYPERLINK \l "_Toc11353" </w:instrText>
      </w:r>
      <w:r>
        <w:rPr>
          <w:highlight w:val="none"/>
        </w:rPr>
        <w:fldChar w:fldCharType="separate"/>
      </w:r>
      <w:r>
        <w:rPr>
          <w:rFonts w:hint="eastAsia" w:asciiTheme="minorEastAsia" w:hAnsiTheme="minorEastAsia"/>
          <w:sz w:val="24"/>
          <w:highlight w:val="none"/>
        </w:rPr>
        <w:t>第四章  评审方法和标准</w:t>
      </w:r>
      <w:r>
        <w:rPr>
          <w:sz w:val="24"/>
          <w:highlight w:val="none"/>
        </w:rPr>
        <w:tab/>
      </w:r>
      <w:r>
        <w:rPr>
          <w:sz w:val="24"/>
          <w:highlight w:val="none"/>
        </w:rPr>
        <w:fldChar w:fldCharType="begin"/>
      </w:r>
      <w:r>
        <w:rPr>
          <w:sz w:val="24"/>
          <w:highlight w:val="none"/>
        </w:rPr>
        <w:instrText xml:space="preserve"> PAGEREF _Toc11353 \h </w:instrText>
      </w:r>
      <w:r>
        <w:rPr>
          <w:sz w:val="24"/>
          <w:highlight w:val="none"/>
        </w:rPr>
        <w:fldChar w:fldCharType="separate"/>
      </w:r>
      <w:r>
        <w:rPr>
          <w:sz w:val="24"/>
          <w:highlight w:val="none"/>
        </w:rPr>
        <w:t>28</w:t>
      </w:r>
      <w:r>
        <w:rPr>
          <w:sz w:val="24"/>
          <w:highlight w:val="none"/>
        </w:rPr>
        <w:fldChar w:fldCharType="end"/>
      </w:r>
      <w:r>
        <w:rPr>
          <w:sz w:val="24"/>
          <w:highlight w:val="none"/>
        </w:rPr>
        <w:fldChar w:fldCharType="end"/>
      </w:r>
    </w:p>
    <w:p w14:paraId="2819DCE7">
      <w:pPr>
        <w:pStyle w:val="35"/>
        <w:tabs>
          <w:tab w:val="right" w:leader="dot" w:pos="8279"/>
        </w:tabs>
        <w:spacing w:line="360" w:lineRule="auto"/>
        <w:rPr>
          <w:sz w:val="24"/>
          <w:highlight w:val="none"/>
        </w:rPr>
      </w:pPr>
      <w:r>
        <w:rPr>
          <w:highlight w:val="none"/>
        </w:rPr>
        <w:fldChar w:fldCharType="begin"/>
      </w:r>
      <w:r>
        <w:rPr>
          <w:highlight w:val="none"/>
        </w:rPr>
        <w:instrText xml:space="preserve"> HYPERLINK \l "_Toc31277" </w:instrText>
      </w:r>
      <w:r>
        <w:rPr>
          <w:highlight w:val="none"/>
        </w:rPr>
        <w:fldChar w:fldCharType="separate"/>
      </w:r>
      <w:r>
        <w:rPr>
          <w:rFonts w:hint="eastAsia" w:asciiTheme="minorEastAsia" w:hAnsiTheme="minorEastAsia"/>
          <w:sz w:val="24"/>
          <w:highlight w:val="none"/>
        </w:rPr>
        <w:t xml:space="preserve">第五章  </w:t>
      </w:r>
      <w:r>
        <w:rPr>
          <w:rFonts w:asciiTheme="minorEastAsia" w:hAnsiTheme="minorEastAsia"/>
          <w:sz w:val="24"/>
          <w:highlight w:val="none"/>
        </w:rPr>
        <w:t>政府采购合同</w:t>
      </w:r>
      <w:r>
        <w:rPr>
          <w:sz w:val="24"/>
          <w:highlight w:val="none"/>
        </w:rPr>
        <w:tab/>
      </w:r>
      <w:r>
        <w:rPr>
          <w:sz w:val="24"/>
          <w:highlight w:val="none"/>
        </w:rPr>
        <w:fldChar w:fldCharType="begin"/>
      </w:r>
      <w:r>
        <w:rPr>
          <w:sz w:val="24"/>
          <w:highlight w:val="none"/>
        </w:rPr>
        <w:instrText xml:space="preserve"> PAGEREF _Toc31277 \h </w:instrText>
      </w:r>
      <w:r>
        <w:rPr>
          <w:sz w:val="24"/>
          <w:highlight w:val="none"/>
        </w:rPr>
        <w:fldChar w:fldCharType="separate"/>
      </w:r>
      <w:r>
        <w:rPr>
          <w:sz w:val="24"/>
          <w:highlight w:val="none"/>
        </w:rPr>
        <w:t>44</w:t>
      </w:r>
      <w:r>
        <w:rPr>
          <w:sz w:val="24"/>
          <w:highlight w:val="none"/>
        </w:rPr>
        <w:fldChar w:fldCharType="end"/>
      </w:r>
      <w:r>
        <w:rPr>
          <w:sz w:val="24"/>
          <w:highlight w:val="none"/>
        </w:rPr>
        <w:fldChar w:fldCharType="end"/>
      </w:r>
    </w:p>
    <w:p w14:paraId="6CBE9E1A">
      <w:pPr>
        <w:pStyle w:val="35"/>
        <w:tabs>
          <w:tab w:val="right" w:leader="dot" w:pos="8279"/>
        </w:tabs>
        <w:spacing w:line="360" w:lineRule="auto"/>
        <w:rPr>
          <w:sz w:val="24"/>
          <w:highlight w:val="none"/>
        </w:rPr>
      </w:pPr>
      <w:r>
        <w:rPr>
          <w:highlight w:val="none"/>
        </w:rPr>
        <w:fldChar w:fldCharType="begin"/>
      </w:r>
      <w:r>
        <w:rPr>
          <w:highlight w:val="none"/>
        </w:rPr>
        <w:instrText xml:space="preserve"> HYPERLINK \l "_Toc22734" </w:instrText>
      </w:r>
      <w:r>
        <w:rPr>
          <w:highlight w:val="none"/>
        </w:rPr>
        <w:fldChar w:fldCharType="separate"/>
      </w:r>
      <w:r>
        <w:rPr>
          <w:rFonts w:hint="eastAsia" w:asciiTheme="minorEastAsia" w:hAnsiTheme="minorEastAsia"/>
          <w:sz w:val="24"/>
          <w:highlight w:val="none"/>
        </w:rPr>
        <w:t>第六章  响应文件格式</w:t>
      </w:r>
      <w:r>
        <w:rPr>
          <w:sz w:val="24"/>
          <w:highlight w:val="none"/>
        </w:rPr>
        <w:tab/>
      </w:r>
      <w:r>
        <w:rPr>
          <w:sz w:val="24"/>
          <w:highlight w:val="none"/>
        </w:rPr>
        <w:fldChar w:fldCharType="begin"/>
      </w:r>
      <w:r>
        <w:rPr>
          <w:sz w:val="24"/>
          <w:highlight w:val="none"/>
        </w:rPr>
        <w:instrText xml:space="preserve"> PAGEREF _Toc22734 \h </w:instrText>
      </w:r>
      <w:r>
        <w:rPr>
          <w:sz w:val="24"/>
          <w:highlight w:val="none"/>
        </w:rPr>
        <w:fldChar w:fldCharType="separate"/>
      </w:r>
      <w:r>
        <w:rPr>
          <w:sz w:val="24"/>
          <w:highlight w:val="none"/>
        </w:rPr>
        <w:t>44</w:t>
      </w:r>
      <w:r>
        <w:rPr>
          <w:sz w:val="24"/>
          <w:highlight w:val="none"/>
        </w:rPr>
        <w:fldChar w:fldCharType="end"/>
      </w:r>
      <w:r>
        <w:rPr>
          <w:sz w:val="24"/>
          <w:highlight w:val="none"/>
        </w:rPr>
        <w:fldChar w:fldCharType="end"/>
      </w:r>
    </w:p>
    <w:p w14:paraId="7F197B23">
      <w:pPr>
        <w:pStyle w:val="35"/>
        <w:tabs>
          <w:tab w:val="right" w:leader="dot" w:pos="8279"/>
        </w:tabs>
        <w:spacing w:line="360" w:lineRule="auto"/>
        <w:rPr>
          <w:sz w:val="24"/>
          <w:highlight w:val="none"/>
        </w:rPr>
      </w:pPr>
      <w:r>
        <w:rPr>
          <w:highlight w:val="none"/>
        </w:rPr>
        <w:fldChar w:fldCharType="begin"/>
      </w:r>
      <w:r>
        <w:rPr>
          <w:highlight w:val="none"/>
        </w:rPr>
        <w:instrText xml:space="preserve"> HYPERLINK \l "_Toc24879" </w:instrText>
      </w:r>
      <w:r>
        <w:rPr>
          <w:highlight w:val="none"/>
        </w:rPr>
        <w:fldChar w:fldCharType="separate"/>
      </w:r>
      <w:r>
        <w:rPr>
          <w:rFonts w:hint="eastAsia"/>
          <w:bCs/>
          <w:sz w:val="24"/>
          <w:highlight w:val="none"/>
        </w:rPr>
        <w:t>第七章  政府采购</w:t>
      </w:r>
      <w:r>
        <w:rPr>
          <w:rFonts w:hint="eastAsia" w:asciiTheme="minorEastAsia" w:hAnsiTheme="minorEastAsia"/>
          <w:sz w:val="24"/>
          <w:highlight w:val="none"/>
        </w:rPr>
        <w:t>供应</w:t>
      </w:r>
      <w:r>
        <w:rPr>
          <w:rFonts w:hint="eastAsia"/>
          <w:bCs/>
          <w:sz w:val="24"/>
          <w:highlight w:val="none"/>
        </w:rPr>
        <w:t>商询问函和质疑函范本</w:t>
      </w:r>
      <w:r>
        <w:rPr>
          <w:sz w:val="24"/>
          <w:highlight w:val="none"/>
        </w:rPr>
        <w:tab/>
      </w:r>
      <w:r>
        <w:rPr>
          <w:sz w:val="24"/>
          <w:highlight w:val="none"/>
        </w:rPr>
        <w:fldChar w:fldCharType="begin"/>
      </w:r>
      <w:r>
        <w:rPr>
          <w:sz w:val="24"/>
          <w:highlight w:val="none"/>
        </w:rPr>
        <w:instrText xml:space="preserve"> PAGEREF _Toc24879 \h </w:instrText>
      </w:r>
      <w:r>
        <w:rPr>
          <w:sz w:val="24"/>
          <w:highlight w:val="none"/>
        </w:rPr>
        <w:fldChar w:fldCharType="separate"/>
      </w:r>
      <w:r>
        <w:rPr>
          <w:sz w:val="24"/>
          <w:highlight w:val="none"/>
        </w:rPr>
        <w:t>113</w:t>
      </w:r>
      <w:r>
        <w:rPr>
          <w:sz w:val="24"/>
          <w:highlight w:val="none"/>
        </w:rPr>
        <w:fldChar w:fldCharType="end"/>
      </w:r>
      <w:r>
        <w:rPr>
          <w:sz w:val="24"/>
          <w:highlight w:val="none"/>
        </w:rPr>
        <w:fldChar w:fldCharType="end"/>
      </w:r>
    </w:p>
    <w:p w14:paraId="2E5CD7BA">
      <w:pPr>
        <w:pStyle w:val="45"/>
        <w:tabs>
          <w:tab w:val="right" w:leader="dot" w:pos="8296"/>
        </w:tabs>
        <w:spacing w:line="360" w:lineRule="auto"/>
        <w:rPr>
          <w:rFonts w:asciiTheme="minorEastAsia" w:hAnsiTheme="minorEastAsia"/>
          <w:b/>
          <w:highlight w:val="none"/>
        </w:rPr>
      </w:pPr>
      <w:r>
        <w:rPr>
          <w:rFonts w:asciiTheme="minorEastAsia" w:hAnsiTheme="minorEastAsia"/>
          <w:sz w:val="24"/>
          <w:highlight w:val="none"/>
        </w:rPr>
        <w:fldChar w:fldCharType="end"/>
      </w:r>
    </w:p>
    <w:p w14:paraId="5AA5C9AC">
      <w:pPr>
        <w:pStyle w:val="5"/>
        <w:rPr>
          <w:highlight w:val="none"/>
        </w:rPr>
        <w:sectPr>
          <w:type w:val="continuous"/>
          <w:pgSz w:w="11907" w:h="16840"/>
          <w:pgMar w:top="1474" w:right="1814" w:bottom="1474" w:left="1814" w:header="851" w:footer="992" w:gutter="0"/>
          <w:cols w:space="720" w:num="1"/>
          <w:docGrid w:linePitch="462" w:charSpace="0"/>
        </w:sectPr>
      </w:pPr>
    </w:p>
    <w:p w14:paraId="35774480">
      <w:pPr>
        <w:spacing w:line="360" w:lineRule="auto"/>
        <w:jc w:val="center"/>
        <w:outlineLvl w:val="0"/>
        <w:rPr>
          <w:rFonts w:asciiTheme="minorEastAsia" w:hAnsiTheme="minorEastAsia"/>
          <w:b/>
          <w:sz w:val="28"/>
          <w:highlight w:val="none"/>
        </w:rPr>
      </w:pPr>
      <w:bookmarkStart w:id="1" w:name="_Toc11403"/>
      <w:r>
        <w:rPr>
          <w:rFonts w:hint="eastAsia" w:asciiTheme="minorEastAsia" w:hAnsiTheme="minorEastAsia"/>
          <w:b/>
          <w:sz w:val="28"/>
          <w:highlight w:val="none"/>
        </w:rPr>
        <w:t xml:space="preserve">第一章 </w:t>
      </w:r>
      <w:r>
        <w:rPr>
          <w:rFonts w:asciiTheme="minorEastAsia" w:hAnsiTheme="minorEastAsia"/>
          <w:b/>
          <w:sz w:val="28"/>
          <w:highlight w:val="none"/>
        </w:rPr>
        <w:t xml:space="preserve"> </w:t>
      </w:r>
      <w:r>
        <w:rPr>
          <w:rFonts w:hint="eastAsia" w:asciiTheme="minorEastAsia" w:hAnsiTheme="minorEastAsia"/>
          <w:b/>
          <w:sz w:val="28"/>
          <w:highlight w:val="none"/>
        </w:rPr>
        <w:t>磋商邀请</w:t>
      </w:r>
      <w:bookmarkEnd w:id="1"/>
    </w:p>
    <w:p w14:paraId="2B4F720A">
      <w:pPr>
        <w:spacing w:line="360" w:lineRule="auto"/>
        <w:ind w:firstLine="435"/>
        <w:outlineLvl w:val="1"/>
        <w:rPr>
          <w:b/>
          <w:bCs/>
          <w:sz w:val="24"/>
          <w:szCs w:val="18"/>
          <w:highlight w:val="none"/>
        </w:rPr>
      </w:pPr>
      <w:bookmarkStart w:id="2" w:name="_Toc8770"/>
      <w:bookmarkStart w:id="3" w:name="_Toc18492"/>
      <w:r>
        <w:rPr>
          <w:rFonts w:hint="eastAsia"/>
          <w:b/>
          <w:bCs/>
          <w:sz w:val="24"/>
          <w:szCs w:val="18"/>
          <w:highlight w:val="none"/>
        </w:rPr>
        <w:t>一、</w:t>
      </w:r>
      <w:bookmarkEnd w:id="2"/>
      <w:r>
        <w:rPr>
          <w:rFonts w:hint="eastAsia"/>
          <w:b/>
          <w:bCs/>
          <w:sz w:val="24"/>
          <w:szCs w:val="18"/>
          <w:highlight w:val="none"/>
        </w:rPr>
        <w:t>项目基本情况</w:t>
      </w:r>
      <w:bookmarkEnd w:id="3"/>
    </w:p>
    <w:p w14:paraId="7B3C3A6C">
      <w:pPr>
        <w:spacing w:line="360" w:lineRule="auto"/>
        <w:ind w:firstLine="435"/>
        <w:rPr>
          <w:rFonts w:asciiTheme="minorEastAsia" w:hAnsiTheme="minorEastAsia"/>
          <w:sz w:val="24"/>
          <w:highlight w:val="none"/>
          <w:u w:val="single"/>
        </w:rPr>
      </w:pPr>
      <w:bookmarkStart w:id="4" w:name="_Toc26628"/>
      <w:r>
        <w:rPr>
          <w:rFonts w:hint="eastAsia" w:asciiTheme="minorEastAsia" w:hAnsiTheme="minorEastAsia"/>
          <w:sz w:val="24"/>
          <w:highlight w:val="none"/>
        </w:rPr>
        <w:t>1.项目编号：ZF2025-17-0585</w:t>
      </w:r>
    </w:p>
    <w:p w14:paraId="0057F3D4">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2.项目名称：安徽省农业科学院院区环境提升项目</w:t>
      </w:r>
    </w:p>
    <w:p w14:paraId="10378321">
      <w:pPr>
        <w:spacing w:line="360" w:lineRule="auto"/>
        <w:ind w:firstLine="435"/>
        <w:rPr>
          <w:rFonts w:asciiTheme="minorEastAsia" w:hAnsiTheme="minorEastAsia"/>
          <w:sz w:val="24"/>
          <w:highlight w:val="none"/>
        </w:rPr>
      </w:pPr>
      <w:r>
        <w:rPr>
          <w:rFonts w:hint="eastAsia" w:asciiTheme="minorEastAsia" w:hAnsiTheme="minorEastAsia"/>
          <w:sz w:val="24"/>
          <w:highlight w:val="none"/>
        </w:rPr>
        <w:t>3.预算金额：134</w:t>
      </w:r>
      <w:r>
        <w:rPr>
          <w:rFonts w:hint="eastAsia"/>
          <w:sz w:val="24"/>
          <w:szCs w:val="18"/>
          <w:highlight w:val="none"/>
        </w:rPr>
        <w:t>万元</w:t>
      </w:r>
    </w:p>
    <w:p w14:paraId="4AAD4E5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4.最高限价：133.995869万</w:t>
      </w:r>
      <w:r>
        <w:rPr>
          <w:rFonts w:hint="eastAsia"/>
          <w:sz w:val="24"/>
          <w:highlight w:val="none"/>
        </w:rPr>
        <w:t>元</w:t>
      </w:r>
    </w:p>
    <w:p w14:paraId="3FC838CD">
      <w:pPr>
        <w:spacing w:line="360" w:lineRule="auto"/>
        <w:ind w:firstLine="480" w:firstLineChars="200"/>
        <w:jc w:val="left"/>
        <w:rPr>
          <w:rFonts w:ascii="宋体" w:hAnsi="宋体" w:eastAsia="宋体"/>
          <w:sz w:val="24"/>
          <w:szCs w:val="18"/>
          <w:highlight w:val="none"/>
          <w:u w:val="single"/>
        </w:rPr>
      </w:pPr>
      <w:r>
        <w:rPr>
          <w:rFonts w:hint="eastAsia" w:asciiTheme="minorEastAsia" w:hAnsiTheme="minorEastAsia"/>
          <w:sz w:val="24"/>
          <w:highlight w:val="none"/>
        </w:rPr>
        <w:t>5.采购需求：</w:t>
      </w:r>
      <w:r>
        <w:rPr>
          <w:rFonts w:hint="eastAsia" w:ascii="宋体" w:hAnsi="宋体" w:eastAsia="宋体" w:cs="宋体"/>
          <w:sz w:val="24"/>
          <w:highlight w:val="none"/>
        </w:rPr>
        <w:t>安徽省农业科学院院区环境提升项目</w:t>
      </w:r>
      <w:r>
        <w:rPr>
          <w:rFonts w:hint="eastAsia" w:asciiTheme="minorEastAsia" w:hAnsiTheme="minorEastAsia"/>
          <w:sz w:val="24"/>
          <w:highlight w:val="none"/>
        </w:rPr>
        <w:t>，具体内容详见采购需求、清单及图纸</w:t>
      </w:r>
      <w:r>
        <w:rPr>
          <w:rFonts w:hint="eastAsia" w:ascii="宋体" w:hAnsi="宋体" w:eastAsia="宋体"/>
          <w:sz w:val="24"/>
          <w:szCs w:val="18"/>
          <w:highlight w:val="none"/>
        </w:rPr>
        <w:t>。</w:t>
      </w:r>
    </w:p>
    <w:p w14:paraId="12BC16E3">
      <w:pPr>
        <w:spacing w:line="360" w:lineRule="auto"/>
        <w:ind w:firstLine="435"/>
        <w:rPr>
          <w:rFonts w:asciiTheme="minorEastAsia" w:hAnsiTheme="minorEastAsia"/>
          <w:sz w:val="24"/>
          <w:highlight w:val="none"/>
        </w:rPr>
      </w:pPr>
      <w:r>
        <w:rPr>
          <w:rFonts w:hint="eastAsia" w:asciiTheme="minorEastAsia" w:hAnsiTheme="minorEastAsia"/>
          <w:sz w:val="24"/>
          <w:highlight w:val="none"/>
        </w:rPr>
        <w:t>6.合同履行期限：</w:t>
      </w:r>
      <w:r>
        <w:rPr>
          <w:rFonts w:hint="eastAsia" w:asciiTheme="minorEastAsia" w:hAnsiTheme="minorEastAsia"/>
          <w:sz w:val="24"/>
          <w:highlight w:val="none"/>
          <w:u w:val="none"/>
        </w:rPr>
        <w:t xml:space="preserve"> 90 </w:t>
      </w:r>
      <w:r>
        <w:rPr>
          <w:rFonts w:hint="eastAsia" w:asciiTheme="minorEastAsia" w:hAnsiTheme="minorEastAsia"/>
          <w:sz w:val="24"/>
          <w:highlight w:val="none"/>
        </w:rPr>
        <w:t>日历天</w:t>
      </w:r>
    </w:p>
    <w:p w14:paraId="377B2A0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7.本项目不接受联合体。</w:t>
      </w:r>
    </w:p>
    <w:p w14:paraId="5DA317D6">
      <w:pPr>
        <w:spacing w:line="360" w:lineRule="auto"/>
        <w:ind w:firstLine="435"/>
        <w:outlineLvl w:val="1"/>
        <w:rPr>
          <w:rFonts w:eastAsia="宋体"/>
          <w:b/>
          <w:bCs/>
          <w:sz w:val="24"/>
          <w:szCs w:val="18"/>
          <w:highlight w:val="none"/>
        </w:rPr>
      </w:pPr>
      <w:bookmarkStart w:id="5" w:name="_Toc27595"/>
      <w:r>
        <w:rPr>
          <w:rFonts w:hint="eastAsia"/>
          <w:b/>
          <w:bCs/>
          <w:sz w:val="24"/>
          <w:szCs w:val="18"/>
          <w:highlight w:val="none"/>
        </w:rPr>
        <w:t>二</w:t>
      </w:r>
      <w:r>
        <w:rPr>
          <w:rFonts w:hint="eastAsia" w:asciiTheme="minorEastAsia" w:hAnsiTheme="minorEastAsia"/>
          <w:b/>
          <w:sz w:val="24"/>
          <w:highlight w:val="none"/>
        </w:rPr>
        <w:t>、申请人的</w:t>
      </w:r>
      <w:r>
        <w:rPr>
          <w:rFonts w:hint="eastAsia"/>
          <w:b/>
          <w:bCs/>
          <w:sz w:val="24"/>
          <w:szCs w:val="18"/>
          <w:highlight w:val="none"/>
        </w:rPr>
        <w:t>资格</w:t>
      </w:r>
      <w:bookmarkEnd w:id="4"/>
      <w:r>
        <w:rPr>
          <w:rFonts w:hint="eastAsia"/>
          <w:b/>
          <w:bCs/>
          <w:sz w:val="24"/>
          <w:szCs w:val="18"/>
          <w:highlight w:val="none"/>
        </w:rPr>
        <w:t>要求</w:t>
      </w:r>
      <w:bookmarkEnd w:id="5"/>
    </w:p>
    <w:p w14:paraId="743DC9E9">
      <w:pPr>
        <w:spacing w:line="360" w:lineRule="auto"/>
        <w:ind w:firstLine="435"/>
        <w:outlineLvl w:val="1"/>
        <w:rPr>
          <w:rFonts w:ascii="宋体" w:hAnsi="宋体" w:eastAsia="宋体"/>
          <w:sz w:val="24"/>
          <w:highlight w:val="none"/>
        </w:rPr>
      </w:pPr>
      <w:bookmarkStart w:id="6" w:name="_Toc4065"/>
      <w:bookmarkStart w:id="7" w:name="_Toc2855"/>
      <w:r>
        <w:rPr>
          <w:rFonts w:hint="eastAsia" w:ascii="宋体" w:hAnsi="宋体" w:eastAsia="宋体"/>
          <w:sz w:val="24"/>
          <w:highlight w:val="none"/>
        </w:rPr>
        <w:t>详见磋商公告申请人的资格要求。</w:t>
      </w:r>
    </w:p>
    <w:p w14:paraId="7F215A42">
      <w:pPr>
        <w:spacing w:line="360" w:lineRule="auto"/>
        <w:ind w:firstLine="435"/>
        <w:outlineLvl w:val="1"/>
        <w:rPr>
          <w:b/>
          <w:bCs/>
          <w:sz w:val="24"/>
          <w:highlight w:val="none"/>
        </w:rPr>
      </w:pPr>
      <w:r>
        <w:rPr>
          <w:rFonts w:hint="eastAsia"/>
          <w:b/>
          <w:bCs/>
          <w:sz w:val="24"/>
          <w:highlight w:val="none"/>
        </w:rPr>
        <w:t>三、</w:t>
      </w:r>
      <w:bookmarkEnd w:id="6"/>
      <w:r>
        <w:rPr>
          <w:rFonts w:hint="eastAsia"/>
          <w:b/>
          <w:bCs/>
          <w:sz w:val="24"/>
          <w:highlight w:val="none"/>
        </w:rPr>
        <w:t>获取采购文件</w:t>
      </w:r>
      <w:bookmarkEnd w:id="7"/>
    </w:p>
    <w:p w14:paraId="254665F1">
      <w:pPr>
        <w:spacing w:line="360" w:lineRule="auto"/>
        <w:ind w:firstLine="540"/>
        <w:rPr>
          <w:rFonts w:ascii="宋体" w:hAnsi="宋体" w:eastAsia="宋体" w:cs="宋体"/>
          <w:sz w:val="24"/>
          <w:highlight w:val="none"/>
        </w:rPr>
      </w:pPr>
      <w:bookmarkStart w:id="8" w:name="_Toc16910"/>
      <w:bookmarkStart w:id="9" w:name="_Toc1322"/>
      <w:r>
        <w:rPr>
          <w:rFonts w:hint="eastAsia" w:ascii="宋体" w:hAnsi="宋体" w:eastAsia="宋体" w:cs="宋体"/>
          <w:sz w:val="24"/>
          <w:highlight w:val="none"/>
        </w:rPr>
        <w:t>时间：详见</w:t>
      </w:r>
      <w:r>
        <w:rPr>
          <w:rFonts w:hint="eastAsia" w:ascii="宋体" w:hAnsi="宋体" w:eastAsia="宋体"/>
          <w:sz w:val="24"/>
          <w:highlight w:val="none"/>
        </w:rPr>
        <w:t>磋商公告</w:t>
      </w:r>
    </w:p>
    <w:p w14:paraId="78DCD24F">
      <w:pPr>
        <w:spacing w:line="360" w:lineRule="auto"/>
        <w:ind w:firstLine="540"/>
        <w:rPr>
          <w:rFonts w:ascii="宋体" w:hAnsi="宋体" w:eastAsia="宋体" w:cs="宋体"/>
          <w:sz w:val="24"/>
          <w:highlight w:val="none"/>
        </w:rPr>
      </w:pPr>
      <w:r>
        <w:rPr>
          <w:rFonts w:hint="eastAsia" w:ascii="宋体" w:hAnsi="宋体" w:eastAsia="宋体" w:cs="宋体"/>
          <w:sz w:val="24"/>
          <w:highlight w:val="none"/>
        </w:rPr>
        <w:t>地点：详见</w:t>
      </w:r>
      <w:r>
        <w:rPr>
          <w:rFonts w:hint="eastAsia" w:ascii="宋体" w:hAnsi="宋体" w:eastAsia="宋体"/>
          <w:sz w:val="24"/>
          <w:highlight w:val="none"/>
        </w:rPr>
        <w:t>磋商公告</w:t>
      </w:r>
    </w:p>
    <w:p w14:paraId="5401CE46">
      <w:pPr>
        <w:spacing w:line="360" w:lineRule="auto"/>
        <w:ind w:firstLine="540"/>
        <w:rPr>
          <w:rFonts w:ascii="宋体" w:hAnsi="宋体" w:eastAsia="宋体" w:cs="宋体"/>
          <w:sz w:val="24"/>
          <w:highlight w:val="none"/>
          <w:u w:val="single"/>
        </w:rPr>
      </w:pPr>
      <w:r>
        <w:rPr>
          <w:rFonts w:hint="eastAsia" w:ascii="宋体" w:hAnsi="宋体" w:eastAsia="宋体" w:cs="宋体"/>
          <w:sz w:val="24"/>
          <w:highlight w:val="none"/>
        </w:rPr>
        <w:t>方式：详见</w:t>
      </w:r>
      <w:r>
        <w:rPr>
          <w:rFonts w:hint="eastAsia" w:ascii="宋体" w:hAnsi="宋体" w:eastAsia="宋体"/>
          <w:sz w:val="24"/>
          <w:highlight w:val="none"/>
        </w:rPr>
        <w:t>磋商公告</w:t>
      </w:r>
    </w:p>
    <w:p w14:paraId="40BABB53">
      <w:pPr>
        <w:spacing w:line="360" w:lineRule="auto"/>
        <w:ind w:firstLine="435"/>
        <w:outlineLvl w:val="1"/>
        <w:rPr>
          <w:b/>
          <w:bCs/>
          <w:sz w:val="24"/>
          <w:highlight w:val="none"/>
        </w:rPr>
      </w:pPr>
      <w:r>
        <w:rPr>
          <w:rFonts w:hint="eastAsia"/>
          <w:b/>
          <w:bCs/>
          <w:sz w:val="24"/>
          <w:highlight w:val="none"/>
        </w:rPr>
        <w:t>四、</w:t>
      </w:r>
      <w:bookmarkEnd w:id="8"/>
      <w:r>
        <w:rPr>
          <w:rFonts w:hint="eastAsia"/>
          <w:b/>
          <w:bCs/>
          <w:sz w:val="24"/>
          <w:highlight w:val="none"/>
        </w:rPr>
        <w:t>响应文件提交</w:t>
      </w:r>
      <w:bookmarkEnd w:id="9"/>
    </w:p>
    <w:p w14:paraId="04A1DA03">
      <w:pPr>
        <w:spacing w:line="360" w:lineRule="auto"/>
        <w:ind w:firstLine="540"/>
        <w:rPr>
          <w:rFonts w:ascii="宋体" w:hAnsi="宋体" w:eastAsia="宋体" w:cs="宋体"/>
          <w:sz w:val="24"/>
          <w:highlight w:val="none"/>
        </w:rPr>
      </w:pPr>
      <w:bookmarkStart w:id="10" w:name="_Toc35393633"/>
      <w:bookmarkStart w:id="11" w:name="_Toc28359093"/>
      <w:bookmarkStart w:id="12" w:name="_Toc28359016"/>
      <w:bookmarkStart w:id="13" w:name="_Toc35393802"/>
      <w:bookmarkStart w:id="14" w:name="_Toc27720"/>
      <w:bookmarkStart w:id="15" w:name="_Toc11944"/>
      <w:r>
        <w:rPr>
          <w:rFonts w:hint="eastAsia" w:ascii="宋体" w:hAnsi="宋体" w:eastAsia="宋体" w:cs="宋体"/>
          <w:sz w:val="24"/>
          <w:highlight w:val="none"/>
        </w:rPr>
        <w:t>时间：详见</w:t>
      </w:r>
      <w:r>
        <w:rPr>
          <w:rFonts w:hint="eastAsia" w:ascii="宋体" w:hAnsi="宋体" w:eastAsia="宋体"/>
          <w:sz w:val="24"/>
          <w:highlight w:val="none"/>
        </w:rPr>
        <w:t>磋商公告</w:t>
      </w:r>
    </w:p>
    <w:p w14:paraId="5BBCD84A">
      <w:pPr>
        <w:spacing w:line="360" w:lineRule="auto"/>
        <w:ind w:firstLine="480" w:firstLineChars="200"/>
        <w:rPr>
          <w:rFonts w:ascii="宋体" w:hAnsi="宋体" w:eastAsia="宋体" w:cs="宋体"/>
          <w:bCs/>
          <w:sz w:val="24"/>
          <w:highlight w:val="none"/>
          <w:u w:val="single"/>
        </w:rPr>
      </w:pPr>
      <w:r>
        <w:rPr>
          <w:rFonts w:hint="eastAsia" w:ascii="宋体" w:hAnsi="宋体" w:eastAsia="宋体" w:cs="宋体"/>
          <w:sz w:val="24"/>
          <w:highlight w:val="none"/>
        </w:rPr>
        <w:t>地点：详见</w:t>
      </w:r>
      <w:r>
        <w:rPr>
          <w:rFonts w:hint="eastAsia" w:ascii="宋体" w:hAnsi="宋体" w:eastAsia="宋体"/>
          <w:sz w:val="24"/>
          <w:highlight w:val="none"/>
        </w:rPr>
        <w:t>磋商公告</w:t>
      </w:r>
    </w:p>
    <w:p w14:paraId="43629024">
      <w:pPr>
        <w:spacing w:line="360" w:lineRule="auto"/>
        <w:ind w:firstLine="435"/>
        <w:outlineLvl w:val="1"/>
        <w:rPr>
          <w:b/>
          <w:bCs/>
          <w:sz w:val="24"/>
          <w:highlight w:val="none"/>
        </w:rPr>
      </w:pPr>
      <w:r>
        <w:rPr>
          <w:rFonts w:hint="eastAsia"/>
          <w:b/>
          <w:bCs/>
          <w:sz w:val="24"/>
          <w:highlight w:val="none"/>
        </w:rPr>
        <w:t>五、开启</w:t>
      </w:r>
      <w:bookmarkEnd w:id="10"/>
      <w:bookmarkEnd w:id="11"/>
      <w:bookmarkEnd w:id="12"/>
      <w:bookmarkEnd w:id="13"/>
      <w:bookmarkEnd w:id="14"/>
    </w:p>
    <w:p w14:paraId="32F94C45">
      <w:pPr>
        <w:spacing w:line="360" w:lineRule="auto"/>
        <w:ind w:firstLine="540"/>
        <w:rPr>
          <w:rFonts w:ascii="宋体" w:hAnsi="宋体" w:eastAsia="宋体" w:cs="宋体"/>
          <w:sz w:val="24"/>
          <w:highlight w:val="none"/>
        </w:rPr>
      </w:pPr>
      <w:r>
        <w:rPr>
          <w:rFonts w:hint="eastAsia" w:ascii="宋体" w:hAnsi="宋体" w:eastAsia="宋体" w:cs="宋体"/>
          <w:sz w:val="24"/>
          <w:highlight w:val="none"/>
        </w:rPr>
        <w:t>时间：详见</w:t>
      </w:r>
      <w:r>
        <w:rPr>
          <w:rFonts w:hint="eastAsia" w:ascii="宋体" w:hAnsi="宋体" w:eastAsia="宋体"/>
          <w:sz w:val="24"/>
          <w:highlight w:val="none"/>
        </w:rPr>
        <w:t>磋商公告</w:t>
      </w:r>
    </w:p>
    <w:p w14:paraId="14BDD074">
      <w:pPr>
        <w:spacing w:line="360" w:lineRule="auto"/>
        <w:ind w:firstLine="480" w:firstLineChars="200"/>
        <w:rPr>
          <w:highlight w:val="none"/>
        </w:rPr>
      </w:pPr>
      <w:r>
        <w:rPr>
          <w:rFonts w:hint="eastAsia" w:ascii="宋体" w:hAnsi="宋体" w:eastAsia="宋体" w:cs="宋体"/>
          <w:sz w:val="24"/>
          <w:highlight w:val="none"/>
        </w:rPr>
        <w:t>地点：详见</w:t>
      </w:r>
      <w:r>
        <w:rPr>
          <w:rFonts w:hint="eastAsia" w:ascii="宋体" w:hAnsi="宋体" w:eastAsia="宋体"/>
          <w:sz w:val="24"/>
          <w:highlight w:val="none"/>
        </w:rPr>
        <w:t>磋商公告</w:t>
      </w:r>
    </w:p>
    <w:p w14:paraId="0BEE6A65">
      <w:pPr>
        <w:spacing w:line="360" w:lineRule="auto"/>
        <w:ind w:firstLine="435"/>
        <w:outlineLvl w:val="1"/>
        <w:rPr>
          <w:b/>
          <w:bCs/>
          <w:sz w:val="24"/>
          <w:highlight w:val="none"/>
        </w:rPr>
      </w:pPr>
      <w:bookmarkStart w:id="16" w:name="_Toc24365"/>
      <w:r>
        <w:rPr>
          <w:rFonts w:hint="eastAsia"/>
          <w:b/>
          <w:bCs/>
          <w:sz w:val="24"/>
          <w:highlight w:val="none"/>
        </w:rPr>
        <w:t>六、</w:t>
      </w:r>
      <w:bookmarkEnd w:id="15"/>
      <w:r>
        <w:rPr>
          <w:rFonts w:hint="eastAsia"/>
          <w:b/>
          <w:bCs/>
          <w:sz w:val="24"/>
          <w:highlight w:val="none"/>
        </w:rPr>
        <w:t>公告期限</w:t>
      </w:r>
      <w:bookmarkEnd w:id="16"/>
    </w:p>
    <w:p w14:paraId="66FF2E97">
      <w:pPr>
        <w:spacing w:line="360" w:lineRule="auto"/>
        <w:ind w:firstLine="480" w:firstLineChars="200"/>
        <w:rPr>
          <w:rFonts w:ascii="宋体" w:hAnsi="宋体" w:eastAsia="宋体" w:cs="宋体"/>
          <w:sz w:val="24"/>
          <w:highlight w:val="none"/>
        </w:rPr>
      </w:pPr>
      <w:bookmarkStart w:id="17" w:name="_Toc7722"/>
      <w:r>
        <w:rPr>
          <w:rFonts w:hint="eastAsia" w:ascii="宋体" w:hAnsi="宋体" w:eastAsia="宋体" w:cs="宋体"/>
          <w:sz w:val="24"/>
          <w:highlight w:val="none"/>
        </w:rPr>
        <w:t>自本公告发布之日起3个工作日。</w:t>
      </w:r>
    </w:p>
    <w:p w14:paraId="74112662">
      <w:pPr>
        <w:spacing w:line="360" w:lineRule="auto"/>
        <w:ind w:firstLine="437"/>
        <w:outlineLvl w:val="1"/>
        <w:rPr>
          <w:rFonts w:ascii="宋体" w:hAnsi="宋体" w:eastAsia="宋体"/>
          <w:b/>
          <w:bCs/>
          <w:sz w:val="24"/>
          <w:szCs w:val="18"/>
          <w:highlight w:val="none"/>
        </w:rPr>
      </w:pPr>
      <w:bookmarkStart w:id="18" w:name="_Toc35393626"/>
      <w:bookmarkStart w:id="19" w:name="_Toc35393795"/>
      <w:bookmarkStart w:id="20" w:name="_Toc22198"/>
      <w:r>
        <w:rPr>
          <w:rFonts w:hint="eastAsia"/>
          <w:b/>
          <w:bCs/>
          <w:sz w:val="24"/>
          <w:szCs w:val="18"/>
          <w:highlight w:val="none"/>
        </w:rPr>
        <w:t>七</w:t>
      </w:r>
      <w:r>
        <w:rPr>
          <w:rFonts w:hint="eastAsia" w:ascii="宋体" w:hAnsi="宋体" w:eastAsia="宋体"/>
          <w:b/>
          <w:bCs/>
          <w:sz w:val="24"/>
          <w:szCs w:val="18"/>
          <w:highlight w:val="none"/>
        </w:rPr>
        <w:t>、其他补充事宜</w:t>
      </w:r>
      <w:bookmarkEnd w:id="18"/>
      <w:bookmarkEnd w:id="19"/>
      <w:bookmarkEnd w:id="20"/>
    </w:p>
    <w:p w14:paraId="3FC9CF53">
      <w:pPr>
        <w:wordWrap w:val="0"/>
        <w:spacing w:line="360" w:lineRule="auto"/>
        <w:ind w:firstLine="539"/>
        <w:rPr>
          <w:rFonts w:ascii="宋体" w:hAnsi="宋体"/>
          <w:sz w:val="24"/>
          <w:highlight w:val="none"/>
        </w:rPr>
      </w:pPr>
      <w:bookmarkStart w:id="21" w:name="_Toc25763"/>
      <w:r>
        <w:rPr>
          <w:rFonts w:hint="eastAsia" w:ascii="宋体" w:hAnsi="宋体" w:eastAsia="宋体"/>
          <w:sz w:val="24"/>
          <w:highlight w:val="none"/>
        </w:rPr>
        <w:t>详见磋商公告其他补充事宜。</w:t>
      </w:r>
    </w:p>
    <w:p w14:paraId="25EC2488">
      <w:pPr>
        <w:spacing w:line="360" w:lineRule="auto"/>
        <w:ind w:firstLine="437"/>
        <w:outlineLvl w:val="1"/>
        <w:rPr>
          <w:b/>
          <w:bCs/>
          <w:sz w:val="24"/>
          <w:szCs w:val="18"/>
          <w:highlight w:val="none"/>
        </w:rPr>
      </w:pPr>
      <w:r>
        <w:rPr>
          <w:rFonts w:hint="eastAsia" w:asciiTheme="minorEastAsia" w:hAnsiTheme="minorEastAsia"/>
          <w:b/>
          <w:sz w:val="24"/>
          <w:highlight w:val="none"/>
        </w:rPr>
        <w:t>八、</w:t>
      </w:r>
      <w:bookmarkEnd w:id="17"/>
      <w:r>
        <w:rPr>
          <w:rFonts w:hint="eastAsia" w:ascii="宋体" w:hAnsi="宋体" w:eastAsia="宋体"/>
          <w:b/>
          <w:bCs/>
          <w:sz w:val="24"/>
          <w:szCs w:val="18"/>
          <w:highlight w:val="none"/>
        </w:rPr>
        <w:t>对本次采购提出询问，请按以下方式联系</w:t>
      </w:r>
      <w:bookmarkEnd w:id="21"/>
    </w:p>
    <w:p w14:paraId="2529386B">
      <w:pPr>
        <w:wordWrap w:val="0"/>
        <w:spacing w:line="360" w:lineRule="auto"/>
        <w:ind w:firstLine="539"/>
        <w:rPr>
          <w:rFonts w:ascii="宋体" w:hAnsi="宋体" w:eastAsia="宋体" w:cs="宋体"/>
          <w:sz w:val="24"/>
          <w:highlight w:val="none"/>
        </w:rPr>
      </w:pPr>
      <w:bookmarkStart w:id="22" w:name="_Toc13220"/>
      <w:r>
        <w:rPr>
          <w:rFonts w:hint="eastAsia" w:ascii="宋体" w:hAnsi="宋体" w:eastAsia="宋体" w:cs="宋体"/>
          <w:sz w:val="24"/>
          <w:highlight w:val="none"/>
        </w:rPr>
        <w:t>1.采购人信息</w:t>
      </w:r>
    </w:p>
    <w:p w14:paraId="61BE44A1">
      <w:pPr>
        <w:wordWrap w:val="0"/>
        <w:spacing w:line="360" w:lineRule="auto"/>
        <w:ind w:firstLine="539"/>
        <w:rPr>
          <w:rFonts w:ascii="宋体" w:hAnsi="宋体" w:eastAsia="宋体" w:cs="宋体"/>
          <w:sz w:val="24"/>
          <w:highlight w:val="none"/>
        </w:rPr>
      </w:pPr>
      <w:bookmarkStart w:id="23" w:name="_Toc28359086"/>
      <w:bookmarkStart w:id="24" w:name="_Toc28359009"/>
      <w:r>
        <w:rPr>
          <w:rFonts w:hint="eastAsia" w:ascii="宋体" w:hAnsi="宋体" w:eastAsia="宋体" w:cs="宋体"/>
          <w:sz w:val="24"/>
          <w:highlight w:val="none"/>
        </w:rPr>
        <w:t>名称：安徽省农业科学院</w:t>
      </w:r>
    </w:p>
    <w:p w14:paraId="1D869933">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地址：安徽省合肥市庐阳区农科南路40号</w:t>
      </w:r>
    </w:p>
    <w:p w14:paraId="2F49F5DC">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联系方式：0551-62160888</w:t>
      </w:r>
    </w:p>
    <w:p w14:paraId="689AFECE">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2.采购代理机构信息</w:t>
      </w:r>
      <w:bookmarkEnd w:id="23"/>
      <w:bookmarkEnd w:id="24"/>
    </w:p>
    <w:p w14:paraId="18DB013A">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名称：安徽省招标集团股份有限公司</w:t>
      </w:r>
    </w:p>
    <w:p w14:paraId="226779FE">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地址：合肥市包河区紫云路</w:t>
      </w:r>
      <w:r>
        <w:rPr>
          <w:rFonts w:hint="eastAsia" w:ascii="宋体" w:hAnsi="宋体" w:eastAsia="宋体" w:cs="宋体"/>
          <w:sz w:val="24"/>
          <w:highlight w:val="none"/>
          <w:lang w:val="en-US"/>
        </w:rPr>
        <w:t>888</w:t>
      </w:r>
      <w:r>
        <w:rPr>
          <w:rFonts w:hint="eastAsia" w:ascii="宋体" w:hAnsi="宋体" w:eastAsia="宋体" w:cs="宋体"/>
          <w:sz w:val="24"/>
          <w:highlight w:val="none"/>
        </w:rPr>
        <w:t>号</w:t>
      </w:r>
    </w:p>
    <w:p w14:paraId="7B78BDED">
      <w:pPr>
        <w:wordWrap w:val="0"/>
        <w:spacing w:line="360" w:lineRule="auto"/>
        <w:ind w:firstLine="539"/>
        <w:rPr>
          <w:rFonts w:ascii="宋体" w:hAnsi="宋体" w:eastAsia="宋体" w:cs="宋体"/>
          <w:sz w:val="24"/>
          <w:highlight w:val="none"/>
        </w:rPr>
      </w:pPr>
      <w:bookmarkStart w:id="25" w:name="_Toc28359010"/>
      <w:bookmarkStart w:id="26" w:name="_Toc28359087"/>
      <w:r>
        <w:rPr>
          <w:rFonts w:hint="eastAsia" w:ascii="宋体" w:hAnsi="宋体" w:eastAsia="宋体" w:cs="宋体"/>
          <w:sz w:val="24"/>
          <w:highlight w:val="none"/>
        </w:rPr>
        <w:t>联系人：胡松、高婷婷、秦帅</w:t>
      </w:r>
    </w:p>
    <w:p w14:paraId="66BD4ABD">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联系方式：0551-66061496、6606149</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、17755065733</w:t>
      </w:r>
    </w:p>
    <w:p w14:paraId="6C44FACD">
      <w:pPr>
        <w:wordWrap w:val="0"/>
        <w:spacing w:line="360" w:lineRule="auto"/>
        <w:ind w:firstLine="539"/>
        <w:rPr>
          <w:rFonts w:ascii="宋体" w:hAnsi="宋体" w:eastAsia="宋体" w:cs="宋体"/>
          <w:sz w:val="24"/>
          <w:highlight w:val="none"/>
        </w:rPr>
      </w:pPr>
      <w:r>
        <w:rPr>
          <w:rFonts w:hint="eastAsia" w:ascii="宋体" w:hAnsi="宋体" w:eastAsia="宋体" w:cs="宋体"/>
          <w:sz w:val="24"/>
          <w:highlight w:val="none"/>
        </w:rPr>
        <w:t>应急客服电话：0551-62220153（接听时间：8:30-12:00,13:30-17:30，节假日除外。潜在投标人应优先拨打项目联系人联系电话，无人接听时再拨打该“应急客服电话”）</w:t>
      </w:r>
    </w:p>
    <w:bookmarkEnd w:id="25"/>
    <w:bookmarkEnd w:id="26"/>
    <w:p w14:paraId="73BF6C03">
      <w:pPr>
        <w:spacing w:line="360" w:lineRule="auto"/>
        <w:ind w:firstLine="437"/>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19490277">
      <w:pPr>
        <w:spacing w:line="360" w:lineRule="auto"/>
        <w:ind w:firstLine="435"/>
        <w:rPr>
          <w:rFonts w:ascii="宋体" w:hAnsi="宋体" w:eastAsia="宋体"/>
          <w:sz w:val="24"/>
          <w:szCs w:val="18"/>
          <w:highlight w:val="none"/>
        </w:rPr>
      </w:pPr>
      <w:r>
        <w:rPr>
          <w:rFonts w:hint="eastAsia" w:ascii="宋体" w:hAnsi="宋体" w:eastAsia="宋体" w:cs="宋体"/>
          <w:sz w:val="24"/>
          <w:highlight w:val="none"/>
        </w:rPr>
        <w:t>名  称</w:t>
      </w:r>
      <w:r>
        <w:rPr>
          <w:rFonts w:hint="eastAsia" w:ascii="宋体" w:hAnsi="宋体" w:eastAsia="宋体"/>
          <w:sz w:val="24"/>
          <w:szCs w:val="18"/>
          <w:highlight w:val="none"/>
        </w:rPr>
        <w:t>：安徽省财政厅</w:t>
      </w:r>
    </w:p>
    <w:p w14:paraId="10AFAF2E">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址：合肥市阜南西路238号</w:t>
      </w:r>
    </w:p>
    <w:p w14:paraId="19CF1E03">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联系方式：0551-68150309</w:t>
      </w:r>
    </w:p>
    <w:bookmarkEnd w:id="22"/>
    <w:p w14:paraId="111F242A">
      <w:pPr>
        <w:spacing w:line="360" w:lineRule="auto"/>
        <w:ind w:firstLine="435"/>
        <w:rPr>
          <w:sz w:val="24"/>
          <w:szCs w:val="18"/>
          <w:highlight w:val="none"/>
        </w:rPr>
      </w:pPr>
      <w:r>
        <w:rPr>
          <w:sz w:val="24"/>
          <w:szCs w:val="18"/>
          <w:highlight w:val="none"/>
        </w:rPr>
        <w:br w:type="page"/>
      </w:r>
    </w:p>
    <w:p w14:paraId="4A6B7130">
      <w:pPr>
        <w:spacing w:line="360" w:lineRule="auto"/>
        <w:jc w:val="center"/>
        <w:outlineLvl w:val="0"/>
        <w:rPr>
          <w:rFonts w:asciiTheme="minorEastAsia" w:hAnsiTheme="minorEastAsia"/>
          <w:b/>
          <w:sz w:val="28"/>
          <w:highlight w:val="none"/>
        </w:rPr>
      </w:pPr>
      <w:bookmarkStart w:id="27" w:name="_Toc28080"/>
      <w:r>
        <w:rPr>
          <w:rFonts w:hint="eastAsia" w:asciiTheme="minorEastAsia" w:hAnsiTheme="minorEastAsia"/>
          <w:b/>
          <w:sz w:val="28"/>
          <w:highlight w:val="none"/>
        </w:rPr>
        <w:t>第二章</w:t>
      </w:r>
      <w:r>
        <w:rPr>
          <w:rFonts w:asciiTheme="minorEastAsia" w:hAnsiTheme="minorEastAsia"/>
          <w:b/>
          <w:sz w:val="28"/>
          <w:highlight w:val="none"/>
        </w:rPr>
        <w:t xml:space="preserve"> </w:t>
      </w:r>
      <w:r>
        <w:rPr>
          <w:rFonts w:hint="eastAsia" w:asciiTheme="minorEastAsia" w:hAnsiTheme="minorEastAsia"/>
          <w:b/>
          <w:sz w:val="28"/>
          <w:highlight w:val="none"/>
        </w:rPr>
        <w:t xml:space="preserve"> 供应商</w:t>
      </w:r>
      <w:r>
        <w:rPr>
          <w:rFonts w:asciiTheme="minorEastAsia" w:hAnsiTheme="minorEastAsia"/>
          <w:b/>
          <w:sz w:val="28"/>
          <w:highlight w:val="none"/>
        </w:rPr>
        <w:t>须知</w:t>
      </w:r>
      <w:bookmarkEnd w:id="27"/>
    </w:p>
    <w:p w14:paraId="6490C6BD">
      <w:pPr>
        <w:spacing w:line="360" w:lineRule="auto"/>
        <w:jc w:val="center"/>
        <w:outlineLvl w:val="1"/>
        <w:rPr>
          <w:rFonts w:asciiTheme="minorEastAsia" w:hAnsiTheme="minorEastAsia"/>
          <w:b/>
          <w:sz w:val="24"/>
          <w:highlight w:val="none"/>
        </w:rPr>
      </w:pPr>
      <w:bookmarkStart w:id="28" w:name="_Toc18621"/>
      <w:bookmarkStart w:id="29" w:name="_Toc12027"/>
      <w:r>
        <w:rPr>
          <w:rFonts w:hint="eastAsia" w:asciiTheme="minorEastAsia" w:hAnsiTheme="minorEastAsia"/>
          <w:b/>
          <w:sz w:val="24"/>
          <w:highlight w:val="none"/>
        </w:rPr>
        <w:t>一、供应商</w:t>
      </w:r>
      <w:r>
        <w:rPr>
          <w:rFonts w:asciiTheme="minorEastAsia" w:hAnsiTheme="minorEastAsia"/>
          <w:b/>
          <w:sz w:val="24"/>
          <w:highlight w:val="none"/>
        </w:rPr>
        <w:t>须知前附表</w:t>
      </w:r>
      <w:bookmarkEnd w:id="28"/>
      <w:bookmarkEnd w:id="29"/>
    </w:p>
    <w:p w14:paraId="0120F296">
      <w:pPr>
        <w:spacing w:line="360" w:lineRule="auto"/>
        <w:ind w:firstLine="435"/>
        <w:rPr>
          <w:sz w:val="24"/>
          <w:szCs w:val="18"/>
          <w:highlight w:val="none"/>
        </w:rPr>
      </w:pPr>
      <w:r>
        <w:rPr>
          <w:rFonts w:hint="eastAsia"/>
          <w:b/>
          <w:bCs/>
          <w:sz w:val="24"/>
          <w:szCs w:val="18"/>
          <w:highlight w:val="none"/>
        </w:rPr>
        <w:t>注：</w:t>
      </w:r>
      <w:r>
        <w:rPr>
          <w:rFonts w:hint="eastAsia"/>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712"/>
        <w:gridCol w:w="6235"/>
      </w:tblGrid>
      <w:tr w14:paraId="2CD0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5F5E8A86">
            <w:pPr>
              <w:pStyle w:val="68"/>
              <w:widowControl w:val="0"/>
              <w:spacing w:before="0" w:beforeAutospacing="0" w:after="0" w:afterAutospacing="0" w:line="360" w:lineRule="auto"/>
              <w:rPr>
                <w:bCs w:val="0"/>
                <w:sz w:val="24"/>
                <w:szCs w:val="20"/>
                <w:highlight w:val="none"/>
              </w:rPr>
            </w:pPr>
            <w:r>
              <w:rPr>
                <w:rFonts w:hint="eastAsia"/>
                <w:bCs w:val="0"/>
                <w:sz w:val="24"/>
                <w:szCs w:val="20"/>
                <w:highlight w:val="none"/>
              </w:rPr>
              <w:t>条款号</w:t>
            </w:r>
          </w:p>
        </w:tc>
        <w:tc>
          <w:tcPr>
            <w:tcW w:w="977" w:type="pct"/>
            <w:vAlign w:val="center"/>
          </w:tcPr>
          <w:p w14:paraId="2A5E019A">
            <w:pPr>
              <w:pStyle w:val="68"/>
              <w:widowControl w:val="0"/>
              <w:spacing w:before="0" w:beforeAutospacing="0" w:after="0" w:afterAutospacing="0" w:line="360" w:lineRule="auto"/>
              <w:rPr>
                <w:bCs w:val="0"/>
                <w:sz w:val="24"/>
                <w:szCs w:val="20"/>
                <w:highlight w:val="none"/>
              </w:rPr>
            </w:pPr>
            <w:r>
              <w:rPr>
                <w:rFonts w:hint="eastAsia"/>
                <w:bCs w:val="0"/>
                <w:sz w:val="24"/>
                <w:szCs w:val="20"/>
                <w:highlight w:val="none"/>
              </w:rPr>
              <w:t>条款名称</w:t>
            </w:r>
          </w:p>
        </w:tc>
        <w:tc>
          <w:tcPr>
            <w:tcW w:w="3559" w:type="pct"/>
            <w:vAlign w:val="center"/>
          </w:tcPr>
          <w:p w14:paraId="0305BBB7">
            <w:pPr>
              <w:pStyle w:val="68"/>
              <w:widowControl w:val="0"/>
              <w:spacing w:before="0" w:beforeAutospacing="0" w:after="0" w:afterAutospacing="0" w:line="360" w:lineRule="auto"/>
              <w:rPr>
                <w:bCs w:val="0"/>
                <w:sz w:val="24"/>
                <w:szCs w:val="20"/>
                <w:highlight w:val="none"/>
              </w:rPr>
            </w:pPr>
            <w:r>
              <w:rPr>
                <w:rFonts w:hint="eastAsia"/>
                <w:bCs w:val="0"/>
                <w:sz w:val="24"/>
                <w:szCs w:val="20"/>
                <w:highlight w:val="none"/>
              </w:rPr>
              <w:t>内容、说明与要求</w:t>
            </w:r>
          </w:p>
        </w:tc>
      </w:tr>
      <w:tr w14:paraId="3ED4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0B998DBE">
            <w:pPr>
              <w:pStyle w:val="69"/>
              <w:pBdr>
                <w:bottom w:val="none" w:color="auto" w:sz="0" w:space="0"/>
              </w:pBdr>
              <w:tabs>
                <w:tab w:val="clear" w:pos="4153"/>
                <w:tab w:val="clear" w:pos="8306"/>
              </w:tabs>
              <w:adjustRightInd/>
              <w:spacing w:line="360" w:lineRule="auto"/>
              <w:textAlignment w:val="auto"/>
              <w:rPr>
                <w:bCs/>
                <w:highlight w:val="none"/>
              </w:rPr>
            </w:pPr>
            <w:r>
              <w:rPr>
                <w:rFonts w:hint="eastAsia" w:ascii="宋体" w:hAnsi="宋体" w:eastAsia="宋体"/>
                <w:bCs/>
                <w:highlight w:val="none"/>
              </w:rPr>
              <w:t>5</w:t>
            </w:r>
            <w:r>
              <w:rPr>
                <w:rFonts w:ascii="宋体" w:hAnsi="宋体" w:eastAsia="宋体"/>
                <w:bCs/>
                <w:highlight w:val="none"/>
              </w:rPr>
              <w:t>.</w:t>
            </w:r>
            <w:r>
              <w:rPr>
                <w:rFonts w:hint="eastAsia" w:ascii="宋体" w:hAnsi="宋体" w:eastAsia="宋体"/>
                <w:bCs/>
                <w:highlight w:val="none"/>
              </w:rPr>
              <w:t>2</w:t>
            </w:r>
          </w:p>
        </w:tc>
        <w:tc>
          <w:tcPr>
            <w:tcW w:w="977" w:type="pct"/>
            <w:vAlign w:val="center"/>
          </w:tcPr>
          <w:p w14:paraId="0F89CC10">
            <w:pPr>
              <w:pStyle w:val="68"/>
              <w:widowControl w:val="0"/>
              <w:spacing w:before="0" w:beforeAutospacing="0" w:after="0" w:afterAutospacing="0" w:line="360" w:lineRule="auto"/>
              <w:jc w:val="left"/>
              <w:rPr>
                <w:b w:val="0"/>
                <w:sz w:val="24"/>
                <w:highlight w:val="none"/>
              </w:rPr>
            </w:pPr>
            <w:r>
              <w:rPr>
                <w:rFonts w:hint="eastAsia" w:ascii="宋体" w:hAnsi="宋体" w:eastAsia="宋体"/>
                <w:b w:val="0"/>
                <w:sz w:val="24"/>
                <w:highlight w:val="none"/>
              </w:rPr>
              <w:t>现场考察或标前答疑会</w:t>
            </w:r>
          </w:p>
        </w:tc>
        <w:tc>
          <w:tcPr>
            <w:tcW w:w="3559" w:type="pct"/>
            <w:vAlign w:val="center"/>
          </w:tcPr>
          <w:p w14:paraId="1D5AB9C3">
            <w:pPr>
              <w:spacing w:line="360" w:lineRule="auto"/>
              <w:rPr>
                <w:rFonts w:ascii="宋体" w:hAnsi="宋体" w:eastAsia="宋体"/>
                <w:sz w:val="24"/>
                <w:highlight w:val="none"/>
              </w:rPr>
            </w:pPr>
            <w:r>
              <w:rPr>
                <w:rFonts w:hint="eastAsia"/>
                <w:bCs/>
                <w:sz w:val="24"/>
                <w:highlight w:val="none"/>
              </w:rPr>
              <w:sym w:font="Wingdings 2" w:char="0052"/>
            </w:r>
            <w:r>
              <w:rPr>
                <w:rFonts w:hint="eastAsia" w:ascii="宋体" w:hAnsi="宋体" w:eastAsia="宋体"/>
                <w:sz w:val="24"/>
                <w:highlight w:val="none"/>
              </w:rPr>
              <w:t>不组织或不召开</w:t>
            </w:r>
          </w:p>
          <w:p w14:paraId="5C5A2668">
            <w:pPr>
              <w:spacing w:line="360" w:lineRule="auto"/>
              <w:rPr>
                <w:rFonts w:ascii="宋体" w:hAnsi="宋体" w:eastAsia="宋体"/>
                <w:bCs/>
                <w:sz w:val="24"/>
                <w:highlight w:val="none"/>
              </w:rPr>
            </w:pPr>
            <w:r>
              <w:rPr>
                <w:rFonts w:hint="eastAsia" w:ascii="宋体" w:hAnsi="宋体" w:eastAsia="宋体"/>
                <w:sz w:val="24"/>
                <w:highlight w:val="none"/>
              </w:rPr>
              <w:sym w:font="Wingdings 2" w:char="00A3"/>
            </w:r>
            <w:r>
              <w:rPr>
                <w:rFonts w:hint="eastAsia" w:ascii="宋体" w:hAnsi="宋体" w:eastAsia="宋体"/>
                <w:bCs/>
                <w:sz w:val="24"/>
                <w:highlight w:val="none"/>
              </w:rPr>
              <w:t>统一组织或统一召开</w:t>
            </w:r>
          </w:p>
          <w:p w14:paraId="0A177C7D">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79650400">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p>
          <w:p w14:paraId="2F86F432">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p>
          <w:p w14:paraId="5827460F">
            <w:pPr>
              <w:pStyle w:val="68"/>
              <w:widowControl w:val="0"/>
              <w:spacing w:before="0" w:beforeAutospacing="0" w:after="0" w:afterAutospacing="0" w:line="360" w:lineRule="auto"/>
              <w:jc w:val="both"/>
              <w:rPr>
                <w:sz w:val="24"/>
                <w:highlight w:val="none"/>
              </w:rPr>
            </w:pPr>
            <w:r>
              <w:rPr>
                <w:rFonts w:hint="eastAsia" w:ascii="宋体" w:hAnsi="宋体" w:eastAsia="宋体"/>
                <w:bCs w:val="0"/>
                <w:sz w:val="24"/>
                <w:highlight w:val="none"/>
              </w:rPr>
              <w:t>注：如供应商未参加采购人统一组织的现场考察或采购人统一召开的标前答疑会，视同放弃现场考察或标前答疑会，由此引起的一切责任由供应商自行承担。</w:t>
            </w:r>
          </w:p>
        </w:tc>
      </w:tr>
      <w:tr w14:paraId="11D1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671F8D7C">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6</w:t>
            </w:r>
            <w:r>
              <w:rPr>
                <w:bCs/>
                <w:highlight w:val="none"/>
              </w:rPr>
              <w:t>.1</w:t>
            </w:r>
          </w:p>
        </w:tc>
        <w:tc>
          <w:tcPr>
            <w:tcW w:w="977" w:type="pct"/>
            <w:vAlign w:val="center"/>
          </w:tcPr>
          <w:p w14:paraId="608E4C5A">
            <w:pPr>
              <w:pStyle w:val="68"/>
              <w:widowControl w:val="0"/>
              <w:spacing w:before="0" w:beforeAutospacing="0" w:after="0" w:afterAutospacing="0" w:line="360" w:lineRule="auto"/>
              <w:jc w:val="left"/>
              <w:rPr>
                <w:b w:val="0"/>
                <w:sz w:val="24"/>
                <w:highlight w:val="none"/>
              </w:rPr>
            </w:pPr>
            <w:r>
              <w:rPr>
                <w:rFonts w:hint="eastAsia"/>
                <w:b w:val="0"/>
                <w:sz w:val="24"/>
                <w:highlight w:val="none"/>
              </w:rPr>
              <w:t>网上询问截止时间</w:t>
            </w:r>
          </w:p>
        </w:tc>
        <w:tc>
          <w:tcPr>
            <w:tcW w:w="3559" w:type="pct"/>
            <w:vAlign w:val="center"/>
          </w:tcPr>
          <w:p w14:paraId="67EAB63F">
            <w:pPr>
              <w:pStyle w:val="68"/>
              <w:widowControl w:val="0"/>
              <w:spacing w:before="0" w:beforeAutospacing="0" w:after="0" w:afterAutospacing="0" w:line="360" w:lineRule="auto"/>
              <w:jc w:val="both"/>
              <w:rPr>
                <w:b w:val="0"/>
                <w:sz w:val="24"/>
                <w:highlight w:val="none"/>
              </w:rPr>
            </w:pPr>
            <w:r>
              <w:rPr>
                <w:rFonts w:hint="eastAsia" w:ascii="宋体" w:hAnsi="宋体" w:eastAsia="宋体"/>
                <w:b w:val="0"/>
                <w:sz w:val="24"/>
                <w:szCs w:val="20"/>
                <w:highlight w:val="none"/>
                <w:u w:val="none"/>
              </w:rPr>
              <w:t>2025年</w:t>
            </w:r>
            <w:r>
              <w:rPr>
                <w:rFonts w:hint="eastAsia" w:ascii="宋体" w:hAnsi="宋体" w:eastAsia="宋体"/>
                <w:b w:val="0"/>
                <w:sz w:val="24"/>
                <w:szCs w:val="20"/>
                <w:highlight w:val="none"/>
                <w:u w:val="none"/>
                <w:lang w:val="en-US" w:eastAsia="zh-CN"/>
              </w:rPr>
              <w:t>5</w:t>
            </w:r>
            <w:r>
              <w:rPr>
                <w:rFonts w:hint="eastAsia" w:ascii="宋体" w:hAnsi="宋体" w:eastAsia="宋体"/>
                <w:b w:val="0"/>
                <w:sz w:val="24"/>
                <w:szCs w:val="20"/>
                <w:highlight w:val="none"/>
                <w:u w:val="none"/>
              </w:rPr>
              <w:t>月</w:t>
            </w:r>
            <w:r>
              <w:rPr>
                <w:rFonts w:hint="eastAsia" w:ascii="宋体" w:hAnsi="宋体" w:eastAsia="宋体"/>
                <w:b w:val="0"/>
                <w:sz w:val="24"/>
                <w:szCs w:val="20"/>
                <w:highlight w:val="none"/>
                <w:u w:val="none"/>
                <w:lang w:val="en-US" w:eastAsia="zh-CN"/>
              </w:rPr>
              <w:t>9</w:t>
            </w:r>
            <w:r>
              <w:rPr>
                <w:rFonts w:hint="eastAsia" w:ascii="宋体" w:hAnsi="宋体" w:eastAsia="宋体"/>
                <w:b w:val="0"/>
                <w:sz w:val="24"/>
                <w:szCs w:val="20"/>
                <w:highlight w:val="none"/>
                <w:u w:val="none"/>
              </w:rPr>
              <w:t>日17点00分</w:t>
            </w:r>
          </w:p>
        </w:tc>
      </w:tr>
      <w:tr w14:paraId="313A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62" w:type="pct"/>
            <w:vAlign w:val="center"/>
          </w:tcPr>
          <w:p w14:paraId="160B29AE">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7</w:t>
            </w:r>
            <w:r>
              <w:rPr>
                <w:bCs/>
                <w:highlight w:val="none"/>
              </w:rPr>
              <w:t>.1</w:t>
            </w:r>
          </w:p>
        </w:tc>
        <w:tc>
          <w:tcPr>
            <w:tcW w:w="977" w:type="pct"/>
            <w:vAlign w:val="center"/>
          </w:tcPr>
          <w:p w14:paraId="48DF21B4">
            <w:pPr>
              <w:pStyle w:val="68"/>
              <w:widowControl w:val="0"/>
              <w:spacing w:before="0" w:beforeAutospacing="0" w:after="0" w:afterAutospacing="0" w:line="360" w:lineRule="auto"/>
              <w:jc w:val="left"/>
              <w:rPr>
                <w:b w:val="0"/>
                <w:sz w:val="24"/>
                <w:highlight w:val="none"/>
              </w:rPr>
            </w:pPr>
            <w:r>
              <w:rPr>
                <w:rFonts w:hint="eastAsia"/>
                <w:b w:val="0"/>
                <w:sz w:val="24"/>
                <w:highlight w:val="none"/>
              </w:rPr>
              <w:t>包别划分</w:t>
            </w:r>
          </w:p>
        </w:tc>
        <w:tc>
          <w:tcPr>
            <w:tcW w:w="3559" w:type="pct"/>
            <w:vAlign w:val="center"/>
          </w:tcPr>
          <w:p w14:paraId="0DF1D26B">
            <w:pPr>
              <w:pStyle w:val="68"/>
              <w:widowControl w:val="0"/>
              <w:spacing w:before="0" w:beforeAutospacing="0" w:after="0" w:afterAutospacing="0" w:line="360" w:lineRule="auto"/>
              <w:jc w:val="both"/>
              <w:rPr>
                <w:b w:val="0"/>
                <w:sz w:val="24"/>
                <w:highlight w:val="none"/>
              </w:rPr>
            </w:pPr>
            <w:r>
              <w:rPr>
                <w:rFonts w:hint="eastAsia"/>
                <w:b w:val="0"/>
                <w:sz w:val="24"/>
                <w:highlight w:val="none"/>
              </w:rPr>
              <w:t>☑</w:t>
            </w:r>
            <w:r>
              <w:rPr>
                <w:b w:val="0"/>
                <w:sz w:val="24"/>
                <w:highlight w:val="none"/>
              </w:rPr>
              <w:t xml:space="preserve">不分包    </w:t>
            </w:r>
          </w:p>
          <w:p w14:paraId="79AF67FB">
            <w:pPr>
              <w:pStyle w:val="68"/>
              <w:widowControl w:val="0"/>
              <w:spacing w:before="0" w:beforeAutospacing="0" w:after="0" w:afterAutospacing="0" w:line="360" w:lineRule="auto"/>
              <w:jc w:val="both"/>
              <w:rPr>
                <w:b w:val="0"/>
                <w:sz w:val="24"/>
                <w:highlight w:val="none"/>
              </w:rPr>
            </w:pPr>
            <w:r>
              <w:rPr>
                <w:rFonts w:hint="eastAsia"/>
                <w:b w:val="0"/>
                <w:sz w:val="24"/>
                <w:highlight w:val="none"/>
              </w:rPr>
              <w:t>□</w:t>
            </w:r>
            <w:r>
              <w:rPr>
                <w:b w:val="0"/>
                <w:sz w:val="24"/>
                <w:highlight w:val="none"/>
              </w:rPr>
              <w:t>分为</w:t>
            </w:r>
            <w:r>
              <w:rPr>
                <w:b w:val="0"/>
                <w:sz w:val="24"/>
                <w:highlight w:val="none"/>
                <w:u w:val="single"/>
              </w:rPr>
              <w:t xml:space="preserve">  </w:t>
            </w:r>
            <w:r>
              <w:rPr>
                <w:b w:val="0"/>
                <w:sz w:val="24"/>
                <w:highlight w:val="none"/>
              </w:rPr>
              <w:t>个包</w:t>
            </w:r>
            <w:r>
              <w:rPr>
                <w:rFonts w:hint="eastAsia"/>
                <w:b w:val="0"/>
                <w:sz w:val="24"/>
                <w:highlight w:val="none"/>
              </w:rPr>
              <w:t>，</w:t>
            </w:r>
            <w:r>
              <w:rPr>
                <w:rFonts w:hint="eastAsia"/>
                <w:b w:val="0"/>
                <w:bCs w:val="0"/>
                <w:sz w:val="24"/>
                <w:szCs w:val="24"/>
                <w:highlight w:val="none"/>
              </w:rPr>
              <w:t>供应商参加多个包磋商的成交</w:t>
            </w:r>
            <w:r>
              <w:rPr>
                <w:b w:val="0"/>
                <w:bCs w:val="0"/>
                <w:sz w:val="24"/>
                <w:szCs w:val="24"/>
                <w:highlight w:val="none"/>
              </w:rPr>
              <w:t>包</w:t>
            </w:r>
            <w:r>
              <w:rPr>
                <w:rFonts w:hint="eastAsia"/>
                <w:b w:val="0"/>
                <w:bCs w:val="0"/>
                <w:sz w:val="24"/>
                <w:szCs w:val="24"/>
                <w:highlight w:val="none"/>
              </w:rPr>
              <w:t>数规定：</w:t>
            </w:r>
          </w:p>
        </w:tc>
      </w:tr>
      <w:tr w14:paraId="1139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62" w:type="pct"/>
            <w:vAlign w:val="center"/>
          </w:tcPr>
          <w:p w14:paraId="12F874DA">
            <w:pPr>
              <w:pStyle w:val="69"/>
              <w:pBdr>
                <w:bottom w:val="none" w:color="auto" w:sz="0" w:space="0"/>
              </w:pBdr>
              <w:tabs>
                <w:tab w:val="clear" w:pos="4153"/>
                <w:tab w:val="clear" w:pos="8306"/>
              </w:tabs>
              <w:adjustRightInd/>
              <w:spacing w:line="240" w:lineRule="auto"/>
              <w:textAlignment w:val="auto"/>
              <w:rPr>
                <w:bCs/>
                <w:highlight w:val="none"/>
              </w:rPr>
            </w:pPr>
            <w:r>
              <w:rPr>
                <w:rFonts w:hint="eastAsia"/>
                <w:bCs/>
                <w:highlight w:val="none"/>
              </w:rPr>
              <w:t>10</w:t>
            </w:r>
            <w:r>
              <w:rPr>
                <w:bCs/>
                <w:highlight w:val="none"/>
              </w:rPr>
              <w:t>.1</w:t>
            </w:r>
          </w:p>
        </w:tc>
        <w:tc>
          <w:tcPr>
            <w:tcW w:w="977" w:type="pct"/>
            <w:vAlign w:val="center"/>
          </w:tcPr>
          <w:p w14:paraId="388C5223">
            <w:pPr>
              <w:pStyle w:val="68"/>
              <w:widowControl w:val="0"/>
              <w:spacing w:before="0" w:beforeAutospacing="0" w:after="0" w:afterAutospacing="0" w:line="360" w:lineRule="auto"/>
              <w:jc w:val="left"/>
              <w:rPr>
                <w:b w:val="0"/>
                <w:sz w:val="24"/>
                <w:highlight w:val="none"/>
              </w:rPr>
            </w:pPr>
            <w:r>
              <w:rPr>
                <w:rFonts w:hint="eastAsia"/>
                <w:b w:val="0"/>
                <w:sz w:val="24"/>
                <w:highlight w:val="none"/>
              </w:rPr>
              <w:t>磋商保证金</w:t>
            </w:r>
          </w:p>
        </w:tc>
        <w:tc>
          <w:tcPr>
            <w:tcW w:w="3559" w:type="pct"/>
            <w:vAlign w:val="center"/>
          </w:tcPr>
          <w:p w14:paraId="2CB6AAE7">
            <w:pPr>
              <w:pStyle w:val="68"/>
              <w:widowControl w:val="0"/>
              <w:spacing w:before="0" w:beforeAutospacing="0" w:after="0" w:afterAutospacing="0" w:line="360" w:lineRule="auto"/>
              <w:jc w:val="both"/>
              <w:rPr>
                <w:b w:val="0"/>
                <w:sz w:val="24"/>
                <w:highlight w:val="none"/>
              </w:rPr>
            </w:pPr>
            <w:r>
              <w:rPr>
                <w:rFonts w:hint="eastAsia"/>
                <w:b w:val="0"/>
                <w:sz w:val="24"/>
                <w:highlight w:val="none"/>
              </w:rPr>
              <w:t>不收取</w:t>
            </w:r>
          </w:p>
        </w:tc>
      </w:tr>
      <w:tr w14:paraId="409E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A659179">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11</w:t>
            </w:r>
            <w:r>
              <w:rPr>
                <w:bCs/>
                <w:highlight w:val="none"/>
              </w:rPr>
              <w:t>.1</w:t>
            </w:r>
          </w:p>
        </w:tc>
        <w:tc>
          <w:tcPr>
            <w:tcW w:w="977" w:type="pct"/>
            <w:vAlign w:val="center"/>
          </w:tcPr>
          <w:p w14:paraId="31D810C8">
            <w:pPr>
              <w:pStyle w:val="68"/>
              <w:widowControl w:val="0"/>
              <w:spacing w:before="0" w:beforeAutospacing="0" w:after="0" w:afterAutospacing="0" w:line="360" w:lineRule="auto"/>
              <w:jc w:val="both"/>
              <w:rPr>
                <w:b w:val="0"/>
                <w:sz w:val="24"/>
                <w:highlight w:val="none"/>
              </w:rPr>
            </w:pPr>
            <w:r>
              <w:rPr>
                <w:rFonts w:hint="eastAsia"/>
                <w:b w:val="0"/>
                <w:sz w:val="24"/>
                <w:highlight w:val="none"/>
              </w:rPr>
              <w:t>磋商有效期</w:t>
            </w:r>
          </w:p>
        </w:tc>
        <w:tc>
          <w:tcPr>
            <w:tcW w:w="3559" w:type="pct"/>
            <w:vAlign w:val="center"/>
          </w:tcPr>
          <w:p w14:paraId="4BEAC0F6">
            <w:pPr>
              <w:pStyle w:val="68"/>
              <w:widowControl w:val="0"/>
              <w:spacing w:before="0" w:beforeAutospacing="0" w:after="0" w:afterAutospacing="0" w:line="360" w:lineRule="auto"/>
              <w:jc w:val="both"/>
              <w:rPr>
                <w:b w:val="0"/>
                <w:sz w:val="24"/>
                <w:highlight w:val="none"/>
              </w:rPr>
            </w:pPr>
            <w:r>
              <w:rPr>
                <w:rFonts w:hint="eastAsia"/>
                <w:b w:val="0"/>
                <w:sz w:val="24"/>
                <w:highlight w:val="none"/>
                <w:u w:val="none"/>
              </w:rPr>
              <w:t>90</w:t>
            </w:r>
            <w:r>
              <w:rPr>
                <w:rFonts w:hint="eastAsia"/>
                <w:b w:val="0"/>
                <w:sz w:val="24"/>
                <w:highlight w:val="none"/>
              </w:rPr>
              <w:t>日历日</w:t>
            </w:r>
          </w:p>
        </w:tc>
      </w:tr>
      <w:tr w14:paraId="026C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62142AD">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12</w:t>
            </w:r>
            <w:r>
              <w:rPr>
                <w:bCs/>
                <w:highlight w:val="none"/>
              </w:rPr>
              <w:t>.3</w:t>
            </w:r>
          </w:p>
        </w:tc>
        <w:tc>
          <w:tcPr>
            <w:tcW w:w="977" w:type="pct"/>
            <w:vAlign w:val="center"/>
          </w:tcPr>
          <w:p w14:paraId="6A279AC6">
            <w:pPr>
              <w:pStyle w:val="68"/>
              <w:widowControl w:val="0"/>
              <w:spacing w:before="0" w:beforeAutospacing="0" w:after="0" w:afterAutospacing="0" w:line="360" w:lineRule="auto"/>
              <w:jc w:val="both"/>
              <w:rPr>
                <w:b w:val="0"/>
                <w:sz w:val="24"/>
                <w:highlight w:val="none"/>
              </w:rPr>
            </w:pPr>
            <w:r>
              <w:rPr>
                <w:rFonts w:hint="eastAsia"/>
                <w:b w:val="0"/>
                <w:sz w:val="24"/>
                <w:highlight w:val="none"/>
              </w:rPr>
              <w:t>响应文件解密时间</w:t>
            </w:r>
          </w:p>
        </w:tc>
        <w:tc>
          <w:tcPr>
            <w:tcW w:w="3559" w:type="pct"/>
            <w:vAlign w:val="center"/>
          </w:tcPr>
          <w:p w14:paraId="2FC284B1">
            <w:pPr>
              <w:pStyle w:val="68"/>
              <w:widowControl w:val="0"/>
              <w:spacing w:before="0" w:beforeAutospacing="0" w:after="0" w:afterAutospacing="0" w:line="360" w:lineRule="auto"/>
              <w:jc w:val="both"/>
              <w:rPr>
                <w:b w:val="0"/>
                <w:sz w:val="24"/>
                <w:highlight w:val="none"/>
                <w:u w:val="single"/>
              </w:rPr>
            </w:pPr>
            <w:r>
              <w:rPr>
                <w:rFonts w:hint="eastAsia"/>
                <w:b w:val="0"/>
                <w:sz w:val="24"/>
                <w:highlight w:val="none"/>
              </w:rPr>
              <w:t>响应文件提交截止时间</w:t>
            </w:r>
            <w:r>
              <w:rPr>
                <w:rFonts w:hint="eastAsia"/>
                <w:b w:val="0"/>
                <w:sz w:val="24"/>
                <w:highlight w:val="none"/>
                <w:u w:val="none"/>
              </w:rPr>
              <w:t>后30分</w:t>
            </w:r>
            <w:r>
              <w:rPr>
                <w:rFonts w:hint="eastAsia"/>
                <w:b w:val="0"/>
                <w:sz w:val="24"/>
                <w:highlight w:val="none"/>
              </w:rPr>
              <w:t>钟内</w:t>
            </w:r>
          </w:p>
        </w:tc>
      </w:tr>
      <w:tr w14:paraId="22FC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63FC4E63">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14.3</w:t>
            </w:r>
          </w:p>
        </w:tc>
        <w:tc>
          <w:tcPr>
            <w:tcW w:w="977" w:type="pct"/>
            <w:vAlign w:val="center"/>
          </w:tcPr>
          <w:p w14:paraId="48C7B34F">
            <w:pPr>
              <w:pStyle w:val="68"/>
              <w:widowControl w:val="0"/>
              <w:spacing w:before="0" w:beforeAutospacing="0" w:after="0" w:afterAutospacing="0" w:line="360" w:lineRule="auto"/>
              <w:jc w:val="both"/>
              <w:rPr>
                <w:b w:val="0"/>
                <w:sz w:val="24"/>
                <w:highlight w:val="none"/>
              </w:rPr>
            </w:pPr>
            <w:r>
              <w:rPr>
                <w:rFonts w:hint="eastAsia"/>
                <w:b w:val="0"/>
                <w:sz w:val="24"/>
                <w:highlight w:val="none"/>
              </w:rPr>
              <w:t>评审方法</w:t>
            </w:r>
          </w:p>
        </w:tc>
        <w:tc>
          <w:tcPr>
            <w:tcW w:w="3559" w:type="pct"/>
            <w:vAlign w:val="center"/>
          </w:tcPr>
          <w:p w14:paraId="20F90916">
            <w:pPr>
              <w:pStyle w:val="68"/>
              <w:widowControl w:val="0"/>
              <w:spacing w:before="0" w:beforeAutospacing="0" w:after="0" w:afterAutospacing="0" w:line="360" w:lineRule="auto"/>
              <w:jc w:val="both"/>
              <w:rPr>
                <w:b w:val="0"/>
                <w:sz w:val="24"/>
                <w:highlight w:val="none"/>
              </w:rPr>
            </w:pPr>
            <w:r>
              <w:rPr>
                <w:rFonts w:hint="eastAsia"/>
                <w:b w:val="0"/>
                <w:sz w:val="24"/>
                <w:highlight w:val="none"/>
              </w:rPr>
              <w:t>综合评分法</w:t>
            </w:r>
          </w:p>
        </w:tc>
      </w:tr>
      <w:tr w14:paraId="5651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5087905">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17</w:t>
            </w:r>
            <w:r>
              <w:rPr>
                <w:bCs/>
                <w:highlight w:val="none"/>
              </w:rPr>
              <w:t>.</w:t>
            </w:r>
            <w:r>
              <w:rPr>
                <w:rFonts w:hint="eastAsia"/>
                <w:bCs/>
                <w:highlight w:val="none"/>
              </w:rPr>
              <w:t>4</w:t>
            </w:r>
          </w:p>
        </w:tc>
        <w:tc>
          <w:tcPr>
            <w:tcW w:w="977" w:type="pct"/>
            <w:vAlign w:val="center"/>
          </w:tcPr>
          <w:p w14:paraId="021F395B">
            <w:pPr>
              <w:pStyle w:val="68"/>
              <w:widowControl w:val="0"/>
              <w:spacing w:before="0" w:beforeAutospacing="0" w:after="0" w:afterAutospacing="0" w:line="360" w:lineRule="auto"/>
              <w:jc w:val="both"/>
              <w:rPr>
                <w:b w:val="0"/>
                <w:sz w:val="24"/>
                <w:highlight w:val="none"/>
              </w:rPr>
            </w:pPr>
            <w:r>
              <w:rPr>
                <w:rFonts w:hint="eastAsia"/>
                <w:b w:val="0"/>
                <w:sz w:val="24"/>
                <w:highlight w:val="none"/>
              </w:rPr>
              <w:t>最后报价扣除</w:t>
            </w:r>
          </w:p>
          <w:p w14:paraId="5DA924AC">
            <w:pPr>
              <w:pStyle w:val="68"/>
              <w:widowControl w:val="0"/>
              <w:spacing w:before="0" w:beforeAutospacing="0" w:after="0" w:afterAutospacing="0" w:line="360" w:lineRule="auto"/>
              <w:jc w:val="both"/>
              <w:rPr>
                <w:b w:val="0"/>
                <w:sz w:val="24"/>
                <w:highlight w:val="none"/>
              </w:rPr>
            </w:pPr>
            <w:r>
              <w:rPr>
                <w:rFonts w:hint="eastAsia" w:ascii="宋体" w:hAnsi="宋体" w:eastAsia="宋体"/>
                <w:bCs w:val="0"/>
                <w:sz w:val="24"/>
                <w:highlight w:val="none"/>
              </w:rPr>
              <w:t>（专门面向中小企业采购的采购项目不享受价格扣除优惠</w:t>
            </w:r>
            <w:r>
              <w:rPr>
                <w:rFonts w:hint="eastAsia"/>
                <w:bCs w:val="0"/>
                <w:i/>
                <w:sz w:val="24"/>
                <w:highlight w:val="none"/>
              </w:rPr>
              <w:t>）</w:t>
            </w:r>
          </w:p>
        </w:tc>
        <w:tc>
          <w:tcPr>
            <w:tcW w:w="3559" w:type="pct"/>
            <w:vAlign w:val="center"/>
          </w:tcPr>
          <w:p w14:paraId="67F25B90">
            <w:pPr>
              <w:pStyle w:val="6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b w:val="0"/>
                <w:sz w:val="24"/>
                <w:highlight w:val="none"/>
                <w:u w:val="single"/>
              </w:rPr>
              <w:t>/</w:t>
            </w:r>
            <w:r>
              <w:rPr>
                <w:rFonts w:hint="eastAsia" w:ascii="宋体" w:hAnsi="宋体" w:eastAsia="宋体"/>
                <w:b w:val="0"/>
                <w:sz w:val="24"/>
                <w:highlight w:val="none"/>
              </w:rPr>
              <w:t>。</w:t>
            </w:r>
          </w:p>
          <w:p w14:paraId="3ADD0E8C">
            <w:pPr>
              <w:pStyle w:val="6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50687FBE">
            <w:pPr>
              <w:pStyle w:val="6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507C5E85">
            <w:pPr>
              <w:pStyle w:val="6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b w:val="0"/>
                <w:sz w:val="24"/>
                <w:highlight w:val="none"/>
                <w:u w:val="single"/>
              </w:rPr>
              <w:t>/</w:t>
            </w:r>
            <w:r>
              <w:rPr>
                <w:rFonts w:hint="eastAsia" w:ascii="宋体" w:hAnsi="宋体" w:eastAsia="宋体"/>
                <w:b w:val="0"/>
                <w:sz w:val="24"/>
                <w:highlight w:val="none"/>
              </w:rPr>
              <w:t>。</w:t>
            </w:r>
          </w:p>
          <w:p w14:paraId="48ADFBA9">
            <w:pPr>
              <w:pStyle w:val="68"/>
              <w:widowControl w:val="0"/>
              <w:spacing w:before="0" w:beforeAutospacing="0" w:after="0" w:afterAutospacing="0" w:line="360" w:lineRule="auto"/>
              <w:jc w:val="both"/>
              <w:rPr>
                <w:b w:val="0"/>
                <w:sz w:val="24"/>
                <w:highlight w:val="none"/>
              </w:rPr>
            </w:pPr>
            <w:r>
              <w:rPr>
                <w:rFonts w:hint="eastAsia" w:ascii="宋体" w:hAnsi="宋体" w:eastAsia="宋体"/>
                <w:b w:val="0"/>
                <w:sz w:val="24"/>
                <w:highlight w:val="none"/>
              </w:rPr>
              <w:t>（5）符合条件的向小微企业分包的大中型企业价格扣除：</w:t>
            </w:r>
            <w:r>
              <w:rPr>
                <w:rFonts w:hint="eastAsia"/>
                <w:b w:val="0"/>
                <w:sz w:val="24"/>
                <w:highlight w:val="none"/>
                <w:u w:val="single"/>
              </w:rPr>
              <w:t>/</w:t>
            </w:r>
            <w:r>
              <w:rPr>
                <w:rFonts w:hint="eastAsia" w:ascii="宋体" w:hAnsi="宋体" w:eastAsia="宋体"/>
                <w:b w:val="0"/>
                <w:sz w:val="24"/>
                <w:highlight w:val="none"/>
              </w:rPr>
              <w:t>。</w:t>
            </w:r>
          </w:p>
        </w:tc>
      </w:tr>
      <w:tr w14:paraId="1157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Merge w:val="restart"/>
            <w:vAlign w:val="center"/>
          </w:tcPr>
          <w:p w14:paraId="0EA60323">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19</w:t>
            </w:r>
            <w:r>
              <w:rPr>
                <w:bCs/>
                <w:highlight w:val="none"/>
              </w:rPr>
              <w:t>.</w:t>
            </w:r>
            <w:r>
              <w:rPr>
                <w:rFonts w:hint="eastAsia"/>
                <w:bCs/>
                <w:highlight w:val="none"/>
              </w:rPr>
              <w:t>1</w:t>
            </w:r>
          </w:p>
        </w:tc>
        <w:tc>
          <w:tcPr>
            <w:tcW w:w="977" w:type="pct"/>
            <w:vMerge w:val="restart"/>
            <w:vAlign w:val="center"/>
          </w:tcPr>
          <w:p w14:paraId="7141D027">
            <w:pPr>
              <w:pStyle w:val="68"/>
              <w:widowControl w:val="0"/>
              <w:spacing w:before="0" w:beforeAutospacing="0" w:after="0" w:afterAutospacing="0" w:line="360" w:lineRule="auto"/>
              <w:jc w:val="both"/>
              <w:rPr>
                <w:b w:val="0"/>
                <w:sz w:val="24"/>
                <w:highlight w:val="none"/>
              </w:rPr>
            </w:pPr>
            <w:r>
              <w:rPr>
                <w:rFonts w:hint="eastAsia" w:asciiTheme="minorEastAsia" w:hAnsiTheme="minorEastAsia"/>
                <w:b w:val="0"/>
                <w:sz w:val="24"/>
                <w:highlight w:val="none"/>
              </w:rPr>
              <w:t>确定成交候选供应商和成交供应商</w:t>
            </w:r>
          </w:p>
        </w:tc>
        <w:tc>
          <w:tcPr>
            <w:tcW w:w="3559" w:type="pct"/>
            <w:vAlign w:val="center"/>
          </w:tcPr>
          <w:p w14:paraId="5F881171">
            <w:pPr>
              <w:pStyle w:val="68"/>
              <w:widowControl w:val="0"/>
              <w:spacing w:before="0" w:beforeAutospacing="0" w:after="0" w:afterAutospacing="0" w:line="360" w:lineRule="auto"/>
              <w:jc w:val="both"/>
              <w:rPr>
                <w:rFonts w:ascii="宋体" w:hAnsi="宋体"/>
                <w:b w:val="0"/>
                <w:sz w:val="24"/>
                <w:highlight w:val="none"/>
              </w:rPr>
            </w:pPr>
            <w:r>
              <w:rPr>
                <w:rFonts w:hint="eastAsia"/>
                <w:b w:val="0"/>
                <w:sz w:val="24"/>
                <w:highlight w:val="none"/>
              </w:rPr>
              <w:t>磋商小组推荐成交</w:t>
            </w:r>
            <w:r>
              <w:rPr>
                <w:b w:val="0"/>
                <w:sz w:val="24"/>
                <w:highlight w:val="none"/>
              </w:rPr>
              <w:t>候选</w:t>
            </w:r>
            <w:r>
              <w:rPr>
                <w:rFonts w:hint="eastAsia"/>
                <w:b w:val="0"/>
                <w:sz w:val="24"/>
                <w:highlight w:val="none"/>
              </w:rPr>
              <w:t>供应商的</w:t>
            </w:r>
            <w:r>
              <w:rPr>
                <w:b w:val="0"/>
                <w:sz w:val="24"/>
                <w:highlight w:val="none"/>
              </w:rPr>
              <w:t>数量</w:t>
            </w:r>
            <w:r>
              <w:rPr>
                <w:rFonts w:hint="eastAsia"/>
                <w:b w:val="0"/>
                <w:sz w:val="24"/>
                <w:highlight w:val="none"/>
              </w:rPr>
              <w:t>：</w:t>
            </w:r>
            <w:r>
              <w:rPr>
                <w:rFonts w:hint="eastAsia" w:ascii="宋体" w:hAnsi="宋体" w:eastAsia="宋体"/>
                <w:b w:val="0"/>
                <w:sz w:val="24"/>
                <w:highlight w:val="none"/>
              </w:rPr>
              <w:t>3家以上</w:t>
            </w:r>
          </w:p>
          <w:p w14:paraId="5B5CFA9D">
            <w:pPr>
              <w:pStyle w:val="68"/>
              <w:widowControl w:val="0"/>
              <w:spacing w:before="0" w:beforeAutospacing="0" w:after="0" w:afterAutospacing="0" w:line="360" w:lineRule="auto"/>
              <w:jc w:val="both"/>
              <w:rPr>
                <w:b w:val="0"/>
                <w:sz w:val="24"/>
                <w:highlight w:val="none"/>
                <w:u w:val="single"/>
              </w:rPr>
            </w:pPr>
            <w:r>
              <w:rPr>
                <w:rFonts w:hint="eastAsia" w:ascii="宋体" w:hAnsi="宋体" w:eastAsia="宋体"/>
                <w:b w:val="0"/>
                <w:sz w:val="24"/>
                <w:highlight w:val="none"/>
              </w:rPr>
              <w:t>注：法律、法规另有规定的，从其规定</w:t>
            </w:r>
          </w:p>
        </w:tc>
      </w:tr>
      <w:tr w14:paraId="4DAC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Merge w:val="continue"/>
            <w:vAlign w:val="center"/>
          </w:tcPr>
          <w:p w14:paraId="59FFE7EF">
            <w:pPr>
              <w:pStyle w:val="69"/>
              <w:pBdr>
                <w:bottom w:val="none" w:color="auto" w:sz="0" w:space="0"/>
              </w:pBdr>
              <w:tabs>
                <w:tab w:val="clear" w:pos="4153"/>
                <w:tab w:val="clear" w:pos="8306"/>
              </w:tabs>
              <w:adjustRightInd/>
              <w:spacing w:line="360" w:lineRule="auto"/>
              <w:textAlignment w:val="auto"/>
              <w:rPr>
                <w:bCs/>
                <w:highlight w:val="none"/>
              </w:rPr>
            </w:pPr>
          </w:p>
        </w:tc>
        <w:tc>
          <w:tcPr>
            <w:tcW w:w="977" w:type="pct"/>
            <w:vMerge w:val="continue"/>
            <w:vAlign w:val="center"/>
          </w:tcPr>
          <w:p w14:paraId="364B5ACE">
            <w:pPr>
              <w:pStyle w:val="68"/>
              <w:widowControl w:val="0"/>
              <w:spacing w:before="0" w:beforeAutospacing="0" w:after="0" w:afterAutospacing="0" w:line="360" w:lineRule="auto"/>
              <w:jc w:val="both"/>
              <w:rPr>
                <w:b w:val="0"/>
                <w:sz w:val="24"/>
                <w:highlight w:val="none"/>
              </w:rPr>
            </w:pPr>
          </w:p>
        </w:tc>
        <w:tc>
          <w:tcPr>
            <w:tcW w:w="3559" w:type="pct"/>
            <w:vAlign w:val="center"/>
          </w:tcPr>
          <w:p w14:paraId="05BC0199">
            <w:pPr>
              <w:pStyle w:val="68"/>
              <w:widowControl w:val="0"/>
              <w:spacing w:before="0" w:beforeAutospacing="0" w:after="0" w:afterAutospacing="0" w:line="360" w:lineRule="auto"/>
              <w:jc w:val="both"/>
              <w:rPr>
                <w:b w:val="0"/>
                <w:sz w:val="24"/>
                <w:highlight w:val="none"/>
              </w:rPr>
            </w:pPr>
            <w:r>
              <w:rPr>
                <w:rFonts w:hint="eastAsia"/>
                <w:b w:val="0"/>
                <w:sz w:val="24"/>
                <w:highlight w:val="none"/>
              </w:rPr>
              <w:t>确定成交供应商：</w:t>
            </w:r>
          </w:p>
          <w:p w14:paraId="435FD235">
            <w:pPr>
              <w:pStyle w:val="68"/>
              <w:widowControl w:val="0"/>
              <w:spacing w:before="0" w:beforeAutospacing="0" w:after="0" w:afterAutospacing="0" w:line="360" w:lineRule="auto"/>
              <w:jc w:val="both"/>
              <w:rPr>
                <w:b w:val="0"/>
                <w:sz w:val="24"/>
                <w:highlight w:val="none"/>
              </w:rPr>
            </w:pPr>
            <w:r>
              <w:rPr>
                <w:rFonts w:hint="eastAsia" w:asciiTheme="minorEastAsia" w:hAnsiTheme="minorEastAsia"/>
                <w:b w:val="0"/>
                <w:sz w:val="24"/>
                <w:szCs w:val="24"/>
                <w:highlight w:val="none"/>
              </w:rPr>
              <w:sym w:font="Wingdings" w:char="00FE"/>
            </w:r>
            <w:r>
              <w:rPr>
                <w:rFonts w:hint="eastAsia"/>
                <w:b w:val="0"/>
                <w:sz w:val="24"/>
                <w:highlight w:val="none"/>
              </w:rPr>
              <w:t xml:space="preserve">采购人委托磋商小组确定 </w:t>
            </w:r>
            <w:r>
              <w:rPr>
                <w:b w:val="0"/>
                <w:sz w:val="24"/>
                <w:highlight w:val="none"/>
              </w:rPr>
              <w:t xml:space="preserve">   </w:t>
            </w:r>
            <w:r>
              <w:rPr>
                <w:rFonts w:hint="eastAsia"/>
                <w:b w:val="0"/>
                <w:sz w:val="24"/>
                <w:highlight w:val="none"/>
              </w:rPr>
              <w:t xml:space="preserve"> □采购人确定</w:t>
            </w:r>
          </w:p>
        </w:tc>
      </w:tr>
      <w:tr w14:paraId="4447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86CAC2F">
            <w:pPr>
              <w:pStyle w:val="69"/>
              <w:pBdr>
                <w:bottom w:val="none" w:color="auto" w:sz="0" w:space="0"/>
              </w:pBdr>
              <w:tabs>
                <w:tab w:val="clear" w:pos="4153"/>
                <w:tab w:val="clear" w:pos="8306"/>
              </w:tabs>
              <w:adjustRightInd/>
              <w:spacing w:line="360" w:lineRule="auto"/>
              <w:textAlignment w:val="auto"/>
              <w:rPr>
                <w:bCs/>
                <w:highlight w:val="none"/>
              </w:rPr>
            </w:pPr>
            <w:r>
              <w:rPr>
                <w:bCs/>
                <w:highlight w:val="none"/>
              </w:rPr>
              <w:t>2</w:t>
            </w:r>
            <w:r>
              <w:rPr>
                <w:rFonts w:hint="eastAsia"/>
                <w:bCs/>
                <w:highlight w:val="none"/>
              </w:rPr>
              <w:t>2</w:t>
            </w:r>
            <w:r>
              <w:rPr>
                <w:bCs/>
                <w:highlight w:val="none"/>
              </w:rPr>
              <w:t>.</w:t>
            </w:r>
            <w:r>
              <w:rPr>
                <w:rFonts w:hint="eastAsia"/>
                <w:bCs/>
                <w:highlight w:val="none"/>
              </w:rPr>
              <w:t>2</w:t>
            </w:r>
          </w:p>
        </w:tc>
        <w:tc>
          <w:tcPr>
            <w:tcW w:w="977" w:type="pct"/>
            <w:vAlign w:val="center"/>
          </w:tcPr>
          <w:p w14:paraId="255F02FD">
            <w:pPr>
              <w:pStyle w:val="68"/>
              <w:widowControl w:val="0"/>
              <w:spacing w:before="0" w:beforeAutospacing="0" w:after="0" w:afterAutospacing="0" w:line="360" w:lineRule="auto"/>
              <w:jc w:val="both"/>
              <w:rPr>
                <w:b w:val="0"/>
                <w:sz w:val="24"/>
                <w:highlight w:val="none"/>
              </w:rPr>
            </w:pPr>
            <w:r>
              <w:rPr>
                <w:rFonts w:hint="eastAsia"/>
                <w:b w:val="0"/>
                <w:sz w:val="24"/>
                <w:highlight w:val="none"/>
              </w:rPr>
              <w:t>随成交结果公告同时公告的内容</w:t>
            </w:r>
          </w:p>
        </w:tc>
        <w:tc>
          <w:tcPr>
            <w:tcW w:w="3559" w:type="pct"/>
            <w:vAlign w:val="center"/>
          </w:tcPr>
          <w:p w14:paraId="5CEE60C5">
            <w:pPr>
              <w:pStyle w:val="6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474EDFE6">
            <w:pPr>
              <w:pStyle w:val="68"/>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60C1E535">
            <w:pPr>
              <w:pStyle w:val="68"/>
              <w:widowControl w:val="0"/>
              <w:spacing w:before="0" w:beforeAutospacing="0" w:after="0" w:afterAutospacing="0" w:line="360" w:lineRule="auto"/>
              <w:jc w:val="both"/>
              <w:rPr>
                <w:b w:val="0"/>
                <w:bCs w:val="0"/>
                <w:sz w:val="24"/>
                <w:szCs w:val="24"/>
                <w:highlight w:val="none"/>
              </w:rPr>
            </w:pPr>
            <w:r>
              <w:rPr>
                <w:rFonts w:hint="eastAsia" w:ascii="宋体" w:hAnsi="宋体" w:eastAsia="宋体"/>
                <w:b w:val="0"/>
                <w:sz w:val="24"/>
                <w:highlight w:val="none"/>
              </w:rPr>
              <w:t>（</w:t>
            </w:r>
            <w:r>
              <w:rPr>
                <w:rFonts w:hint="eastAsia"/>
                <w:b w:val="0"/>
                <w:sz w:val="24"/>
                <w:highlight w:val="none"/>
              </w:rPr>
              <w:t>3</w:t>
            </w:r>
            <w:r>
              <w:rPr>
                <w:rFonts w:hint="eastAsia" w:ascii="宋体" w:hAnsi="宋体" w:eastAsia="宋体"/>
                <w:b w:val="0"/>
                <w:sz w:val="24"/>
                <w:highlight w:val="none"/>
              </w:rPr>
              <w:t>）中标（成交）供应商的评审总得分</w:t>
            </w:r>
          </w:p>
        </w:tc>
      </w:tr>
      <w:tr w14:paraId="066E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19493C99">
            <w:pPr>
              <w:pStyle w:val="69"/>
              <w:pBdr>
                <w:bottom w:val="none" w:color="auto" w:sz="0" w:space="0"/>
              </w:pBdr>
              <w:tabs>
                <w:tab w:val="clear" w:pos="4153"/>
                <w:tab w:val="clear" w:pos="8306"/>
              </w:tabs>
              <w:adjustRightInd/>
              <w:spacing w:line="240" w:lineRule="auto"/>
              <w:textAlignment w:val="auto"/>
              <w:rPr>
                <w:bCs/>
                <w:highlight w:val="none"/>
              </w:rPr>
            </w:pPr>
            <w:r>
              <w:rPr>
                <w:rFonts w:hint="eastAsia"/>
                <w:bCs/>
                <w:highlight w:val="none"/>
              </w:rPr>
              <w:t>23</w:t>
            </w:r>
            <w:r>
              <w:rPr>
                <w:bCs/>
                <w:highlight w:val="none"/>
              </w:rPr>
              <w:t>.1</w:t>
            </w:r>
          </w:p>
        </w:tc>
        <w:tc>
          <w:tcPr>
            <w:tcW w:w="977" w:type="pct"/>
            <w:vAlign w:val="center"/>
          </w:tcPr>
          <w:p w14:paraId="3E282B8F">
            <w:pPr>
              <w:pStyle w:val="68"/>
              <w:widowControl w:val="0"/>
              <w:spacing w:before="0" w:beforeAutospacing="0" w:after="0" w:afterAutospacing="0" w:line="360" w:lineRule="auto"/>
              <w:jc w:val="both"/>
              <w:rPr>
                <w:b w:val="0"/>
                <w:sz w:val="24"/>
                <w:highlight w:val="none"/>
              </w:rPr>
            </w:pPr>
            <w:r>
              <w:rPr>
                <w:rFonts w:hint="eastAsia"/>
                <w:b w:val="0"/>
                <w:sz w:val="24"/>
                <w:highlight w:val="none"/>
              </w:rPr>
              <w:t>成交通知书发出的形式</w:t>
            </w:r>
          </w:p>
        </w:tc>
        <w:tc>
          <w:tcPr>
            <w:tcW w:w="3559" w:type="pct"/>
            <w:vAlign w:val="center"/>
          </w:tcPr>
          <w:p w14:paraId="388062A6">
            <w:pPr>
              <w:pStyle w:val="68"/>
              <w:widowControl w:val="0"/>
              <w:spacing w:before="0" w:beforeAutospacing="0" w:after="0" w:afterAutospacing="0" w:line="360" w:lineRule="auto"/>
              <w:jc w:val="both"/>
              <w:rPr>
                <w:b w:val="0"/>
                <w:sz w:val="24"/>
                <w:highlight w:val="none"/>
              </w:rPr>
            </w:pPr>
            <w:r>
              <w:rPr>
                <w:rFonts w:hint="eastAsia"/>
                <w:b w:val="0"/>
                <w:sz w:val="24"/>
                <w:highlight w:val="none"/>
              </w:rPr>
              <w:t xml:space="preserve">☑书面 </w:t>
            </w:r>
            <w:r>
              <w:rPr>
                <w:b w:val="0"/>
                <w:sz w:val="24"/>
                <w:highlight w:val="none"/>
              </w:rPr>
              <w:t xml:space="preserve">    </w:t>
            </w:r>
            <w:r>
              <w:rPr>
                <w:rFonts w:hint="eastAsia"/>
                <w:b w:val="0"/>
                <w:bCs w:val="0"/>
                <w:sz w:val="24"/>
                <w:szCs w:val="24"/>
                <w:highlight w:val="none"/>
              </w:rPr>
              <w:sym w:font="Wingdings" w:char="00FE"/>
            </w:r>
            <w:r>
              <w:rPr>
                <w:rFonts w:hint="eastAsia"/>
                <w:b w:val="0"/>
                <w:sz w:val="24"/>
                <w:highlight w:val="none"/>
              </w:rPr>
              <w:t>数据电文</w:t>
            </w:r>
          </w:p>
        </w:tc>
      </w:tr>
      <w:tr w14:paraId="559D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56859163">
            <w:pPr>
              <w:pStyle w:val="69"/>
              <w:pBdr>
                <w:bottom w:val="none" w:color="auto" w:sz="0" w:space="0"/>
              </w:pBdr>
              <w:tabs>
                <w:tab w:val="clear" w:pos="4153"/>
                <w:tab w:val="clear" w:pos="8306"/>
              </w:tabs>
              <w:adjustRightInd/>
              <w:spacing w:line="240" w:lineRule="auto"/>
              <w:textAlignment w:val="auto"/>
              <w:rPr>
                <w:bCs/>
                <w:highlight w:val="none"/>
              </w:rPr>
            </w:pPr>
            <w:r>
              <w:rPr>
                <w:rFonts w:hint="eastAsia" w:ascii="宋体" w:hAnsi="宋体" w:eastAsia="宋体" w:cs="宋体"/>
                <w:bCs/>
                <w:szCs w:val="24"/>
                <w:highlight w:val="none"/>
              </w:rPr>
              <w:t>2</w:t>
            </w:r>
            <w:r>
              <w:rPr>
                <w:rFonts w:hint="eastAsia" w:cs="宋体"/>
                <w:bCs/>
                <w:szCs w:val="24"/>
                <w:highlight w:val="none"/>
              </w:rPr>
              <w:t>4</w:t>
            </w:r>
            <w:r>
              <w:rPr>
                <w:rFonts w:hint="eastAsia" w:ascii="宋体" w:hAnsi="宋体" w:eastAsia="宋体" w:cs="宋体"/>
                <w:bCs/>
                <w:szCs w:val="24"/>
                <w:highlight w:val="none"/>
              </w:rPr>
              <w:t>.1</w:t>
            </w:r>
          </w:p>
        </w:tc>
        <w:tc>
          <w:tcPr>
            <w:tcW w:w="977" w:type="pct"/>
            <w:vAlign w:val="center"/>
          </w:tcPr>
          <w:p w14:paraId="7EFC0F1D">
            <w:pPr>
              <w:pStyle w:val="68"/>
              <w:widowControl w:val="0"/>
              <w:spacing w:before="0" w:beforeAutospacing="0" w:after="0" w:afterAutospacing="0" w:line="360" w:lineRule="auto"/>
              <w:jc w:val="both"/>
              <w:rPr>
                <w:b w:val="0"/>
                <w:sz w:val="24"/>
                <w:highlight w:val="none"/>
              </w:rPr>
            </w:pPr>
            <w:r>
              <w:rPr>
                <w:rFonts w:hint="eastAsia"/>
                <w:b w:val="0"/>
                <w:sz w:val="24"/>
                <w:highlight w:val="none"/>
              </w:rPr>
              <w:t>告知磋商结果的形式</w:t>
            </w:r>
          </w:p>
        </w:tc>
        <w:tc>
          <w:tcPr>
            <w:tcW w:w="3559" w:type="pct"/>
            <w:vAlign w:val="center"/>
          </w:tcPr>
          <w:p w14:paraId="18D87FA6">
            <w:pPr>
              <w:pStyle w:val="68"/>
              <w:widowControl w:val="0"/>
              <w:spacing w:before="0" w:beforeAutospacing="0" w:after="0" w:afterAutospacing="0" w:line="360" w:lineRule="auto"/>
              <w:jc w:val="both"/>
              <w:rPr>
                <w:b w:val="0"/>
                <w:bCs w:val="0"/>
                <w:sz w:val="24"/>
                <w:szCs w:val="24"/>
                <w:highlight w:val="none"/>
              </w:rPr>
            </w:pPr>
            <w:r>
              <w:rPr>
                <w:rFonts w:hint="eastAsia" w:asciiTheme="minorEastAsia" w:hAnsiTheme="minorEastAsia"/>
                <w:b w:val="0"/>
                <w:sz w:val="24"/>
                <w:szCs w:val="24"/>
                <w:highlight w:val="none"/>
              </w:rPr>
              <w:sym w:font="Wingdings" w:char="00FE"/>
            </w:r>
            <w:r>
              <w:rPr>
                <w:rFonts w:hint="eastAsia"/>
                <w:b w:val="0"/>
                <w:bCs w:val="0"/>
                <w:sz w:val="24"/>
                <w:szCs w:val="24"/>
                <w:highlight w:val="none"/>
              </w:rPr>
              <w:t>供应商自行登录电子</w:t>
            </w:r>
            <w:r>
              <w:rPr>
                <w:rFonts w:hint="eastAsia" w:ascii="宋体" w:hAnsi="宋体" w:eastAsia="宋体" w:cs="宋体"/>
                <w:b w:val="0"/>
                <w:bCs w:val="0"/>
                <w:sz w:val="24"/>
                <w:szCs w:val="24"/>
                <w:highlight w:val="none"/>
              </w:rPr>
              <w:t>交易</w:t>
            </w:r>
            <w:r>
              <w:rPr>
                <w:rFonts w:hint="eastAsia"/>
                <w:b w:val="0"/>
                <w:bCs w:val="0"/>
                <w:sz w:val="24"/>
                <w:szCs w:val="24"/>
                <w:highlight w:val="none"/>
              </w:rPr>
              <w:t>系统查看</w:t>
            </w:r>
          </w:p>
          <w:p w14:paraId="2903A997">
            <w:pPr>
              <w:pStyle w:val="68"/>
              <w:widowControl w:val="0"/>
              <w:spacing w:before="0" w:beforeAutospacing="0" w:after="0" w:afterAutospacing="0" w:line="360" w:lineRule="auto"/>
              <w:jc w:val="both"/>
              <w:rPr>
                <w:b w:val="0"/>
                <w:sz w:val="24"/>
                <w:highlight w:val="none"/>
              </w:rPr>
            </w:pPr>
            <w:r>
              <w:rPr>
                <w:rFonts w:hint="eastAsia"/>
                <w:b w:val="0"/>
                <w:sz w:val="24"/>
                <w:highlight w:val="none"/>
              </w:rPr>
              <w:t>□磋商现场告知</w:t>
            </w:r>
          </w:p>
        </w:tc>
      </w:tr>
      <w:tr w14:paraId="5263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1C114EF4">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25</w:t>
            </w:r>
            <w:r>
              <w:rPr>
                <w:bCs/>
                <w:highlight w:val="none"/>
              </w:rPr>
              <w:t>.1</w:t>
            </w:r>
          </w:p>
        </w:tc>
        <w:tc>
          <w:tcPr>
            <w:tcW w:w="977" w:type="pct"/>
            <w:vAlign w:val="center"/>
          </w:tcPr>
          <w:p w14:paraId="225385CB">
            <w:pPr>
              <w:pStyle w:val="68"/>
              <w:widowControl w:val="0"/>
              <w:spacing w:before="0" w:beforeAutospacing="0" w:after="0" w:afterAutospacing="0" w:line="360" w:lineRule="auto"/>
              <w:jc w:val="both"/>
              <w:rPr>
                <w:b w:val="0"/>
                <w:sz w:val="24"/>
                <w:highlight w:val="none"/>
              </w:rPr>
            </w:pPr>
            <w:r>
              <w:rPr>
                <w:rFonts w:hint="eastAsia"/>
                <w:b w:val="0"/>
                <w:sz w:val="24"/>
                <w:highlight w:val="none"/>
              </w:rPr>
              <w:t>履约保证金</w:t>
            </w:r>
          </w:p>
        </w:tc>
        <w:tc>
          <w:tcPr>
            <w:tcW w:w="3559" w:type="pct"/>
          </w:tcPr>
          <w:p w14:paraId="44740FA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8B759E6">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2DE69CE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2.5</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018DDB24">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rPr>
              <w:t>元</w:t>
            </w:r>
          </w:p>
          <w:p w14:paraId="42CF614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7DE3A51D">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6462D094">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（3）收取单位：安徽省招标集团股份有限公司</w:t>
            </w:r>
          </w:p>
          <w:p w14:paraId="5CD46E5B">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w:t>
            </w:r>
          </w:p>
          <w:p w14:paraId="75B9272E">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项目验收合格后退还</w:t>
            </w:r>
          </w:p>
          <w:p w14:paraId="75C99DC8">
            <w:pPr>
              <w:spacing w:line="360" w:lineRule="auto"/>
              <w:rPr>
                <w:rFonts w:ascii="宋体" w:hAnsi="宋体" w:eastAsia="宋体"/>
                <w:b/>
                <w:bCs/>
                <w:kern w:val="0"/>
                <w:sz w:val="24"/>
                <w:highlight w:val="none"/>
              </w:rPr>
            </w:pPr>
            <w:r>
              <w:rPr>
                <w:rFonts w:hint="eastAsia" w:ascii="宋体" w:hAnsi="宋体" w:eastAsia="宋体"/>
                <w:b/>
                <w:bCs/>
                <w:kern w:val="0"/>
                <w:sz w:val="24"/>
                <w:highlight w:val="none"/>
              </w:rPr>
              <w:t>注意事项：</w:t>
            </w:r>
          </w:p>
          <w:p w14:paraId="475377D5">
            <w:pPr>
              <w:spacing w:line="360" w:lineRule="auto"/>
              <w:rPr>
                <w:rFonts w:ascii="宋体" w:hAnsi="宋体" w:eastAsia="宋体"/>
                <w:b/>
                <w:bCs/>
                <w:kern w:val="0"/>
                <w:sz w:val="24"/>
                <w:highlight w:val="none"/>
              </w:rPr>
            </w:pPr>
            <w:r>
              <w:rPr>
                <w:rFonts w:hint="eastAsia" w:ascii="宋体" w:hAnsi="宋体" w:eastAsia="宋体"/>
                <w:b/>
                <w:bCs/>
                <w:kern w:val="0"/>
                <w:sz w:val="24"/>
                <w:highlight w:val="none"/>
              </w:rPr>
              <w:t>（1）以上各类机构出具的以担保函、保证保险承担责任的方式均须满足无条件见索即付条件。</w:t>
            </w:r>
          </w:p>
          <w:p w14:paraId="4414A93F">
            <w:pPr>
              <w:pStyle w:val="68"/>
              <w:widowControl w:val="0"/>
              <w:spacing w:before="0" w:beforeAutospacing="0" w:after="0" w:afterAutospacing="0" w:line="360" w:lineRule="auto"/>
              <w:jc w:val="both"/>
              <w:rPr>
                <w:sz w:val="24"/>
                <w:highlight w:val="none"/>
              </w:rPr>
            </w:pPr>
            <w:r>
              <w:rPr>
                <w:rFonts w:hint="eastAsia" w:ascii="宋体" w:hAnsi="宋体" w:eastAsia="宋体"/>
                <w:kern w:val="0"/>
                <w:sz w:val="24"/>
                <w:szCs w:val="24"/>
                <w:highlight w:val="none"/>
              </w:rPr>
              <w:t>（2）以担保函、保证保险形式缴纳履约保证金的，受益人和收取单位须为采购人。</w:t>
            </w:r>
          </w:p>
        </w:tc>
      </w:tr>
      <w:tr w14:paraId="469E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38F3F4AC">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26.1</w:t>
            </w:r>
          </w:p>
        </w:tc>
        <w:tc>
          <w:tcPr>
            <w:tcW w:w="977" w:type="pct"/>
            <w:vAlign w:val="center"/>
          </w:tcPr>
          <w:p w14:paraId="06C841A3">
            <w:pPr>
              <w:pStyle w:val="68"/>
              <w:widowControl w:val="0"/>
              <w:spacing w:before="0" w:beforeAutospacing="0" w:after="0" w:afterAutospacing="0" w:line="360" w:lineRule="auto"/>
              <w:jc w:val="both"/>
              <w:rPr>
                <w:b w:val="0"/>
                <w:sz w:val="24"/>
                <w:highlight w:val="none"/>
              </w:rPr>
            </w:pPr>
            <w:r>
              <w:rPr>
                <w:rFonts w:hint="eastAsia" w:ascii="宋体" w:hAnsi="宋体" w:eastAsia="宋体"/>
                <w:b w:val="0"/>
                <w:sz w:val="24"/>
                <w:highlight w:val="none"/>
              </w:rPr>
              <w:t>代理费用</w:t>
            </w:r>
          </w:p>
        </w:tc>
        <w:tc>
          <w:tcPr>
            <w:tcW w:w="3559" w:type="pct"/>
            <w:vAlign w:val="center"/>
          </w:tcPr>
          <w:p w14:paraId="2A35E1B6">
            <w:pPr>
              <w:spacing w:before="39" w:line="360" w:lineRule="auto"/>
              <w:rPr>
                <w:rFonts w:ascii="宋体" w:hAnsi="宋体" w:eastAsia="宋体" w:cs="宋体"/>
                <w:sz w:val="24"/>
                <w:highlight w:val="none"/>
              </w:rPr>
            </w:pPr>
            <w:r>
              <w:rPr>
                <w:rFonts w:hint="eastAsia" w:ascii="宋体" w:hAnsi="宋体" w:eastAsia="宋体"/>
                <w:bCs/>
                <w:kern w:val="0"/>
                <w:sz w:val="24"/>
                <w:highlight w:val="none"/>
              </w:rPr>
              <w:t>（1）</w:t>
            </w:r>
            <w:r>
              <w:rPr>
                <w:rFonts w:ascii="宋体" w:hAnsi="宋体" w:eastAsia="宋体"/>
                <w:bCs/>
                <w:kern w:val="0"/>
                <w:sz w:val="24"/>
                <w:highlight w:val="none"/>
              </w:rPr>
              <w:t>收费对象</w:t>
            </w:r>
            <w:r>
              <w:rPr>
                <w:rFonts w:ascii="宋体" w:hAnsi="宋体" w:eastAsia="宋体" w:cs="宋体"/>
                <w:spacing w:val="-12"/>
                <w:sz w:val="24"/>
                <w:highlight w:val="none"/>
              </w:rPr>
              <w:t>：</w:t>
            </w:r>
            <w:r>
              <w:rPr>
                <w:rFonts w:hint="eastAsia" w:ascii="宋体" w:hAnsi="宋体" w:eastAsia="宋体"/>
                <w:bCs/>
                <w:kern w:val="0"/>
                <w:sz w:val="24"/>
                <w:highlight w:val="none"/>
              </w:rPr>
              <w:sym w:font="Wingdings" w:char="00A8"/>
            </w:r>
            <w:r>
              <w:rPr>
                <w:rFonts w:ascii="宋体" w:hAnsi="宋体" w:eastAsia="宋体" w:cs="宋体"/>
                <w:spacing w:val="14"/>
                <w:sz w:val="24"/>
                <w:highlight w:val="none"/>
              </w:rPr>
              <w:t>采购人</w:t>
            </w:r>
            <w:r>
              <w:rPr>
                <w:rFonts w:hint="eastAsia" w:ascii="宋体" w:hAnsi="宋体" w:eastAsia="宋体" w:cs="宋体"/>
                <w:spacing w:val="14"/>
                <w:sz w:val="24"/>
                <w:highlight w:val="none"/>
              </w:rPr>
              <w:t xml:space="preserve">   </w:t>
            </w:r>
            <w:r>
              <w:rPr>
                <w:rFonts w:hint="eastAsia" w:ascii="宋体" w:hAnsi="宋体" w:eastAsia="宋体"/>
                <w:bCs/>
                <w:kern w:val="0"/>
                <w:sz w:val="24"/>
                <w:highlight w:val="none"/>
              </w:rPr>
              <w:sym w:font="Wingdings" w:char="00FE"/>
            </w:r>
            <w:r>
              <w:rPr>
                <w:rFonts w:hint="eastAsia" w:ascii="宋体" w:hAnsi="宋体" w:eastAsia="宋体" w:cs="宋体"/>
                <w:spacing w:val="14"/>
                <w:sz w:val="24"/>
                <w:highlight w:val="none"/>
              </w:rPr>
              <w:t>成交供应商</w:t>
            </w:r>
          </w:p>
          <w:p w14:paraId="370DE3B2">
            <w:pPr>
              <w:spacing w:before="24" w:line="360" w:lineRule="auto"/>
              <w:rPr>
                <w:rFonts w:ascii="宋体" w:hAnsi="宋体" w:eastAsia="宋体"/>
                <w:bCs/>
                <w:kern w:val="0"/>
                <w:sz w:val="24"/>
                <w:highlight w:val="none"/>
              </w:rPr>
            </w:pPr>
            <w:r>
              <w:rPr>
                <w:rFonts w:hint="eastAsia" w:ascii="宋体" w:hAnsi="宋体" w:eastAsia="宋体"/>
                <w:bCs/>
                <w:kern w:val="0"/>
                <w:sz w:val="24"/>
                <w:highlight w:val="none"/>
              </w:rPr>
              <w:t>（2）</w:t>
            </w:r>
            <w:r>
              <w:rPr>
                <w:rFonts w:ascii="宋体" w:hAnsi="宋体" w:eastAsia="宋体"/>
                <w:bCs/>
                <w:kern w:val="0"/>
                <w:sz w:val="24"/>
                <w:highlight w:val="none"/>
              </w:rPr>
              <w:t>收取方式</w:t>
            </w:r>
            <w:r>
              <w:rPr>
                <w:rFonts w:ascii="宋体" w:hAnsi="宋体" w:eastAsia="宋体" w:cs="宋体"/>
                <w:sz w:val="24"/>
                <w:highlight w:val="none"/>
              </w:rPr>
              <w:t>：</w:t>
            </w:r>
            <w:r>
              <w:rPr>
                <w:rFonts w:hint="eastAsia" w:ascii="宋体" w:hAnsi="宋体" w:eastAsia="宋体" w:cs="宋体"/>
                <w:sz w:val="24"/>
                <w:highlight w:val="none"/>
                <w:u w:val="single"/>
              </w:rPr>
              <w:t>转账/电汇</w:t>
            </w:r>
          </w:p>
          <w:p w14:paraId="2BD31F6B">
            <w:pPr>
              <w:pStyle w:val="68"/>
              <w:widowControl w:val="0"/>
              <w:spacing w:before="0" w:beforeAutospacing="0" w:after="0" w:afterAutospacing="0" w:line="360" w:lineRule="auto"/>
              <w:jc w:val="left"/>
              <w:rPr>
                <w:rFonts w:ascii="宋体" w:hAnsi="宋体" w:eastAsia="宋体" w:cs="宋体"/>
                <w:b w:val="0"/>
                <w:sz w:val="24"/>
                <w:szCs w:val="24"/>
                <w:highlight w:val="none"/>
              </w:rPr>
            </w:pPr>
            <w:r>
              <w:rPr>
                <w:rFonts w:hint="eastAsia" w:ascii="宋体" w:hAnsi="宋体" w:eastAsia="宋体"/>
                <w:b w:val="0"/>
                <w:bCs w:val="0"/>
                <w:sz w:val="24"/>
                <w:szCs w:val="24"/>
                <w:highlight w:val="none"/>
              </w:rPr>
              <w:t>（3）</w:t>
            </w:r>
            <w:r>
              <w:rPr>
                <w:rFonts w:ascii="宋体" w:hAnsi="宋体" w:eastAsia="宋体"/>
                <w:b w:val="0"/>
                <w:sz w:val="24"/>
                <w:szCs w:val="24"/>
                <w:highlight w:val="none"/>
              </w:rPr>
              <w:t>收费标准：</w:t>
            </w:r>
            <w:r>
              <w:rPr>
                <w:rFonts w:hint="eastAsia" w:ascii="宋体" w:hAnsi="宋体" w:eastAsia="宋体" w:cs="宋体"/>
                <w:b w:val="0"/>
                <w:bCs w:val="0"/>
                <w:sz w:val="24"/>
                <w:szCs w:val="24"/>
                <w:highlight w:val="none"/>
                <w:u w:val="single"/>
              </w:rPr>
              <w:t>参照合价服[2009]216号文标准向成交供应商收取；为确保服务质量，按上述标准计算的代理服务费不足0.5万元的，按0.5万元计算；</w:t>
            </w:r>
            <w:r>
              <w:rPr>
                <w:rFonts w:hint="eastAsia" w:ascii="宋体" w:hAnsi="宋体" w:eastAsia="宋体" w:cs="宋体"/>
                <w:b w:val="0"/>
                <w:sz w:val="24"/>
                <w:szCs w:val="24"/>
                <w:highlight w:val="none"/>
              </w:rPr>
              <w:t>预算30万元以下的项目，代理服务费按固定金额0.4万元收取。</w:t>
            </w:r>
          </w:p>
          <w:p w14:paraId="0B18D33C">
            <w:pPr>
              <w:pStyle w:val="68"/>
              <w:widowControl w:val="0"/>
              <w:spacing w:before="0" w:beforeAutospacing="0" w:after="0" w:afterAutospacing="0" w:line="360" w:lineRule="auto"/>
              <w:jc w:val="left"/>
              <w:rPr>
                <w:rFonts w:ascii="宋体" w:hAnsi="宋体" w:eastAsia="宋体" w:cs="宋体"/>
                <w:b w:val="0"/>
                <w:sz w:val="24"/>
                <w:szCs w:val="24"/>
                <w:highlight w:val="none"/>
              </w:rPr>
            </w:pPr>
            <w:r>
              <w:rPr>
                <w:rFonts w:hint="eastAsia" w:ascii="宋体" w:hAnsi="宋体" w:eastAsia="宋体" w:cs="宋体"/>
                <w:bCs w:val="0"/>
                <w:sz w:val="24"/>
                <w:szCs w:val="24"/>
                <w:highlight w:val="none"/>
              </w:rPr>
              <w:t>备注：供应商的响应报价应包含上述费用，但无须单独列项。</w:t>
            </w:r>
          </w:p>
        </w:tc>
      </w:tr>
      <w:tr w14:paraId="683C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A7A859E">
            <w:pPr>
              <w:pStyle w:val="69"/>
              <w:pBdr>
                <w:bottom w:val="none" w:color="auto" w:sz="0" w:space="0"/>
              </w:pBdr>
              <w:tabs>
                <w:tab w:val="clear" w:pos="4153"/>
                <w:tab w:val="clear" w:pos="8306"/>
              </w:tabs>
              <w:adjustRightInd/>
              <w:spacing w:line="360" w:lineRule="auto"/>
              <w:textAlignment w:val="auto"/>
              <w:rPr>
                <w:rFonts w:ascii="宋体" w:hAnsi="宋体" w:eastAsia="宋体" w:cs="@仿宋_GB2312"/>
                <w:bCs/>
                <w:highlight w:val="none"/>
              </w:rPr>
            </w:pPr>
            <w:r>
              <w:rPr>
                <w:rFonts w:hint="eastAsia"/>
                <w:bCs/>
                <w:highlight w:val="none"/>
              </w:rPr>
              <w:t>27.1</w:t>
            </w:r>
          </w:p>
        </w:tc>
        <w:tc>
          <w:tcPr>
            <w:tcW w:w="977" w:type="pct"/>
            <w:vAlign w:val="center"/>
          </w:tcPr>
          <w:p w14:paraId="4A3A7659">
            <w:pPr>
              <w:pStyle w:val="68"/>
              <w:widowControl w:val="0"/>
              <w:spacing w:before="0" w:beforeAutospacing="0" w:after="0" w:afterAutospacing="0" w:line="360" w:lineRule="auto"/>
              <w:jc w:val="both"/>
              <w:rPr>
                <w:rFonts w:ascii="宋体" w:hAnsi="宋体" w:eastAsia="宋体" w:cs="@仿宋_GB2312"/>
                <w:b w:val="0"/>
                <w:kern w:val="0"/>
                <w:sz w:val="24"/>
                <w:highlight w:val="none"/>
              </w:rPr>
            </w:pPr>
            <w:r>
              <w:rPr>
                <w:rFonts w:hint="eastAsia" w:ascii="宋体" w:hAnsi="宋体" w:eastAsia="宋体"/>
                <w:b w:val="0"/>
                <w:sz w:val="24"/>
                <w:highlight w:val="none"/>
              </w:rPr>
              <w:t>签订合同和合同公告时间</w:t>
            </w:r>
          </w:p>
        </w:tc>
        <w:tc>
          <w:tcPr>
            <w:tcW w:w="3559" w:type="pct"/>
            <w:vAlign w:val="center"/>
          </w:tcPr>
          <w:p w14:paraId="0D8F3816">
            <w:pPr>
              <w:pStyle w:val="68"/>
              <w:widowControl w:val="0"/>
              <w:spacing w:before="0" w:beforeAutospacing="0" w:after="0" w:afterAutospacing="0" w:line="360" w:lineRule="auto"/>
              <w:jc w:val="both"/>
              <w:rPr>
                <w:rFonts w:ascii="宋体" w:hAnsi="宋体" w:eastAsia="宋体" w:cs="@仿宋_GB2312"/>
                <w:b w:val="0"/>
                <w:kern w:val="0"/>
                <w:sz w:val="24"/>
                <w:highlight w:val="none"/>
              </w:rPr>
            </w:pPr>
            <w:r>
              <w:rPr>
                <w:rFonts w:hint="eastAsia" w:ascii="宋体" w:hAnsi="宋体" w:eastAsia="宋体" w:cs="@仿宋_GB2312"/>
                <w:b w:val="0"/>
                <w:kern w:val="0"/>
                <w:sz w:val="24"/>
                <w:highlight w:val="none"/>
              </w:rPr>
              <w:t>（1）采购人与成交供应商应当自发出成交通知书之日起7个工作日内签订合同，采购合同签订之日起2个工作日内完成政府采购合同公开。</w:t>
            </w:r>
          </w:p>
          <w:p w14:paraId="38674A60">
            <w:pPr>
              <w:pStyle w:val="68"/>
              <w:widowControl w:val="0"/>
              <w:spacing w:before="0" w:beforeAutospacing="0" w:after="0" w:afterAutospacing="0" w:line="360" w:lineRule="auto"/>
              <w:jc w:val="both"/>
              <w:rPr>
                <w:rFonts w:ascii="宋体" w:hAnsi="宋体" w:eastAsia="宋体" w:cs="@仿宋_GB2312"/>
                <w:b w:val="0"/>
                <w:kern w:val="0"/>
                <w:sz w:val="24"/>
                <w:highlight w:val="none"/>
              </w:rPr>
            </w:pPr>
            <w:r>
              <w:rPr>
                <w:rFonts w:hint="eastAsia" w:ascii="宋体" w:hAnsi="宋体" w:eastAsia="宋体" w:cs="@仿宋_GB2312"/>
                <w:b w:val="0"/>
                <w:kern w:val="0"/>
                <w:sz w:val="24"/>
                <w:highlight w:val="none"/>
              </w:rPr>
              <w:t>（2）采购人与成交供应商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713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8EE05F5">
            <w:pPr>
              <w:pStyle w:val="69"/>
              <w:pBdr>
                <w:bottom w:val="none" w:color="auto" w:sz="0" w:space="0"/>
              </w:pBdr>
              <w:tabs>
                <w:tab w:val="clear" w:pos="4153"/>
                <w:tab w:val="clear" w:pos="8306"/>
              </w:tabs>
              <w:adjustRightInd/>
              <w:spacing w:line="360" w:lineRule="auto"/>
              <w:textAlignment w:val="auto"/>
              <w:rPr>
                <w:rFonts w:eastAsia="宋体"/>
                <w:bCs/>
                <w:highlight w:val="none"/>
              </w:rPr>
            </w:pPr>
            <w:r>
              <w:rPr>
                <w:rFonts w:hint="eastAsia"/>
                <w:bCs/>
                <w:highlight w:val="none"/>
              </w:rPr>
              <w:t>29.3</w:t>
            </w:r>
          </w:p>
        </w:tc>
        <w:tc>
          <w:tcPr>
            <w:tcW w:w="977" w:type="pct"/>
            <w:vAlign w:val="center"/>
          </w:tcPr>
          <w:p w14:paraId="3DAE6582">
            <w:pPr>
              <w:pStyle w:val="68"/>
              <w:widowControl w:val="0"/>
              <w:spacing w:before="0" w:beforeAutospacing="0" w:after="0" w:afterAutospacing="0" w:line="360" w:lineRule="auto"/>
              <w:jc w:val="both"/>
              <w:rPr>
                <w:b w:val="0"/>
                <w:sz w:val="24"/>
                <w:highlight w:val="none"/>
              </w:rPr>
            </w:pPr>
            <w:r>
              <w:rPr>
                <w:rFonts w:hint="eastAsia"/>
                <w:b w:val="0"/>
                <w:sz w:val="24"/>
                <w:highlight w:val="none"/>
              </w:rPr>
              <w:t>质疑函递交方式、接收部门、联系电话和通讯地址</w:t>
            </w:r>
          </w:p>
        </w:tc>
        <w:tc>
          <w:tcPr>
            <w:tcW w:w="3559" w:type="pct"/>
            <w:vAlign w:val="center"/>
          </w:tcPr>
          <w:p w14:paraId="24863E48">
            <w:pPr>
              <w:pStyle w:val="68"/>
              <w:widowControl w:val="0"/>
              <w:spacing w:before="0" w:beforeAutospacing="0" w:after="0" w:afterAutospacing="0" w:line="360" w:lineRule="auto"/>
              <w:jc w:val="both"/>
              <w:rPr>
                <w:rFonts w:ascii="宋体" w:hAnsi="宋体" w:eastAsia="宋体"/>
                <w:b w:val="0"/>
                <w:sz w:val="24"/>
                <w:highlight w:val="none"/>
                <w:u w:val="none"/>
              </w:rPr>
            </w:pPr>
            <w:r>
              <w:rPr>
                <w:rFonts w:hint="eastAsia" w:ascii="宋体" w:hAnsi="宋体" w:eastAsia="宋体"/>
                <w:b w:val="0"/>
                <w:sz w:val="24"/>
                <w:highlight w:val="none"/>
              </w:rPr>
              <w:t>递交方</w:t>
            </w:r>
            <w:r>
              <w:rPr>
                <w:rFonts w:hint="eastAsia" w:ascii="宋体" w:hAnsi="宋体" w:eastAsia="宋体"/>
                <w:b w:val="0"/>
                <w:sz w:val="24"/>
                <w:highlight w:val="none"/>
                <w:u w:val="none"/>
              </w:rPr>
              <w:t>式：书面形式</w:t>
            </w:r>
          </w:p>
          <w:p w14:paraId="43C3975A">
            <w:pPr>
              <w:pStyle w:val="68"/>
              <w:widowControl w:val="0"/>
              <w:spacing w:before="0" w:beforeAutospacing="0" w:after="0" w:afterAutospacing="0" w:line="360" w:lineRule="auto"/>
              <w:jc w:val="both"/>
              <w:rPr>
                <w:rFonts w:ascii="宋体" w:hAnsi="宋体" w:eastAsia="宋体"/>
                <w:b w:val="0"/>
                <w:sz w:val="24"/>
                <w:szCs w:val="18"/>
                <w:highlight w:val="none"/>
                <w:u w:val="none"/>
              </w:rPr>
            </w:pPr>
            <w:r>
              <w:rPr>
                <w:rFonts w:hint="eastAsia" w:ascii="宋体" w:hAnsi="宋体" w:eastAsia="宋体"/>
                <w:b w:val="0"/>
                <w:sz w:val="24"/>
                <w:highlight w:val="none"/>
                <w:u w:val="none"/>
              </w:rPr>
              <w:t>接收部门：安徽省招标集团法务与质管中心</w:t>
            </w:r>
          </w:p>
          <w:p w14:paraId="2AE76269">
            <w:pPr>
              <w:pStyle w:val="68"/>
              <w:widowControl w:val="0"/>
              <w:spacing w:before="0" w:beforeAutospacing="0" w:after="0" w:afterAutospacing="0" w:line="360" w:lineRule="auto"/>
              <w:jc w:val="both"/>
              <w:rPr>
                <w:rFonts w:ascii="宋体" w:hAnsi="宋体" w:eastAsia="宋体"/>
                <w:b w:val="0"/>
                <w:sz w:val="24"/>
                <w:szCs w:val="18"/>
                <w:highlight w:val="none"/>
                <w:u w:val="none"/>
              </w:rPr>
            </w:pPr>
            <w:r>
              <w:rPr>
                <w:rFonts w:ascii="宋体" w:hAnsi="宋体" w:eastAsia="宋体"/>
                <w:b w:val="0"/>
                <w:sz w:val="24"/>
                <w:highlight w:val="none"/>
                <w:u w:val="none"/>
              </w:rPr>
              <w:t>联系电话：</w:t>
            </w:r>
            <w:r>
              <w:rPr>
                <w:rFonts w:hint="eastAsia" w:ascii="宋体" w:hAnsi="宋体" w:eastAsia="宋体"/>
                <w:b w:val="0"/>
                <w:sz w:val="24"/>
                <w:highlight w:val="none"/>
                <w:u w:val="none"/>
              </w:rPr>
              <w:t>0551-62220155</w:t>
            </w:r>
          </w:p>
          <w:p w14:paraId="0EA02129">
            <w:pPr>
              <w:pStyle w:val="68"/>
              <w:widowControl w:val="0"/>
              <w:spacing w:before="0" w:beforeAutospacing="0" w:after="0" w:afterAutospacing="0" w:line="360" w:lineRule="auto"/>
              <w:jc w:val="both"/>
              <w:rPr>
                <w:b w:val="0"/>
                <w:sz w:val="24"/>
                <w:highlight w:val="none"/>
              </w:rPr>
            </w:pPr>
            <w:r>
              <w:rPr>
                <w:rFonts w:hint="eastAsia" w:ascii="宋体" w:hAnsi="宋体" w:eastAsia="宋体"/>
                <w:b w:val="0"/>
                <w:sz w:val="24"/>
                <w:highlight w:val="none"/>
              </w:rPr>
              <w:t>通讯地址：合肥市包河区紫云路</w:t>
            </w:r>
            <w:r>
              <w:rPr>
                <w:rFonts w:hint="eastAsia" w:ascii="宋体" w:hAnsi="宋体" w:eastAsia="宋体"/>
                <w:b w:val="0"/>
                <w:sz w:val="24"/>
                <w:highlight w:val="none"/>
                <w:lang w:val="en-US"/>
              </w:rPr>
              <w:t>888</w:t>
            </w:r>
            <w:r>
              <w:rPr>
                <w:rFonts w:hint="eastAsia" w:ascii="宋体" w:hAnsi="宋体" w:eastAsia="宋体"/>
                <w:b w:val="0"/>
                <w:sz w:val="24"/>
                <w:highlight w:val="none"/>
              </w:rPr>
              <w:t>号407室</w:t>
            </w:r>
          </w:p>
        </w:tc>
      </w:tr>
      <w:tr w14:paraId="45D0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DDB36CA">
            <w:pPr>
              <w:pStyle w:val="69"/>
              <w:pBdr>
                <w:bottom w:val="none" w:color="auto" w:sz="0" w:space="0"/>
              </w:pBdr>
              <w:tabs>
                <w:tab w:val="clear" w:pos="4153"/>
                <w:tab w:val="clear" w:pos="8306"/>
              </w:tabs>
              <w:adjustRightInd/>
              <w:spacing w:line="360" w:lineRule="auto"/>
              <w:textAlignment w:val="auto"/>
              <w:rPr>
                <w:rFonts w:eastAsia="宋体"/>
                <w:bCs/>
                <w:highlight w:val="none"/>
              </w:rPr>
            </w:pPr>
            <w:r>
              <w:rPr>
                <w:rFonts w:hint="eastAsia"/>
                <w:bCs/>
                <w:highlight w:val="none"/>
              </w:rPr>
              <w:t>30</w:t>
            </w:r>
          </w:p>
        </w:tc>
        <w:tc>
          <w:tcPr>
            <w:tcW w:w="977" w:type="pct"/>
            <w:vAlign w:val="center"/>
          </w:tcPr>
          <w:p w14:paraId="14BF2036">
            <w:pPr>
              <w:pStyle w:val="68"/>
              <w:widowControl w:val="0"/>
              <w:spacing w:before="0" w:beforeAutospacing="0" w:after="0" w:afterAutospacing="0" w:line="360" w:lineRule="auto"/>
              <w:jc w:val="both"/>
              <w:rPr>
                <w:b w:val="0"/>
                <w:sz w:val="24"/>
                <w:highlight w:val="none"/>
              </w:rPr>
            </w:pPr>
            <w:r>
              <w:rPr>
                <w:rFonts w:hint="eastAsia"/>
                <w:b w:val="0"/>
                <w:sz w:val="24"/>
                <w:highlight w:val="none"/>
              </w:rPr>
              <w:t>其他内容</w:t>
            </w:r>
          </w:p>
        </w:tc>
        <w:tc>
          <w:tcPr>
            <w:tcW w:w="3559" w:type="pct"/>
            <w:vAlign w:val="center"/>
          </w:tcPr>
          <w:p w14:paraId="517ACFAB">
            <w:pPr>
              <w:spacing w:line="360" w:lineRule="auto"/>
              <w:rPr>
                <w:rFonts w:eastAsia="宋体"/>
                <w:sz w:val="24"/>
                <w:highlight w:val="none"/>
              </w:rPr>
            </w:pPr>
          </w:p>
        </w:tc>
      </w:tr>
      <w:tr w14:paraId="24E2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1318890">
            <w:pPr>
              <w:pStyle w:val="69"/>
              <w:pBdr>
                <w:bottom w:val="none" w:color="auto" w:sz="0" w:space="0"/>
              </w:pBdr>
              <w:tabs>
                <w:tab w:val="clear" w:pos="4153"/>
                <w:tab w:val="clear" w:pos="8306"/>
              </w:tabs>
              <w:adjustRightInd/>
              <w:spacing w:line="360" w:lineRule="auto"/>
              <w:textAlignment w:val="auto"/>
              <w:rPr>
                <w:bCs/>
                <w:highlight w:val="none"/>
              </w:rPr>
            </w:pPr>
            <w:r>
              <w:rPr>
                <w:bCs/>
                <w:highlight w:val="none"/>
              </w:rPr>
              <w:t>3</w:t>
            </w:r>
            <w:r>
              <w:rPr>
                <w:rFonts w:hint="eastAsia"/>
                <w:bCs/>
                <w:highlight w:val="none"/>
              </w:rPr>
              <w:t>0</w:t>
            </w:r>
            <w:r>
              <w:rPr>
                <w:bCs/>
                <w:highlight w:val="none"/>
              </w:rPr>
              <w:t>.</w:t>
            </w:r>
            <w:r>
              <w:rPr>
                <w:rFonts w:hint="eastAsia"/>
                <w:bCs/>
                <w:highlight w:val="none"/>
              </w:rPr>
              <w:t>1</w:t>
            </w:r>
          </w:p>
        </w:tc>
        <w:tc>
          <w:tcPr>
            <w:tcW w:w="977" w:type="pct"/>
            <w:vAlign w:val="center"/>
          </w:tcPr>
          <w:p w14:paraId="30B22177">
            <w:pPr>
              <w:pStyle w:val="68"/>
              <w:widowControl w:val="0"/>
              <w:spacing w:before="0" w:beforeAutospacing="0" w:after="0" w:afterAutospacing="0" w:line="360" w:lineRule="auto"/>
              <w:jc w:val="both"/>
              <w:rPr>
                <w:b w:val="0"/>
                <w:sz w:val="24"/>
                <w:highlight w:val="none"/>
              </w:rPr>
            </w:pPr>
            <w:r>
              <w:rPr>
                <w:rFonts w:hint="eastAsia"/>
                <w:b w:val="0"/>
                <w:sz w:val="24"/>
                <w:highlight w:val="none"/>
              </w:rPr>
              <w:t>承包方式</w:t>
            </w:r>
          </w:p>
        </w:tc>
        <w:tc>
          <w:tcPr>
            <w:tcW w:w="3559" w:type="pct"/>
            <w:vAlign w:val="center"/>
          </w:tcPr>
          <w:p w14:paraId="09BB9DF4">
            <w:pPr>
              <w:pStyle w:val="68"/>
              <w:widowControl w:val="0"/>
              <w:spacing w:before="0" w:beforeAutospacing="0" w:after="0" w:afterAutospacing="0" w:line="360" w:lineRule="auto"/>
              <w:jc w:val="both"/>
              <w:rPr>
                <w:b w:val="0"/>
                <w:sz w:val="24"/>
                <w:highlight w:val="none"/>
              </w:rPr>
            </w:pPr>
            <w:r>
              <w:rPr>
                <w:rFonts w:hint="eastAsia"/>
                <w:b w:val="0"/>
                <w:sz w:val="24"/>
                <w:highlight w:val="none"/>
              </w:rPr>
              <w:t>☑施工总承包  □专业承包</w:t>
            </w:r>
          </w:p>
        </w:tc>
      </w:tr>
      <w:tr w14:paraId="4A8B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AAF337F">
            <w:pPr>
              <w:pStyle w:val="69"/>
              <w:pBdr>
                <w:bottom w:val="none" w:color="auto" w:sz="0" w:space="0"/>
              </w:pBdr>
              <w:tabs>
                <w:tab w:val="clear" w:pos="4153"/>
                <w:tab w:val="clear" w:pos="8306"/>
              </w:tabs>
              <w:adjustRightInd/>
              <w:spacing w:line="360" w:lineRule="auto"/>
              <w:textAlignment w:val="auto"/>
              <w:rPr>
                <w:bCs/>
                <w:highlight w:val="none"/>
              </w:rPr>
            </w:pPr>
            <w:r>
              <w:rPr>
                <w:bCs/>
                <w:highlight w:val="none"/>
              </w:rPr>
              <w:t>3</w:t>
            </w:r>
            <w:r>
              <w:rPr>
                <w:rFonts w:hint="eastAsia"/>
                <w:bCs/>
                <w:highlight w:val="none"/>
              </w:rPr>
              <w:t>0</w:t>
            </w:r>
            <w:r>
              <w:rPr>
                <w:bCs/>
                <w:highlight w:val="none"/>
              </w:rPr>
              <w:t>.</w:t>
            </w:r>
            <w:r>
              <w:rPr>
                <w:rFonts w:hint="eastAsia"/>
                <w:bCs/>
                <w:highlight w:val="none"/>
              </w:rPr>
              <w:t>2</w:t>
            </w:r>
          </w:p>
        </w:tc>
        <w:tc>
          <w:tcPr>
            <w:tcW w:w="977" w:type="pct"/>
            <w:vAlign w:val="center"/>
          </w:tcPr>
          <w:p w14:paraId="4370212D">
            <w:pPr>
              <w:pStyle w:val="68"/>
              <w:widowControl w:val="0"/>
              <w:spacing w:before="0" w:beforeAutospacing="0" w:after="0" w:afterAutospacing="0" w:line="360" w:lineRule="auto"/>
              <w:jc w:val="both"/>
              <w:rPr>
                <w:b w:val="0"/>
                <w:sz w:val="24"/>
                <w:highlight w:val="none"/>
              </w:rPr>
            </w:pPr>
            <w:r>
              <w:rPr>
                <w:rFonts w:hint="eastAsia"/>
                <w:b w:val="0"/>
                <w:sz w:val="24"/>
                <w:highlight w:val="none"/>
              </w:rPr>
              <w:t>计价方式</w:t>
            </w:r>
          </w:p>
        </w:tc>
        <w:tc>
          <w:tcPr>
            <w:tcW w:w="3559" w:type="pct"/>
            <w:vAlign w:val="center"/>
          </w:tcPr>
          <w:p w14:paraId="0D8F7180">
            <w:pPr>
              <w:pStyle w:val="68"/>
              <w:widowControl w:val="0"/>
              <w:spacing w:before="0" w:beforeAutospacing="0" w:after="0" w:afterAutospacing="0" w:line="360" w:lineRule="auto"/>
              <w:jc w:val="both"/>
              <w:rPr>
                <w:b w:val="0"/>
                <w:sz w:val="24"/>
                <w:highlight w:val="none"/>
              </w:rPr>
            </w:pPr>
            <w:r>
              <w:rPr>
                <w:rFonts w:hint="eastAsia"/>
                <w:b w:val="0"/>
                <w:sz w:val="24"/>
                <w:highlight w:val="none"/>
              </w:rPr>
              <w:t>☑工程量清单综合单价报价法</w:t>
            </w:r>
          </w:p>
          <w:p w14:paraId="79BD5E36">
            <w:pPr>
              <w:pStyle w:val="68"/>
              <w:widowControl w:val="0"/>
              <w:spacing w:before="0" w:beforeAutospacing="0" w:after="0" w:afterAutospacing="0" w:line="360" w:lineRule="auto"/>
              <w:jc w:val="both"/>
              <w:rPr>
                <w:b w:val="0"/>
                <w:sz w:val="24"/>
                <w:highlight w:val="none"/>
              </w:rPr>
            </w:pPr>
            <w:r>
              <w:rPr>
                <w:rFonts w:hint="eastAsia"/>
                <w:b w:val="0"/>
                <w:sz w:val="24"/>
                <w:highlight w:val="none"/>
              </w:rPr>
              <w:t>□全费用综合单价报价法</w:t>
            </w:r>
          </w:p>
        </w:tc>
      </w:tr>
      <w:tr w14:paraId="160F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52D375B6">
            <w:pPr>
              <w:pStyle w:val="69"/>
              <w:pBdr>
                <w:bottom w:val="none" w:color="auto" w:sz="0" w:space="0"/>
              </w:pBdr>
              <w:tabs>
                <w:tab w:val="clear" w:pos="4153"/>
                <w:tab w:val="clear" w:pos="8306"/>
              </w:tabs>
              <w:adjustRightInd/>
              <w:spacing w:line="360" w:lineRule="auto"/>
              <w:textAlignment w:val="auto"/>
              <w:rPr>
                <w:bCs/>
                <w:highlight w:val="none"/>
              </w:rPr>
            </w:pPr>
            <w:r>
              <w:rPr>
                <w:bCs/>
                <w:highlight w:val="none"/>
              </w:rPr>
              <w:t>3</w:t>
            </w:r>
            <w:r>
              <w:rPr>
                <w:rFonts w:hint="eastAsia"/>
                <w:bCs/>
                <w:highlight w:val="none"/>
              </w:rPr>
              <w:t>0</w:t>
            </w:r>
            <w:r>
              <w:rPr>
                <w:bCs/>
                <w:highlight w:val="none"/>
              </w:rPr>
              <w:t>.</w:t>
            </w:r>
            <w:r>
              <w:rPr>
                <w:rFonts w:hint="eastAsia"/>
                <w:bCs/>
                <w:highlight w:val="none"/>
              </w:rPr>
              <w:t>3</w:t>
            </w:r>
          </w:p>
        </w:tc>
        <w:tc>
          <w:tcPr>
            <w:tcW w:w="977" w:type="pct"/>
            <w:vAlign w:val="center"/>
          </w:tcPr>
          <w:p w14:paraId="5A2B82C2">
            <w:pPr>
              <w:pStyle w:val="68"/>
              <w:widowControl w:val="0"/>
              <w:spacing w:before="0" w:beforeAutospacing="0" w:after="0" w:afterAutospacing="0" w:line="360" w:lineRule="auto"/>
              <w:jc w:val="both"/>
              <w:rPr>
                <w:b w:val="0"/>
                <w:sz w:val="24"/>
                <w:highlight w:val="none"/>
              </w:rPr>
            </w:pPr>
            <w:r>
              <w:rPr>
                <w:rFonts w:hint="eastAsia"/>
                <w:b w:val="0"/>
                <w:sz w:val="24"/>
                <w:highlight w:val="none"/>
              </w:rPr>
              <w:t>计划</w:t>
            </w:r>
            <w:r>
              <w:rPr>
                <w:b w:val="0"/>
                <w:sz w:val="24"/>
                <w:highlight w:val="none"/>
              </w:rPr>
              <w:t>工期</w:t>
            </w:r>
          </w:p>
        </w:tc>
        <w:tc>
          <w:tcPr>
            <w:tcW w:w="3559" w:type="pct"/>
            <w:vAlign w:val="center"/>
          </w:tcPr>
          <w:p w14:paraId="3051C181">
            <w:pPr>
              <w:spacing w:before="156" w:beforeLines="50"/>
              <w:rPr>
                <w:sz w:val="24"/>
                <w:highlight w:val="none"/>
              </w:rPr>
            </w:pPr>
            <w:r>
              <w:rPr>
                <w:rFonts w:hint="eastAsia"/>
                <w:sz w:val="24"/>
                <w:highlight w:val="none"/>
                <w:u w:val="none"/>
              </w:rPr>
              <w:t>90</w:t>
            </w:r>
            <w:r>
              <w:rPr>
                <w:rFonts w:hint="eastAsia"/>
                <w:sz w:val="24"/>
                <w:highlight w:val="none"/>
              </w:rPr>
              <w:t>日历日</w:t>
            </w:r>
          </w:p>
        </w:tc>
      </w:tr>
      <w:tr w14:paraId="68E6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942BCD3">
            <w:pPr>
              <w:pStyle w:val="69"/>
              <w:pBdr>
                <w:bottom w:val="none" w:color="auto" w:sz="0" w:space="0"/>
              </w:pBdr>
              <w:tabs>
                <w:tab w:val="clear" w:pos="4153"/>
                <w:tab w:val="clear" w:pos="8306"/>
              </w:tabs>
              <w:adjustRightInd/>
              <w:spacing w:line="360" w:lineRule="auto"/>
              <w:textAlignment w:val="auto"/>
              <w:rPr>
                <w:bCs/>
                <w:highlight w:val="none"/>
              </w:rPr>
            </w:pPr>
            <w:r>
              <w:rPr>
                <w:bCs/>
                <w:highlight w:val="none"/>
              </w:rPr>
              <w:t>3</w:t>
            </w:r>
            <w:r>
              <w:rPr>
                <w:rFonts w:hint="eastAsia"/>
                <w:bCs/>
                <w:highlight w:val="none"/>
              </w:rPr>
              <w:t>0</w:t>
            </w:r>
            <w:r>
              <w:rPr>
                <w:bCs/>
                <w:highlight w:val="none"/>
              </w:rPr>
              <w:t>.</w:t>
            </w:r>
            <w:r>
              <w:rPr>
                <w:rFonts w:hint="eastAsia"/>
                <w:bCs/>
                <w:highlight w:val="none"/>
              </w:rPr>
              <w:t>4</w:t>
            </w:r>
          </w:p>
        </w:tc>
        <w:tc>
          <w:tcPr>
            <w:tcW w:w="977" w:type="pct"/>
            <w:vAlign w:val="center"/>
          </w:tcPr>
          <w:p w14:paraId="6479D71C">
            <w:pPr>
              <w:pStyle w:val="68"/>
              <w:widowControl w:val="0"/>
              <w:spacing w:before="0" w:beforeAutospacing="0" w:after="0" w:afterAutospacing="0" w:line="360" w:lineRule="auto"/>
              <w:jc w:val="both"/>
              <w:rPr>
                <w:b w:val="0"/>
                <w:sz w:val="24"/>
                <w:highlight w:val="none"/>
              </w:rPr>
            </w:pPr>
            <w:r>
              <w:rPr>
                <w:rFonts w:hint="eastAsia"/>
                <w:b w:val="0"/>
                <w:sz w:val="24"/>
                <w:highlight w:val="none"/>
              </w:rPr>
              <w:t>质量标准要求</w:t>
            </w:r>
          </w:p>
        </w:tc>
        <w:tc>
          <w:tcPr>
            <w:tcW w:w="3559" w:type="pct"/>
            <w:vAlign w:val="center"/>
          </w:tcPr>
          <w:p w14:paraId="1D4D709C">
            <w:pPr>
              <w:pStyle w:val="95"/>
              <w:tabs>
                <w:tab w:val="left" w:pos="1152"/>
              </w:tabs>
              <w:spacing w:before="0" w:beforeAutospacing="0" w:after="0" w:afterAutospacing="0" w:line="360" w:lineRule="auto"/>
              <w:rPr>
                <w:b/>
                <w:highlight w:val="none"/>
              </w:rPr>
            </w:pPr>
            <w:r>
              <w:rPr>
                <w:rFonts w:hint="eastAsia" w:cs="@仿宋_GB2312"/>
                <w:bCs/>
                <w:szCs w:val="28"/>
                <w:highlight w:val="none"/>
              </w:rPr>
              <w:t>质量标准：合格</w:t>
            </w:r>
          </w:p>
        </w:tc>
      </w:tr>
      <w:tr w14:paraId="2499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1607368D">
            <w:pPr>
              <w:pStyle w:val="69"/>
              <w:pBdr>
                <w:bottom w:val="none" w:color="auto" w:sz="0" w:space="0"/>
              </w:pBdr>
              <w:tabs>
                <w:tab w:val="clear" w:pos="4153"/>
                <w:tab w:val="clear" w:pos="8306"/>
              </w:tabs>
              <w:adjustRightInd/>
              <w:spacing w:line="360" w:lineRule="auto"/>
              <w:textAlignment w:val="auto"/>
              <w:rPr>
                <w:rFonts w:eastAsia="宋体"/>
                <w:bCs/>
                <w:highlight w:val="none"/>
              </w:rPr>
            </w:pPr>
            <w:r>
              <w:rPr>
                <w:bCs/>
                <w:highlight w:val="none"/>
              </w:rPr>
              <w:t>3</w:t>
            </w:r>
            <w:r>
              <w:rPr>
                <w:rFonts w:hint="eastAsia"/>
                <w:bCs/>
                <w:highlight w:val="none"/>
              </w:rPr>
              <w:t>0</w:t>
            </w:r>
            <w:r>
              <w:rPr>
                <w:bCs/>
                <w:highlight w:val="none"/>
              </w:rPr>
              <w:t>.</w:t>
            </w:r>
            <w:r>
              <w:rPr>
                <w:rFonts w:hint="eastAsia"/>
                <w:bCs/>
                <w:highlight w:val="none"/>
              </w:rPr>
              <w:t>5</w:t>
            </w:r>
          </w:p>
        </w:tc>
        <w:tc>
          <w:tcPr>
            <w:tcW w:w="977" w:type="pct"/>
            <w:vAlign w:val="center"/>
          </w:tcPr>
          <w:p w14:paraId="42956EA4">
            <w:pPr>
              <w:pStyle w:val="68"/>
              <w:widowControl w:val="0"/>
              <w:spacing w:before="0" w:beforeAutospacing="0" w:after="0" w:afterAutospacing="0" w:line="360" w:lineRule="auto"/>
              <w:jc w:val="both"/>
              <w:rPr>
                <w:b w:val="0"/>
                <w:sz w:val="24"/>
                <w:highlight w:val="none"/>
              </w:rPr>
            </w:pPr>
            <w:r>
              <w:rPr>
                <w:rFonts w:hint="eastAsia"/>
                <w:b w:val="0"/>
                <w:sz w:val="24"/>
                <w:highlight w:val="none"/>
              </w:rPr>
              <w:t>安全文明要求</w:t>
            </w:r>
          </w:p>
        </w:tc>
        <w:tc>
          <w:tcPr>
            <w:tcW w:w="3559" w:type="pct"/>
            <w:vAlign w:val="center"/>
          </w:tcPr>
          <w:p w14:paraId="52D13BF5">
            <w:pPr>
              <w:pStyle w:val="68"/>
              <w:widowControl w:val="0"/>
              <w:spacing w:before="0" w:beforeAutospacing="0" w:after="0" w:afterAutospacing="0" w:line="360" w:lineRule="auto"/>
              <w:jc w:val="both"/>
              <w:rPr>
                <w:b w:val="0"/>
                <w:bCs w:val="0"/>
                <w:sz w:val="24"/>
                <w:highlight w:val="none"/>
              </w:rPr>
            </w:pPr>
            <w:r>
              <w:rPr>
                <w:rFonts w:hint="eastAsia"/>
                <w:b w:val="0"/>
                <w:bCs w:val="0"/>
                <w:sz w:val="24"/>
                <w:highlight w:val="none"/>
              </w:rPr>
              <w:t>必须确保安全文明施工，符合国家和项目所在地现行相关规定</w:t>
            </w:r>
          </w:p>
        </w:tc>
      </w:tr>
      <w:tr w14:paraId="2FC9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79C1566">
            <w:pPr>
              <w:pStyle w:val="69"/>
              <w:pBdr>
                <w:bottom w:val="none" w:color="auto" w:sz="0" w:space="0"/>
              </w:pBdr>
              <w:tabs>
                <w:tab w:val="clear" w:pos="4153"/>
                <w:tab w:val="clear" w:pos="8306"/>
              </w:tabs>
              <w:adjustRightInd/>
              <w:spacing w:line="360" w:lineRule="auto"/>
              <w:textAlignment w:val="auto"/>
              <w:rPr>
                <w:rFonts w:eastAsia="宋体"/>
                <w:bCs/>
                <w:highlight w:val="none"/>
              </w:rPr>
            </w:pPr>
            <w:r>
              <w:rPr>
                <w:bCs/>
                <w:highlight w:val="none"/>
              </w:rPr>
              <w:t>3</w:t>
            </w:r>
            <w:r>
              <w:rPr>
                <w:rFonts w:hint="eastAsia"/>
                <w:bCs/>
                <w:highlight w:val="none"/>
              </w:rPr>
              <w:t>0</w:t>
            </w:r>
            <w:r>
              <w:rPr>
                <w:bCs/>
                <w:highlight w:val="none"/>
              </w:rPr>
              <w:t>.</w:t>
            </w:r>
            <w:r>
              <w:rPr>
                <w:rFonts w:hint="eastAsia"/>
                <w:bCs/>
                <w:highlight w:val="none"/>
              </w:rPr>
              <w:t>6</w:t>
            </w:r>
          </w:p>
        </w:tc>
        <w:tc>
          <w:tcPr>
            <w:tcW w:w="977" w:type="pct"/>
            <w:vAlign w:val="center"/>
          </w:tcPr>
          <w:p w14:paraId="18414B3D">
            <w:pPr>
              <w:pStyle w:val="68"/>
              <w:widowControl w:val="0"/>
              <w:spacing w:before="0" w:beforeAutospacing="0" w:after="0" w:afterAutospacing="0" w:line="360" w:lineRule="auto"/>
              <w:jc w:val="both"/>
              <w:rPr>
                <w:b w:val="0"/>
                <w:sz w:val="24"/>
                <w:highlight w:val="none"/>
              </w:rPr>
            </w:pPr>
            <w:r>
              <w:rPr>
                <w:rFonts w:hint="eastAsia"/>
                <w:b w:val="0"/>
                <w:sz w:val="24"/>
                <w:highlight w:val="none"/>
              </w:rPr>
              <w:t>总包及分包规定</w:t>
            </w:r>
          </w:p>
        </w:tc>
        <w:tc>
          <w:tcPr>
            <w:tcW w:w="3559" w:type="pct"/>
            <w:vAlign w:val="center"/>
          </w:tcPr>
          <w:p w14:paraId="084A14B1">
            <w:pPr>
              <w:spacing w:line="360" w:lineRule="auto"/>
              <w:rPr>
                <w:rFonts w:ascii="Calibri" w:hAnsi="Calibri" w:cs="Times New Roman"/>
                <w:sz w:val="24"/>
                <w:szCs w:val="28"/>
                <w:highlight w:val="none"/>
              </w:rPr>
            </w:pPr>
            <w:r>
              <w:rPr>
                <w:rFonts w:hint="eastAsia" w:ascii="Calibri" w:hAnsi="Calibri" w:cs="Times New Roman"/>
                <w:sz w:val="24"/>
                <w:szCs w:val="28"/>
                <w:highlight w:val="none"/>
              </w:rPr>
              <w:t>供应商不得在成交后将工程转包给其它施工单位。</w:t>
            </w:r>
          </w:p>
          <w:p w14:paraId="3122134F">
            <w:pPr>
              <w:spacing w:line="360" w:lineRule="auto"/>
              <w:jc w:val="left"/>
              <w:rPr>
                <w:rFonts w:cs="Times New Roman"/>
                <w:sz w:val="24"/>
                <w:szCs w:val="22"/>
                <w:highlight w:val="none"/>
              </w:rPr>
            </w:pPr>
            <w:r>
              <w:rPr>
                <w:rFonts w:hint="eastAsia" w:cs="Times New Roman"/>
                <w:sz w:val="24"/>
                <w:szCs w:val="22"/>
                <w:highlight w:val="none"/>
              </w:rPr>
              <w:t>分包情况</w:t>
            </w:r>
          </w:p>
          <w:p w14:paraId="721CC181">
            <w:pPr>
              <w:spacing w:line="360" w:lineRule="auto"/>
              <w:jc w:val="left"/>
              <w:rPr>
                <w:rFonts w:cs="Times New Roman"/>
                <w:sz w:val="24"/>
                <w:szCs w:val="22"/>
                <w:highlight w:val="none"/>
              </w:rPr>
            </w:pPr>
            <w:r>
              <w:rPr>
                <w:rFonts w:hint="eastAsia" w:cs="Times New Roman"/>
                <w:sz w:val="24"/>
                <w:szCs w:val="22"/>
                <w:highlight w:val="none"/>
              </w:rPr>
              <w:t>□允许专业分包，</w:t>
            </w:r>
            <w:r>
              <w:rPr>
                <w:rFonts w:hint="eastAsia" w:ascii="Calibri" w:hAnsi="Calibri" w:cs="Times New Roman"/>
                <w:sz w:val="24"/>
                <w:szCs w:val="22"/>
                <w:highlight w:val="none"/>
              </w:rPr>
              <w:t>分包项目、内容及分包商须经采购人及监理单位同意和认可</w:t>
            </w:r>
          </w:p>
          <w:p w14:paraId="787EB947">
            <w:pPr>
              <w:pStyle w:val="68"/>
              <w:widowControl w:val="0"/>
              <w:spacing w:before="0" w:beforeAutospacing="0" w:after="0" w:afterAutospacing="0" w:line="360" w:lineRule="auto"/>
              <w:jc w:val="both"/>
              <w:rPr>
                <w:b w:val="0"/>
                <w:bCs w:val="0"/>
                <w:sz w:val="24"/>
                <w:highlight w:val="none"/>
              </w:rPr>
            </w:pPr>
            <w:r>
              <w:rPr>
                <w:rFonts w:hint="eastAsia" w:cs="Times New Roman"/>
                <w:b w:val="0"/>
                <w:bCs w:val="0"/>
                <w:sz w:val="24"/>
                <w:szCs w:val="22"/>
                <w:highlight w:val="none"/>
              </w:rPr>
              <w:t>☑不允许</w:t>
            </w:r>
          </w:p>
        </w:tc>
      </w:tr>
      <w:tr w14:paraId="1B2C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92FEBC7">
            <w:pPr>
              <w:pStyle w:val="69"/>
              <w:pBdr>
                <w:bottom w:val="none" w:color="auto" w:sz="0" w:space="0"/>
              </w:pBdr>
              <w:tabs>
                <w:tab w:val="clear" w:pos="4153"/>
                <w:tab w:val="clear" w:pos="8306"/>
              </w:tabs>
              <w:adjustRightInd/>
              <w:spacing w:line="360" w:lineRule="auto"/>
              <w:textAlignment w:val="auto"/>
              <w:rPr>
                <w:rFonts w:eastAsia="宋体"/>
                <w:bCs/>
                <w:highlight w:val="none"/>
              </w:rPr>
            </w:pPr>
            <w:r>
              <w:rPr>
                <w:bCs/>
                <w:highlight w:val="none"/>
              </w:rPr>
              <w:t>3</w:t>
            </w:r>
            <w:r>
              <w:rPr>
                <w:rFonts w:hint="eastAsia"/>
                <w:bCs/>
                <w:highlight w:val="none"/>
              </w:rPr>
              <w:t>0</w:t>
            </w:r>
            <w:r>
              <w:rPr>
                <w:bCs/>
                <w:highlight w:val="none"/>
              </w:rPr>
              <w:t>.</w:t>
            </w:r>
            <w:r>
              <w:rPr>
                <w:rFonts w:hint="eastAsia"/>
                <w:bCs/>
                <w:highlight w:val="none"/>
              </w:rPr>
              <w:t>7</w:t>
            </w:r>
          </w:p>
        </w:tc>
        <w:tc>
          <w:tcPr>
            <w:tcW w:w="977" w:type="pct"/>
            <w:vAlign w:val="center"/>
          </w:tcPr>
          <w:p w14:paraId="07973DCF">
            <w:pPr>
              <w:pStyle w:val="68"/>
              <w:widowControl w:val="0"/>
              <w:spacing w:before="0" w:beforeAutospacing="0" w:after="0" w:afterAutospacing="0" w:line="360" w:lineRule="auto"/>
              <w:jc w:val="both"/>
              <w:rPr>
                <w:b w:val="0"/>
                <w:sz w:val="24"/>
                <w:highlight w:val="none"/>
              </w:rPr>
            </w:pPr>
            <w:r>
              <w:rPr>
                <w:rFonts w:hint="eastAsia"/>
                <w:b w:val="0"/>
                <w:sz w:val="24"/>
                <w:highlight w:val="none"/>
              </w:rPr>
              <w:t>现场条件</w:t>
            </w:r>
          </w:p>
        </w:tc>
        <w:tc>
          <w:tcPr>
            <w:tcW w:w="3559" w:type="pct"/>
            <w:vAlign w:val="center"/>
          </w:tcPr>
          <w:p w14:paraId="44D85E19">
            <w:pPr>
              <w:pStyle w:val="68"/>
              <w:widowControl w:val="0"/>
              <w:spacing w:before="0" w:beforeAutospacing="0" w:after="0" w:afterAutospacing="0" w:line="360" w:lineRule="auto"/>
              <w:jc w:val="both"/>
              <w:rPr>
                <w:b w:val="0"/>
                <w:sz w:val="24"/>
                <w:highlight w:val="none"/>
              </w:rPr>
            </w:pPr>
            <w:r>
              <w:rPr>
                <w:rFonts w:hint="eastAsia"/>
                <w:b w:val="0"/>
                <w:bCs w:val="0"/>
                <w:sz w:val="24"/>
                <w:highlight w:val="none"/>
              </w:rPr>
              <w:t>具备开工条件</w:t>
            </w:r>
          </w:p>
        </w:tc>
      </w:tr>
      <w:tr w14:paraId="3623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30D774E3">
            <w:pPr>
              <w:pStyle w:val="69"/>
              <w:pBdr>
                <w:bottom w:val="none" w:color="auto" w:sz="0" w:space="0"/>
              </w:pBdr>
              <w:tabs>
                <w:tab w:val="clear" w:pos="4153"/>
                <w:tab w:val="clear" w:pos="8306"/>
              </w:tabs>
              <w:adjustRightInd/>
              <w:spacing w:line="360" w:lineRule="auto"/>
              <w:textAlignment w:val="auto"/>
              <w:rPr>
                <w:rFonts w:eastAsia="宋体"/>
                <w:bCs/>
                <w:highlight w:val="none"/>
              </w:rPr>
            </w:pPr>
            <w:r>
              <w:rPr>
                <w:bCs/>
                <w:highlight w:val="none"/>
              </w:rPr>
              <w:t>3</w:t>
            </w:r>
            <w:r>
              <w:rPr>
                <w:rFonts w:hint="eastAsia"/>
                <w:bCs/>
                <w:highlight w:val="none"/>
              </w:rPr>
              <w:t>0</w:t>
            </w:r>
            <w:r>
              <w:rPr>
                <w:bCs/>
                <w:highlight w:val="none"/>
              </w:rPr>
              <w:t>.</w:t>
            </w:r>
            <w:r>
              <w:rPr>
                <w:rFonts w:hint="eastAsia"/>
                <w:bCs/>
                <w:highlight w:val="none"/>
              </w:rPr>
              <w:t>8</w:t>
            </w:r>
          </w:p>
        </w:tc>
        <w:tc>
          <w:tcPr>
            <w:tcW w:w="977" w:type="pct"/>
            <w:vAlign w:val="center"/>
          </w:tcPr>
          <w:p w14:paraId="52BDE428">
            <w:pPr>
              <w:pStyle w:val="68"/>
              <w:widowControl w:val="0"/>
              <w:spacing w:before="0" w:beforeAutospacing="0" w:after="0" w:afterAutospacing="0" w:line="360" w:lineRule="auto"/>
              <w:jc w:val="both"/>
              <w:rPr>
                <w:b w:val="0"/>
                <w:sz w:val="24"/>
                <w:highlight w:val="none"/>
              </w:rPr>
            </w:pPr>
            <w:r>
              <w:rPr>
                <w:rFonts w:hint="eastAsia"/>
                <w:b w:val="0"/>
                <w:bCs w:val="0"/>
                <w:sz w:val="24"/>
                <w:highlight w:val="none"/>
              </w:rPr>
              <w:t>采购人提供的资料</w:t>
            </w:r>
          </w:p>
        </w:tc>
        <w:tc>
          <w:tcPr>
            <w:tcW w:w="3559" w:type="pct"/>
            <w:vAlign w:val="center"/>
          </w:tcPr>
          <w:p w14:paraId="2B076BC0">
            <w:pPr>
              <w:adjustRightInd w:val="0"/>
              <w:snapToGrid w:val="0"/>
              <w:spacing w:line="360" w:lineRule="auto"/>
              <w:jc w:val="left"/>
              <w:rPr>
                <w:bCs/>
                <w:sz w:val="24"/>
                <w:szCs w:val="28"/>
                <w:highlight w:val="none"/>
              </w:rPr>
            </w:pPr>
            <w:r>
              <w:rPr>
                <w:rFonts w:hint="eastAsia"/>
                <w:bCs/>
                <w:sz w:val="24"/>
                <w:szCs w:val="28"/>
                <w:highlight w:val="none"/>
              </w:rPr>
              <w:t>☑磋商文件</w:t>
            </w:r>
          </w:p>
          <w:p w14:paraId="4BC6E348">
            <w:pPr>
              <w:adjustRightInd w:val="0"/>
              <w:snapToGrid w:val="0"/>
              <w:spacing w:line="360" w:lineRule="auto"/>
              <w:jc w:val="left"/>
              <w:rPr>
                <w:bCs/>
                <w:sz w:val="24"/>
                <w:szCs w:val="28"/>
                <w:highlight w:val="none"/>
              </w:rPr>
            </w:pPr>
            <w:r>
              <w:rPr>
                <w:rFonts w:hint="eastAsia"/>
                <w:bCs/>
                <w:sz w:val="24"/>
                <w:szCs w:val="28"/>
                <w:highlight w:val="none"/>
              </w:rPr>
              <w:t>☑工程量清单</w:t>
            </w:r>
          </w:p>
          <w:p w14:paraId="18B07765">
            <w:pPr>
              <w:adjustRightInd w:val="0"/>
              <w:snapToGrid w:val="0"/>
              <w:spacing w:line="360" w:lineRule="auto"/>
              <w:jc w:val="left"/>
              <w:rPr>
                <w:bCs/>
                <w:sz w:val="24"/>
                <w:szCs w:val="28"/>
                <w:highlight w:val="none"/>
              </w:rPr>
            </w:pPr>
            <w:r>
              <w:rPr>
                <w:rFonts w:hint="eastAsia"/>
                <w:bCs/>
                <w:sz w:val="24"/>
                <w:szCs w:val="28"/>
                <w:highlight w:val="none"/>
              </w:rPr>
              <w:t>☑最高投标限价</w:t>
            </w:r>
          </w:p>
          <w:p w14:paraId="2F30CB5D">
            <w:pPr>
              <w:adjustRightInd w:val="0"/>
              <w:snapToGrid w:val="0"/>
              <w:spacing w:line="360" w:lineRule="auto"/>
              <w:jc w:val="left"/>
              <w:rPr>
                <w:bCs/>
                <w:sz w:val="24"/>
                <w:szCs w:val="28"/>
                <w:highlight w:val="none"/>
              </w:rPr>
            </w:pPr>
            <w:r>
              <w:rPr>
                <w:rFonts w:hint="eastAsia"/>
                <w:bCs/>
                <w:sz w:val="24"/>
                <w:szCs w:val="28"/>
                <w:highlight w:val="none"/>
              </w:rPr>
              <w:t>☑电子版图纸</w:t>
            </w:r>
          </w:p>
          <w:p w14:paraId="12B39797">
            <w:pPr>
              <w:adjustRightInd w:val="0"/>
              <w:snapToGrid w:val="0"/>
              <w:spacing w:line="360" w:lineRule="auto"/>
              <w:jc w:val="left"/>
              <w:rPr>
                <w:bCs/>
                <w:sz w:val="24"/>
                <w:szCs w:val="28"/>
                <w:highlight w:val="none"/>
              </w:rPr>
            </w:pPr>
            <w:r>
              <w:rPr>
                <w:rFonts w:hint="eastAsia"/>
                <w:bCs/>
                <w:sz w:val="24"/>
                <w:szCs w:val="28"/>
                <w:highlight w:val="none"/>
              </w:rPr>
              <w:t>获得方式：</w:t>
            </w:r>
          </w:p>
          <w:p w14:paraId="1925C3F8">
            <w:pPr>
              <w:pStyle w:val="68"/>
              <w:widowControl w:val="0"/>
              <w:spacing w:before="0" w:beforeAutospacing="0" w:after="0" w:afterAutospacing="0" w:line="360" w:lineRule="auto"/>
              <w:jc w:val="both"/>
              <w:rPr>
                <w:b w:val="0"/>
                <w:sz w:val="24"/>
                <w:highlight w:val="none"/>
              </w:rPr>
            </w:pPr>
            <w:r>
              <w:rPr>
                <w:rFonts w:hint="eastAsia"/>
                <w:sz w:val="24"/>
                <w:highlight w:val="none"/>
              </w:rPr>
              <w:t>上述资料请供应商在获取磋商文件后，自行登录电子交易系统下载本项目附件。</w:t>
            </w:r>
          </w:p>
        </w:tc>
      </w:tr>
      <w:tr w14:paraId="5D02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34A9450">
            <w:pPr>
              <w:pStyle w:val="69"/>
              <w:pBdr>
                <w:bottom w:val="none" w:color="auto" w:sz="0" w:space="0"/>
              </w:pBdr>
              <w:tabs>
                <w:tab w:val="clear" w:pos="4153"/>
                <w:tab w:val="clear" w:pos="8306"/>
              </w:tabs>
              <w:adjustRightInd/>
              <w:spacing w:line="360" w:lineRule="auto"/>
              <w:textAlignment w:val="auto"/>
              <w:rPr>
                <w:rFonts w:eastAsia="宋体"/>
                <w:bCs/>
                <w:highlight w:val="none"/>
              </w:rPr>
            </w:pPr>
            <w:r>
              <w:rPr>
                <w:rFonts w:hint="eastAsia"/>
                <w:bCs/>
                <w:highlight w:val="none"/>
              </w:rPr>
              <w:t>30</w:t>
            </w:r>
            <w:r>
              <w:rPr>
                <w:bCs/>
                <w:highlight w:val="none"/>
              </w:rPr>
              <w:t>.</w:t>
            </w:r>
            <w:r>
              <w:rPr>
                <w:rFonts w:hint="eastAsia"/>
                <w:bCs/>
                <w:highlight w:val="none"/>
              </w:rPr>
              <w:t>9</w:t>
            </w:r>
          </w:p>
        </w:tc>
        <w:tc>
          <w:tcPr>
            <w:tcW w:w="977" w:type="pct"/>
            <w:vAlign w:val="center"/>
          </w:tcPr>
          <w:p w14:paraId="0FECAC68">
            <w:pPr>
              <w:pStyle w:val="68"/>
              <w:widowControl w:val="0"/>
              <w:spacing w:before="0" w:beforeAutospacing="0" w:after="0" w:afterAutospacing="0" w:line="360" w:lineRule="auto"/>
              <w:jc w:val="both"/>
              <w:rPr>
                <w:b w:val="0"/>
                <w:sz w:val="24"/>
                <w:highlight w:val="none"/>
              </w:rPr>
            </w:pPr>
            <w:r>
              <w:rPr>
                <w:rFonts w:hint="eastAsia"/>
                <w:b w:val="0"/>
                <w:bCs w:val="0"/>
                <w:sz w:val="24"/>
                <w:highlight w:val="none"/>
              </w:rPr>
              <w:t>工程量清单和最高投标限价编制费</w:t>
            </w:r>
          </w:p>
        </w:tc>
        <w:tc>
          <w:tcPr>
            <w:tcW w:w="3559" w:type="pct"/>
            <w:vAlign w:val="center"/>
          </w:tcPr>
          <w:p w14:paraId="095F1F07">
            <w:pPr>
              <w:spacing w:before="39" w:line="360" w:lineRule="auto"/>
              <w:rPr>
                <w:rFonts w:ascii="宋体" w:hAnsi="宋体" w:eastAsia="宋体" w:cs="宋体"/>
                <w:sz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highlight w:val="none"/>
              </w:rPr>
              <w:t>采购人</w:t>
            </w:r>
            <w:r>
              <w:rPr>
                <w:rFonts w:hint="eastAsia" w:ascii="宋体" w:hAnsi="宋体" w:eastAsia="宋体" w:cs="宋体"/>
                <w:spacing w:val="14"/>
                <w:sz w:val="24"/>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cs="宋体"/>
                <w:spacing w:val="14"/>
                <w:sz w:val="24"/>
                <w:highlight w:val="none"/>
              </w:rPr>
              <w:t>成交供应商</w:t>
            </w:r>
          </w:p>
          <w:p w14:paraId="3BDD6482">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highlight w:val="none"/>
              </w:rPr>
              <w:t>：</w:t>
            </w:r>
            <w:r>
              <w:rPr>
                <w:rFonts w:hint="eastAsia" w:ascii="宋体" w:hAnsi="宋体" w:eastAsia="宋体" w:cs="宋体"/>
                <w:sz w:val="24"/>
                <w:highlight w:val="none"/>
                <w:u w:val="single"/>
              </w:rPr>
              <w:t>转账/电汇</w:t>
            </w:r>
          </w:p>
          <w:p w14:paraId="591B9A27">
            <w:pPr>
              <w:pStyle w:val="68"/>
              <w:widowControl w:val="0"/>
              <w:spacing w:before="0" w:beforeAutospacing="0" w:after="0" w:afterAutospacing="0" w:line="360" w:lineRule="auto"/>
              <w:jc w:val="both"/>
              <w:rPr>
                <w:rFonts w:ascii="宋体" w:hAnsi="宋体" w:eastAsia="宋体" w:cs="@仿宋_GB2312"/>
                <w:b w:val="0"/>
                <w:kern w:val="0"/>
                <w:sz w:val="24"/>
                <w:highlight w:val="none"/>
              </w:rPr>
            </w:pPr>
            <w:r>
              <w:rPr>
                <w:rFonts w:hint="eastAsia" w:ascii="宋体" w:hAnsi="宋体" w:eastAsia="宋体"/>
                <w:b w:val="0"/>
                <w:bCs w:val="0"/>
                <w:kern w:val="0"/>
                <w:sz w:val="24"/>
                <w:highlight w:val="none"/>
              </w:rPr>
              <w:t>（3）</w:t>
            </w:r>
            <w:r>
              <w:rPr>
                <w:rFonts w:ascii="宋体" w:hAnsi="宋体" w:eastAsia="宋体" w:cs="@仿宋_GB2312"/>
                <w:b w:val="0"/>
                <w:kern w:val="0"/>
                <w:sz w:val="24"/>
                <w:highlight w:val="none"/>
              </w:rPr>
              <w:t>收费标准：造价咨询服务费：造价咨询服务费参考皖价服2007[86]号文件规定标准的80%向成交供应商收取，按上述标准计算的代理服务费不足0.45万元的，按0.45万元计算。</w:t>
            </w:r>
          </w:p>
          <w:p w14:paraId="2B91BA6F">
            <w:pPr>
              <w:pStyle w:val="68"/>
              <w:widowControl w:val="0"/>
              <w:spacing w:before="0" w:beforeAutospacing="0" w:after="0" w:afterAutospacing="0" w:line="360" w:lineRule="auto"/>
              <w:jc w:val="both"/>
              <w:rPr>
                <w:rFonts w:eastAsia="宋体"/>
                <w:b w:val="0"/>
                <w:sz w:val="24"/>
                <w:highlight w:val="none"/>
              </w:rPr>
            </w:pPr>
            <w:r>
              <w:rPr>
                <w:rFonts w:hint="eastAsia" w:eastAsia="宋体"/>
                <w:bCs w:val="0"/>
                <w:sz w:val="24"/>
                <w:highlight w:val="none"/>
              </w:rPr>
              <w:t>备注：供应商的响应报价应包含上述费用，但无须单独列项。</w:t>
            </w:r>
          </w:p>
        </w:tc>
      </w:tr>
      <w:tr w14:paraId="3C02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shd w:val="clear" w:color="auto" w:fill="auto"/>
            <w:vAlign w:val="center"/>
          </w:tcPr>
          <w:p w14:paraId="5DD48956">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32.10</w:t>
            </w:r>
          </w:p>
        </w:tc>
        <w:tc>
          <w:tcPr>
            <w:tcW w:w="977" w:type="pct"/>
            <w:shd w:val="clear" w:color="auto" w:fill="auto"/>
            <w:vAlign w:val="center"/>
          </w:tcPr>
          <w:p w14:paraId="40F63DCC">
            <w:pPr>
              <w:pStyle w:val="68"/>
              <w:spacing w:after="0"/>
              <w:rPr>
                <w:rFonts w:ascii="宋体" w:hAnsi="宋体" w:eastAsia="宋体" w:cs="宋体"/>
                <w:sz w:val="24"/>
                <w:szCs w:val="24"/>
                <w:highlight w:val="none"/>
              </w:rPr>
            </w:pPr>
            <w:r>
              <w:rPr>
                <w:rFonts w:hint="eastAsia" w:ascii="宋体" w:hAnsi="宋体" w:eastAsia="宋体" w:cs="宋体"/>
                <w:sz w:val="24"/>
                <w:szCs w:val="24"/>
                <w:highlight w:val="none"/>
              </w:rPr>
              <w:t>社保证明材料</w:t>
            </w:r>
          </w:p>
        </w:tc>
        <w:tc>
          <w:tcPr>
            <w:tcW w:w="3559" w:type="pct"/>
            <w:shd w:val="clear" w:color="auto" w:fill="auto"/>
            <w:vAlign w:val="center"/>
          </w:tcPr>
          <w:p w14:paraId="0206CD26">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本项目招标文件中要求提供的社保证明材料为下述形式之一（投标文件中须提供扫描件）：</w:t>
            </w:r>
          </w:p>
          <w:p w14:paraId="4409D396">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（1）社保局官方网站查询的缴费记录截图；</w:t>
            </w:r>
          </w:p>
          <w:p w14:paraId="681C996E">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（2）社保局的书面证明材料；</w:t>
            </w:r>
          </w:p>
          <w:p w14:paraId="2EB43C61">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（3）经投标人委托的第三方人力资源服务机构或与投标人有直接隶属关系的机构可以代缴社保，但须提供有关证明材料并经评标委员会确认。</w:t>
            </w:r>
          </w:p>
          <w:p w14:paraId="113BC89E">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（4）参与投标的院校，社保证明可以用以下任意一种：</w:t>
            </w:r>
          </w:p>
          <w:p w14:paraId="290E81ED">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①加盖投标人公章的教师证（须为本单位人员）；</w:t>
            </w:r>
          </w:p>
          <w:p w14:paraId="4CC3F641">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②医保证明材料。</w:t>
            </w:r>
          </w:p>
          <w:p w14:paraId="35FF6E79">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（5）其他经评标委员会认可的证明材料。</w:t>
            </w:r>
          </w:p>
          <w:p w14:paraId="3993DFA1">
            <w:pPr>
              <w:adjustRightInd w:val="0"/>
              <w:snapToGrid w:val="0"/>
              <w:spacing w:line="300" w:lineRule="auto"/>
              <w:jc w:val="left"/>
              <w:rPr>
                <w:rFonts w:ascii="宋体" w:hAnsi="宋体" w:eastAsia="宋体" w:cs="宋体"/>
                <w:sz w:val="24"/>
                <w:highlight w:val="none"/>
              </w:rPr>
            </w:pPr>
            <w:r>
              <w:rPr>
                <w:rFonts w:hint="eastAsia" w:ascii="宋体" w:hAnsi="宋体" w:eastAsia="宋体" w:cs="宋体"/>
                <w:sz w:val="24"/>
                <w:highlight w:val="none"/>
              </w:rPr>
              <w:t>（6）法定代表人参与项目的，无需提供社保证明材料，提供身份证明扫描件即可。</w:t>
            </w:r>
          </w:p>
        </w:tc>
      </w:tr>
      <w:tr w14:paraId="29BE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shd w:val="clear" w:color="auto" w:fill="auto"/>
            <w:vAlign w:val="center"/>
          </w:tcPr>
          <w:p w14:paraId="6362E9F2">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32.11</w:t>
            </w:r>
          </w:p>
        </w:tc>
        <w:tc>
          <w:tcPr>
            <w:tcW w:w="977" w:type="pct"/>
            <w:shd w:val="clear" w:color="auto" w:fill="auto"/>
            <w:vAlign w:val="center"/>
          </w:tcPr>
          <w:p w14:paraId="01D30C75">
            <w:pPr>
              <w:pStyle w:val="68"/>
              <w:spacing w:after="0"/>
              <w:rPr>
                <w:rFonts w:ascii="宋体" w:hAnsi="宋体" w:eastAsia="宋体" w:cs="宋体"/>
                <w:b w:val="0"/>
                <w:sz w:val="24"/>
                <w:szCs w:val="24"/>
                <w:highlight w:val="none"/>
              </w:rPr>
            </w:pPr>
            <w:r>
              <w:rPr>
                <w:rFonts w:hint="eastAsia" w:ascii="宋体" w:hAnsi="宋体" w:eastAsia="宋体" w:cs="宋体"/>
                <w:sz w:val="24"/>
                <w:szCs w:val="24"/>
                <w:highlight w:val="none"/>
              </w:rPr>
              <w:t>知识产权</w:t>
            </w:r>
          </w:p>
        </w:tc>
        <w:tc>
          <w:tcPr>
            <w:tcW w:w="3559" w:type="pct"/>
            <w:shd w:val="clear" w:color="auto" w:fill="auto"/>
          </w:tcPr>
          <w:p w14:paraId="12EBE856">
            <w:pPr>
              <w:adjustRightInd w:val="0"/>
              <w:snapToGrid w:val="0"/>
              <w:spacing w:line="360" w:lineRule="auto"/>
              <w:jc w:val="left"/>
              <w:rPr>
                <w:rFonts w:ascii="宋体" w:hAnsi="宋体" w:eastAsia="宋体" w:cs="宋体"/>
                <w:sz w:val="24"/>
                <w:highlight w:val="none"/>
              </w:rPr>
            </w:pPr>
            <w:r>
              <w:rPr>
                <w:rFonts w:hint="eastAsia" w:ascii="宋体" w:hAnsi="宋体" w:eastAsia="宋体" w:cs="宋体"/>
                <w:sz w:val="24"/>
                <w:highlight w:val="none"/>
              </w:rPr>
              <w:t>（1）构成本招标文件各个组成部分的文件，未经采购人书面同意，投标人不得擅自复印和用于非本招标项目所需的其他目的。如因此导致采购人损失的，投标人须承担全部赔偿责任。</w:t>
            </w:r>
          </w:p>
          <w:p w14:paraId="57440DDF">
            <w:pPr>
              <w:pStyle w:val="68"/>
              <w:spacing w:before="0" w:beforeAutospacing="0" w:after="0" w:afterAutospacing="0" w:line="360" w:lineRule="auto"/>
              <w:jc w:val="left"/>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采购人在中华人民共和国境内使用中标货物（服务）、资料、技术、服务或其任何一部分时，履行合同义务后，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tc>
      </w:tr>
      <w:tr w14:paraId="4A4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shd w:val="clear" w:color="auto" w:fill="auto"/>
            <w:vAlign w:val="center"/>
          </w:tcPr>
          <w:p w14:paraId="00B4A3BA">
            <w:pPr>
              <w:pStyle w:val="69"/>
              <w:pBdr>
                <w:bottom w:val="none" w:color="auto" w:sz="0" w:space="0"/>
              </w:pBdr>
              <w:tabs>
                <w:tab w:val="clear" w:pos="4153"/>
                <w:tab w:val="clear" w:pos="8306"/>
              </w:tabs>
              <w:adjustRightInd/>
              <w:spacing w:line="360" w:lineRule="auto"/>
              <w:textAlignment w:val="auto"/>
              <w:rPr>
                <w:bCs/>
                <w:highlight w:val="none"/>
              </w:rPr>
            </w:pPr>
            <w:r>
              <w:rPr>
                <w:rFonts w:hint="eastAsia"/>
                <w:bCs/>
                <w:highlight w:val="none"/>
              </w:rPr>
              <w:t>32.12</w:t>
            </w:r>
          </w:p>
        </w:tc>
        <w:tc>
          <w:tcPr>
            <w:tcW w:w="977" w:type="pct"/>
            <w:shd w:val="clear" w:color="auto" w:fill="auto"/>
            <w:vAlign w:val="center"/>
          </w:tcPr>
          <w:p w14:paraId="4EAD310F">
            <w:pPr>
              <w:pStyle w:val="68"/>
              <w:spacing w:after="0"/>
              <w:rPr>
                <w:rFonts w:ascii="宋体" w:hAnsi="宋体" w:eastAsia="宋体" w:cs="宋体"/>
                <w:sz w:val="24"/>
                <w:szCs w:val="24"/>
                <w:highlight w:val="none"/>
              </w:rPr>
            </w:pPr>
            <w:r>
              <w:rPr>
                <w:rFonts w:hint="eastAsia" w:ascii="宋体" w:hAnsi="宋体" w:eastAsia="宋体" w:cs="宋体"/>
                <w:sz w:val="24"/>
                <w:szCs w:val="24"/>
                <w:highlight w:val="none"/>
              </w:rPr>
              <w:t>报价文件编制要求</w:t>
            </w:r>
          </w:p>
        </w:tc>
        <w:tc>
          <w:tcPr>
            <w:tcW w:w="3559" w:type="pct"/>
            <w:shd w:val="clear" w:color="auto" w:fill="auto"/>
          </w:tcPr>
          <w:p w14:paraId="681650C7">
            <w:pPr>
              <w:widowControl/>
              <w:adjustRightInd w:val="0"/>
              <w:snapToGrid w:val="0"/>
              <w:spacing w:line="300" w:lineRule="auto"/>
              <w:rPr>
                <w:rFonts w:ascii="宋体" w:hAnsi="宋体" w:eastAsia="宋体" w:cs="宋体"/>
                <w:b/>
                <w:bCs/>
                <w:sz w:val="24"/>
                <w:highlight w:val="none"/>
              </w:rPr>
            </w:pPr>
            <w:r>
              <w:rPr>
                <w:rFonts w:hint="eastAsia" w:ascii="宋体" w:hAnsi="宋体" w:eastAsia="宋体" w:cs="宋体"/>
                <w:b/>
                <w:bCs/>
                <w:sz w:val="24"/>
                <w:highlight w:val="none"/>
              </w:rPr>
              <w:t>（1）发布的工程量清单为新版18ZHZB格式，供应商应及时升级造价软件，生成的已标价工程量清单文件后缀名须为18ZHTB。</w:t>
            </w:r>
          </w:p>
          <w:p w14:paraId="556042D1">
            <w:pPr>
              <w:adjustRightInd w:val="0"/>
              <w:snapToGrid w:val="0"/>
              <w:spacing w:line="300" w:lineRule="auto"/>
              <w:rPr>
                <w:rFonts w:ascii="宋体" w:hAnsi="宋体" w:eastAsia="宋体" w:cs="宋体"/>
                <w:sz w:val="24"/>
                <w:highlight w:val="none"/>
              </w:rPr>
            </w:pPr>
            <w:r>
              <w:rPr>
                <w:rFonts w:hint="eastAsia" w:ascii="宋体" w:hAnsi="宋体" w:eastAsia="宋体" w:cs="宋体"/>
                <w:sz w:val="24"/>
                <w:highlight w:val="none"/>
              </w:rPr>
              <w:t>（2）供应商制作响应文件前，必须及时升级电子投标文件制作软件至最新版本。供应商如未及时更新电子响应文件制作软件和造价软件，产生的一切后果由供应商自行承担</w:t>
            </w:r>
          </w:p>
        </w:tc>
      </w:tr>
      <w:tr w14:paraId="0BA9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1E0BB9CE">
            <w:pPr>
              <w:pStyle w:val="69"/>
              <w:pBdr>
                <w:bottom w:val="none" w:color="auto" w:sz="0" w:space="0"/>
              </w:pBdr>
              <w:tabs>
                <w:tab w:val="clear" w:pos="4153"/>
                <w:tab w:val="clear" w:pos="8306"/>
              </w:tabs>
              <w:adjustRightInd/>
              <w:spacing w:line="360" w:lineRule="auto"/>
              <w:textAlignment w:val="auto"/>
              <w:rPr>
                <w:rFonts w:eastAsia="宋体"/>
                <w:bCs/>
                <w:highlight w:val="none"/>
              </w:rPr>
            </w:pPr>
            <w:r>
              <w:rPr>
                <w:bCs/>
                <w:highlight w:val="none"/>
              </w:rPr>
              <w:t>3</w:t>
            </w:r>
            <w:r>
              <w:rPr>
                <w:rFonts w:hint="eastAsia"/>
                <w:bCs/>
                <w:highlight w:val="none"/>
              </w:rPr>
              <w:t>2</w:t>
            </w:r>
            <w:r>
              <w:rPr>
                <w:bCs/>
                <w:highlight w:val="none"/>
              </w:rPr>
              <w:t>.1</w:t>
            </w:r>
            <w:r>
              <w:rPr>
                <w:rFonts w:hint="eastAsia"/>
                <w:bCs/>
                <w:highlight w:val="none"/>
              </w:rPr>
              <w:t>3</w:t>
            </w:r>
          </w:p>
        </w:tc>
        <w:tc>
          <w:tcPr>
            <w:tcW w:w="977" w:type="pct"/>
            <w:vAlign w:val="center"/>
          </w:tcPr>
          <w:p w14:paraId="18ABD6E9">
            <w:pPr>
              <w:pStyle w:val="68"/>
              <w:widowControl w:val="0"/>
              <w:spacing w:before="0" w:beforeAutospacing="0" w:after="0" w:afterAutospacing="0" w:line="360" w:lineRule="auto"/>
              <w:jc w:val="both"/>
              <w:rPr>
                <w:b w:val="0"/>
                <w:sz w:val="24"/>
                <w:highlight w:val="none"/>
              </w:rPr>
            </w:pPr>
            <w:r>
              <w:rPr>
                <w:rFonts w:hint="eastAsia"/>
                <w:b w:val="0"/>
                <w:sz w:val="24"/>
                <w:highlight w:val="none"/>
              </w:rPr>
              <w:t>其他补充说明</w:t>
            </w:r>
          </w:p>
        </w:tc>
        <w:tc>
          <w:tcPr>
            <w:tcW w:w="3559" w:type="pct"/>
            <w:vAlign w:val="center"/>
          </w:tcPr>
          <w:p w14:paraId="46B6FF59">
            <w:pPr>
              <w:spacing w:line="360" w:lineRule="auto"/>
              <w:rPr>
                <w:rFonts w:asciiTheme="minorEastAsia" w:hAnsiTheme="minorEastAsia"/>
                <w:bCs/>
                <w:sz w:val="24"/>
                <w:highlight w:val="none"/>
              </w:rPr>
            </w:pPr>
            <w:r>
              <w:rPr>
                <w:rFonts w:hint="eastAsia" w:asciiTheme="minorEastAsia" w:hAnsiTheme="minorEastAsia"/>
                <w:bCs/>
                <w:sz w:val="24"/>
                <w:highlight w:val="none"/>
              </w:rPr>
              <w:t>1、解释权：</w:t>
            </w:r>
          </w:p>
          <w:p w14:paraId="193CB326">
            <w:pPr>
              <w:spacing w:line="360" w:lineRule="auto"/>
              <w:rPr>
                <w:rFonts w:asciiTheme="minorEastAsia" w:hAnsiTheme="minorEastAsia"/>
                <w:bCs/>
                <w:sz w:val="24"/>
                <w:highlight w:val="none"/>
              </w:rPr>
            </w:pPr>
            <w:r>
              <w:rPr>
                <w:rFonts w:hint="eastAsia" w:asciiTheme="minorEastAsia" w:hAnsiTheme="minorEastAsia"/>
                <w:bCs/>
                <w:sz w:val="24"/>
                <w:highlight w:val="none"/>
              </w:rPr>
              <w:t>（1）</w:t>
            </w:r>
            <w:r>
              <w:rPr>
                <w:rFonts w:asciiTheme="minorEastAsia" w:hAnsiTheme="minorEastAsia"/>
                <w:bCs/>
                <w:sz w:val="24"/>
                <w:highlight w:val="none"/>
              </w:rPr>
              <w:t>构成本</w:t>
            </w:r>
            <w:r>
              <w:rPr>
                <w:rFonts w:hint="eastAsia" w:asciiTheme="minorEastAsia" w:hAnsiTheme="minorEastAsia"/>
                <w:bCs/>
                <w:sz w:val="24"/>
                <w:highlight w:val="none"/>
              </w:rPr>
              <w:t>磋商</w:t>
            </w:r>
            <w:r>
              <w:rPr>
                <w:rFonts w:asciiTheme="minorEastAsia" w:hAnsiTheme="minorEastAsia"/>
                <w:bCs/>
                <w:sz w:val="24"/>
                <w:highlight w:val="none"/>
              </w:rPr>
              <w:t>文件的各个组成文件应互为解释，互为说明；</w:t>
            </w:r>
          </w:p>
          <w:p w14:paraId="2F3729A9">
            <w:pPr>
              <w:spacing w:line="360" w:lineRule="auto"/>
              <w:rPr>
                <w:rFonts w:asciiTheme="minorEastAsia" w:hAnsiTheme="minorEastAsia"/>
                <w:bCs/>
                <w:sz w:val="24"/>
                <w:highlight w:val="none"/>
              </w:rPr>
            </w:pPr>
            <w:r>
              <w:rPr>
                <w:rFonts w:hint="eastAsia" w:asciiTheme="minorEastAsia" w:hAnsiTheme="minorEastAsia"/>
                <w:bCs/>
                <w:sz w:val="24"/>
                <w:highlight w:val="none"/>
              </w:rPr>
              <w:t>（2）</w:t>
            </w:r>
            <w:r>
              <w:rPr>
                <w:rFonts w:asciiTheme="minorEastAsia" w:hAnsiTheme="minorEastAsia"/>
                <w:bCs/>
                <w:sz w:val="24"/>
                <w:highlight w:val="none"/>
              </w:rPr>
              <w:t>同一组成文件中就同一事项的规定或约定不一致的，以编排顺序在后者为准；</w:t>
            </w:r>
          </w:p>
          <w:p w14:paraId="7B2DC633">
            <w:pPr>
              <w:spacing w:line="360" w:lineRule="auto"/>
              <w:rPr>
                <w:rFonts w:asciiTheme="minorEastAsia" w:hAnsiTheme="minorEastAsia"/>
                <w:bCs/>
                <w:sz w:val="24"/>
                <w:highlight w:val="none"/>
              </w:rPr>
            </w:pPr>
            <w:r>
              <w:rPr>
                <w:rFonts w:hint="eastAsia" w:asciiTheme="minorEastAsia" w:hAnsiTheme="minorEastAsia"/>
                <w:bCs/>
                <w:sz w:val="24"/>
                <w:highlight w:val="none"/>
              </w:rPr>
              <w:t>（3）</w:t>
            </w:r>
            <w:r>
              <w:rPr>
                <w:rFonts w:asciiTheme="minorEastAsia" w:hAnsiTheme="minorEastAsia"/>
                <w:bCs/>
                <w:sz w:val="24"/>
                <w:highlight w:val="none"/>
              </w:rPr>
              <w:t>如有不明确或不一致，构成合同文件组成内容的，以合同文件约定内容为准，且以专用合同条款约定的合同文件优先顺序解释；</w:t>
            </w:r>
          </w:p>
          <w:p w14:paraId="181A5483">
            <w:pPr>
              <w:spacing w:line="360" w:lineRule="auto"/>
              <w:rPr>
                <w:rFonts w:asciiTheme="minorEastAsia" w:hAnsiTheme="minorEastAsia"/>
                <w:bCs/>
                <w:sz w:val="24"/>
                <w:highlight w:val="none"/>
              </w:rPr>
            </w:pPr>
            <w:r>
              <w:rPr>
                <w:rFonts w:hint="eastAsia" w:asciiTheme="minorEastAsia" w:hAnsiTheme="minorEastAsia"/>
                <w:bCs/>
                <w:sz w:val="24"/>
                <w:highlight w:val="none"/>
              </w:rPr>
              <w:t>（4）</w:t>
            </w:r>
            <w:r>
              <w:rPr>
                <w:rFonts w:asciiTheme="minorEastAsia" w:hAnsiTheme="minorEastAsia"/>
                <w:bCs/>
                <w:sz w:val="24"/>
                <w:highlight w:val="none"/>
              </w:rPr>
              <w:t>除</w:t>
            </w:r>
            <w:r>
              <w:rPr>
                <w:rFonts w:hint="eastAsia" w:asciiTheme="minorEastAsia" w:hAnsiTheme="minorEastAsia"/>
                <w:bCs/>
                <w:sz w:val="24"/>
                <w:highlight w:val="none"/>
              </w:rPr>
              <w:t>磋商</w:t>
            </w:r>
            <w:r>
              <w:rPr>
                <w:rFonts w:asciiTheme="minorEastAsia" w:hAnsiTheme="minorEastAsia"/>
                <w:bCs/>
                <w:sz w:val="24"/>
                <w:highlight w:val="none"/>
              </w:rPr>
              <w:t>文件中有特别规定外，仅适用于</w:t>
            </w:r>
            <w:r>
              <w:rPr>
                <w:rFonts w:hint="eastAsia" w:asciiTheme="minorEastAsia" w:hAnsiTheme="minorEastAsia"/>
                <w:bCs/>
                <w:sz w:val="24"/>
                <w:highlight w:val="none"/>
              </w:rPr>
              <w:t>磋商及响应文件提交</w:t>
            </w:r>
            <w:r>
              <w:rPr>
                <w:rFonts w:asciiTheme="minorEastAsia" w:hAnsiTheme="minorEastAsia"/>
                <w:bCs/>
                <w:sz w:val="24"/>
                <w:highlight w:val="none"/>
              </w:rPr>
              <w:t>阶段的规定，按</w:t>
            </w:r>
            <w:r>
              <w:rPr>
                <w:rFonts w:hint="eastAsia" w:asciiTheme="minorEastAsia" w:hAnsiTheme="minorEastAsia"/>
                <w:bCs/>
                <w:sz w:val="24"/>
                <w:highlight w:val="none"/>
              </w:rPr>
              <w:t>竞争性磋商</w:t>
            </w:r>
            <w:r>
              <w:rPr>
                <w:rFonts w:asciiTheme="minorEastAsia" w:hAnsiTheme="minorEastAsia"/>
                <w:bCs/>
                <w:sz w:val="24"/>
                <w:highlight w:val="none"/>
              </w:rPr>
              <w:t>公告、</w:t>
            </w:r>
            <w:r>
              <w:rPr>
                <w:rFonts w:hint="eastAsia" w:asciiTheme="minorEastAsia" w:hAnsiTheme="minorEastAsia"/>
                <w:bCs/>
                <w:sz w:val="24"/>
                <w:highlight w:val="none"/>
              </w:rPr>
              <w:t>磋商邀请、供应商</w:t>
            </w:r>
            <w:r>
              <w:rPr>
                <w:rFonts w:asciiTheme="minorEastAsia" w:hAnsiTheme="minorEastAsia"/>
                <w:bCs/>
                <w:sz w:val="24"/>
                <w:highlight w:val="none"/>
              </w:rPr>
              <w:t>须知、评</w:t>
            </w:r>
            <w:r>
              <w:rPr>
                <w:rFonts w:hint="eastAsia" w:asciiTheme="minorEastAsia" w:hAnsiTheme="minorEastAsia"/>
                <w:bCs/>
                <w:sz w:val="24"/>
                <w:highlight w:val="none"/>
              </w:rPr>
              <w:t>审方</w:t>
            </w:r>
            <w:r>
              <w:rPr>
                <w:rFonts w:asciiTheme="minorEastAsia" w:hAnsiTheme="minorEastAsia"/>
                <w:bCs/>
                <w:sz w:val="24"/>
                <w:highlight w:val="none"/>
              </w:rPr>
              <w:t>法</w:t>
            </w:r>
            <w:r>
              <w:rPr>
                <w:rFonts w:hint="eastAsia" w:asciiTheme="minorEastAsia" w:hAnsiTheme="minorEastAsia"/>
                <w:bCs/>
                <w:sz w:val="24"/>
                <w:highlight w:val="none"/>
              </w:rPr>
              <w:t>和标准</w:t>
            </w:r>
            <w:r>
              <w:rPr>
                <w:rFonts w:asciiTheme="minorEastAsia" w:hAnsiTheme="minorEastAsia"/>
                <w:bCs/>
                <w:sz w:val="24"/>
                <w:highlight w:val="none"/>
              </w:rPr>
              <w:t>、</w:t>
            </w:r>
            <w:r>
              <w:rPr>
                <w:rFonts w:hint="eastAsia" w:asciiTheme="minorEastAsia" w:hAnsiTheme="minorEastAsia"/>
                <w:bCs/>
                <w:sz w:val="24"/>
                <w:highlight w:val="none"/>
              </w:rPr>
              <w:t>响应</w:t>
            </w:r>
            <w:r>
              <w:rPr>
                <w:rFonts w:asciiTheme="minorEastAsia" w:hAnsiTheme="minorEastAsia"/>
                <w:bCs/>
                <w:sz w:val="24"/>
                <w:highlight w:val="none"/>
              </w:rPr>
              <w:t>文件格式的先后顺序解释；</w:t>
            </w:r>
          </w:p>
          <w:p w14:paraId="6A12D98B">
            <w:pPr>
              <w:pStyle w:val="68"/>
              <w:widowControl w:val="0"/>
              <w:spacing w:before="0" w:beforeAutospacing="0" w:after="0" w:afterAutospacing="0" w:line="360" w:lineRule="auto"/>
              <w:jc w:val="both"/>
              <w:rPr>
                <w:rFonts w:asciiTheme="minorEastAsia" w:hAnsiTheme="minorEastAsia"/>
                <w:b w:val="0"/>
                <w:sz w:val="24"/>
                <w:szCs w:val="24"/>
                <w:highlight w:val="none"/>
              </w:rPr>
            </w:pPr>
            <w:r>
              <w:rPr>
                <w:rFonts w:hint="eastAsia" w:asciiTheme="minorEastAsia" w:hAnsiTheme="minorEastAsia"/>
                <w:b w:val="0"/>
                <w:sz w:val="24"/>
                <w:szCs w:val="24"/>
                <w:highlight w:val="none"/>
              </w:rPr>
              <w:t>（5）</w:t>
            </w:r>
            <w:r>
              <w:rPr>
                <w:rFonts w:asciiTheme="minorEastAsia" w:hAnsiTheme="minorEastAsia"/>
                <w:b w:val="0"/>
                <w:sz w:val="24"/>
                <w:szCs w:val="24"/>
                <w:highlight w:val="none"/>
              </w:rPr>
              <w:t>按本款前述规定仍不能形成结论的，由</w:t>
            </w:r>
            <w:r>
              <w:rPr>
                <w:rFonts w:hint="eastAsia" w:asciiTheme="minorEastAsia" w:hAnsiTheme="minorEastAsia"/>
                <w:b w:val="0"/>
                <w:sz w:val="24"/>
                <w:szCs w:val="24"/>
                <w:highlight w:val="none"/>
              </w:rPr>
              <w:t>采购</w:t>
            </w:r>
            <w:r>
              <w:rPr>
                <w:rFonts w:asciiTheme="minorEastAsia" w:hAnsiTheme="minorEastAsia"/>
                <w:b w:val="0"/>
                <w:sz w:val="24"/>
                <w:szCs w:val="24"/>
                <w:highlight w:val="none"/>
              </w:rPr>
              <w:t>人负责解释。</w:t>
            </w:r>
          </w:p>
          <w:p w14:paraId="2362C14B">
            <w:pPr>
              <w:pStyle w:val="68"/>
              <w:widowControl w:val="0"/>
              <w:spacing w:before="0" w:beforeAutospacing="0" w:after="0" w:afterAutospacing="0" w:line="360" w:lineRule="auto"/>
              <w:jc w:val="both"/>
              <w:rPr>
                <w:rFonts w:asciiTheme="minorEastAsia" w:hAnsiTheme="minorEastAsia"/>
                <w:b w:val="0"/>
                <w:sz w:val="24"/>
                <w:szCs w:val="24"/>
                <w:highlight w:val="none"/>
              </w:rPr>
            </w:pPr>
            <w:r>
              <w:rPr>
                <w:rFonts w:hint="eastAsia" w:asciiTheme="minorEastAsia" w:hAnsiTheme="minorEastAsia"/>
                <w:b w:val="0"/>
                <w:sz w:val="24"/>
                <w:szCs w:val="24"/>
                <w:highlight w:val="none"/>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b w:val="0"/>
                <w:sz w:val="24"/>
                <w:szCs w:val="24"/>
                <w:highlight w:val="none"/>
              </w:rPr>
              <w:br w:type="textWrapping"/>
            </w:r>
            <w:r>
              <w:rPr>
                <w:rFonts w:hint="eastAsia" w:asciiTheme="minorEastAsia" w:hAnsiTheme="minorEastAsia"/>
                <w:b w:val="0"/>
                <w:sz w:val="24"/>
                <w:szCs w:val="24"/>
                <w:highlight w:val="none"/>
              </w:rPr>
              <w:t>3、电子保函指引：成交供应商可访问安徽省政府采购网“融资/保函”栏目，申请办理电子保函（包括：履约保函、预付款保函）。</w:t>
            </w:r>
          </w:p>
          <w:p w14:paraId="4E3BF8F6">
            <w:pPr>
              <w:pStyle w:val="68"/>
              <w:widowControl w:val="0"/>
              <w:spacing w:before="0" w:beforeAutospacing="0" w:after="0" w:afterAutospacing="0" w:line="360" w:lineRule="auto"/>
              <w:jc w:val="both"/>
              <w:rPr>
                <w:rFonts w:asciiTheme="minorEastAsia" w:hAnsiTheme="minorEastAsia"/>
                <w:b w:val="0"/>
                <w:sz w:val="24"/>
                <w:szCs w:val="24"/>
                <w:highlight w:val="none"/>
              </w:rPr>
            </w:pPr>
            <w:r>
              <w:rPr>
                <w:rFonts w:hint="eastAsia" w:asciiTheme="minorEastAsia" w:hAnsiTheme="minorEastAsia"/>
                <w:b w:val="0"/>
                <w:sz w:val="24"/>
                <w:szCs w:val="24"/>
                <w:highlight w:val="none"/>
              </w:rPr>
              <w:t>4、特别提醒：供应商制作响应文件时，报价文件格式中需包含工程量清单报价书相应内容及表格，并同时上传.18ZHTB格式的工程量清单报价文件。</w:t>
            </w:r>
          </w:p>
          <w:p w14:paraId="0ABDB4CF">
            <w:pPr>
              <w:pStyle w:val="68"/>
              <w:widowControl w:val="0"/>
              <w:spacing w:before="0" w:beforeAutospacing="0" w:after="0" w:afterAutospacing="0" w:line="360" w:lineRule="auto"/>
              <w:jc w:val="both"/>
              <w:rPr>
                <w:highlight w:val="none"/>
              </w:rPr>
            </w:pPr>
            <w:r>
              <w:rPr>
                <w:rFonts w:hint="eastAsia" w:ascii="宋体" w:hAnsi="宋体" w:eastAsia="宋体" w:cs="@仿宋_GB2312"/>
                <w:bCs w:val="0"/>
                <w:kern w:val="0"/>
                <w:sz w:val="24"/>
                <w:highlight w:val="none"/>
              </w:rPr>
              <w:t>5、在签订合同前，成交供应商须提供两份纸质响应文件和一份电子版响应文件（U盘）。</w:t>
            </w:r>
          </w:p>
        </w:tc>
      </w:tr>
    </w:tbl>
    <w:p w14:paraId="6D9C8202">
      <w:pPr>
        <w:spacing w:line="360" w:lineRule="auto"/>
        <w:jc w:val="center"/>
        <w:outlineLvl w:val="1"/>
        <w:rPr>
          <w:rFonts w:asciiTheme="minorEastAsia" w:hAnsiTheme="minorEastAsia"/>
          <w:b/>
          <w:sz w:val="24"/>
          <w:highlight w:val="none"/>
        </w:rPr>
      </w:pPr>
      <w:r>
        <w:rPr>
          <w:rFonts w:asciiTheme="minorEastAsia" w:hAnsiTheme="minorEastAsia"/>
          <w:b/>
          <w:sz w:val="28"/>
          <w:highlight w:val="none"/>
        </w:rPr>
        <w:br w:type="page"/>
      </w:r>
      <w:bookmarkStart w:id="30" w:name="_Toc26858"/>
      <w:bookmarkStart w:id="31" w:name="_Toc18784"/>
      <w:r>
        <w:rPr>
          <w:rFonts w:hint="eastAsia" w:asciiTheme="minorEastAsia" w:hAnsiTheme="minorEastAsia"/>
          <w:b/>
          <w:sz w:val="24"/>
          <w:highlight w:val="none"/>
        </w:rPr>
        <w:t>二、供应商</w:t>
      </w:r>
      <w:r>
        <w:rPr>
          <w:rFonts w:asciiTheme="minorEastAsia" w:hAnsiTheme="minorEastAsia"/>
          <w:b/>
          <w:sz w:val="24"/>
          <w:highlight w:val="none"/>
        </w:rPr>
        <w:t>须知</w:t>
      </w:r>
      <w:r>
        <w:rPr>
          <w:rFonts w:hint="eastAsia" w:asciiTheme="minorEastAsia" w:hAnsiTheme="minorEastAsia"/>
          <w:b/>
          <w:sz w:val="24"/>
          <w:highlight w:val="none"/>
        </w:rPr>
        <w:t>正文</w:t>
      </w:r>
      <w:bookmarkEnd w:id="30"/>
      <w:bookmarkEnd w:id="31"/>
    </w:p>
    <w:p w14:paraId="144BB529">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w:t>
      </w:r>
      <w:r>
        <w:rPr>
          <w:rFonts w:asciiTheme="minorEastAsia" w:hAnsiTheme="minorEastAsia"/>
          <w:b/>
          <w:sz w:val="24"/>
          <w:highlight w:val="none"/>
        </w:rPr>
        <w:t>.</w:t>
      </w:r>
      <w:r>
        <w:rPr>
          <w:rFonts w:hint="eastAsia" w:asciiTheme="minorEastAsia" w:hAnsiTheme="minorEastAsia"/>
          <w:b/>
          <w:sz w:val="24"/>
          <w:highlight w:val="none"/>
        </w:rPr>
        <w:t>采购人、采购代理机构及供应商</w:t>
      </w:r>
    </w:p>
    <w:p w14:paraId="5E8BEC1E">
      <w:pPr>
        <w:spacing w:line="360" w:lineRule="auto"/>
        <w:ind w:firstLine="435"/>
        <w:rPr>
          <w:sz w:val="24"/>
          <w:highlight w:val="none"/>
        </w:rPr>
      </w:pPr>
      <w:r>
        <w:rPr>
          <w:rFonts w:hint="eastAsia"/>
          <w:sz w:val="24"/>
          <w:highlight w:val="none"/>
        </w:rPr>
        <w:t>1</w:t>
      </w:r>
      <w:r>
        <w:rPr>
          <w:sz w:val="24"/>
          <w:highlight w:val="none"/>
        </w:rPr>
        <w:t>.1采购人：是指依法开展政府采购活动的国家机关、事业单位、团体组织。</w:t>
      </w:r>
    </w:p>
    <w:p w14:paraId="50F7B5EF">
      <w:pPr>
        <w:spacing w:line="360" w:lineRule="auto"/>
        <w:ind w:firstLine="435"/>
        <w:rPr>
          <w:sz w:val="24"/>
          <w:highlight w:val="none"/>
        </w:rPr>
      </w:pPr>
      <w:r>
        <w:rPr>
          <w:rFonts w:hint="eastAsia"/>
          <w:sz w:val="24"/>
          <w:highlight w:val="none"/>
        </w:rPr>
        <w:t>1</w:t>
      </w:r>
      <w:r>
        <w:rPr>
          <w:sz w:val="24"/>
          <w:highlight w:val="none"/>
        </w:rPr>
        <w:t>.3政府采购监督管理部门：</w:t>
      </w:r>
      <w:r>
        <w:rPr>
          <w:rFonts w:hint="eastAsia"/>
          <w:sz w:val="24"/>
          <w:highlight w:val="none"/>
        </w:rPr>
        <w:t>各级人民政府指定的有关部门依法履行与政府采购活动有关的监督管理职责。</w:t>
      </w:r>
    </w:p>
    <w:p w14:paraId="5459414D">
      <w:pPr>
        <w:spacing w:line="360" w:lineRule="auto"/>
        <w:ind w:firstLine="435"/>
        <w:rPr>
          <w:sz w:val="24"/>
          <w:highlight w:val="none"/>
        </w:rPr>
      </w:pPr>
      <w:r>
        <w:rPr>
          <w:rFonts w:hint="eastAsia"/>
          <w:sz w:val="24"/>
          <w:highlight w:val="none"/>
        </w:rPr>
        <w:t>1</w:t>
      </w:r>
      <w:r>
        <w:rPr>
          <w:sz w:val="24"/>
          <w:highlight w:val="none"/>
        </w:rPr>
        <w:t>.4</w:t>
      </w:r>
      <w:r>
        <w:rPr>
          <w:rFonts w:hint="eastAsia"/>
          <w:sz w:val="24"/>
          <w:highlight w:val="none"/>
        </w:rPr>
        <w:t>供应商</w:t>
      </w:r>
      <w:r>
        <w:rPr>
          <w:sz w:val="24"/>
          <w:highlight w:val="none"/>
        </w:rPr>
        <w:t>：是指向采购人提供货物、工程或者服务的法人、</w:t>
      </w:r>
      <w:r>
        <w:rPr>
          <w:rFonts w:hint="eastAsia"/>
          <w:sz w:val="24"/>
          <w:highlight w:val="none"/>
        </w:rPr>
        <w:t>其他</w:t>
      </w:r>
      <w:r>
        <w:rPr>
          <w:sz w:val="24"/>
          <w:highlight w:val="none"/>
        </w:rPr>
        <w:t>组织或者自然人。</w:t>
      </w:r>
      <w:r>
        <w:rPr>
          <w:rFonts w:hint="eastAsia"/>
          <w:sz w:val="24"/>
          <w:highlight w:val="none"/>
        </w:rPr>
        <w:t>分支机构不得参加政府采购活动，但银行、保险、石油石化、电力、电信等特殊行业除外。</w:t>
      </w:r>
      <w:r>
        <w:rPr>
          <w:sz w:val="24"/>
          <w:highlight w:val="none"/>
        </w:rPr>
        <w:t>本项目的</w:t>
      </w:r>
      <w:r>
        <w:rPr>
          <w:rFonts w:hint="eastAsia"/>
          <w:sz w:val="24"/>
          <w:highlight w:val="none"/>
        </w:rPr>
        <w:t>供应商</w:t>
      </w:r>
      <w:r>
        <w:rPr>
          <w:sz w:val="24"/>
          <w:highlight w:val="none"/>
        </w:rPr>
        <w:t>须满足以下条件：</w:t>
      </w:r>
    </w:p>
    <w:p w14:paraId="3E2E8AC2">
      <w:pPr>
        <w:spacing w:line="360" w:lineRule="auto"/>
        <w:ind w:firstLine="435"/>
        <w:rPr>
          <w:sz w:val="24"/>
          <w:highlight w:val="none"/>
        </w:rPr>
      </w:pPr>
      <w:r>
        <w:rPr>
          <w:rFonts w:hint="eastAsia"/>
          <w:sz w:val="24"/>
          <w:highlight w:val="none"/>
        </w:rPr>
        <w:t>1</w:t>
      </w:r>
      <w:r>
        <w:rPr>
          <w:sz w:val="24"/>
          <w:highlight w:val="none"/>
        </w:rPr>
        <w:t>.4.</w:t>
      </w:r>
      <w:r>
        <w:rPr>
          <w:rFonts w:hint="eastAsia"/>
          <w:sz w:val="24"/>
          <w:highlight w:val="none"/>
        </w:rPr>
        <w:t>1</w:t>
      </w:r>
      <w:r>
        <w:rPr>
          <w:sz w:val="24"/>
          <w:highlight w:val="none"/>
        </w:rPr>
        <w:t>具备《中华人民共和国政府采购法》第二十二条关于供应商条件的规定，遵守本项目采购人本级和上级财政部门政府采购的有关规定。</w:t>
      </w:r>
    </w:p>
    <w:p w14:paraId="764B0F0B">
      <w:pPr>
        <w:spacing w:line="360" w:lineRule="auto"/>
        <w:ind w:firstLine="435"/>
        <w:rPr>
          <w:sz w:val="24"/>
          <w:highlight w:val="none"/>
        </w:rPr>
      </w:pPr>
      <w:r>
        <w:rPr>
          <w:rFonts w:hint="eastAsia"/>
          <w:sz w:val="24"/>
          <w:highlight w:val="none"/>
        </w:rPr>
        <w:t>1</w:t>
      </w:r>
      <w:r>
        <w:rPr>
          <w:sz w:val="24"/>
          <w:highlight w:val="none"/>
        </w:rPr>
        <w:t>.4.</w:t>
      </w:r>
      <w:r>
        <w:rPr>
          <w:rFonts w:hint="eastAsia"/>
          <w:sz w:val="24"/>
          <w:highlight w:val="none"/>
        </w:rPr>
        <w:t>2</w:t>
      </w:r>
      <w:r>
        <w:rPr>
          <w:sz w:val="24"/>
          <w:highlight w:val="none"/>
        </w:rPr>
        <w:t>以采购代理机构认可的方式获得了本项目的</w:t>
      </w:r>
      <w:r>
        <w:rPr>
          <w:rFonts w:hint="eastAsia"/>
          <w:sz w:val="24"/>
          <w:highlight w:val="none"/>
        </w:rPr>
        <w:t>磋商</w:t>
      </w:r>
      <w:r>
        <w:rPr>
          <w:sz w:val="24"/>
          <w:highlight w:val="none"/>
        </w:rPr>
        <w:t>文件。</w:t>
      </w:r>
    </w:p>
    <w:p w14:paraId="5B369355">
      <w:pPr>
        <w:spacing w:line="360" w:lineRule="auto"/>
        <w:ind w:firstLine="435"/>
        <w:rPr>
          <w:sz w:val="24"/>
          <w:highlight w:val="none"/>
        </w:rPr>
      </w:pPr>
      <w:r>
        <w:rPr>
          <w:rFonts w:hint="eastAsia"/>
          <w:bCs/>
          <w:sz w:val="24"/>
          <w:szCs w:val="28"/>
          <w:highlight w:val="none"/>
        </w:rPr>
        <w:t>1</w:t>
      </w:r>
      <w:r>
        <w:rPr>
          <w:bCs/>
          <w:sz w:val="24"/>
          <w:szCs w:val="28"/>
          <w:highlight w:val="none"/>
        </w:rPr>
        <w:t>.5</w:t>
      </w:r>
      <w:r>
        <w:rPr>
          <w:rFonts w:hint="eastAsia"/>
          <w:bCs/>
          <w:sz w:val="24"/>
          <w:szCs w:val="28"/>
          <w:highlight w:val="none"/>
        </w:rPr>
        <w:t>若竞争性磋商公告</w:t>
      </w:r>
      <w:r>
        <w:rPr>
          <w:bCs/>
          <w:sz w:val="24"/>
          <w:szCs w:val="28"/>
          <w:highlight w:val="none"/>
        </w:rPr>
        <w:t>中允许联合体</w:t>
      </w:r>
      <w:r>
        <w:rPr>
          <w:rFonts w:hint="eastAsia"/>
          <w:bCs/>
          <w:sz w:val="24"/>
          <w:szCs w:val="28"/>
          <w:highlight w:val="none"/>
        </w:rPr>
        <w:t>参加磋商</w:t>
      </w:r>
      <w:r>
        <w:rPr>
          <w:bCs/>
          <w:sz w:val="24"/>
          <w:szCs w:val="28"/>
          <w:highlight w:val="none"/>
        </w:rPr>
        <w:t>，对联合体规定如下：</w:t>
      </w:r>
    </w:p>
    <w:p w14:paraId="186B9AFF">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.1</w:t>
      </w:r>
      <w:r>
        <w:rPr>
          <w:rFonts w:hint="eastAsia"/>
          <w:sz w:val="24"/>
          <w:highlight w:val="none"/>
        </w:rPr>
        <w:t>两个以上供应商可以组成一个磋商联合体，以一个供应商的身份磋商</w:t>
      </w:r>
      <w:r>
        <w:rPr>
          <w:sz w:val="24"/>
          <w:highlight w:val="none"/>
        </w:rPr>
        <w:t>。联合体参加磋商的，</w:t>
      </w:r>
      <w:r>
        <w:rPr>
          <w:rFonts w:hint="eastAsia"/>
          <w:sz w:val="24"/>
          <w:highlight w:val="none"/>
        </w:rPr>
        <w:t>磋商文件获取</w:t>
      </w:r>
      <w:r>
        <w:rPr>
          <w:sz w:val="24"/>
          <w:highlight w:val="none"/>
        </w:rPr>
        <w:t>手续由联合体</w:t>
      </w:r>
      <w:r>
        <w:rPr>
          <w:rFonts w:hint="eastAsia"/>
          <w:sz w:val="24"/>
          <w:highlight w:val="none"/>
        </w:rPr>
        <w:t>中</w:t>
      </w:r>
      <w:r>
        <w:rPr>
          <w:sz w:val="24"/>
          <w:highlight w:val="none"/>
        </w:rPr>
        <w:t>任一</w:t>
      </w:r>
      <w:r>
        <w:rPr>
          <w:rFonts w:hint="eastAsia"/>
          <w:sz w:val="24"/>
          <w:highlight w:val="none"/>
        </w:rPr>
        <w:t>成员单位</w:t>
      </w:r>
      <w:r>
        <w:rPr>
          <w:sz w:val="24"/>
          <w:highlight w:val="none"/>
        </w:rPr>
        <w:t>办理均可。</w:t>
      </w:r>
    </w:p>
    <w:p w14:paraId="5F680357">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.2联合体各方均应符合《中华人民共和国政府采购法》第二十二条规定的条件。</w:t>
      </w:r>
    </w:p>
    <w:p w14:paraId="36C71D37">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.3采购人根据采购项目对</w:t>
      </w:r>
      <w:r>
        <w:rPr>
          <w:rFonts w:hint="eastAsia"/>
          <w:sz w:val="24"/>
          <w:highlight w:val="none"/>
        </w:rPr>
        <w:t>供应商</w:t>
      </w:r>
      <w:r>
        <w:rPr>
          <w:sz w:val="24"/>
          <w:highlight w:val="none"/>
        </w:rPr>
        <w:t>的特殊要求，联合体中至少应当有一方符合相关规定。</w:t>
      </w:r>
    </w:p>
    <w:p w14:paraId="05CB0AAA">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.4联合体各方应签订</w:t>
      </w:r>
      <w:r>
        <w:rPr>
          <w:rFonts w:hint="eastAsia"/>
          <w:sz w:val="24"/>
          <w:highlight w:val="none"/>
        </w:rPr>
        <w:t>联合协议</w:t>
      </w:r>
      <w:r>
        <w:rPr>
          <w:sz w:val="24"/>
          <w:highlight w:val="none"/>
        </w:rPr>
        <w:t>，明确约定联合体各方承担的工作和相应的责任，并将</w:t>
      </w:r>
      <w:r>
        <w:rPr>
          <w:rFonts w:hint="eastAsia"/>
          <w:sz w:val="24"/>
          <w:highlight w:val="none"/>
        </w:rPr>
        <w:t>联合协议</w:t>
      </w:r>
      <w:r>
        <w:rPr>
          <w:sz w:val="24"/>
          <w:highlight w:val="none"/>
        </w:rPr>
        <w:t>作为</w:t>
      </w:r>
      <w:r>
        <w:rPr>
          <w:rFonts w:hint="eastAsia"/>
          <w:sz w:val="24"/>
          <w:highlight w:val="none"/>
        </w:rPr>
        <w:t>响应</w:t>
      </w:r>
      <w:r>
        <w:rPr>
          <w:sz w:val="24"/>
          <w:highlight w:val="none"/>
        </w:rPr>
        <w:t>文件</w:t>
      </w:r>
      <w:r>
        <w:rPr>
          <w:rFonts w:hint="eastAsia"/>
          <w:sz w:val="24"/>
          <w:highlight w:val="none"/>
        </w:rPr>
        <w:t>的</w:t>
      </w:r>
      <w:r>
        <w:rPr>
          <w:sz w:val="24"/>
          <w:highlight w:val="none"/>
        </w:rPr>
        <w:t>一部分提交。</w:t>
      </w:r>
    </w:p>
    <w:p w14:paraId="6BC42F78">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.5大中型企业、其他自然人、法人或者非法人组织与小型、微型企业组成联合体共同参加</w:t>
      </w:r>
      <w:r>
        <w:rPr>
          <w:rFonts w:hint="eastAsia"/>
          <w:sz w:val="24"/>
          <w:highlight w:val="none"/>
        </w:rPr>
        <w:t>磋商</w:t>
      </w:r>
      <w:r>
        <w:rPr>
          <w:sz w:val="24"/>
          <w:highlight w:val="none"/>
        </w:rPr>
        <w:t>，</w:t>
      </w:r>
      <w:r>
        <w:rPr>
          <w:rFonts w:hint="eastAsia"/>
          <w:sz w:val="24"/>
          <w:highlight w:val="none"/>
        </w:rPr>
        <w:t>联合协议中</w:t>
      </w:r>
      <w:r>
        <w:rPr>
          <w:sz w:val="24"/>
          <w:highlight w:val="none"/>
        </w:rPr>
        <w:t>应写明小型、微型企业的协议合同金额占到</w:t>
      </w:r>
      <w:r>
        <w:rPr>
          <w:rFonts w:hint="eastAsia"/>
          <w:sz w:val="24"/>
          <w:highlight w:val="none"/>
        </w:rPr>
        <w:t>联合协议合同</w:t>
      </w:r>
      <w:r>
        <w:rPr>
          <w:sz w:val="24"/>
          <w:highlight w:val="none"/>
        </w:rPr>
        <w:t>总金额的比例。</w:t>
      </w:r>
    </w:p>
    <w:p w14:paraId="13ADB015">
      <w:pPr>
        <w:spacing w:line="360" w:lineRule="auto"/>
        <w:ind w:firstLine="435"/>
        <w:rPr>
          <w:sz w:val="24"/>
          <w:highlight w:val="none"/>
        </w:rPr>
      </w:pPr>
      <w:r>
        <w:rPr>
          <w:rFonts w:hint="eastAsia"/>
          <w:sz w:val="24"/>
          <w:highlight w:val="none"/>
        </w:rPr>
        <w:t>1</w:t>
      </w:r>
      <w:r>
        <w:rPr>
          <w:sz w:val="24"/>
          <w:highlight w:val="none"/>
        </w:rPr>
        <w:t>.5.6</w:t>
      </w:r>
      <w:r>
        <w:rPr>
          <w:rFonts w:hint="eastAsia"/>
          <w:sz w:val="24"/>
          <w:highlight w:val="none"/>
        </w:rPr>
        <w:t>联合体中有同类资质的供应商按照联合体分工承担相同工作的，</w:t>
      </w:r>
      <w:r>
        <w:rPr>
          <w:sz w:val="24"/>
          <w:highlight w:val="none"/>
        </w:rPr>
        <w:t>应当按照</w:t>
      </w:r>
      <w:r>
        <w:rPr>
          <w:rFonts w:hint="eastAsia"/>
          <w:sz w:val="24"/>
          <w:highlight w:val="none"/>
        </w:rPr>
        <w:t>资质等级较低的供应商确定资质等级。</w:t>
      </w:r>
    </w:p>
    <w:p w14:paraId="520FF20E">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.7以联合体形式参加政府采购活动的，联合体各方不得再单独参加或者与其他供应商另外组成联合体参加本项目</w:t>
      </w:r>
      <w:r>
        <w:rPr>
          <w:rFonts w:hint="eastAsia"/>
          <w:sz w:val="24"/>
          <w:highlight w:val="none"/>
        </w:rPr>
        <w:t>磋商</w:t>
      </w:r>
      <w:r>
        <w:rPr>
          <w:sz w:val="24"/>
          <w:highlight w:val="none"/>
        </w:rPr>
        <w:t>，否则相关</w:t>
      </w:r>
      <w:r>
        <w:rPr>
          <w:rFonts w:hint="eastAsia"/>
          <w:sz w:val="24"/>
          <w:highlight w:val="none"/>
        </w:rPr>
        <w:t>响应文件将被认定为</w:t>
      </w:r>
      <w:r>
        <w:rPr>
          <w:rFonts w:hint="eastAsia"/>
          <w:b/>
          <w:sz w:val="24"/>
          <w:highlight w:val="none"/>
        </w:rPr>
        <w:t>响应无效</w:t>
      </w:r>
      <w:r>
        <w:rPr>
          <w:sz w:val="24"/>
          <w:highlight w:val="none"/>
        </w:rPr>
        <w:t>。</w:t>
      </w:r>
    </w:p>
    <w:p w14:paraId="57431FB1">
      <w:pPr>
        <w:spacing w:line="360" w:lineRule="auto"/>
        <w:ind w:firstLine="435"/>
        <w:rPr>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.8对联合体参加磋商的其他资格要求见</w:t>
      </w:r>
      <w:r>
        <w:rPr>
          <w:rFonts w:hint="eastAsia" w:ascii="宋体" w:hAnsi="宋体" w:eastAsia="宋体"/>
          <w:sz w:val="24"/>
          <w:highlight w:val="none"/>
        </w:rPr>
        <w:t>申请人的资格要求</w:t>
      </w:r>
      <w:r>
        <w:rPr>
          <w:sz w:val="24"/>
          <w:highlight w:val="none"/>
        </w:rPr>
        <w:t>。</w:t>
      </w:r>
    </w:p>
    <w:p w14:paraId="1760D6D3">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2</w:t>
      </w:r>
      <w:r>
        <w:rPr>
          <w:rFonts w:asciiTheme="minorEastAsia" w:hAnsiTheme="minorEastAsia"/>
          <w:b/>
          <w:sz w:val="24"/>
          <w:highlight w:val="none"/>
        </w:rPr>
        <w:t>.</w:t>
      </w:r>
      <w:r>
        <w:rPr>
          <w:rFonts w:hint="eastAsia" w:asciiTheme="minorEastAsia" w:hAnsiTheme="minorEastAsia"/>
          <w:b/>
          <w:sz w:val="24"/>
          <w:highlight w:val="none"/>
        </w:rPr>
        <w:t>资金落实情况</w:t>
      </w:r>
    </w:p>
    <w:p w14:paraId="7CA10B58">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w:t>
      </w:r>
      <w:r>
        <w:rPr>
          <w:rFonts w:asciiTheme="minorEastAsia" w:hAnsiTheme="minorEastAsia"/>
          <w:sz w:val="24"/>
          <w:highlight w:val="none"/>
        </w:rPr>
        <w:t>.1本项目的采购人已获得足以支付本次磋商后所签订的合同项下的资金。</w:t>
      </w:r>
    </w:p>
    <w:p w14:paraId="247A13F9">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3</w:t>
      </w:r>
      <w:r>
        <w:rPr>
          <w:rFonts w:asciiTheme="minorEastAsia" w:hAnsiTheme="minorEastAsia"/>
          <w:b/>
          <w:sz w:val="24"/>
          <w:highlight w:val="none"/>
        </w:rPr>
        <w:t>.</w:t>
      </w:r>
      <w:r>
        <w:rPr>
          <w:rFonts w:hint="eastAsia" w:asciiTheme="minorEastAsia" w:hAnsiTheme="minorEastAsia"/>
          <w:b/>
          <w:sz w:val="24"/>
          <w:highlight w:val="none"/>
        </w:rPr>
        <w:t>磋商费用</w:t>
      </w:r>
    </w:p>
    <w:p w14:paraId="229B9236">
      <w:pPr>
        <w:spacing w:line="360" w:lineRule="auto"/>
        <w:ind w:firstLine="437"/>
        <w:rPr>
          <w:sz w:val="24"/>
          <w:highlight w:val="none"/>
        </w:rPr>
      </w:pPr>
      <w:r>
        <w:rPr>
          <w:rFonts w:hint="eastAsia"/>
          <w:sz w:val="24"/>
          <w:highlight w:val="none"/>
        </w:rPr>
        <w:t>不论磋商的结果如何，供应商应承担其所有与准备和参加磋商有关的费用。</w:t>
      </w:r>
    </w:p>
    <w:p w14:paraId="10D4C584">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4</w:t>
      </w:r>
      <w:r>
        <w:rPr>
          <w:rFonts w:asciiTheme="minorEastAsia" w:hAnsiTheme="minorEastAsia"/>
          <w:b/>
          <w:sz w:val="24"/>
          <w:highlight w:val="none"/>
        </w:rPr>
        <w:t>.</w:t>
      </w:r>
      <w:r>
        <w:rPr>
          <w:rFonts w:hint="eastAsia" w:asciiTheme="minorEastAsia" w:hAnsiTheme="minorEastAsia"/>
          <w:b/>
          <w:sz w:val="24"/>
          <w:highlight w:val="none"/>
        </w:rPr>
        <w:t>适用法律</w:t>
      </w:r>
    </w:p>
    <w:p w14:paraId="671E8B85">
      <w:pPr>
        <w:spacing w:line="360" w:lineRule="auto"/>
        <w:ind w:firstLine="435"/>
        <w:rPr>
          <w:rFonts w:asciiTheme="minorEastAsia" w:hAnsiTheme="minorEastAsia"/>
          <w:sz w:val="24"/>
          <w:highlight w:val="none"/>
        </w:rPr>
      </w:pPr>
      <w:r>
        <w:rPr>
          <w:rFonts w:hint="eastAsia"/>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62DCED8">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5</w:t>
      </w:r>
      <w:r>
        <w:rPr>
          <w:rFonts w:asciiTheme="minorEastAsia" w:hAnsiTheme="minorEastAsia"/>
          <w:b/>
          <w:sz w:val="24"/>
          <w:highlight w:val="none"/>
        </w:rPr>
        <w:t>.</w:t>
      </w:r>
      <w:r>
        <w:rPr>
          <w:rFonts w:hint="eastAsia" w:asciiTheme="minorEastAsia" w:hAnsiTheme="minorEastAsia"/>
          <w:b/>
          <w:sz w:val="24"/>
          <w:highlight w:val="none"/>
        </w:rPr>
        <w:t>磋商文件构成</w:t>
      </w:r>
    </w:p>
    <w:p w14:paraId="2A4ADE40">
      <w:pPr>
        <w:spacing w:line="360" w:lineRule="auto"/>
        <w:ind w:firstLine="435"/>
        <w:rPr>
          <w:sz w:val="24"/>
          <w:highlight w:val="none"/>
        </w:rPr>
      </w:pPr>
      <w:r>
        <w:rPr>
          <w:rFonts w:hint="eastAsia"/>
          <w:sz w:val="24"/>
          <w:highlight w:val="none"/>
        </w:rPr>
        <w:t>5.1磋商文件包括下列内容：</w:t>
      </w:r>
    </w:p>
    <w:p w14:paraId="2F5CAB0A">
      <w:pPr>
        <w:spacing w:line="360" w:lineRule="auto"/>
        <w:ind w:firstLine="840" w:firstLineChars="350"/>
        <w:rPr>
          <w:rFonts w:asciiTheme="minorEastAsia" w:hAnsiTheme="minorEastAsia"/>
          <w:sz w:val="24"/>
          <w:highlight w:val="none"/>
        </w:rPr>
      </w:pPr>
      <w:r>
        <w:rPr>
          <w:rFonts w:hint="eastAsia" w:asciiTheme="minorEastAsia" w:hAnsiTheme="minorEastAsia"/>
          <w:sz w:val="24"/>
          <w:highlight w:val="none"/>
        </w:rPr>
        <w:t>第一章</w:t>
      </w:r>
      <w:r>
        <w:rPr>
          <w:rFonts w:asciiTheme="minorEastAsia" w:hAnsiTheme="minorEastAsia"/>
          <w:sz w:val="24"/>
          <w:highlight w:val="none"/>
        </w:rPr>
        <w:t xml:space="preserve">  </w:t>
      </w:r>
      <w:r>
        <w:rPr>
          <w:rFonts w:hint="eastAsia" w:asciiTheme="minorEastAsia" w:hAnsiTheme="minorEastAsia"/>
          <w:sz w:val="24"/>
          <w:highlight w:val="none"/>
        </w:rPr>
        <w:t>磋商邀请</w:t>
      </w:r>
    </w:p>
    <w:p w14:paraId="3F5FD94D">
      <w:pPr>
        <w:spacing w:line="360" w:lineRule="auto"/>
        <w:ind w:firstLine="840" w:firstLineChars="350"/>
        <w:rPr>
          <w:rFonts w:asciiTheme="minorEastAsia" w:hAnsiTheme="minorEastAsia"/>
          <w:sz w:val="24"/>
          <w:highlight w:val="none"/>
        </w:rPr>
      </w:pPr>
      <w:r>
        <w:rPr>
          <w:rFonts w:hint="eastAsia" w:asciiTheme="minorEastAsia" w:hAnsiTheme="minorEastAsia"/>
          <w:sz w:val="24"/>
          <w:highlight w:val="none"/>
        </w:rPr>
        <w:t>第二章</w:t>
      </w:r>
      <w:r>
        <w:rPr>
          <w:rFonts w:asciiTheme="minorEastAsia" w:hAnsiTheme="minorEastAsia"/>
          <w:sz w:val="24"/>
          <w:highlight w:val="none"/>
        </w:rPr>
        <w:t xml:space="preserve">  </w:t>
      </w:r>
      <w:r>
        <w:rPr>
          <w:rFonts w:hint="eastAsia" w:asciiTheme="minorEastAsia" w:hAnsiTheme="minorEastAsia"/>
          <w:sz w:val="24"/>
          <w:highlight w:val="none"/>
        </w:rPr>
        <w:t>供应商</w:t>
      </w:r>
      <w:r>
        <w:rPr>
          <w:rFonts w:asciiTheme="minorEastAsia" w:hAnsiTheme="minorEastAsia"/>
          <w:sz w:val="24"/>
          <w:highlight w:val="none"/>
        </w:rPr>
        <w:t>须知</w:t>
      </w:r>
    </w:p>
    <w:p w14:paraId="2A0B0D43">
      <w:pPr>
        <w:spacing w:line="360" w:lineRule="auto"/>
        <w:ind w:firstLine="840" w:firstLineChars="350"/>
        <w:rPr>
          <w:rFonts w:asciiTheme="minorEastAsia" w:hAnsiTheme="minorEastAsia"/>
          <w:sz w:val="24"/>
          <w:highlight w:val="none"/>
        </w:rPr>
      </w:pPr>
      <w:r>
        <w:rPr>
          <w:rFonts w:hint="eastAsia" w:asciiTheme="minorEastAsia" w:hAnsiTheme="minorEastAsia"/>
          <w:sz w:val="24"/>
          <w:highlight w:val="none"/>
        </w:rPr>
        <w:t>第三章</w:t>
      </w:r>
      <w:r>
        <w:rPr>
          <w:rFonts w:asciiTheme="minorEastAsia" w:hAnsiTheme="minorEastAsia"/>
          <w:sz w:val="24"/>
          <w:highlight w:val="none"/>
        </w:rPr>
        <w:t xml:space="preserve">  采购需求</w:t>
      </w:r>
    </w:p>
    <w:p w14:paraId="2A74220F">
      <w:pPr>
        <w:spacing w:line="360" w:lineRule="auto"/>
        <w:ind w:firstLine="840" w:firstLineChars="350"/>
        <w:rPr>
          <w:rFonts w:asciiTheme="minorEastAsia" w:hAnsiTheme="minorEastAsia"/>
          <w:sz w:val="24"/>
          <w:highlight w:val="none"/>
        </w:rPr>
      </w:pPr>
      <w:r>
        <w:rPr>
          <w:rFonts w:hint="eastAsia" w:asciiTheme="minorEastAsia" w:hAnsiTheme="minorEastAsia"/>
          <w:sz w:val="24"/>
          <w:highlight w:val="none"/>
        </w:rPr>
        <w:t>第四章</w:t>
      </w:r>
      <w:r>
        <w:rPr>
          <w:rFonts w:asciiTheme="minorEastAsia" w:hAnsiTheme="minorEastAsia"/>
          <w:sz w:val="24"/>
          <w:highlight w:val="none"/>
        </w:rPr>
        <w:t xml:space="preserve">  </w:t>
      </w:r>
      <w:r>
        <w:rPr>
          <w:rFonts w:hint="eastAsia" w:asciiTheme="minorEastAsia" w:hAnsiTheme="minorEastAsia"/>
          <w:sz w:val="24"/>
          <w:highlight w:val="none"/>
        </w:rPr>
        <w:t>评审方法</w:t>
      </w:r>
      <w:r>
        <w:rPr>
          <w:rFonts w:asciiTheme="minorEastAsia" w:hAnsiTheme="minorEastAsia"/>
          <w:sz w:val="24"/>
          <w:highlight w:val="none"/>
        </w:rPr>
        <w:t>和标准</w:t>
      </w:r>
    </w:p>
    <w:p w14:paraId="657CC8C6">
      <w:pPr>
        <w:spacing w:line="360" w:lineRule="auto"/>
        <w:ind w:firstLine="840" w:firstLineChars="350"/>
        <w:rPr>
          <w:rFonts w:asciiTheme="minorEastAsia" w:hAnsiTheme="minorEastAsia"/>
          <w:sz w:val="24"/>
          <w:highlight w:val="none"/>
        </w:rPr>
      </w:pPr>
      <w:r>
        <w:rPr>
          <w:rFonts w:hint="eastAsia" w:asciiTheme="minorEastAsia" w:hAnsiTheme="minorEastAsia"/>
          <w:sz w:val="24"/>
          <w:highlight w:val="none"/>
        </w:rPr>
        <w:t>第五章</w:t>
      </w:r>
      <w:r>
        <w:rPr>
          <w:rFonts w:asciiTheme="minorEastAsia" w:hAnsiTheme="minorEastAsia"/>
          <w:sz w:val="24"/>
          <w:highlight w:val="none"/>
        </w:rPr>
        <w:t xml:space="preserve">  政府采购合同</w:t>
      </w:r>
    </w:p>
    <w:p w14:paraId="4C60157C">
      <w:pPr>
        <w:spacing w:line="360" w:lineRule="auto"/>
        <w:ind w:firstLine="840" w:firstLineChars="350"/>
        <w:rPr>
          <w:rFonts w:asciiTheme="minorEastAsia" w:hAnsiTheme="minorEastAsia"/>
          <w:sz w:val="24"/>
          <w:highlight w:val="none"/>
        </w:rPr>
      </w:pPr>
      <w:r>
        <w:rPr>
          <w:rFonts w:hint="eastAsia" w:asciiTheme="minorEastAsia" w:hAnsiTheme="minorEastAsia"/>
          <w:sz w:val="24"/>
          <w:highlight w:val="none"/>
        </w:rPr>
        <w:t>第六章</w:t>
      </w:r>
      <w:r>
        <w:rPr>
          <w:rFonts w:asciiTheme="minorEastAsia" w:hAnsiTheme="minorEastAsia"/>
          <w:sz w:val="24"/>
          <w:highlight w:val="none"/>
        </w:rPr>
        <w:t xml:space="preserve">  </w:t>
      </w:r>
      <w:r>
        <w:rPr>
          <w:rFonts w:hint="eastAsia" w:asciiTheme="minorEastAsia" w:hAnsiTheme="minorEastAsia"/>
          <w:sz w:val="24"/>
          <w:highlight w:val="none"/>
        </w:rPr>
        <w:t>响应</w:t>
      </w:r>
      <w:r>
        <w:rPr>
          <w:rFonts w:asciiTheme="minorEastAsia" w:hAnsiTheme="minorEastAsia"/>
          <w:sz w:val="24"/>
          <w:highlight w:val="none"/>
        </w:rPr>
        <w:t>文件格式</w:t>
      </w:r>
    </w:p>
    <w:p w14:paraId="1711C185">
      <w:pPr>
        <w:spacing w:line="360" w:lineRule="auto"/>
        <w:ind w:firstLine="840" w:firstLineChars="350"/>
        <w:rPr>
          <w:rFonts w:asciiTheme="minorEastAsia" w:hAnsiTheme="minorEastAsia"/>
          <w:sz w:val="24"/>
          <w:highlight w:val="none"/>
        </w:rPr>
      </w:pPr>
      <w:r>
        <w:rPr>
          <w:rFonts w:hint="eastAsia" w:asciiTheme="minorEastAsia" w:hAnsiTheme="minorEastAsia"/>
          <w:sz w:val="24"/>
          <w:highlight w:val="none"/>
        </w:rPr>
        <w:t>第七章</w:t>
      </w:r>
      <w:r>
        <w:rPr>
          <w:rFonts w:asciiTheme="minorEastAsia" w:hAnsiTheme="minorEastAsia"/>
          <w:sz w:val="24"/>
          <w:highlight w:val="none"/>
        </w:rPr>
        <w:t xml:space="preserve">  政府采购供应商</w:t>
      </w:r>
      <w:r>
        <w:rPr>
          <w:rFonts w:hint="eastAsia" w:asciiTheme="minorEastAsia" w:hAnsiTheme="minorEastAsia"/>
          <w:sz w:val="24"/>
          <w:highlight w:val="none"/>
        </w:rPr>
        <w:t>询问函和</w:t>
      </w:r>
      <w:r>
        <w:rPr>
          <w:rFonts w:asciiTheme="minorEastAsia" w:hAnsiTheme="minorEastAsia"/>
          <w:sz w:val="24"/>
          <w:highlight w:val="none"/>
        </w:rPr>
        <w:t>质疑函范本</w:t>
      </w:r>
    </w:p>
    <w:p w14:paraId="796E13C5">
      <w:pPr>
        <w:spacing w:line="360" w:lineRule="auto"/>
        <w:ind w:firstLine="435"/>
        <w:rPr>
          <w:rFonts w:asciiTheme="minorEastAsia" w:hAnsiTheme="minorEastAsia"/>
          <w:sz w:val="24"/>
          <w:highlight w:val="none"/>
        </w:rPr>
      </w:pP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现场</w:t>
      </w:r>
      <w:r>
        <w:rPr>
          <w:rFonts w:hint="eastAsia" w:asciiTheme="minorEastAsia" w:hAnsiTheme="minorEastAsia"/>
          <w:sz w:val="24"/>
          <w:highlight w:val="none"/>
        </w:rPr>
        <w:t>考察（标前答疑会）</w:t>
      </w:r>
      <w:r>
        <w:rPr>
          <w:rFonts w:asciiTheme="minorEastAsia" w:hAnsiTheme="minorEastAsia"/>
          <w:sz w:val="24"/>
          <w:highlight w:val="none"/>
        </w:rPr>
        <w:t>及相关事项见</w:t>
      </w:r>
      <w:r>
        <w:rPr>
          <w:rFonts w:asciiTheme="minorEastAsia" w:hAnsiTheme="minorEastAsia"/>
          <w:sz w:val="24"/>
          <w:highlight w:val="none"/>
          <w:u w:val="single"/>
        </w:rPr>
        <w:t>供应商须知前附表</w:t>
      </w:r>
      <w:r>
        <w:rPr>
          <w:rFonts w:asciiTheme="minorEastAsia" w:hAnsiTheme="minorEastAsia"/>
          <w:sz w:val="24"/>
          <w:highlight w:val="none"/>
        </w:rPr>
        <w:t>。</w:t>
      </w:r>
    </w:p>
    <w:p w14:paraId="18EBDFE3">
      <w:pPr>
        <w:spacing w:line="360" w:lineRule="auto"/>
        <w:ind w:firstLine="435"/>
        <w:rPr>
          <w:rFonts w:asciiTheme="minorEastAsia" w:hAnsiTheme="minorEastAsia"/>
          <w:sz w:val="24"/>
          <w:highlight w:val="none"/>
        </w:rPr>
      </w:pPr>
      <w:r>
        <w:rPr>
          <w:rFonts w:hint="eastAsia" w:asciiTheme="minorEastAsia" w:hAnsiTheme="minorEastAsia"/>
          <w:sz w:val="24"/>
          <w:highlight w:val="none"/>
        </w:rPr>
        <w:t>5</w:t>
      </w:r>
      <w:r>
        <w:rPr>
          <w:rFonts w:asciiTheme="minorEastAsia" w:hAnsiTheme="minorEastAsia"/>
          <w:sz w:val="24"/>
          <w:highlight w:val="none"/>
        </w:rPr>
        <w:t>.</w:t>
      </w:r>
      <w:r>
        <w:rPr>
          <w:rFonts w:hint="eastAsia" w:asciiTheme="minorEastAsia" w:hAnsiTheme="minorEastAsia"/>
          <w:sz w:val="24"/>
          <w:highlight w:val="none"/>
        </w:rPr>
        <w:t>3供应商</w:t>
      </w:r>
      <w:r>
        <w:rPr>
          <w:rFonts w:asciiTheme="minorEastAsia" w:hAnsiTheme="minorEastAsia"/>
          <w:sz w:val="24"/>
          <w:highlight w:val="none"/>
        </w:rPr>
        <w:t>应认真阅读</w:t>
      </w:r>
      <w:r>
        <w:rPr>
          <w:rFonts w:hint="eastAsia" w:asciiTheme="minorEastAsia" w:hAnsiTheme="minorEastAsia"/>
          <w:sz w:val="24"/>
          <w:highlight w:val="none"/>
        </w:rPr>
        <w:t>磋商</w:t>
      </w:r>
      <w:r>
        <w:rPr>
          <w:rFonts w:asciiTheme="minorEastAsia" w:hAnsiTheme="minorEastAsia"/>
          <w:sz w:val="24"/>
          <w:highlight w:val="none"/>
        </w:rPr>
        <w:t>文件所有的事项、格式、条款和技术规范等。</w:t>
      </w:r>
    </w:p>
    <w:p w14:paraId="08713051">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6</w:t>
      </w:r>
      <w:r>
        <w:rPr>
          <w:rFonts w:asciiTheme="minorEastAsia" w:hAnsiTheme="minorEastAsia"/>
          <w:b/>
          <w:sz w:val="24"/>
          <w:highlight w:val="none"/>
        </w:rPr>
        <w:t>.</w:t>
      </w:r>
      <w:r>
        <w:rPr>
          <w:rFonts w:hint="eastAsia" w:asciiTheme="minorEastAsia" w:hAnsiTheme="minorEastAsia"/>
          <w:b/>
          <w:sz w:val="24"/>
          <w:highlight w:val="none"/>
        </w:rPr>
        <w:t>磋商文件的澄清与修改</w:t>
      </w:r>
    </w:p>
    <w:p w14:paraId="284E1960">
      <w:pPr>
        <w:spacing w:line="360" w:lineRule="auto"/>
        <w:ind w:firstLine="435"/>
        <w:rPr>
          <w:rFonts w:asciiTheme="minorEastAsia" w:hAnsiTheme="minorEastAsia"/>
          <w:sz w:val="24"/>
          <w:highlight w:val="none"/>
        </w:rPr>
      </w:pPr>
      <w:r>
        <w:rPr>
          <w:rFonts w:hint="eastAsia" w:asciiTheme="minorEastAsia" w:hAnsiTheme="minorEastAsia"/>
          <w:sz w:val="24"/>
          <w:highlight w:val="none"/>
        </w:rPr>
        <w:t>6</w:t>
      </w:r>
      <w:r>
        <w:rPr>
          <w:rFonts w:asciiTheme="minorEastAsia" w:hAnsiTheme="minorEastAsia"/>
          <w:sz w:val="24"/>
          <w:highlight w:val="none"/>
        </w:rPr>
        <w:t>.</w:t>
      </w:r>
      <w:r>
        <w:rPr>
          <w:rFonts w:hint="eastAsia" w:asciiTheme="minorEastAsia" w:hAnsiTheme="minorEastAsia"/>
          <w:sz w:val="24"/>
          <w:highlight w:val="none"/>
        </w:rPr>
        <w:t>1供应商</w:t>
      </w:r>
      <w:r>
        <w:rPr>
          <w:rFonts w:asciiTheme="minorEastAsia" w:hAnsiTheme="minorEastAsia"/>
          <w:sz w:val="24"/>
          <w:highlight w:val="none"/>
        </w:rPr>
        <w:t>如对</w:t>
      </w:r>
      <w:r>
        <w:rPr>
          <w:rFonts w:hint="eastAsia" w:asciiTheme="minorEastAsia" w:hAnsiTheme="minorEastAsia"/>
          <w:sz w:val="24"/>
          <w:highlight w:val="none"/>
        </w:rPr>
        <w:t>磋商</w:t>
      </w:r>
      <w:r>
        <w:rPr>
          <w:rFonts w:asciiTheme="minorEastAsia" w:hAnsiTheme="minorEastAsia"/>
          <w:sz w:val="24"/>
          <w:highlight w:val="none"/>
        </w:rPr>
        <w:t>文件内容有疑问，</w:t>
      </w:r>
      <w:r>
        <w:rPr>
          <w:rFonts w:hint="eastAsia" w:asciiTheme="minorEastAsia" w:hAnsiTheme="minorEastAsia"/>
          <w:sz w:val="24"/>
          <w:highlight w:val="none"/>
        </w:rPr>
        <w:t>应按</w:t>
      </w:r>
      <w:r>
        <w:rPr>
          <w:rFonts w:hint="eastAsia" w:asciiTheme="minorEastAsia" w:hAnsiTheme="minorEastAsia"/>
          <w:b/>
          <w:bCs/>
          <w:sz w:val="24"/>
          <w:highlight w:val="none"/>
        </w:rPr>
        <w:t>供应商须知前附表</w:t>
      </w:r>
      <w:r>
        <w:rPr>
          <w:rFonts w:hint="eastAsia" w:asciiTheme="minorEastAsia" w:hAnsiTheme="minorEastAsia"/>
          <w:sz w:val="24"/>
          <w:highlight w:val="none"/>
        </w:rPr>
        <w:t>中规定的方式和时间提交给采购人或采购代理机构。采购人对需要做出澄清的问题，以澄清和修改通知的方式予以答复</w:t>
      </w:r>
      <w:r>
        <w:rPr>
          <w:rFonts w:asciiTheme="minorEastAsia" w:hAnsiTheme="minorEastAsia"/>
          <w:sz w:val="24"/>
          <w:highlight w:val="none"/>
        </w:rPr>
        <w:t>。</w:t>
      </w:r>
    </w:p>
    <w:p w14:paraId="64B77A69">
      <w:pPr>
        <w:spacing w:line="360" w:lineRule="auto"/>
        <w:ind w:firstLine="435"/>
        <w:rPr>
          <w:rFonts w:asciiTheme="minorEastAsia" w:hAnsiTheme="minorEastAsia"/>
          <w:sz w:val="24"/>
          <w:highlight w:val="none"/>
        </w:rPr>
      </w:pPr>
      <w:r>
        <w:rPr>
          <w:rFonts w:hint="eastAsia" w:asciiTheme="minorEastAsia" w:hAnsiTheme="minorEastAsia"/>
          <w:sz w:val="24"/>
          <w:highlight w:val="none"/>
        </w:rPr>
        <w:t>6</w:t>
      </w:r>
      <w:r>
        <w:rPr>
          <w:rFonts w:asciiTheme="minorEastAsia" w:hAnsiTheme="minorEastAsia"/>
          <w:sz w:val="24"/>
          <w:highlight w:val="none"/>
        </w:rPr>
        <w:t>.</w:t>
      </w:r>
      <w:r>
        <w:rPr>
          <w:rFonts w:hint="eastAsia" w:asciiTheme="minorEastAsia" w:hAnsiTheme="minorEastAsia"/>
          <w:sz w:val="24"/>
          <w:highlight w:val="none"/>
        </w:rPr>
        <w:t>2采购人可主动地或在答复供应商提出的询问时对磋商文件进行澄清与修改。</w:t>
      </w:r>
      <w:r>
        <w:rPr>
          <w:rFonts w:asciiTheme="minorEastAsia" w:hAnsiTheme="minorEastAsia"/>
          <w:sz w:val="24"/>
          <w:highlight w:val="none"/>
        </w:rPr>
        <w:t>采购代理机构将</w:t>
      </w:r>
      <w:r>
        <w:rPr>
          <w:rFonts w:hint="eastAsia" w:asciiTheme="minorEastAsia" w:hAnsiTheme="minorEastAsia"/>
          <w:sz w:val="24"/>
          <w:highlight w:val="none"/>
        </w:rPr>
        <w:t>在</w:t>
      </w:r>
      <w:bookmarkStart w:id="32" w:name="_Hlk16458572"/>
      <w:r>
        <w:rPr>
          <w:rFonts w:hint="eastAsia"/>
          <w:sz w:val="24"/>
          <w:szCs w:val="18"/>
          <w:highlight w:val="none"/>
        </w:rPr>
        <w:t>安徽省政府采购网</w:t>
      </w:r>
      <w:bookmarkEnd w:id="32"/>
      <w:r>
        <w:rPr>
          <w:rFonts w:hint="eastAsia" w:asciiTheme="minorEastAsia" w:hAnsiTheme="minorEastAsia"/>
          <w:sz w:val="24"/>
          <w:highlight w:val="none"/>
        </w:rPr>
        <w:t>发布更正公告的方式澄清或者修改磋商文件，更正公告的</w:t>
      </w:r>
      <w:r>
        <w:rPr>
          <w:rFonts w:asciiTheme="minorEastAsia" w:hAnsiTheme="minorEastAsia"/>
          <w:sz w:val="24"/>
          <w:highlight w:val="none"/>
        </w:rPr>
        <w:t>内容</w:t>
      </w:r>
      <w:r>
        <w:rPr>
          <w:rFonts w:hint="eastAsia" w:asciiTheme="minorEastAsia" w:hAnsiTheme="minorEastAsia"/>
          <w:sz w:val="24"/>
          <w:highlight w:val="none"/>
        </w:rPr>
        <w:t>作</w:t>
      </w:r>
      <w:r>
        <w:rPr>
          <w:rFonts w:asciiTheme="minorEastAsia" w:hAnsiTheme="minorEastAsia"/>
          <w:sz w:val="24"/>
          <w:highlight w:val="none"/>
        </w:rPr>
        <w:t>为</w:t>
      </w:r>
      <w:r>
        <w:rPr>
          <w:rFonts w:hint="eastAsia" w:asciiTheme="minorEastAsia" w:hAnsiTheme="minorEastAsia"/>
          <w:sz w:val="24"/>
          <w:highlight w:val="none"/>
        </w:rPr>
        <w:t>磋商</w:t>
      </w:r>
      <w:r>
        <w:rPr>
          <w:rFonts w:asciiTheme="minorEastAsia" w:hAnsiTheme="minorEastAsia"/>
          <w:sz w:val="24"/>
          <w:highlight w:val="none"/>
        </w:rPr>
        <w:t>文件</w:t>
      </w:r>
      <w:r>
        <w:rPr>
          <w:rFonts w:hint="eastAsia" w:asciiTheme="minorEastAsia" w:hAnsiTheme="minorEastAsia"/>
          <w:sz w:val="24"/>
          <w:highlight w:val="none"/>
        </w:rPr>
        <w:t>的</w:t>
      </w:r>
      <w:r>
        <w:rPr>
          <w:rFonts w:asciiTheme="minorEastAsia" w:hAnsiTheme="minorEastAsia"/>
          <w:sz w:val="24"/>
          <w:highlight w:val="none"/>
        </w:rPr>
        <w:t>组成部分，对</w:t>
      </w:r>
      <w:r>
        <w:rPr>
          <w:rFonts w:hint="eastAsia" w:asciiTheme="minorEastAsia" w:hAnsiTheme="minorEastAsia"/>
          <w:sz w:val="24"/>
          <w:highlight w:val="none"/>
        </w:rPr>
        <w:t>供应商</w:t>
      </w:r>
      <w:r>
        <w:rPr>
          <w:rFonts w:asciiTheme="minorEastAsia" w:hAnsiTheme="minorEastAsia"/>
          <w:sz w:val="24"/>
          <w:highlight w:val="none"/>
        </w:rPr>
        <w:t>起约束作用</w:t>
      </w:r>
      <w:r>
        <w:rPr>
          <w:rFonts w:hint="eastAsia" w:asciiTheme="minorEastAsia" w:hAnsiTheme="minorEastAsia"/>
          <w:sz w:val="24"/>
          <w:highlight w:val="none"/>
        </w:rPr>
        <w:t>。供应商应主动上网查询。采购代理机构不承担供应商未及时关注相关信息引发的相关责任。</w:t>
      </w:r>
    </w:p>
    <w:p w14:paraId="0CE08641">
      <w:pPr>
        <w:spacing w:line="360" w:lineRule="auto"/>
        <w:ind w:firstLine="435"/>
        <w:rPr>
          <w:sz w:val="24"/>
          <w:highlight w:val="none"/>
        </w:rPr>
      </w:pPr>
      <w:r>
        <w:rPr>
          <w:rFonts w:hint="eastAsia"/>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052345FD">
      <w:pPr>
        <w:spacing w:line="360" w:lineRule="auto"/>
        <w:ind w:firstLine="435"/>
        <w:rPr>
          <w:rFonts w:asciiTheme="minorEastAsia" w:hAnsiTheme="minorEastAsia"/>
          <w:iCs/>
          <w:sz w:val="24"/>
          <w:highlight w:val="none"/>
        </w:rPr>
      </w:pPr>
      <w:r>
        <w:rPr>
          <w:rFonts w:hint="eastAsia" w:asciiTheme="minorEastAsia" w:hAnsiTheme="minorEastAsia"/>
          <w:sz w:val="24"/>
          <w:highlight w:val="none"/>
        </w:rPr>
        <w:t>6</w:t>
      </w:r>
      <w:r>
        <w:rPr>
          <w:rFonts w:asciiTheme="minorEastAsia" w:hAnsiTheme="minorEastAsia"/>
          <w:sz w:val="24"/>
          <w:highlight w:val="none"/>
        </w:rPr>
        <w:t>.</w:t>
      </w:r>
      <w:r>
        <w:rPr>
          <w:rFonts w:hint="eastAsia" w:asciiTheme="minorEastAsia" w:hAnsiTheme="minorEastAsia"/>
          <w:sz w:val="24"/>
          <w:highlight w:val="none"/>
        </w:rPr>
        <w:t>4</w:t>
      </w:r>
      <w:r>
        <w:rPr>
          <w:rFonts w:asciiTheme="minorEastAsia" w:hAnsiTheme="minorEastAsia"/>
          <w:sz w:val="24"/>
          <w:highlight w:val="none"/>
        </w:rPr>
        <w:t>对于</w:t>
      </w:r>
      <w:r>
        <w:rPr>
          <w:sz w:val="24"/>
          <w:highlight w:val="none"/>
        </w:rPr>
        <w:t>没有</w:t>
      </w:r>
      <w:r>
        <w:rPr>
          <w:rFonts w:asciiTheme="minorEastAsia" w:hAnsiTheme="minorEastAsia"/>
          <w:sz w:val="24"/>
          <w:highlight w:val="none"/>
        </w:rPr>
        <w:t>提出</w:t>
      </w:r>
      <w:r>
        <w:rPr>
          <w:rFonts w:hint="eastAsia" w:asciiTheme="minorEastAsia" w:hAnsiTheme="minorEastAsia"/>
          <w:sz w:val="24"/>
          <w:highlight w:val="none"/>
        </w:rPr>
        <w:t>询问</w:t>
      </w:r>
      <w:r>
        <w:rPr>
          <w:rFonts w:asciiTheme="minorEastAsia" w:hAnsiTheme="minorEastAsia"/>
          <w:sz w:val="24"/>
          <w:highlight w:val="none"/>
        </w:rPr>
        <w:t>又参与了</w:t>
      </w:r>
      <w:r>
        <w:rPr>
          <w:rFonts w:hint="eastAsia" w:asciiTheme="minorEastAsia" w:hAnsiTheme="minorEastAsia"/>
          <w:sz w:val="24"/>
          <w:highlight w:val="none"/>
        </w:rPr>
        <w:t>本</w:t>
      </w:r>
      <w:r>
        <w:rPr>
          <w:rFonts w:asciiTheme="minorEastAsia" w:hAnsiTheme="minorEastAsia"/>
          <w:sz w:val="24"/>
          <w:highlight w:val="none"/>
        </w:rPr>
        <w:t>项目</w:t>
      </w:r>
      <w:r>
        <w:rPr>
          <w:rFonts w:hint="eastAsia" w:asciiTheme="minorEastAsia" w:hAnsiTheme="minorEastAsia"/>
          <w:sz w:val="24"/>
          <w:highlight w:val="none"/>
        </w:rPr>
        <w:t>磋商</w:t>
      </w:r>
      <w:r>
        <w:rPr>
          <w:rFonts w:asciiTheme="minorEastAsia" w:hAnsiTheme="minorEastAsia"/>
          <w:sz w:val="24"/>
          <w:highlight w:val="none"/>
        </w:rPr>
        <w:t>的</w:t>
      </w:r>
      <w:r>
        <w:rPr>
          <w:rFonts w:hint="eastAsia" w:asciiTheme="minorEastAsia" w:hAnsiTheme="minorEastAsia"/>
          <w:sz w:val="24"/>
          <w:highlight w:val="none"/>
        </w:rPr>
        <w:t>供应商</w:t>
      </w:r>
      <w:r>
        <w:rPr>
          <w:rFonts w:asciiTheme="minorEastAsia" w:hAnsiTheme="minorEastAsia"/>
          <w:sz w:val="24"/>
          <w:highlight w:val="none"/>
        </w:rPr>
        <w:t>将被视为完全认同</w:t>
      </w:r>
      <w:r>
        <w:rPr>
          <w:rFonts w:hint="eastAsia" w:asciiTheme="minorEastAsia" w:hAnsiTheme="minorEastAsia"/>
          <w:sz w:val="24"/>
          <w:highlight w:val="none"/>
        </w:rPr>
        <w:t>本磋商</w:t>
      </w:r>
      <w:r>
        <w:rPr>
          <w:rFonts w:asciiTheme="minorEastAsia" w:hAnsiTheme="minorEastAsia"/>
          <w:sz w:val="24"/>
          <w:highlight w:val="none"/>
        </w:rPr>
        <w:t>文件（含</w:t>
      </w:r>
      <w:r>
        <w:rPr>
          <w:rFonts w:hint="eastAsia" w:asciiTheme="minorEastAsia" w:hAnsiTheme="minorEastAsia"/>
          <w:sz w:val="24"/>
          <w:highlight w:val="none"/>
        </w:rPr>
        <w:t>更正公告的</w:t>
      </w:r>
      <w:r>
        <w:rPr>
          <w:rFonts w:asciiTheme="minorEastAsia" w:hAnsiTheme="minorEastAsia"/>
          <w:sz w:val="24"/>
          <w:highlight w:val="none"/>
        </w:rPr>
        <w:t>内容）</w:t>
      </w:r>
      <w:r>
        <w:rPr>
          <w:rFonts w:hint="eastAsia" w:asciiTheme="minorEastAsia" w:hAnsiTheme="minorEastAsia"/>
          <w:i/>
          <w:sz w:val="24"/>
          <w:highlight w:val="none"/>
        </w:rPr>
        <w:t>。</w:t>
      </w:r>
    </w:p>
    <w:p w14:paraId="2A19025C">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7</w:t>
      </w:r>
      <w:r>
        <w:rPr>
          <w:rFonts w:asciiTheme="minorEastAsia" w:hAnsiTheme="minorEastAsia"/>
          <w:b/>
          <w:sz w:val="24"/>
          <w:highlight w:val="none"/>
        </w:rPr>
        <w:t>.</w:t>
      </w:r>
      <w:r>
        <w:rPr>
          <w:rFonts w:hint="eastAsia" w:asciiTheme="minorEastAsia" w:hAnsiTheme="minorEastAsia"/>
          <w:b/>
          <w:sz w:val="24"/>
          <w:highlight w:val="none"/>
        </w:rPr>
        <w:t>磋商范围及响应文件中标准和计量单位的使用</w:t>
      </w:r>
    </w:p>
    <w:p w14:paraId="70913246">
      <w:pPr>
        <w:spacing w:line="360" w:lineRule="auto"/>
        <w:ind w:firstLine="435"/>
        <w:rPr>
          <w:rFonts w:asciiTheme="minorEastAsia" w:hAnsiTheme="minorEastAsia"/>
          <w:sz w:val="24"/>
          <w:highlight w:val="none"/>
        </w:rPr>
      </w:pPr>
      <w:r>
        <w:rPr>
          <w:rFonts w:hint="eastAsia" w:asciiTheme="minorEastAsia" w:hAnsiTheme="minorEastAsia"/>
          <w:sz w:val="24"/>
          <w:highlight w:val="none"/>
        </w:rPr>
        <w:t>7</w:t>
      </w:r>
      <w:r>
        <w:rPr>
          <w:rFonts w:asciiTheme="minorEastAsia" w:hAnsiTheme="minorEastAsia"/>
          <w:sz w:val="24"/>
          <w:highlight w:val="none"/>
        </w:rPr>
        <w:t>.1项目有分包的，供应商可</w:t>
      </w:r>
      <w:r>
        <w:rPr>
          <w:rFonts w:hint="eastAsia" w:asciiTheme="minorEastAsia" w:hAnsiTheme="minorEastAsia"/>
          <w:sz w:val="24"/>
          <w:highlight w:val="none"/>
        </w:rPr>
        <w:t>参与</w:t>
      </w:r>
      <w:r>
        <w:rPr>
          <w:rFonts w:asciiTheme="minorEastAsia" w:hAnsiTheme="minorEastAsia"/>
          <w:sz w:val="24"/>
          <w:highlight w:val="none"/>
        </w:rPr>
        <w:t>其中某一个或</w:t>
      </w:r>
      <w:r>
        <w:rPr>
          <w:rFonts w:hint="eastAsia" w:asciiTheme="minorEastAsia" w:hAnsiTheme="minorEastAsia"/>
          <w:sz w:val="24"/>
          <w:highlight w:val="none"/>
        </w:rPr>
        <w:t>多</w:t>
      </w:r>
      <w:r>
        <w:rPr>
          <w:rFonts w:asciiTheme="minorEastAsia" w:hAnsiTheme="minorEastAsia"/>
          <w:sz w:val="24"/>
          <w:highlight w:val="none"/>
        </w:rPr>
        <w:t>个分包</w:t>
      </w:r>
      <w:r>
        <w:rPr>
          <w:rFonts w:hint="eastAsia" w:asciiTheme="minorEastAsia" w:hAnsiTheme="minorEastAsia"/>
          <w:sz w:val="24"/>
          <w:highlight w:val="none"/>
        </w:rPr>
        <w:t>的磋商</w:t>
      </w:r>
      <w:r>
        <w:rPr>
          <w:rFonts w:asciiTheme="minorEastAsia" w:hAnsiTheme="minorEastAsia"/>
          <w:sz w:val="24"/>
          <w:highlight w:val="none"/>
        </w:rPr>
        <w:t>，</w:t>
      </w:r>
      <w:r>
        <w:rPr>
          <w:rFonts w:hint="eastAsia" w:asciiTheme="minorEastAsia" w:hAnsiTheme="minorEastAsia"/>
          <w:sz w:val="24"/>
          <w:highlight w:val="none"/>
        </w:rPr>
        <w:t>成交包数详见</w:t>
      </w:r>
      <w:r>
        <w:rPr>
          <w:rFonts w:asciiTheme="minorEastAsia" w:hAnsiTheme="minorEastAsia"/>
          <w:sz w:val="24"/>
          <w:highlight w:val="none"/>
          <w:u w:val="single"/>
        </w:rPr>
        <w:t>供应商须知前附表</w:t>
      </w:r>
      <w:r>
        <w:rPr>
          <w:rFonts w:asciiTheme="minorEastAsia" w:hAnsiTheme="minorEastAsia"/>
          <w:sz w:val="24"/>
          <w:highlight w:val="none"/>
        </w:rPr>
        <w:t>中规定。</w:t>
      </w:r>
    </w:p>
    <w:p w14:paraId="2F768FCF">
      <w:pPr>
        <w:spacing w:line="360" w:lineRule="auto"/>
        <w:ind w:firstLine="435"/>
        <w:rPr>
          <w:rFonts w:asciiTheme="minorEastAsia" w:hAnsiTheme="minorEastAsia"/>
          <w:sz w:val="24"/>
          <w:highlight w:val="none"/>
        </w:rPr>
      </w:pPr>
      <w:r>
        <w:rPr>
          <w:rFonts w:hint="eastAsia" w:asciiTheme="minorEastAsia" w:hAnsiTheme="minorEastAsia"/>
          <w:sz w:val="24"/>
          <w:highlight w:val="none"/>
        </w:rPr>
        <w:t>7</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无论磋商文件中是否要求，供应商所</w:t>
      </w:r>
      <w:r>
        <w:rPr>
          <w:rFonts w:hint="eastAsia" w:asciiTheme="minorEastAsia" w:hAnsiTheme="minorEastAsia"/>
          <w:sz w:val="24"/>
          <w:highlight w:val="none"/>
        </w:rPr>
        <w:t>承担</w:t>
      </w:r>
      <w:r>
        <w:rPr>
          <w:rFonts w:asciiTheme="minorEastAsia" w:hAnsiTheme="minorEastAsia"/>
          <w:sz w:val="24"/>
          <w:highlight w:val="none"/>
        </w:rPr>
        <w:t>工程及伴随的货物和</w:t>
      </w:r>
      <w:r>
        <w:rPr>
          <w:rFonts w:hint="eastAsia" w:asciiTheme="minorEastAsia" w:hAnsiTheme="minorEastAsia"/>
          <w:sz w:val="24"/>
          <w:highlight w:val="none"/>
        </w:rPr>
        <w:t>服务</w:t>
      </w:r>
      <w:r>
        <w:rPr>
          <w:rFonts w:asciiTheme="minorEastAsia" w:hAnsiTheme="minorEastAsia"/>
          <w:sz w:val="24"/>
          <w:highlight w:val="none"/>
        </w:rPr>
        <w:t>均应符合国家强制性标准。</w:t>
      </w:r>
    </w:p>
    <w:p w14:paraId="09CD157E">
      <w:pPr>
        <w:spacing w:line="360" w:lineRule="auto"/>
        <w:ind w:firstLine="435"/>
        <w:rPr>
          <w:rFonts w:asciiTheme="minorEastAsia" w:hAnsiTheme="minorEastAsia"/>
          <w:sz w:val="24"/>
          <w:highlight w:val="none"/>
        </w:rPr>
      </w:pPr>
      <w:r>
        <w:rPr>
          <w:rFonts w:hint="eastAsia" w:asciiTheme="minorEastAsia" w:hAnsiTheme="minorEastAsia"/>
          <w:sz w:val="24"/>
          <w:highlight w:val="none"/>
        </w:rPr>
        <w:t>7</w:t>
      </w:r>
      <w:r>
        <w:rPr>
          <w:rFonts w:asciiTheme="minorEastAsia" w:hAnsiTheme="minorEastAsia"/>
          <w:sz w:val="24"/>
          <w:highlight w:val="none"/>
        </w:rPr>
        <w:t>.</w:t>
      </w:r>
      <w:r>
        <w:rPr>
          <w:rFonts w:hint="eastAsia" w:asciiTheme="minorEastAsia" w:hAnsiTheme="minorEastAsia"/>
          <w:sz w:val="24"/>
          <w:highlight w:val="none"/>
        </w:rPr>
        <w:t>3</w:t>
      </w:r>
      <w:r>
        <w:rPr>
          <w:rFonts w:asciiTheme="minorEastAsia" w:hAnsiTheme="minorEastAsia"/>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3415FA3D">
      <w:pPr>
        <w:spacing w:line="360" w:lineRule="auto"/>
        <w:ind w:firstLine="435"/>
        <w:rPr>
          <w:rFonts w:asciiTheme="minorEastAsia" w:hAnsiTheme="minorEastAsia"/>
          <w:sz w:val="24"/>
          <w:highlight w:val="none"/>
        </w:rPr>
      </w:pPr>
      <w:r>
        <w:rPr>
          <w:rFonts w:hint="eastAsia" w:asciiTheme="minorEastAsia" w:hAnsiTheme="minorEastAsia"/>
          <w:sz w:val="24"/>
          <w:highlight w:val="none"/>
        </w:rPr>
        <w:t>7</w:t>
      </w:r>
      <w:r>
        <w:rPr>
          <w:rFonts w:asciiTheme="minorEastAsia" w:hAnsiTheme="minorEastAsia"/>
          <w:sz w:val="24"/>
          <w:highlight w:val="none"/>
        </w:rPr>
        <w:t>.</w:t>
      </w:r>
      <w:r>
        <w:rPr>
          <w:rFonts w:hint="eastAsia" w:asciiTheme="minorEastAsia" w:hAnsiTheme="minorEastAsia"/>
          <w:sz w:val="24"/>
          <w:highlight w:val="none"/>
        </w:rPr>
        <w:t>4</w:t>
      </w:r>
      <w:r>
        <w:rPr>
          <w:rFonts w:asciiTheme="minorEastAsia" w:hAnsiTheme="minorEastAsia"/>
          <w:sz w:val="24"/>
          <w:highlight w:val="none"/>
        </w:rPr>
        <w:t>除磋商文件中有特殊要求外，响应文件中所使用的计量单位，应采用中华人民共和国法定计量单位。</w:t>
      </w:r>
    </w:p>
    <w:p w14:paraId="2D175E83">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8</w:t>
      </w:r>
      <w:r>
        <w:rPr>
          <w:rFonts w:asciiTheme="minorEastAsia" w:hAnsiTheme="minorEastAsia"/>
          <w:b/>
          <w:sz w:val="24"/>
          <w:highlight w:val="none"/>
        </w:rPr>
        <w:t>.</w:t>
      </w:r>
      <w:r>
        <w:rPr>
          <w:rFonts w:hint="eastAsia" w:asciiTheme="minorEastAsia" w:hAnsiTheme="minorEastAsia"/>
          <w:b/>
          <w:sz w:val="24"/>
          <w:highlight w:val="none"/>
        </w:rPr>
        <w:t>响应文件构成</w:t>
      </w:r>
    </w:p>
    <w:p w14:paraId="5C999FB2">
      <w:pPr>
        <w:spacing w:line="360" w:lineRule="auto"/>
        <w:ind w:firstLine="437"/>
        <w:rPr>
          <w:rFonts w:asciiTheme="minorEastAsia" w:hAnsiTheme="minorEastAsia"/>
          <w:sz w:val="24"/>
          <w:highlight w:val="none"/>
        </w:rPr>
      </w:pPr>
      <w:r>
        <w:rPr>
          <w:rFonts w:hint="eastAsia" w:asciiTheme="minorEastAsia" w:hAnsiTheme="minorEastAsia"/>
          <w:sz w:val="24"/>
          <w:highlight w:val="none"/>
        </w:rPr>
        <w:t>8</w:t>
      </w:r>
      <w:r>
        <w:rPr>
          <w:rFonts w:asciiTheme="minorEastAsia" w:hAnsiTheme="minorEastAsia"/>
          <w:sz w:val="24"/>
          <w:highlight w:val="none"/>
        </w:rPr>
        <w:t>.1供应商应完整地按磋商文件提供的响应文件格式及要求编写响应文件，具体内容详见第六章响应文件格式的相关内容。</w:t>
      </w:r>
    </w:p>
    <w:p w14:paraId="7BC30920">
      <w:pPr>
        <w:spacing w:line="360" w:lineRule="auto"/>
        <w:ind w:firstLine="435"/>
        <w:rPr>
          <w:rFonts w:asciiTheme="minorEastAsia" w:hAnsiTheme="minorEastAsia"/>
          <w:sz w:val="24"/>
          <w:highlight w:val="none"/>
        </w:rPr>
      </w:pPr>
      <w:r>
        <w:rPr>
          <w:rFonts w:hint="eastAsia"/>
          <w:sz w:val="24"/>
          <w:highlight w:val="none"/>
        </w:rPr>
        <w:t>8.2供应商应提交磋商文件要求的证明文件，证明其响应内容符合磋商文件规定。该证明文件是响应文件的一部分</w:t>
      </w:r>
      <w:r>
        <w:rPr>
          <w:rFonts w:asciiTheme="minorEastAsia" w:hAnsiTheme="minorEastAsia"/>
          <w:sz w:val="24"/>
          <w:highlight w:val="none"/>
        </w:rPr>
        <w:t>。证明文件</w:t>
      </w:r>
      <w:r>
        <w:rPr>
          <w:rFonts w:hint="eastAsia" w:asciiTheme="minorEastAsia" w:hAnsiTheme="minorEastAsia"/>
          <w:sz w:val="24"/>
          <w:highlight w:val="none"/>
        </w:rPr>
        <w:t>形式</w:t>
      </w:r>
      <w:r>
        <w:rPr>
          <w:rFonts w:asciiTheme="minorEastAsia" w:hAnsiTheme="minorEastAsia"/>
          <w:sz w:val="24"/>
          <w:highlight w:val="none"/>
        </w:rPr>
        <w:t>可以是文字资料、图纸和数据</w:t>
      </w:r>
      <w:bookmarkStart w:id="33" w:name="_Hlk11703583"/>
      <w:r>
        <w:rPr>
          <w:rFonts w:hint="eastAsia" w:asciiTheme="minorEastAsia" w:hAnsiTheme="minorEastAsia"/>
          <w:sz w:val="24"/>
          <w:highlight w:val="none"/>
        </w:rPr>
        <w:t>。</w:t>
      </w:r>
      <w:bookmarkEnd w:id="33"/>
    </w:p>
    <w:p w14:paraId="1962A5E8">
      <w:pPr>
        <w:spacing w:line="360" w:lineRule="auto"/>
        <w:ind w:firstLine="435"/>
        <w:rPr>
          <w:rFonts w:asciiTheme="minorEastAsia" w:hAnsiTheme="minorEastAsia"/>
          <w:sz w:val="24"/>
          <w:highlight w:val="none"/>
        </w:rPr>
      </w:pPr>
      <w:r>
        <w:rPr>
          <w:rFonts w:hint="eastAsia" w:asciiTheme="minorEastAsia" w:hAnsiTheme="minorEastAsia"/>
          <w:sz w:val="24"/>
          <w:highlight w:val="none"/>
        </w:rPr>
        <w:t>8</w:t>
      </w:r>
      <w:r>
        <w:rPr>
          <w:rFonts w:asciiTheme="minorEastAsia" w:hAnsiTheme="minorEastAsia"/>
          <w:sz w:val="24"/>
          <w:highlight w:val="none"/>
        </w:rPr>
        <w:t>.</w:t>
      </w:r>
      <w:r>
        <w:rPr>
          <w:rFonts w:hint="eastAsia" w:asciiTheme="minorEastAsia" w:hAnsiTheme="minorEastAsia"/>
          <w:sz w:val="24"/>
          <w:highlight w:val="none"/>
        </w:rPr>
        <w:t>3</w:t>
      </w:r>
      <w:r>
        <w:rPr>
          <w:rFonts w:asciiTheme="minorEastAsia" w:hAnsiTheme="minorEastAsia"/>
          <w:sz w:val="24"/>
          <w:highlight w:val="none"/>
        </w:rPr>
        <w:t>为保证</w:t>
      </w:r>
      <w:r>
        <w:rPr>
          <w:sz w:val="24"/>
          <w:highlight w:val="none"/>
        </w:rPr>
        <w:t>公平</w:t>
      </w:r>
      <w:r>
        <w:rPr>
          <w:rFonts w:asciiTheme="minorEastAsia" w:hAnsiTheme="minorEastAsia"/>
          <w:sz w:val="24"/>
          <w:highlight w:val="none"/>
        </w:rPr>
        <w:t>公正，除非磋商文件另有规定或说明，</w:t>
      </w:r>
      <w:r>
        <w:rPr>
          <w:rFonts w:hint="eastAsia" w:asciiTheme="minorEastAsia" w:hAnsiTheme="minorEastAsia"/>
          <w:sz w:val="24"/>
          <w:highlight w:val="none"/>
        </w:rPr>
        <w:t>供应商</w:t>
      </w:r>
      <w:r>
        <w:rPr>
          <w:rFonts w:asciiTheme="minorEastAsia" w:hAnsiTheme="minorEastAsia"/>
          <w:sz w:val="24"/>
          <w:highlight w:val="none"/>
        </w:rPr>
        <w:t>对同一项目</w:t>
      </w:r>
      <w:r>
        <w:rPr>
          <w:rFonts w:hint="eastAsia" w:asciiTheme="minorEastAsia" w:hAnsiTheme="minorEastAsia"/>
          <w:sz w:val="24"/>
          <w:highlight w:val="none"/>
        </w:rPr>
        <w:t>磋商</w:t>
      </w:r>
      <w:r>
        <w:rPr>
          <w:rFonts w:asciiTheme="minorEastAsia" w:hAnsiTheme="minorEastAsia"/>
          <w:sz w:val="24"/>
          <w:highlight w:val="none"/>
        </w:rPr>
        <w:t>时，不得同时提供</w:t>
      </w:r>
      <w:r>
        <w:rPr>
          <w:rFonts w:hint="eastAsia" w:asciiTheme="minorEastAsia" w:hAnsiTheme="minorEastAsia"/>
          <w:sz w:val="24"/>
          <w:highlight w:val="none"/>
        </w:rPr>
        <w:t>备选磋商</w:t>
      </w:r>
      <w:r>
        <w:rPr>
          <w:rFonts w:asciiTheme="minorEastAsia" w:hAnsiTheme="minorEastAsia"/>
          <w:sz w:val="24"/>
          <w:highlight w:val="none"/>
        </w:rPr>
        <w:t>方案。</w:t>
      </w:r>
    </w:p>
    <w:p w14:paraId="2565C184">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9</w:t>
      </w:r>
      <w:r>
        <w:rPr>
          <w:rFonts w:asciiTheme="minorEastAsia" w:hAnsiTheme="minorEastAsia"/>
          <w:b/>
          <w:sz w:val="24"/>
          <w:highlight w:val="none"/>
        </w:rPr>
        <w:t>.</w:t>
      </w:r>
      <w:r>
        <w:rPr>
          <w:rFonts w:hint="eastAsia" w:asciiTheme="minorEastAsia" w:hAnsiTheme="minorEastAsia"/>
          <w:b/>
          <w:sz w:val="24"/>
          <w:highlight w:val="none"/>
        </w:rPr>
        <w:t>报价</w:t>
      </w:r>
    </w:p>
    <w:p w14:paraId="4EC2530E">
      <w:pPr>
        <w:spacing w:line="360" w:lineRule="auto"/>
        <w:ind w:firstLine="435"/>
        <w:rPr>
          <w:rFonts w:asciiTheme="minorEastAsia" w:hAnsiTheme="minorEastAsia"/>
          <w:sz w:val="24"/>
          <w:highlight w:val="none"/>
        </w:rPr>
      </w:pPr>
      <w:r>
        <w:rPr>
          <w:rFonts w:hint="eastAsia" w:asciiTheme="minorEastAsia" w:hAnsiTheme="minorEastAsia"/>
          <w:sz w:val="24"/>
          <w:highlight w:val="none"/>
        </w:rPr>
        <w:t>9</w:t>
      </w:r>
      <w:r>
        <w:rPr>
          <w:rFonts w:asciiTheme="minorEastAsia" w:hAnsiTheme="minorEastAsia"/>
          <w:sz w:val="24"/>
          <w:highlight w:val="none"/>
        </w:rPr>
        <w:t>.1</w:t>
      </w:r>
      <w:r>
        <w:rPr>
          <w:rFonts w:hint="eastAsia" w:asciiTheme="minorEastAsia" w:hAnsiTheme="minorEastAsia"/>
          <w:sz w:val="24"/>
          <w:highlight w:val="none"/>
        </w:rPr>
        <w:t>供应商</w:t>
      </w:r>
      <w:r>
        <w:rPr>
          <w:rFonts w:asciiTheme="minorEastAsia" w:hAnsiTheme="minorEastAsia"/>
          <w:sz w:val="24"/>
          <w:highlight w:val="none"/>
        </w:rPr>
        <w:t>的报价应当包括满足本次</w:t>
      </w:r>
      <w:r>
        <w:rPr>
          <w:rFonts w:hint="eastAsia" w:asciiTheme="minorEastAsia" w:hAnsiTheme="minorEastAsia"/>
          <w:sz w:val="24"/>
          <w:highlight w:val="none"/>
        </w:rPr>
        <w:t>磋商</w:t>
      </w:r>
      <w:r>
        <w:rPr>
          <w:rFonts w:asciiTheme="minorEastAsia" w:hAnsiTheme="minorEastAsia"/>
          <w:sz w:val="24"/>
          <w:highlight w:val="none"/>
        </w:rPr>
        <w:t>全部</w:t>
      </w:r>
      <w:r>
        <w:rPr>
          <w:rFonts w:hint="eastAsia" w:asciiTheme="minorEastAsia" w:hAnsiTheme="minorEastAsia"/>
          <w:sz w:val="24"/>
          <w:highlight w:val="none"/>
        </w:rPr>
        <w:t>内容。所有报价均应以人民币报价，供应商的磋商报价应遵守《中华人民共和国价格法》。</w:t>
      </w:r>
    </w:p>
    <w:p w14:paraId="0E87DD8D">
      <w:pPr>
        <w:spacing w:line="360" w:lineRule="auto"/>
        <w:ind w:firstLine="435"/>
        <w:rPr>
          <w:rFonts w:asciiTheme="minorEastAsia" w:hAnsiTheme="minorEastAsia"/>
          <w:sz w:val="24"/>
          <w:highlight w:val="none"/>
        </w:rPr>
      </w:pPr>
      <w:r>
        <w:rPr>
          <w:rFonts w:hint="eastAsia" w:asciiTheme="minorEastAsia" w:hAnsiTheme="minorEastAsia"/>
          <w:sz w:val="24"/>
          <w:highlight w:val="none"/>
        </w:rPr>
        <w:t>9</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最后报价均不得高于磋商文件（公告）列明的项目预算</w:t>
      </w:r>
      <w:r>
        <w:rPr>
          <w:rFonts w:hint="eastAsia" w:asciiTheme="minorEastAsia" w:hAnsiTheme="minorEastAsia"/>
          <w:sz w:val="24"/>
          <w:highlight w:val="none"/>
        </w:rPr>
        <w:t>、最高投标限价</w:t>
      </w:r>
      <w:r>
        <w:rPr>
          <w:rFonts w:asciiTheme="minorEastAsia" w:hAnsiTheme="minorEastAsia"/>
          <w:sz w:val="24"/>
          <w:highlight w:val="none"/>
        </w:rPr>
        <w:t>，否则其响应文件将被认定为</w:t>
      </w:r>
      <w:r>
        <w:rPr>
          <w:rFonts w:asciiTheme="minorEastAsia" w:hAnsiTheme="minorEastAsia"/>
          <w:b/>
          <w:sz w:val="24"/>
          <w:highlight w:val="none"/>
        </w:rPr>
        <w:t>响应无效</w:t>
      </w:r>
      <w:r>
        <w:rPr>
          <w:rFonts w:asciiTheme="minorEastAsia" w:hAnsiTheme="minorEastAsia"/>
          <w:sz w:val="24"/>
          <w:highlight w:val="none"/>
        </w:rPr>
        <w:t>。</w:t>
      </w:r>
    </w:p>
    <w:p w14:paraId="27532FA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9</w:t>
      </w:r>
      <w:r>
        <w:rPr>
          <w:rFonts w:asciiTheme="minorEastAsia" w:hAnsiTheme="minorEastAsia"/>
          <w:sz w:val="24"/>
          <w:highlight w:val="none"/>
        </w:rPr>
        <w:t>.</w:t>
      </w:r>
      <w:r>
        <w:rPr>
          <w:rFonts w:hint="eastAsia" w:asciiTheme="minorEastAsia" w:hAnsiTheme="minorEastAsia"/>
          <w:sz w:val="24"/>
          <w:highlight w:val="none"/>
        </w:rPr>
        <w:t>3报价</w:t>
      </w:r>
      <w:r>
        <w:rPr>
          <w:rFonts w:asciiTheme="minorEastAsia" w:hAnsiTheme="minorEastAsia"/>
          <w:sz w:val="24"/>
          <w:highlight w:val="none"/>
        </w:rPr>
        <w:t>在合同履行过程中是固定不变的，不得以任何理由予以变更。任何包含价格调整要求的</w:t>
      </w:r>
      <w:r>
        <w:rPr>
          <w:rFonts w:hint="eastAsia" w:asciiTheme="minorEastAsia" w:hAnsiTheme="minorEastAsia"/>
          <w:sz w:val="24"/>
          <w:highlight w:val="none"/>
        </w:rPr>
        <w:t>报价</w:t>
      </w:r>
      <w:r>
        <w:rPr>
          <w:rFonts w:asciiTheme="minorEastAsia" w:hAnsiTheme="minorEastAsia"/>
          <w:sz w:val="24"/>
          <w:highlight w:val="none"/>
        </w:rPr>
        <w:t>，其</w:t>
      </w:r>
      <w:r>
        <w:rPr>
          <w:rFonts w:hint="eastAsia" w:asciiTheme="minorEastAsia" w:hAnsiTheme="minorEastAsia"/>
          <w:sz w:val="24"/>
          <w:highlight w:val="none"/>
        </w:rPr>
        <w:t>响应文件将被认定为</w:t>
      </w:r>
      <w:r>
        <w:rPr>
          <w:rFonts w:hint="eastAsia" w:asciiTheme="minorEastAsia" w:hAnsiTheme="minorEastAsia"/>
          <w:b/>
          <w:sz w:val="24"/>
          <w:highlight w:val="none"/>
        </w:rPr>
        <w:t>响应无效</w:t>
      </w:r>
      <w:r>
        <w:rPr>
          <w:rFonts w:asciiTheme="minorEastAsia" w:hAnsiTheme="minorEastAsia"/>
          <w:sz w:val="24"/>
          <w:highlight w:val="none"/>
        </w:rPr>
        <w:t>。</w:t>
      </w:r>
    </w:p>
    <w:p w14:paraId="0981CE53">
      <w:pPr>
        <w:spacing w:line="360" w:lineRule="auto"/>
        <w:ind w:firstLine="435"/>
        <w:rPr>
          <w:rFonts w:asciiTheme="minorEastAsia" w:hAnsiTheme="minorEastAsia"/>
          <w:sz w:val="24"/>
          <w:highlight w:val="none"/>
        </w:rPr>
      </w:pPr>
      <w:r>
        <w:rPr>
          <w:rFonts w:hint="eastAsia" w:asciiTheme="minorEastAsia" w:hAnsiTheme="minorEastAsia"/>
          <w:sz w:val="24"/>
          <w:highlight w:val="none"/>
        </w:rPr>
        <w:t>9</w:t>
      </w:r>
      <w:r>
        <w:rPr>
          <w:rFonts w:asciiTheme="minorEastAsia" w:hAnsiTheme="minorEastAsia"/>
          <w:sz w:val="24"/>
          <w:highlight w:val="none"/>
        </w:rPr>
        <w:t>.</w:t>
      </w:r>
      <w:r>
        <w:rPr>
          <w:rFonts w:hint="eastAsia" w:asciiTheme="minorEastAsia" w:hAnsiTheme="minorEastAsia"/>
          <w:sz w:val="24"/>
          <w:highlight w:val="none"/>
        </w:rPr>
        <w:t>4</w:t>
      </w:r>
      <w:r>
        <w:rPr>
          <w:rFonts w:asciiTheme="minorEastAsia" w:hAnsiTheme="minorEastAsia"/>
          <w:sz w:val="24"/>
          <w:highlight w:val="none"/>
        </w:rPr>
        <w:t>采购人不接受具有附加条件的报价。</w:t>
      </w:r>
    </w:p>
    <w:p w14:paraId="2C1E7362">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10</w:t>
      </w:r>
      <w:r>
        <w:rPr>
          <w:rFonts w:asciiTheme="minorEastAsia" w:hAnsiTheme="minorEastAsia"/>
          <w:b/>
          <w:sz w:val="24"/>
          <w:highlight w:val="none"/>
        </w:rPr>
        <w:t>.</w:t>
      </w:r>
      <w:r>
        <w:rPr>
          <w:rFonts w:hint="eastAsia" w:asciiTheme="minorEastAsia" w:hAnsiTheme="minorEastAsia"/>
          <w:b/>
          <w:sz w:val="24"/>
          <w:highlight w:val="none"/>
        </w:rPr>
        <w:t>磋商保证金</w:t>
      </w:r>
    </w:p>
    <w:p w14:paraId="04A155F9">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10</w:t>
      </w:r>
      <w:r>
        <w:rPr>
          <w:rFonts w:asciiTheme="minorEastAsia" w:hAnsiTheme="minorEastAsia"/>
          <w:sz w:val="24"/>
          <w:highlight w:val="none"/>
        </w:rPr>
        <w:t>.1本项目不收取磋商保证金。</w:t>
      </w:r>
    </w:p>
    <w:p w14:paraId="3A7D88B9">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11</w:t>
      </w:r>
      <w:r>
        <w:rPr>
          <w:rFonts w:asciiTheme="minorEastAsia" w:hAnsiTheme="minorEastAsia"/>
          <w:b/>
          <w:sz w:val="24"/>
          <w:highlight w:val="none"/>
        </w:rPr>
        <w:t>.</w:t>
      </w:r>
      <w:r>
        <w:rPr>
          <w:rFonts w:hint="eastAsia" w:asciiTheme="minorEastAsia" w:hAnsiTheme="minorEastAsia"/>
          <w:b/>
          <w:sz w:val="24"/>
          <w:highlight w:val="none"/>
        </w:rPr>
        <w:t>磋商有效期</w:t>
      </w:r>
    </w:p>
    <w:p w14:paraId="3ECC2F05">
      <w:pPr>
        <w:spacing w:line="360" w:lineRule="auto"/>
        <w:ind w:firstLine="435"/>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1</w:t>
      </w:r>
      <w:r>
        <w:rPr>
          <w:rFonts w:asciiTheme="minorEastAsia" w:hAnsiTheme="minorEastAsia"/>
          <w:sz w:val="24"/>
          <w:highlight w:val="none"/>
        </w:rPr>
        <w:t>.1磋商有效期为从响应文件提交截止之日算起的日历天数，磋商有效期详见</w:t>
      </w:r>
      <w:r>
        <w:rPr>
          <w:rFonts w:asciiTheme="minorEastAsia" w:hAnsiTheme="minorEastAsia"/>
          <w:sz w:val="24"/>
          <w:highlight w:val="none"/>
          <w:u w:val="single"/>
        </w:rPr>
        <w:t>供应商须知前附表</w:t>
      </w:r>
      <w:r>
        <w:rPr>
          <w:rFonts w:asciiTheme="minorEastAsia" w:hAnsiTheme="minorEastAsia"/>
          <w:sz w:val="24"/>
          <w:highlight w:val="none"/>
        </w:rPr>
        <w:t>。</w:t>
      </w:r>
    </w:p>
    <w:p w14:paraId="63212B60">
      <w:pPr>
        <w:spacing w:line="360" w:lineRule="auto"/>
        <w:ind w:firstLine="435"/>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1</w:t>
      </w:r>
      <w:r>
        <w:rPr>
          <w:rFonts w:asciiTheme="minorEastAsia" w:hAnsiTheme="minorEastAsia"/>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b/>
          <w:sz w:val="24"/>
          <w:highlight w:val="none"/>
        </w:rPr>
        <w:t>响应无效</w:t>
      </w:r>
      <w:r>
        <w:rPr>
          <w:rFonts w:asciiTheme="minorEastAsia" w:hAnsiTheme="minorEastAsia"/>
          <w:sz w:val="24"/>
          <w:highlight w:val="none"/>
        </w:rPr>
        <w:t>。</w:t>
      </w:r>
    </w:p>
    <w:p w14:paraId="08EB45BA">
      <w:pPr>
        <w:spacing w:line="360" w:lineRule="auto"/>
        <w:ind w:firstLine="435"/>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1</w:t>
      </w:r>
      <w:r>
        <w:rPr>
          <w:rFonts w:asciiTheme="minorEastAsia" w:hAnsiTheme="minorEastAsia"/>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3B40D3C">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12</w:t>
      </w:r>
      <w:r>
        <w:rPr>
          <w:rFonts w:asciiTheme="minorEastAsia" w:hAnsiTheme="minorEastAsia"/>
          <w:b/>
          <w:sz w:val="24"/>
          <w:highlight w:val="none"/>
        </w:rPr>
        <w:t>.</w:t>
      </w:r>
      <w:r>
        <w:rPr>
          <w:rFonts w:hint="eastAsia" w:asciiTheme="minorEastAsia" w:hAnsiTheme="minorEastAsia"/>
          <w:b/>
          <w:sz w:val="24"/>
          <w:highlight w:val="none"/>
        </w:rPr>
        <w:t>响应文件的提交、修改与撤回</w:t>
      </w:r>
    </w:p>
    <w:p w14:paraId="160B7627">
      <w:pPr>
        <w:spacing w:line="360" w:lineRule="auto"/>
        <w:ind w:firstLine="435"/>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2.1供应商应当在竞争性磋商公告规定的响应文件提交截止时间前</w:t>
      </w:r>
      <w:r>
        <w:rPr>
          <w:rFonts w:asciiTheme="minorEastAsia" w:hAnsiTheme="minorEastAsia"/>
          <w:sz w:val="24"/>
          <w:highlight w:val="none"/>
        </w:rPr>
        <w:t>，将加密的</w:t>
      </w:r>
      <w:r>
        <w:rPr>
          <w:rFonts w:hint="eastAsia" w:asciiTheme="minorEastAsia" w:hAnsiTheme="minorEastAsia"/>
          <w:sz w:val="24"/>
          <w:highlight w:val="none"/>
        </w:rPr>
        <w:t>响应</w:t>
      </w:r>
      <w:r>
        <w:rPr>
          <w:rFonts w:asciiTheme="minorEastAsia" w:hAnsiTheme="minorEastAsia"/>
          <w:sz w:val="24"/>
          <w:highlight w:val="none"/>
        </w:rPr>
        <w:t>文件</w:t>
      </w:r>
      <w:r>
        <w:rPr>
          <w:rFonts w:hint="eastAsia" w:asciiTheme="minorEastAsia" w:hAnsiTheme="minorEastAsia"/>
          <w:sz w:val="24"/>
          <w:highlight w:val="none"/>
        </w:rPr>
        <w:t>在电子交易系统</w:t>
      </w:r>
      <w:r>
        <w:rPr>
          <w:rFonts w:asciiTheme="minorEastAsia" w:hAnsiTheme="minorEastAsia"/>
          <w:sz w:val="24"/>
          <w:highlight w:val="none"/>
        </w:rPr>
        <w:t>上传。</w:t>
      </w:r>
    </w:p>
    <w:p w14:paraId="28627CAE">
      <w:pPr>
        <w:spacing w:line="360" w:lineRule="auto"/>
        <w:ind w:firstLine="435"/>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316154BC">
      <w:pPr>
        <w:spacing w:line="360" w:lineRule="auto"/>
        <w:ind w:firstLine="435"/>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2.</w:t>
      </w:r>
      <w:r>
        <w:rPr>
          <w:rFonts w:asciiTheme="minorEastAsia" w:hAnsiTheme="minorEastAsia"/>
          <w:sz w:val="24"/>
          <w:highlight w:val="none"/>
        </w:rPr>
        <w:t>3</w:t>
      </w:r>
      <w:r>
        <w:rPr>
          <w:rFonts w:hint="eastAsia" w:asciiTheme="minorEastAsia" w:hAnsiTheme="minorEastAsia"/>
          <w:sz w:val="24"/>
          <w:highlight w:val="none"/>
        </w:rPr>
        <w:t>供应商应在</w:t>
      </w:r>
      <w:r>
        <w:rPr>
          <w:rFonts w:hint="eastAsia" w:asciiTheme="minorEastAsia" w:hAnsiTheme="minorEastAsia"/>
          <w:sz w:val="24"/>
          <w:highlight w:val="none"/>
          <w:u w:val="single"/>
        </w:rPr>
        <w:t>供应商须知前附表</w:t>
      </w:r>
      <w:r>
        <w:rPr>
          <w:rFonts w:hint="eastAsia" w:asciiTheme="minorEastAsia" w:hAnsiTheme="minorEastAsia"/>
          <w:sz w:val="24"/>
          <w:highlight w:val="none"/>
        </w:rPr>
        <w:t>规定的解密时间前对其响应文件进行解密，</w:t>
      </w:r>
      <w:r>
        <w:rPr>
          <w:rFonts w:asciiTheme="minorEastAsia" w:hAnsiTheme="minorEastAsia"/>
          <w:sz w:val="24"/>
          <w:highlight w:val="none"/>
        </w:rPr>
        <w:t>未在规定时间内进行解密的，</w:t>
      </w:r>
      <w:r>
        <w:rPr>
          <w:rFonts w:hint="eastAsia" w:asciiTheme="minorEastAsia" w:hAnsiTheme="minorEastAsia"/>
          <w:b/>
          <w:sz w:val="24"/>
          <w:highlight w:val="none"/>
        </w:rPr>
        <w:t>响应无效。</w:t>
      </w:r>
    </w:p>
    <w:p w14:paraId="117E7371">
      <w:pPr>
        <w:spacing w:line="360" w:lineRule="auto"/>
        <w:ind w:firstLine="435"/>
        <w:rPr>
          <w:sz w:val="24"/>
          <w:highlight w:val="none"/>
        </w:rPr>
      </w:pPr>
      <w:r>
        <w:rPr>
          <w:rFonts w:hint="eastAsia" w:asciiTheme="minorEastAsia" w:hAnsiTheme="minorEastAsia"/>
          <w:sz w:val="24"/>
          <w:highlight w:val="none"/>
        </w:rPr>
        <w:t>12.4在响应文件提交截止时间之后，供应商不得对其响应文件做任何修改。</w:t>
      </w:r>
      <w:r>
        <w:rPr>
          <w:rFonts w:hint="eastAsia"/>
          <w:sz w:val="24"/>
          <w:highlight w:val="none"/>
        </w:rPr>
        <w:t>但属于磋商小组在评审中发现的计算错误并进行核实的修改、按照磋商文件的变动情况和磋商小组的要求重新提交响应文件的，不在此列。</w:t>
      </w:r>
    </w:p>
    <w:p w14:paraId="1BFE1D9E">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13</w:t>
      </w:r>
      <w:r>
        <w:rPr>
          <w:rFonts w:asciiTheme="minorEastAsia" w:hAnsiTheme="minorEastAsia"/>
          <w:b/>
          <w:sz w:val="24"/>
          <w:highlight w:val="none"/>
        </w:rPr>
        <w:t>.</w:t>
      </w:r>
      <w:r>
        <w:rPr>
          <w:rFonts w:hint="eastAsia" w:asciiTheme="minorEastAsia" w:hAnsiTheme="minorEastAsia"/>
          <w:b/>
          <w:sz w:val="24"/>
          <w:highlight w:val="none"/>
        </w:rPr>
        <w:t>磋商小组</w:t>
      </w:r>
    </w:p>
    <w:p w14:paraId="7BC28B55">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13</w:t>
      </w:r>
      <w:r>
        <w:rPr>
          <w:rFonts w:asciiTheme="minorEastAsia" w:hAnsiTheme="minorEastAsia"/>
          <w:sz w:val="24"/>
          <w:highlight w:val="none"/>
        </w:rPr>
        <w:t>.1本项目将依法组建磋商小组，磋商小组成员由3人以上单数组成，磋商小组及其成员应当依照政府采购的有关规定履行相关职责和义务。</w:t>
      </w:r>
    </w:p>
    <w:p w14:paraId="0610137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13</w:t>
      </w:r>
      <w:r>
        <w:rPr>
          <w:rFonts w:asciiTheme="minorEastAsia" w:hAnsiTheme="minorEastAsia"/>
          <w:sz w:val="24"/>
          <w:highlight w:val="none"/>
        </w:rPr>
        <w:t>.2磋商小组依法对响应文件进行评审，并根据磋商文件规定的程序、评定成交的标准等事项与实质性响应磋商文件要求的供应商进行磋商。</w:t>
      </w:r>
    </w:p>
    <w:p w14:paraId="4D0ED306">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13</w:t>
      </w:r>
      <w:r>
        <w:rPr>
          <w:rFonts w:asciiTheme="minorEastAsia" w:hAnsiTheme="minorEastAsia"/>
          <w:sz w:val="24"/>
          <w:highlight w:val="none"/>
        </w:rPr>
        <w:t>.3磋商小组应当从质量和服务均能满足磋商文件实质性响应要求的供应商中，按照评审</w:t>
      </w:r>
      <w:r>
        <w:rPr>
          <w:rFonts w:hint="eastAsia" w:asciiTheme="minorEastAsia" w:hAnsiTheme="minorEastAsia"/>
          <w:sz w:val="24"/>
          <w:highlight w:val="none"/>
        </w:rPr>
        <w:t>方</w:t>
      </w:r>
      <w:r>
        <w:rPr>
          <w:rFonts w:asciiTheme="minorEastAsia" w:hAnsiTheme="minorEastAsia"/>
          <w:sz w:val="24"/>
          <w:highlight w:val="none"/>
        </w:rPr>
        <w:t>法</w:t>
      </w:r>
      <w:r>
        <w:rPr>
          <w:rFonts w:hint="eastAsia" w:asciiTheme="minorEastAsia" w:hAnsiTheme="minorEastAsia"/>
          <w:sz w:val="24"/>
          <w:highlight w:val="none"/>
        </w:rPr>
        <w:t>和标准推荐</w:t>
      </w:r>
      <w:r>
        <w:rPr>
          <w:rFonts w:asciiTheme="minorEastAsia" w:hAnsiTheme="minorEastAsia"/>
          <w:sz w:val="24"/>
          <w:highlight w:val="none"/>
        </w:rPr>
        <w:t>成交候选供应商，并编写</w:t>
      </w:r>
      <w:r>
        <w:rPr>
          <w:rFonts w:hint="eastAsia" w:asciiTheme="minorEastAsia" w:hAnsiTheme="minorEastAsia"/>
          <w:sz w:val="24"/>
          <w:highlight w:val="none"/>
        </w:rPr>
        <w:t>评审</w:t>
      </w:r>
      <w:r>
        <w:rPr>
          <w:rFonts w:asciiTheme="minorEastAsia" w:hAnsiTheme="minorEastAsia"/>
          <w:sz w:val="24"/>
          <w:highlight w:val="none"/>
        </w:rPr>
        <w:t>报告。</w:t>
      </w:r>
    </w:p>
    <w:p w14:paraId="4F427951">
      <w:pPr>
        <w:spacing w:line="360" w:lineRule="auto"/>
        <w:ind w:firstLine="437"/>
        <w:outlineLvl w:val="2"/>
        <w:rPr>
          <w:rFonts w:asciiTheme="minorEastAsia" w:hAnsiTheme="minorEastAsia"/>
          <w:b/>
          <w:sz w:val="24"/>
          <w:highlight w:val="none"/>
        </w:rPr>
      </w:pPr>
      <w:r>
        <w:rPr>
          <w:rFonts w:asciiTheme="minorEastAsia" w:hAnsiTheme="minorEastAsia"/>
          <w:b/>
          <w:sz w:val="24"/>
          <w:highlight w:val="none"/>
        </w:rPr>
        <w:t>1</w:t>
      </w:r>
      <w:r>
        <w:rPr>
          <w:rFonts w:hint="eastAsia" w:asciiTheme="minorEastAsia" w:hAnsiTheme="minorEastAsia"/>
          <w:b/>
          <w:sz w:val="24"/>
          <w:highlight w:val="none"/>
        </w:rPr>
        <w:t>4</w:t>
      </w:r>
      <w:r>
        <w:rPr>
          <w:rFonts w:asciiTheme="minorEastAsia" w:hAnsiTheme="minorEastAsia"/>
          <w:b/>
          <w:sz w:val="24"/>
          <w:highlight w:val="none"/>
        </w:rPr>
        <w:t>.响应文件的评审与磋商</w:t>
      </w:r>
    </w:p>
    <w:p w14:paraId="58A85A1E">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w:t>
      </w:r>
      <w:r>
        <w:rPr>
          <w:rFonts w:asciiTheme="minorEastAsia" w:hAnsiTheme="minorEastAsia"/>
          <w:sz w:val="24"/>
          <w:highlight w:val="none"/>
        </w:rPr>
        <w:t>.</w:t>
      </w:r>
      <w:r>
        <w:rPr>
          <w:rFonts w:hint="eastAsia" w:asciiTheme="minorEastAsia" w:hAnsiTheme="minorEastAsia"/>
          <w:sz w:val="24"/>
          <w:highlight w:val="none"/>
        </w:rPr>
        <w:t>1采购人和采购代理机构将在</w:t>
      </w:r>
      <w:r>
        <w:rPr>
          <w:rFonts w:hint="eastAsia" w:cs="@仿宋_GB2312" w:asciiTheme="minorEastAsia" w:hAnsiTheme="minorEastAsia"/>
          <w:sz w:val="24"/>
          <w:highlight w:val="none"/>
        </w:rPr>
        <w:t>竞争性磋商公告</w:t>
      </w:r>
      <w:r>
        <w:rPr>
          <w:rFonts w:hint="eastAsia" w:asciiTheme="minorEastAsia" w:hAnsiTheme="minorEastAsia"/>
          <w:sz w:val="24"/>
          <w:highlight w:val="none"/>
        </w:rPr>
        <w:t>规定的时间和地点组织磋商。</w:t>
      </w:r>
    </w:p>
    <w:p w14:paraId="0C307A7F">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14.2竞争性磋商活动采用综合评分法评审。</w:t>
      </w:r>
    </w:p>
    <w:p w14:paraId="6128AFD2">
      <w:pPr>
        <w:spacing w:line="360" w:lineRule="auto"/>
        <w:ind w:firstLine="435"/>
        <w:rPr>
          <w:rFonts w:asciiTheme="minorEastAsia" w:hAnsiTheme="minorEastAsia"/>
          <w:sz w:val="24"/>
          <w:highlight w:val="none"/>
        </w:rPr>
      </w:pPr>
      <w:r>
        <w:rPr>
          <w:rFonts w:hint="eastAsia" w:asciiTheme="minorEastAsia" w:hAnsiTheme="minorEastAsia"/>
          <w:sz w:val="24"/>
          <w:highlight w:val="none"/>
        </w:rPr>
        <w:t>综合评分法，是指响应文件满足磋商文件全部实质性要求且按评审因素的量化指标评审得分最高的供应商为成交候选供应商的评审方法。</w:t>
      </w:r>
    </w:p>
    <w:p w14:paraId="4EECA136">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14.3磋商小组将按照磋商文件规定的</w:t>
      </w:r>
      <w:r>
        <w:rPr>
          <w:rFonts w:asciiTheme="minorEastAsia" w:hAnsiTheme="minorEastAsia"/>
          <w:sz w:val="24"/>
          <w:highlight w:val="none"/>
        </w:rPr>
        <w:t>评审</w:t>
      </w:r>
      <w:r>
        <w:rPr>
          <w:rFonts w:hint="eastAsia" w:asciiTheme="minorEastAsia" w:hAnsiTheme="minorEastAsia"/>
          <w:sz w:val="24"/>
          <w:highlight w:val="none"/>
        </w:rPr>
        <w:t>方</w:t>
      </w:r>
      <w:r>
        <w:rPr>
          <w:rFonts w:asciiTheme="minorEastAsia" w:hAnsiTheme="minorEastAsia"/>
          <w:sz w:val="24"/>
          <w:highlight w:val="none"/>
        </w:rPr>
        <w:t>法</w:t>
      </w:r>
      <w:r>
        <w:rPr>
          <w:rFonts w:hint="eastAsia" w:asciiTheme="minorEastAsia" w:hAnsiTheme="minorEastAsia"/>
          <w:sz w:val="24"/>
          <w:highlight w:val="none"/>
        </w:rPr>
        <w:t>和标准对供应商独立进行评审。评审程序如下：</w:t>
      </w:r>
    </w:p>
    <w:p w14:paraId="2A3B5FF4">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14.3.1</w:t>
      </w:r>
      <w:r>
        <w:rPr>
          <w:rFonts w:hint="eastAsia" w:asciiTheme="minorEastAsia" w:hAnsiTheme="minorEastAsia"/>
          <w:b/>
          <w:sz w:val="24"/>
          <w:highlight w:val="none"/>
        </w:rPr>
        <w:t>初审</w:t>
      </w:r>
      <w:r>
        <w:rPr>
          <w:rFonts w:hint="eastAsia" w:asciiTheme="minorEastAsia" w:hAnsiTheme="minorEastAsia"/>
          <w:sz w:val="24"/>
          <w:highlight w:val="none"/>
        </w:rPr>
        <w:t>。磋商小组对供应商必须满足和实质性响应的内容进行评审，供应商未实质性响应磋商文件要求导致响应无效的，磋商小组将以书面询标的方式告知有关供应商。</w:t>
      </w:r>
    </w:p>
    <w:p w14:paraId="332A300E">
      <w:pPr>
        <w:spacing w:line="360" w:lineRule="auto"/>
        <w:ind w:firstLine="435"/>
        <w:rPr>
          <w:rFonts w:ascii="宋体" w:hAnsi="宋体" w:eastAsia="宋体" w:cs="宋体"/>
          <w:sz w:val="24"/>
          <w:highlight w:val="none"/>
        </w:rPr>
      </w:pPr>
      <w:r>
        <w:rPr>
          <w:rFonts w:hint="eastAsia" w:ascii="宋体" w:hAnsi="宋体" w:eastAsia="宋体" w:cs="宋体"/>
          <w:sz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78FFA0C">
      <w:pPr>
        <w:spacing w:line="360" w:lineRule="auto"/>
        <w:ind w:firstLine="435"/>
        <w:rPr>
          <w:rFonts w:ascii="宋体" w:hAnsi="宋体" w:eastAsia="宋体" w:cs="宋体"/>
          <w:sz w:val="24"/>
          <w:highlight w:val="none"/>
        </w:rPr>
      </w:pPr>
      <w:r>
        <w:rPr>
          <w:rFonts w:hint="eastAsia" w:ascii="宋体" w:hAnsi="宋体" w:eastAsia="宋体" w:cs="宋体"/>
          <w:sz w:val="24"/>
          <w:highlight w:val="none"/>
        </w:rPr>
        <w:t>以联合体形式参加磋商的，联合体成员存在以上不良信用记录的，联合体磋商将被认定为</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1994669">
      <w:pPr>
        <w:spacing w:line="360" w:lineRule="auto"/>
        <w:ind w:firstLine="435"/>
        <w:rPr>
          <w:rFonts w:asciiTheme="minorEastAsia" w:hAnsiTheme="minorEastAsia"/>
          <w:sz w:val="24"/>
          <w:highlight w:val="none"/>
        </w:rPr>
      </w:pPr>
      <w:r>
        <w:rPr>
          <w:rFonts w:hint="eastAsia" w:ascii="宋体" w:hAnsi="宋体" w:eastAsia="宋体" w:cs="宋体"/>
          <w:sz w:val="24"/>
          <w:highlight w:val="none"/>
        </w:rPr>
        <w:t>以上信用查询记录，采购人或采购代理机构将下载查询结果页面后与其他采购文件一并保存。供应商不良信用记录以采购人或采购代理机构查询结果为准。在本</w:t>
      </w:r>
      <w:r>
        <w:rPr>
          <w:rFonts w:hint="eastAsia" w:cs="宋体"/>
          <w:sz w:val="24"/>
          <w:highlight w:val="none"/>
        </w:rPr>
        <w:t>采购</w:t>
      </w:r>
      <w:r>
        <w:rPr>
          <w:rFonts w:hint="eastAsia" w:ascii="宋体" w:hAnsi="宋体" w:eastAsia="宋体" w:cs="宋体"/>
          <w:sz w:val="24"/>
          <w:highlight w:val="none"/>
        </w:rPr>
        <w:t>文件规定的查询时间之外，网站信息发生的任何变更均不作为初审依据。供应商自行提供的与网站信息不一致的其他证明材料亦不作为初审依据。</w:t>
      </w:r>
    </w:p>
    <w:p w14:paraId="0E04B52B">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14.3.2</w:t>
      </w:r>
      <w:r>
        <w:rPr>
          <w:rFonts w:hint="eastAsia" w:asciiTheme="minorEastAsia" w:hAnsiTheme="minorEastAsia"/>
          <w:b/>
          <w:sz w:val="24"/>
          <w:highlight w:val="none"/>
        </w:rPr>
        <w:t>磋商</w:t>
      </w:r>
      <w:r>
        <w:rPr>
          <w:rFonts w:hint="eastAsia" w:asciiTheme="minorEastAsia" w:hAnsiTheme="minorEastAsia"/>
          <w:sz w:val="24"/>
          <w:highlight w:val="none"/>
        </w:rPr>
        <w:t>。初审合格后，磋商小组将按网上加密电子响应文件提交顺序集中与单一供应商分别进行磋商，并给予所有参加磋商的供应商平等的磋商机会。</w:t>
      </w:r>
    </w:p>
    <w:p w14:paraId="7136103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14.3.3</w:t>
      </w:r>
      <w:r>
        <w:rPr>
          <w:rFonts w:asciiTheme="minorEastAsia" w:hAnsiTheme="minorEastAsia"/>
          <w:b/>
          <w:sz w:val="24"/>
          <w:highlight w:val="none"/>
        </w:rPr>
        <w:t>报价</w:t>
      </w:r>
      <w:r>
        <w:rPr>
          <w:rFonts w:hint="eastAsia" w:asciiTheme="minorEastAsia" w:hAnsiTheme="minorEastAsia"/>
          <w:sz w:val="24"/>
          <w:highlight w:val="none"/>
        </w:rPr>
        <w:t>。</w:t>
      </w:r>
      <w:r>
        <w:rPr>
          <w:rFonts w:asciiTheme="minorEastAsia" w:hAnsiTheme="minorEastAsia"/>
          <w:sz w:val="24"/>
          <w:highlight w:val="none"/>
        </w:rPr>
        <w:t>磋商结束后，磋商小组应当要求所有</w:t>
      </w:r>
      <w:r>
        <w:rPr>
          <w:rFonts w:hint="eastAsia" w:asciiTheme="minorEastAsia" w:hAnsiTheme="minorEastAsia"/>
          <w:sz w:val="24"/>
          <w:highlight w:val="none"/>
        </w:rPr>
        <w:t>实质性响应</w:t>
      </w:r>
      <w:r>
        <w:rPr>
          <w:rFonts w:asciiTheme="minorEastAsia" w:hAnsiTheme="minorEastAsia"/>
          <w:sz w:val="24"/>
          <w:highlight w:val="none"/>
        </w:rPr>
        <w:t>的供应商在规定时间内提交最后报价</w:t>
      </w:r>
      <w:r>
        <w:rPr>
          <w:rFonts w:hint="eastAsia"/>
          <w:sz w:val="24"/>
          <w:highlight w:val="none"/>
        </w:rPr>
        <w:t>。</w:t>
      </w:r>
    </w:p>
    <w:p w14:paraId="0DE97C9A">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14.3.4</w:t>
      </w:r>
      <w:r>
        <w:rPr>
          <w:rFonts w:hint="eastAsia" w:asciiTheme="minorEastAsia" w:hAnsiTheme="minorEastAsia"/>
          <w:b/>
          <w:sz w:val="24"/>
          <w:highlight w:val="none"/>
        </w:rPr>
        <w:t>综合评分</w:t>
      </w:r>
      <w:r>
        <w:rPr>
          <w:rFonts w:hint="eastAsia" w:asciiTheme="minorEastAsia" w:hAnsiTheme="minorEastAsia"/>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1566518">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14.4相关说明。</w:t>
      </w:r>
    </w:p>
    <w:p w14:paraId="4B84970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 xml:space="preserve">14.4.1为保证磋商活动顺利进行，供应商可派相关技术人员进行网上答疑； </w:t>
      </w:r>
    </w:p>
    <w:p w14:paraId="25C7AD6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14.4.2磋</w:t>
      </w:r>
      <w:r>
        <w:rPr>
          <w:rFonts w:asciiTheme="minorEastAsia" w:hAnsiTheme="minorEastAsia"/>
          <w:sz w:val="24"/>
          <w:highlight w:val="none"/>
        </w:rPr>
        <w:t>商小组根据与</w:t>
      </w:r>
      <w:r>
        <w:rPr>
          <w:rFonts w:hint="eastAsia" w:asciiTheme="minorEastAsia" w:hAnsiTheme="minorEastAsia"/>
          <w:sz w:val="24"/>
          <w:highlight w:val="none"/>
        </w:rPr>
        <w:t>供应商</w:t>
      </w:r>
      <w:r>
        <w:rPr>
          <w:rFonts w:asciiTheme="minorEastAsia" w:hAnsiTheme="minorEastAsia"/>
          <w:sz w:val="24"/>
          <w:highlight w:val="none"/>
        </w:rPr>
        <w:t>磋商情况可能实质性变动</w:t>
      </w:r>
      <w:r>
        <w:rPr>
          <w:rFonts w:hint="eastAsia" w:asciiTheme="minorEastAsia" w:hAnsiTheme="minorEastAsia"/>
          <w:sz w:val="24"/>
          <w:highlight w:val="none"/>
        </w:rPr>
        <w:t>磋商文件</w:t>
      </w:r>
      <w:r>
        <w:rPr>
          <w:rFonts w:asciiTheme="minorEastAsia" w:hAnsiTheme="minorEastAsia"/>
          <w:sz w:val="24"/>
          <w:highlight w:val="none"/>
        </w:rPr>
        <w:t>的内容，包括采购需求中的技术、服务要求以及合同草案条款。磋商文件有实质性变动的，</w:t>
      </w:r>
      <w:r>
        <w:rPr>
          <w:rFonts w:hint="eastAsia" w:asciiTheme="minorEastAsia" w:hAnsiTheme="minorEastAsia"/>
          <w:sz w:val="24"/>
          <w:highlight w:val="none"/>
        </w:rPr>
        <w:t>经采购人代表确认作为磋商文件的有效组成部分，</w:t>
      </w:r>
      <w:r>
        <w:rPr>
          <w:rFonts w:asciiTheme="minorEastAsia" w:hAnsiTheme="minorEastAsia"/>
          <w:sz w:val="24"/>
          <w:highlight w:val="none"/>
        </w:rPr>
        <w:t>磋商小组</w:t>
      </w:r>
      <w:r>
        <w:rPr>
          <w:rFonts w:hint="eastAsia" w:asciiTheme="minorEastAsia" w:hAnsiTheme="minorEastAsia"/>
          <w:sz w:val="24"/>
          <w:highlight w:val="none"/>
        </w:rPr>
        <w:t>将</w:t>
      </w:r>
      <w:r>
        <w:rPr>
          <w:rFonts w:asciiTheme="minorEastAsia" w:hAnsiTheme="minorEastAsia"/>
          <w:sz w:val="24"/>
          <w:highlight w:val="none"/>
        </w:rPr>
        <w:t>以书面形式通知所有参加磋商的供应商。</w:t>
      </w:r>
    </w:p>
    <w:p w14:paraId="5750C3D5">
      <w:pPr>
        <w:spacing w:line="360" w:lineRule="auto"/>
        <w:ind w:firstLine="435"/>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4</w:t>
      </w:r>
      <w:r>
        <w:rPr>
          <w:rFonts w:asciiTheme="minorEastAsia" w:hAnsiTheme="minorEastAsia"/>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b/>
          <w:sz w:val="24"/>
          <w:highlight w:val="none"/>
        </w:rPr>
        <w:t>响应无效。</w:t>
      </w:r>
    </w:p>
    <w:p w14:paraId="2418C80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14.4.4</w:t>
      </w:r>
      <w:r>
        <w:rPr>
          <w:rFonts w:asciiTheme="minorEastAsia" w:hAnsiTheme="minorEastAsia"/>
          <w:sz w:val="24"/>
          <w:highlight w:val="none"/>
        </w:rPr>
        <w:t>无论何种原因，即使供应商</w:t>
      </w:r>
      <w:r>
        <w:rPr>
          <w:rFonts w:hint="eastAsia" w:asciiTheme="minorEastAsia" w:hAnsiTheme="minorEastAsia"/>
          <w:sz w:val="24"/>
          <w:highlight w:val="none"/>
        </w:rPr>
        <w:t>磋商</w:t>
      </w:r>
      <w:r>
        <w:rPr>
          <w:rFonts w:asciiTheme="minorEastAsia" w:hAnsiTheme="minorEastAsia"/>
          <w:sz w:val="24"/>
          <w:highlight w:val="none"/>
        </w:rPr>
        <w:t>时携带了证书材料的原件，但响应文件中未提供与之内容完全一致的</w:t>
      </w:r>
      <w:r>
        <w:rPr>
          <w:rFonts w:hint="eastAsia" w:asciiTheme="minorEastAsia" w:hAnsiTheme="minorEastAsia"/>
          <w:sz w:val="24"/>
          <w:highlight w:val="none"/>
        </w:rPr>
        <w:t>扫描件</w:t>
      </w:r>
      <w:r>
        <w:rPr>
          <w:rFonts w:asciiTheme="minorEastAsia" w:hAnsiTheme="minorEastAsia"/>
          <w:sz w:val="24"/>
          <w:highlight w:val="none"/>
        </w:rPr>
        <w:t>的，</w:t>
      </w:r>
      <w:r>
        <w:rPr>
          <w:rFonts w:hint="eastAsia" w:asciiTheme="minorEastAsia" w:hAnsiTheme="minorEastAsia"/>
          <w:sz w:val="24"/>
          <w:highlight w:val="none"/>
        </w:rPr>
        <w:t>磋商</w:t>
      </w:r>
      <w:r>
        <w:rPr>
          <w:rFonts w:asciiTheme="minorEastAsia" w:hAnsiTheme="minorEastAsia"/>
          <w:sz w:val="24"/>
          <w:highlight w:val="none"/>
        </w:rPr>
        <w:t>小组可以视同其未提供。</w:t>
      </w:r>
    </w:p>
    <w:p w14:paraId="14DC264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14.4.5磋商</w:t>
      </w:r>
      <w:r>
        <w:rPr>
          <w:rFonts w:asciiTheme="minorEastAsia" w:hAnsiTheme="minorEastAsia"/>
          <w:sz w:val="24"/>
          <w:highlight w:val="none"/>
        </w:rPr>
        <w:t>小组决定响应文件的响应性及符合性只根据响应文件本身的内容，而不寻求其他外部证据。</w:t>
      </w:r>
    </w:p>
    <w:p w14:paraId="17E51B22">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14</w:t>
      </w:r>
      <w:r>
        <w:rPr>
          <w:rFonts w:asciiTheme="minorEastAsia" w:hAnsiTheme="minorEastAsia"/>
          <w:sz w:val="24"/>
          <w:highlight w:val="none"/>
        </w:rPr>
        <w:t>.</w:t>
      </w:r>
      <w:r>
        <w:rPr>
          <w:rFonts w:hint="eastAsia" w:asciiTheme="minorEastAsia" w:hAnsiTheme="minorEastAsia"/>
          <w:sz w:val="24"/>
          <w:highlight w:val="none"/>
        </w:rPr>
        <w:t>5</w:t>
      </w:r>
      <w:r>
        <w:rPr>
          <w:rFonts w:asciiTheme="minorEastAsia" w:hAnsiTheme="minorEastAsia"/>
          <w:sz w:val="24"/>
          <w:highlight w:val="none"/>
        </w:rPr>
        <w:t>供应商</w:t>
      </w:r>
      <w:r>
        <w:rPr>
          <w:rFonts w:hint="eastAsia" w:asciiTheme="minorEastAsia" w:hAnsiTheme="minorEastAsia"/>
          <w:sz w:val="24"/>
          <w:highlight w:val="none"/>
        </w:rPr>
        <w:t>授权</w:t>
      </w:r>
      <w:r>
        <w:rPr>
          <w:rFonts w:asciiTheme="minorEastAsia" w:hAnsiTheme="minorEastAsia"/>
          <w:sz w:val="24"/>
          <w:highlight w:val="none"/>
        </w:rPr>
        <w:t>代表对</w:t>
      </w:r>
      <w:r>
        <w:rPr>
          <w:rFonts w:hint="eastAsia" w:asciiTheme="minorEastAsia" w:hAnsiTheme="minorEastAsia"/>
          <w:sz w:val="24"/>
          <w:highlight w:val="none"/>
        </w:rPr>
        <w:t>磋商过程</w:t>
      </w:r>
      <w:r>
        <w:rPr>
          <w:rFonts w:asciiTheme="minorEastAsia" w:hAnsiTheme="minorEastAsia"/>
          <w:sz w:val="24"/>
          <w:highlight w:val="none"/>
        </w:rPr>
        <w:t>有疑义，以及认为采购人、采购代理机构相关工作人员有需要回避的情形的，应当场提出询问或者回避申请</w:t>
      </w:r>
      <w:r>
        <w:rPr>
          <w:rFonts w:hint="eastAsia" w:asciiTheme="minorEastAsia" w:hAnsiTheme="minorEastAsia"/>
          <w:sz w:val="24"/>
          <w:highlight w:val="none"/>
        </w:rPr>
        <w:t>，并说明理由。</w:t>
      </w:r>
      <w:r>
        <w:rPr>
          <w:rFonts w:asciiTheme="minorEastAsia" w:hAnsiTheme="minorEastAsia"/>
          <w:sz w:val="24"/>
          <w:highlight w:val="none"/>
        </w:rPr>
        <w:t xml:space="preserve"> </w:t>
      </w:r>
    </w:p>
    <w:p w14:paraId="78BDB1E0">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15</w:t>
      </w:r>
      <w:r>
        <w:rPr>
          <w:rFonts w:asciiTheme="minorEastAsia" w:hAnsiTheme="minorEastAsia"/>
          <w:b/>
          <w:sz w:val="24"/>
          <w:highlight w:val="none"/>
        </w:rPr>
        <w:t>.终止竞争性磋商</w:t>
      </w:r>
    </w:p>
    <w:p w14:paraId="194FAF43">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15.1出现下列情况之一时，采购人和采购代理机构有权宣布终止竞争性磋商采购，并将理由通知所有供应商：</w:t>
      </w:r>
    </w:p>
    <w:p w14:paraId="1F28B651">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（1）有效供应商数量不足，导致本次磋商缺乏竞争的；</w:t>
      </w:r>
    </w:p>
    <w:p w14:paraId="714C7F6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（2）出现影响采购公正的违法、违规行为的；</w:t>
      </w:r>
    </w:p>
    <w:p w14:paraId="2063AB94">
      <w:pPr>
        <w:spacing w:line="360" w:lineRule="auto"/>
        <w:ind w:firstLine="435"/>
        <w:rPr>
          <w:rFonts w:asciiTheme="minorEastAsia" w:hAnsiTheme="minorEastAsia"/>
          <w:sz w:val="24"/>
          <w:highlight w:val="none"/>
        </w:rPr>
      </w:pPr>
      <w:r>
        <w:rPr>
          <w:rFonts w:hint="eastAsia" w:asciiTheme="minorEastAsia" w:hAnsiTheme="minorEastAsia"/>
          <w:sz w:val="24"/>
          <w:highlight w:val="none"/>
        </w:rPr>
        <w:t>（3）因重大变故，采购任务取消的；</w:t>
      </w:r>
    </w:p>
    <w:p w14:paraId="274C7719">
      <w:pPr>
        <w:spacing w:line="360" w:lineRule="auto"/>
        <w:ind w:firstLine="435"/>
        <w:rPr>
          <w:rFonts w:asciiTheme="minorEastAsia" w:hAnsiTheme="minorEastAsia"/>
          <w:sz w:val="24"/>
          <w:highlight w:val="none"/>
        </w:rPr>
      </w:pPr>
      <w:r>
        <w:rPr>
          <w:rFonts w:hint="eastAsia" w:asciiTheme="minorEastAsia" w:hAnsiTheme="minorEastAsia"/>
          <w:sz w:val="24"/>
          <w:highlight w:val="none"/>
        </w:rPr>
        <w:t>（4）政府采购法律法规规定的其他情形。</w:t>
      </w:r>
    </w:p>
    <w:p w14:paraId="4DAA842F">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16</w:t>
      </w:r>
      <w:r>
        <w:rPr>
          <w:rFonts w:asciiTheme="minorEastAsia" w:hAnsiTheme="minorEastAsia"/>
          <w:b/>
          <w:sz w:val="24"/>
          <w:highlight w:val="none"/>
        </w:rPr>
        <w:t>.响应文件的澄清、说明或</w:t>
      </w:r>
      <w:r>
        <w:rPr>
          <w:rFonts w:hint="eastAsia" w:asciiTheme="minorEastAsia" w:hAnsiTheme="minorEastAsia"/>
          <w:b/>
          <w:sz w:val="24"/>
          <w:highlight w:val="none"/>
        </w:rPr>
        <w:t>更正</w:t>
      </w:r>
    </w:p>
    <w:p w14:paraId="3E12E54C">
      <w:pPr>
        <w:spacing w:line="360" w:lineRule="auto"/>
        <w:ind w:firstLine="470" w:firstLineChars="196"/>
        <w:rPr>
          <w:sz w:val="24"/>
          <w:highlight w:val="none"/>
        </w:rPr>
      </w:pPr>
      <w:r>
        <w:rPr>
          <w:rFonts w:hint="eastAsia"/>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07F3115">
      <w:pPr>
        <w:spacing w:line="360" w:lineRule="auto"/>
        <w:ind w:firstLine="470" w:firstLineChars="196"/>
        <w:rPr>
          <w:sz w:val="24"/>
          <w:highlight w:val="none"/>
        </w:rPr>
      </w:pPr>
      <w:r>
        <w:rPr>
          <w:rFonts w:hint="eastAsia"/>
          <w:sz w:val="24"/>
          <w:highlight w:val="none"/>
        </w:rPr>
        <w:t>16.2磋商小组要求供应商澄清、说明或者更正响应文件应当以书面形式（询标）作出。供应商的澄清、说明或者更正应当由法定代表人或其授权代表签字或者加盖公章（电子签章）。</w:t>
      </w:r>
    </w:p>
    <w:p w14:paraId="1AADE6C9">
      <w:pPr>
        <w:spacing w:line="360" w:lineRule="auto"/>
        <w:ind w:firstLine="435"/>
        <w:rPr>
          <w:sz w:val="24"/>
          <w:highlight w:val="none"/>
        </w:rPr>
      </w:pPr>
      <w:r>
        <w:rPr>
          <w:rFonts w:hint="eastAsia"/>
          <w:b/>
          <w:sz w:val="24"/>
          <w:highlight w:val="none"/>
        </w:rPr>
        <w:t>如有询标，授权代表（或法定代表人）可通过远程登录的方式接受网上询标，也可凭本人有效身份证明参加询标。因授权代表联系不上</w:t>
      </w:r>
      <w:r>
        <w:rPr>
          <w:rFonts w:hint="eastAsia"/>
          <w:b/>
          <w:bCs/>
          <w:sz w:val="24"/>
          <w:highlight w:val="none"/>
        </w:rPr>
        <w:t>、没有及时登录系统等情形</w:t>
      </w:r>
      <w:r>
        <w:rPr>
          <w:rFonts w:hint="eastAsia"/>
          <w:b/>
          <w:sz w:val="24"/>
          <w:highlight w:val="none"/>
        </w:rPr>
        <w:t>而无法接受磋商小组询标的，供应商自行承担相关风险。</w:t>
      </w:r>
    </w:p>
    <w:p w14:paraId="5F92A679">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17</w:t>
      </w:r>
      <w:r>
        <w:rPr>
          <w:rFonts w:asciiTheme="minorEastAsia" w:hAnsiTheme="minorEastAsia"/>
          <w:b/>
          <w:sz w:val="24"/>
          <w:highlight w:val="none"/>
        </w:rPr>
        <w:t>.最后报价</w:t>
      </w:r>
    </w:p>
    <w:p w14:paraId="69955625">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17.1磋商并不限定只进行二轮报价，如果磋商小组认为有必要，可以要求供应商进行多轮报价。</w:t>
      </w:r>
    </w:p>
    <w:p w14:paraId="6CDAC123">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17.2在磋商内容不做实质性变更或重大调整的前提下，供应商下轮报价不得高于上一轮报价。</w:t>
      </w:r>
    </w:p>
    <w:p w14:paraId="25A1E15A">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17.3最后报价是供应商响应文件的有效组成部分，最后报价也是签订合同的依据。</w:t>
      </w:r>
    </w:p>
    <w:p w14:paraId="614015C5">
      <w:pPr>
        <w:spacing w:line="360" w:lineRule="auto"/>
        <w:ind w:firstLine="435"/>
        <w:rPr>
          <w:rFonts w:cs="@仿宋_GB2312" w:asciiTheme="minorEastAsia" w:hAnsiTheme="minorEastAsia"/>
          <w:sz w:val="24"/>
          <w:highlight w:val="none"/>
        </w:rPr>
      </w:pPr>
      <w:bookmarkStart w:id="34" w:name="_Hlk60607655"/>
      <w:r>
        <w:rPr>
          <w:rFonts w:hint="eastAsia" w:cs="@仿宋_GB2312" w:asciiTheme="minorEastAsia" w:hAnsiTheme="minorEastAsia"/>
          <w:sz w:val="24"/>
          <w:highlight w:val="none"/>
        </w:rPr>
        <w:t>17.4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13736EC5">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6B2B07B0">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以联合体形式参加政府采购活动，联合体各方均为中小企业的，联合体视同中小企业。其中，联合体各方均为小微企业的，联合体视同小微企业。</w:t>
      </w:r>
      <w:bookmarkEnd w:id="34"/>
    </w:p>
    <w:p w14:paraId="794E5217">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17.5供应商应当按照企业定额或项目所在地最新建设工程计价依据以及材料市场价格信息等，结合自身实力、施工经验、现场环境以及磋商文件的要求自主报价。</w:t>
      </w:r>
    </w:p>
    <w:p w14:paraId="46F58B90">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26CB0BCD">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DB92D72">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082230DB">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17.9工程造价的确定与控制</w:t>
      </w:r>
    </w:p>
    <w:p w14:paraId="7F90833F">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17.9.1本工程确定成交供应商后，工程总造价在磋商范围内包定，除经批准的设计变更、经济签证外，其它工程造价增减均不予签证计价。</w:t>
      </w:r>
    </w:p>
    <w:p w14:paraId="09E4499F">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30F9715">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17.9.3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0BA0D9EC">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17.9.4供应商在规定时间内未对工程量清单提出疑问的，成交后，采购人不再对工程量清单的项目和数量进行校对调整。供应商必须按其报价完成竞争性磋商文件规定范围内的设计图纸规定的所有工程项目。</w:t>
      </w:r>
    </w:p>
    <w:p w14:paraId="24E73CF9">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17.10成交供应商在工程量清单报价书中所报的综合单价一律不予调整。</w:t>
      </w:r>
    </w:p>
    <w:p w14:paraId="105C594A">
      <w:pPr>
        <w:spacing w:line="360" w:lineRule="auto"/>
        <w:ind w:firstLine="435"/>
        <w:rPr>
          <w:rFonts w:cs="@仿宋_GB2312" w:asciiTheme="minorEastAsia" w:hAnsiTheme="minorEastAsia"/>
          <w:sz w:val="24"/>
          <w:highlight w:val="none"/>
        </w:rPr>
      </w:pPr>
      <w:r>
        <w:rPr>
          <w:rFonts w:hint="eastAsia" w:cs="@仿宋_GB2312" w:asciiTheme="minorEastAsia" w:hAnsiTheme="minorEastAsia"/>
          <w:sz w:val="24"/>
          <w:highlight w:val="none"/>
        </w:rPr>
        <w:t>17.11本工程不接受恶意不平衡报价，不保证最低价成交。</w:t>
      </w:r>
    </w:p>
    <w:p w14:paraId="7FA1456B">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18</w:t>
      </w:r>
      <w:r>
        <w:rPr>
          <w:rFonts w:asciiTheme="minorEastAsia" w:hAnsiTheme="minorEastAsia"/>
          <w:b/>
          <w:sz w:val="24"/>
          <w:highlight w:val="none"/>
        </w:rPr>
        <w:t>.</w:t>
      </w:r>
      <w:r>
        <w:rPr>
          <w:rFonts w:hint="eastAsia" w:asciiTheme="minorEastAsia" w:hAnsiTheme="minorEastAsia"/>
          <w:b/>
          <w:sz w:val="24"/>
          <w:highlight w:val="none"/>
        </w:rPr>
        <w:t>成交候选供应商的推荐原则及标准</w:t>
      </w:r>
    </w:p>
    <w:p w14:paraId="2933B670">
      <w:pPr>
        <w:spacing w:line="360" w:lineRule="auto"/>
        <w:ind w:firstLine="435"/>
        <w:rPr>
          <w:highlight w:val="none"/>
        </w:rPr>
      </w:pPr>
      <w:r>
        <w:rPr>
          <w:rFonts w:hint="eastAsia" w:asciiTheme="minorEastAsia" w:hAnsiTheme="minorEastAsia"/>
          <w:sz w:val="24"/>
          <w:highlight w:val="none"/>
        </w:rPr>
        <w:t>18</w:t>
      </w:r>
      <w:r>
        <w:rPr>
          <w:rFonts w:asciiTheme="minorEastAsia" w:hAnsiTheme="minorEastAsia"/>
          <w:sz w:val="24"/>
          <w:highlight w:val="none"/>
        </w:rPr>
        <w:t>.1</w:t>
      </w:r>
      <w:r>
        <w:rPr>
          <w:rFonts w:hint="eastAsia" w:asciiTheme="minorEastAsia" w:hAnsiTheme="minorEastAsia"/>
          <w:sz w:val="24"/>
          <w:highlight w:val="none"/>
        </w:rPr>
        <w:t>磋商小组</w:t>
      </w:r>
      <w:r>
        <w:rPr>
          <w:rFonts w:asciiTheme="minorEastAsia" w:hAnsiTheme="minorEastAsia"/>
          <w:sz w:val="24"/>
          <w:highlight w:val="none"/>
        </w:rPr>
        <w:t>依据本项目</w:t>
      </w:r>
      <w:r>
        <w:rPr>
          <w:rFonts w:hint="eastAsia" w:asciiTheme="minorEastAsia" w:hAnsiTheme="minorEastAsia"/>
          <w:sz w:val="24"/>
          <w:highlight w:val="none"/>
        </w:rPr>
        <w:t>磋商</w:t>
      </w:r>
      <w:r>
        <w:rPr>
          <w:rFonts w:asciiTheme="minorEastAsia" w:hAnsiTheme="minorEastAsia"/>
          <w:sz w:val="24"/>
          <w:highlight w:val="none"/>
        </w:rPr>
        <w:t>文件所约定的</w:t>
      </w:r>
      <w:r>
        <w:rPr>
          <w:rFonts w:hint="eastAsia" w:asciiTheme="minorEastAsia" w:hAnsiTheme="minorEastAsia"/>
          <w:sz w:val="24"/>
          <w:highlight w:val="none"/>
        </w:rPr>
        <w:t>评审</w:t>
      </w:r>
      <w:r>
        <w:rPr>
          <w:rFonts w:asciiTheme="minorEastAsia" w:hAnsiTheme="minorEastAsia"/>
          <w:sz w:val="24"/>
          <w:highlight w:val="none"/>
        </w:rPr>
        <w:t>方法</w:t>
      </w:r>
      <w:r>
        <w:rPr>
          <w:rFonts w:hint="eastAsia" w:asciiTheme="minorEastAsia" w:hAnsiTheme="minorEastAsia"/>
          <w:sz w:val="24"/>
          <w:highlight w:val="none"/>
        </w:rPr>
        <w:t>和标准</w:t>
      </w:r>
      <w:r>
        <w:rPr>
          <w:rFonts w:asciiTheme="minorEastAsia" w:hAnsiTheme="minorEastAsia"/>
          <w:sz w:val="24"/>
          <w:highlight w:val="none"/>
        </w:rPr>
        <w:t>，</w:t>
      </w:r>
      <w:r>
        <w:rPr>
          <w:rFonts w:hint="eastAsia" w:asciiTheme="minorEastAsia" w:hAnsiTheme="minorEastAsia"/>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DA43C9E">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19</w:t>
      </w:r>
      <w:r>
        <w:rPr>
          <w:rFonts w:asciiTheme="minorEastAsia" w:hAnsiTheme="minorEastAsia"/>
          <w:b/>
          <w:sz w:val="24"/>
          <w:highlight w:val="none"/>
        </w:rPr>
        <w:t>.</w:t>
      </w:r>
      <w:r>
        <w:rPr>
          <w:rFonts w:hint="eastAsia" w:asciiTheme="minorEastAsia" w:hAnsiTheme="minorEastAsia"/>
          <w:b/>
          <w:sz w:val="24"/>
          <w:highlight w:val="none"/>
        </w:rPr>
        <w:t>确定成交候选供应商和成交供应商</w:t>
      </w:r>
    </w:p>
    <w:p w14:paraId="1C4A6666">
      <w:pPr>
        <w:spacing w:line="360" w:lineRule="auto"/>
        <w:ind w:firstLine="470" w:firstLineChars="196"/>
        <w:rPr>
          <w:sz w:val="24"/>
          <w:highlight w:val="none"/>
        </w:rPr>
      </w:pPr>
      <w:r>
        <w:rPr>
          <w:rFonts w:hint="eastAsia"/>
          <w:sz w:val="24"/>
          <w:highlight w:val="none"/>
        </w:rPr>
        <w:t>19.1磋商小组根据综合评分的结果和</w:t>
      </w:r>
      <w:r>
        <w:rPr>
          <w:rFonts w:hint="eastAsia" w:asciiTheme="minorEastAsia" w:hAnsiTheme="minorEastAsia"/>
          <w:sz w:val="24"/>
          <w:highlight w:val="none"/>
          <w:u w:val="single"/>
        </w:rPr>
        <w:t>供应商</w:t>
      </w:r>
      <w:r>
        <w:rPr>
          <w:rFonts w:asciiTheme="minorEastAsia" w:hAnsiTheme="minorEastAsia"/>
          <w:sz w:val="24"/>
          <w:highlight w:val="none"/>
          <w:u w:val="single"/>
        </w:rPr>
        <w:t>须知前附表</w:t>
      </w:r>
      <w:r>
        <w:rPr>
          <w:rFonts w:asciiTheme="minorEastAsia" w:hAnsiTheme="minorEastAsia"/>
          <w:sz w:val="24"/>
          <w:highlight w:val="none"/>
        </w:rPr>
        <w:t>中规定</w:t>
      </w:r>
      <w:r>
        <w:rPr>
          <w:rFonts w:hint="eastAsia"/>
          <w:sz w:val="24"/>
          <w:highlight w:val="none"/>
        </w:rPr>
        <w:t>确定成交候选供应商，并标明排列顺序。</w:t>
      </w:r>
      <w:r>
        <w:rPr>
          <w:rFonts w:hint="eastAsia" w:asciiTheme="minorEastAsia" w:hAnsiTheme="minorEastAsia"/>
          <w:sz w:val="24"/>
          <w:highlight w:val="none"/>
        </w:rPr>
        <w:t>按</w:t>
      </w:r>
      <w:r>
        <w:rPr>
          <w:rFonts w:hint="eastAsia" w:asciiTheme="minorEastAsia" w:hAnsiTheme="minorEastAsia"/>
          <w:sz w:val="24"/>
          <w:highlight w:val="none"/>
          <w:u w:val="single"/>
        </w:rPr>
        <w:t>供应商</w:t>
      </w:r>
      <w:r>
        <w:rPr>
          <w:rFonts w:asciiTheme="minorEastAsia" w:hAnsiTheme="minorEastAsia"/>
          <w:sz w:val="24"/>
          <w:highlight w:val="none"/>
          <w:u w:val="single"/>
        </w:rPr>
        <w:t>须知前附表</w:t>
      </w:r>
      <w:r>
        <w:rPr>
          <w:rFonts w:hint="eastAsia" w:asciiTheme="minorEastAsia" w:hAnsiTheme="minorEastAsia"/>
          <w:sz w:val="24"/>
          <w:highlight w:val="none"/>
        </w:rPr>
        <w:t>中规定，</w:t>
      </w:r>
      <w:r>
        <w:rPr>
          <w:rFonts w:asciiTheme="minorEastAsia" w:hAnsiTheme="minorEastAsia"/>
          <w:sz w:val="24"/>
          <w:highlight w:val="none"/>
        </w:rPr>
        <w:t>由</w:t>
      </w:r>
      <w:r>
        <w:rPr>
          <w:rFonts w:hint="eastAsia" w:asciiTheme="minorEastAsia" w:hAnsiTheme="minorEastAsia"/>
          <w:sz w:val="24"/>
          <w:highlight w:val="none"/>
        </w:rPr>
        <w:t>磋商小组</w:t>
      </w:r>
      <w:r>
        <w:rPr>
          <w:rFonts w:asciiTheme="minorEastAsia" w:hAnsiTheme="minorEastAsia"/>
          <w:sz w:val="24"/>
          <w:highlight w:val="none"/>
        </w:rPr>
        <w:t>或采购人确定</w:t>
      </w:r>
      <w:r>
        <w:rPr>
          <w:rFonts w:hint="eastAsia" w:asciiTheme="minorEastAsia" w:hAnsiTheme="minorEastAsia"/>
          <w:sz w:val="24"/>
          <w:highlight w:val="none"/>
        </w:rPr>
        <w:t>成交供应商</w:t>
      </w:r>
      <w:r>
        <w:rPr>
          <w:rFonts w:asciiTheme="minorEastAsia" w:hAnsiTheme="minorEastAsia"/>
          <w:sz w:val="24"/>
          <w:highlight w:val="none"/>
        </w:rPr>
        <w:t>。</w:t>
      </w:r>
    </w:p>
    <w:p w14:paraId="0FBE2B77">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20</w:t>
      </w:r>
      <w:r>
        <w:rPr>
          <w:rFonts w:asciiTheme="minorEastAsia" w:hAnsiTheme="minorEastAsia"/>
          <w:b/>
          <w:sz w:val="24"/>
          <w:highlight w:val="none"/>
        </w:rPr>
        <w:t>.编写评审报告</w:t>
      </w:r>
    </w:p>
    <w:p w14:paraId="60A1A74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5A14C0F">
      <w:pPr>
        <w:spacing w:line="360" w:lineRule="auto"/>
        <w:ind w:firstLine="437"/>
        <w:outlineLvl w:val="2"/>
        <w:rPr>
          <w:rFonts w:asciiTheme="minorEastAsia" w:hAnsiTheme="minorEastAsia"/>
          <w:b/>
          <w:sz w:val="24"/>
          <w:highlight w:val="none"/>
        </w:rPr>
      </w:pPr>
      <w:r>
        <w:rPr>
          <w:rFonts w:hint="eastAsia" w:asciiTheme="minorEastAsia" w:hAnsiTheme="minorEastAsia"/>
          <w:b/>
          <w:sz w:val="24"/>
          <w:highlight w:val="none"/>
        </w:rPr>
        <w:t>21</w:t>
      </w:r>
      <w:r>
        <w:rPr>
          <w:rFonts w:asciiTheme="minorEastAsia" w:hAnsiTheme="minorEastAsia"/>
          <w:b/>
          <w:sz w:val="24"/>
          <w:highlight w:val="none"/>
        </w:rPr>
        <w:t>.</w:t>
      </w:r>
      <w:r>
        <w:rPr>
          <w:rFonts w:hint="eastAsia" w:asciiTheme="minorEastAsia" w:hAnsiTheme="minorEastAsia"/>
          <w:b/>
          <w:sz w:val="24"/>
          <w:highlight w:val="none"/>
        </w:rPr>
        <w:t>保密要求</w:t>
      </w:r>
    </w:p>
    <w:p w14:paraId="2EC7C352">
      <w:pPr>
        <w:spacing w:line="360" w:lineRule="auto"/>
        <w:ind w:firstLine="435"/>
        <w:rPr>
          <w:sz w:val="24"/>
          <w:highlight w:val="none"/>
        </w:rPr>
      </w:pPr>
      <w:r>
        <w:rPr>
          <w:sz w:val="24"/>
          <w:highlight w:val="none"/>
        </w:rPr>
        <w:t>2</w:t>
      </w:r>
      <w:r>
        <w:rPr>
          <w:rFonts w:hint="eastAsia"/>
          <w:sz w:val="24"/>
          <w:highlight w:val="none"/>
        </w:rPr>
        <w:t>1.1评审将在严格保密的情况下进行。</w:t>
      </w:r>
    </w:p>
    <w:p w14:paraId="01957835">
      <w:pPr>
        <w:spacing w:line="360" w:lineRule="auto"/>
        <w:ind w:firstLine="435"/>
        <w:rPr>
          <w:sz w:val="24"/>
          <w:highlight w:val="none"/>
        </w:rPr>
      </w:pPr>
      <w:r>
        <w:rPr>
          <w:sz w:val="24"/>
          <w:highlight w:val="none"/>
        </w:rPr>
        <w:t>2</w:t>
      </w:r>
      <w:r>
        <w:rPr>
          <w:rFonts w:hint="eastAsia"/>
          <w:sz w:val="24"/>
          <w:highlight w:val="none"/>
        </w:rPr>
        <w:t>1.2有关人员</w:t>
      </w:r>
      <w:r>
        <w:rPr>
          <w:sz w:val="24"/>
          <w:highlight w:val="none"/>
        </w:rPr>
        <w:t>应当</w:t>
      </w:r>
      <w:r>
        <w:rPr>
          <w:rFonts w:hint="eastAsia"/>
          <w:sz w:val="24"/>
          <w:highlight w:val="none"/>
        </w:rPr>
        <w:t>遵</w:t>
      </w:r>
      <w:r>
        <w:rPr>
          <w:sz w:val="24"/>
          <w:highlight w:val="none"/>
        </w:rPr>
        <w:t>守</w:t>
      </w:r>
      <w:r>
        <w:rPr>
          <w:rFonts w:hint="eastAsia"/>
          <w:sz w:val="24"/>
          <w:highlight w:val="none"/>
        </w:rPr>
        <w:t>评审</w:t>
      </w:r>
      <w:r>
        <w:rPr>
          <w:sz w:val="24"/>
          <w:highlight w:val="none"/>
        </w:rPr>
        <w:t>工作纪律，不得</w:t>
      </w:r>
      <w:r>
        <w:rPr>
          <w:rFonts w:hint="eastAsia"/>
          <w:sz w:val="24"/>
          <w:highlight w:val="none"/>
        </w:rPr>
        <w:t>泄露评审文件</w:t>
      </w:r>
      <w:r>
        <w:rPr>
          <w:sz w:val="24"/>
          <w:highlight w:val="none"/>
        </w:rPr>
        <w:t>、</w:t>
      </w:r>
      <w:r>
        <w:rPr>
          <w:rFonts w:hint="eastAsia"/>
          <w:sz w:val="24"/>
          <w:highlight w:val="none"/>
        </w:rPr>
        <w:t>评审</w:t>
      </w:r>
      <w:r>
        <w:rPr>
          <w:sz w:val="24"/>
          <w:highlight w:val="none"/>
        </w:rPr>
        <w:t>情况和</w:t>
      </w:r>
      <w:r>
        <w:rPr>
          <w:rFonts w:hint="eastAsia"/>
          <w:sz w:val="24"/>
          <w:highlight w:val="none"/>
        </w:rPr>
        <w:t>评审</w:t>
      </w:r>
      <w:r>
        <w:rPr>
          <w:sz w:val="24"/>
          <w:highlight w:val="none"/>
        </w:rPr>
        <w:t>中获悉的</w:t>
      </w:r>
      <w:r>
        <w:rPr>
          <w:rFonts w:hint="eastAsia"/>
          <w:sz w:val="24"/>
          <w:highlight w:val="none"/>
        </w:rPr>
        <w:t>国家秘密、</w:t>
      </w:r>
      <w:r>
        <w:rPr>
          <w:sz w:val="24"/>
          <w:highlight w:val="none"/>
        </w:rPr>
        <w:t>商业秘密。</w:t>
      </w:r>
    </w:p>
    <w:p w14:paraId="760F4E16">
      <w:pPr>
        <w:spacing w:line="360" w:lineRule="auto"/>
        <w:ind w:firstLine="437"/>
        <w:outlineLvl w:val="2"/>
        <w:rPr>
          <w:rFonts w:asciiTheme="minorEastAsia" w:hAnsiTheme="minorEastAsia"/>
          <w:b/>
          <w:sz w:val="24"/>
          <w:highlight w:val="none"/>
        </w:rPr>
      </w:pPr>
      <w:r>
        <w:rPr>
          <w:rFonts w:asciiTheme="minorEastAsia" w:hAnsiTheme="minorEastAsia"/>
          <w:b/>
          <w:sz w:val="24"/>
          <w:highlight w:val="none"/>
        </w:rPr>
        <w:t>2</w:t>
      </w:r>
      <w:r>
        <w:rPr>
          <w:rFonts w:hint="eastAsia" w:asciiTheme="minorEastAsia" w:hAnsiTheme="minorEastAsia"/>
          <w:b/>
          <w:sz w:val="24"/>
          <w:highlight w:val="none"/>
        </w:rPr>
        <w:t>2</w:t>
      </w:r>
      <w:r>
        <w:rPr>
          <w:rFonts w:asciiTheme="minorEastAsia" w:hAnsiTheme="minorEastAsia"/>
          <w:b/>
          <w:sz w:val="24"/>
          <w:highlight w:val="none"/>
        </w:rPr>
        <w:t>.成交结果公告</w:t>
      </w:r>
    </w:p>
    <w:p w14:paraId="499BDEF7">
      <w:pPr>
        <w:spacing w:line="360" w:lineRule="auto"/>
        <w:ind w:firstLine="435"/>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2</w:t>
      </w:r>
      <w:r>
        <w:rPr>
          <w:rFonts w:asciiTheme="minorEastAsia" w:hAnsiTheme="minorEastAsia"/>
          <w:sz w:val="24"/>
          <w:highlight w:val="none"/>
        </w:rPr>
        <w:t>.1为体现“公开、公平、公正”的原则，磋商结束后，</w:t>
      </w:r>
      <w:r>
        <w:rPr>
          <w:rFonts w:hint="eastAsia" w:asciiTheme="minorEastAsia" w:hAnsiTheme="minorEastAsia"/>
          <w:sz w:val="24"/>
          <w:highlight w:val="none"/>
        </w:rPr>
        <w:t>采购代理机构将</w:t>
      </w:r>
      <w:r>
        <w:rPr>
          <w:rFonts w:hint="eastAsia"/>
          <w:sz w:val="24"/>
          <w:szCs w:val="18"/>
          <w:highlight w:val="none"/>
        </w:rPr>
        <w:t>在安徽省政府采购网（www.ccgp-anhui.gov.cn）上</w:t>
      </w:r>
      <w:r>
        <w:rPr>
          <w:rFonts w:asciiTheme="minorEastAsia" w:hAnsiTheme="minorEastAsia"/>
          <w:sz w:val="24"/>
          <w:highlight w:val="none"/>
        </w:rPr>
        <w:t>发布成交结果公告。</w:t>
      </w:r>
    </w:p>
    <w:p w14:paraId="417B6540">
      <w:pPr>
        <w:spacing w:line="360" w:lineRule="auto"/>
        <w:ind w:firstLine="435"/>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2</w:t>
      </w:r>
      <w:r>
        <w:rPr>
          <w:rFonts w:asciiTheme="minorEastAsia" w:hAnsiTheme="minorEastAsia"/>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sz w:val="24"/>
          <w:highlight w:val="none"/>
          <w:u w:val="single"/>
        </w:rPr>
        <w:t>供应商须知前附表</w:t>
      </w:r>
      <w:r>
        <w:rPr>
          <w:rFonts w:asciiTheme="minorEastAsia" w:hAnsiTheme="minorEastAsia"/>
          <w:sz w:val="24"/>
          <w:highlight w:val="none"/>
        </w:rPr>
        <w:t>中约定进行公告的内容。</w:t>
      </w:r>
    </w:p>
    <w:p w14:paraId="2AF43017">
      <w:pPr>
        <w:spacing w:line="360" w:lineRule="auto"/>
        <w:ind w:firstLine="437"/>
        <w:outlineLvl w:val="2"/>
        <w:rPr>
          <w:b/>
          <w:sz w:val="24"/>
          <w:highlight w:val="none"/>
        </w:rPr>
      </w:pPr>
      <w:r>
        <w:rPr>
          <w:rFonts w:hint="eastAsia"/>
          <w:b/>
          <w:sz w:val="24"/>
          <w:highlight w:val="none"/>
        </w:rPr>
        <w:t>23</w:t>
      </w:r>
      <w:r>
        <w:rPr>
          <w:b/>
          <w:sz w:val="24"/>
          <w:highlight w:val="none"/>
        </w:rPr>
        <w:t>.成交通知书</w:t>
      </w:r>
    </w:p>
    <w:p w14:paraId="7DB86753">
      <w:pPr>
        <w:spacing w:line="360" w:lineRule="auto"/>
        <w:ind w:firstLine="435"/>
        <w:rPr>
          <w:sz w:val="24"/>
          <w:highlight w:val="none"/>
        </w:rPr>
      </w:pPr>
      <w:r>
        <w:rPr>
          <w:sz w:val="24"/>
          <w:highlight w:val="none"/>
        </w:rPr>
        <w:t>2</w:t>
      </w:r>
      <w:r>
        <w:rPr>
          <w:rFonts w:hint="eastAsia"/>
          <w:sz w:val="24"/>
          <w:highlight w:val="none"/>
        </w:rPr>
        <w:t>3</w:t>
      </w:r>
      <w:r>
        <w:rPr>
          <w:sz w:val="24"/>
          <w:highlight w:val="none"/>
        </w:rPr>
        <w:t>.1采购代理机构发布成交结果公告的同时</w:t>
      </w:r>
      <w:r>
        <w:rPr>
          <w:rFonts w:asciiTheme="minorEastAsia" w:hAnsiTheme="minorEastAsia"/>
          <w:sz w:val="24"/>
          <w:highlight w:val="none"/>
        </w:rPr>
        <w:t>以</w:t>
      </w:r>
      <w:r>
        <w:rPr>
          <w:rFonts w:hint="eastAsia" w:asciiTheme="minorEastAsia" w:hAnsiTheme="minorEastAsia"/>
          <w:sz w:val="24"/>
          <w:highlight w:val="none"/>
          <w:u w:val="single"/>
        </w:rPr>
        <w:t>供应商须知前附表</w:t>
      </w:r>
      <w:r>
        <w:rPr>
          <w:rFonts w:hint="eastAsia" w:asciiTheme="minorEastAsia" w:hAnsiTheme="minorEastAsia"/>
          <w:sz w:val="24"/>
          <w:highlight w:val="none"/>
        </w:rPr>
        <w:t>规定的</w:t>
      </w:r>
      <w:r>
        <w:rPr>
          <w:rFonts w:asciiTheme="minorEastAsia" w:hAnsiTheme="minorEastAsia"/>
          <w:sz w:val="24"/>
          <w:highlight w:val="none"/>
        </w:rPr>
        <w:t>形式</w:t>
      </w:r>
      <w:r>
        <w:rPr>
          <w:sz w:val="24"/>
          <w:highlight w:val="none"/>
        </w:rPr>
        <w:t>向成交供应商发出成交通知书。</w:t>
      </w:r>
    </w:p>
    <w:p w14:paraId="1E12FB6C">
      <w:pPr>
        <w:spacing w:line="360" w:lineRule="auto"/>
        <w:ind w:firstLine="435"/>
        <w:rPr>
          <w:sz w:val="24"/>
          <w:highlight w:val="none"/>
        </w:rPr>
      </w:pPr>
      <w:r>
        <w:rPr>
          <w:sz w:val="24"/>
          <w:highlight w:val="none"/>
        </w:rPr>
        <w:t>2</w:t>
      </w:r>
      <w:r>
        <w:rPr>
          <w:rFonts w:hint="eastAsia"/>
          <w:sz w:val="24"/>
          <w:highlight w:val="none"/>
        </w:rPr>
        <w:t>3</w:t>
      </w:r>
      <w:r>
        <w:rPr>
          <w:sz w:val="24"/>
          <w:highlight w:val="none"/>
        </w:rPr>
        <w:t>.2成交通知书对采购人和成交供应商具有同等法律效力。成交通知书发出以后，采购人改变成交结果或者成交供应商放弃成交资格，应当承担相应的法律责任。</w:t>
      </w:r>
    </w:p>
    <w:p w14:paraId="348575AE">
      <w:pPr>
        <w:spacing w:line="360" w:lineRule="auto"/>
        <w:ind w:firstLine="435"/>
        <w:rPr>
          <w:sz w:val="24"/>
          <w:highlight w:val="none"/>
        </w:rPr>
      </w:pPr>
      <w:r>
        <w:rPr>
          <w:sz w:val="24"/>
          <w:highlight w:val="none"/>
        </w:rPr>
        <w:t>2</w:t>
      </w:r>
      <w:r>
        <w:rPr>
          <w:rFonts w:hint="eastAsia"/>
          <w:sz w:val="24"/>
          <w:highlight w:val="none"/>
        </w:rPr>
        <w:t>3</w:t>
      </w:r>
      <w:r>
        <w:rPr>
          <w:sz w:val="24"/>
          <w:highlight w:val="none"/>
        </w:rPr>
        <w:t>.3成交通知书是合同的组成部分。</w:t>
      </w:r>
    </w:p>
    <w:p w14:paraId="1D4A4FB5">
      <w:pPr>
        <w:spacing w:line="360" w:lineRule="auto"/>
        <w:ind w:firstLine="437"/>
        <w:outlineLvl w:val="2"/>
        <w:rPr>
          <w:b/>
          <w:sz w:val="24"/>
          <w:highlight w:val="none"/>
        </w:rPr>
      </w:pPr>
      <w:r>
        <w:rPr>
          <w:rFonts w:hint="eastAsia"/>
          <w:b/>
          <w:sz w:val="24"/>
          <w:highlight w:val="none"/>
        </w:rPr>
        <w:t>24</w:t>
      </w:r>
      <w:r>
        <w:rPr>
          <w:b/>
          <w:sz w:val="24"/>
          <w:highlight w:val="none"/>
        </w:rPr>
        <w:t>.告知</w:t>
      </w:r>
      <w:r>
        <w:rPr>
          <w:rFonts w:hint="eastAsia" w:asciiTheme="minorEastAsia" w:hAnsiTheme="minorEastAsia"/>
          <w:b/>
          <w:sz w:val="24"/>
          <w:highlight w:val="none"/>
        </w:rPr>
        <w:t>磋商</w:t>
      </w:r>
      <w:r>
        <w:rPr>
          <w:b/>
          <w:sz w:val="24"/>
          <w:highlight w:val="none"/>
        </w:rPr>
        <w:t>结果</w:t>
      </w:r>
    </w:p>
    <w:p w14:paraId="47B9F3F8">
      <w:pPr>
        <w:spacing w:line="360" w:lineRule="auto"/>
        <w:ind w:firstLine="435"/>
        <w:rPr>
          <w:sz w:val="24"/>
          <w:highlight w:val="none"/>
        </w:rPr>
      </w:pPr>
      <w:r>
        <w:rPr>
          <w:rFonts w:hint="eastAsia"/>
          <w:sz w:val="24"/>
          <w:highlight w:val="none"/>
        </w:rPr>
        <w:t>24</w:t>
      </w:r>
      <w:r>
        <w:rPr>
          <w:sz w:val="24"/>
          <w:highlight w:val="none"/>
        </w:rPr>
        <w:t>.1在公告</w:t>
      </w:r>
      <w:r>
        <w:rPr>
          <w:rFonts w:hint="eastAsia"/>
          <w:sz w:val="24"/>
          <w:highlight w:val="none"/>
        </w:rPr>
        <w:t>成交</w:t>
      </w:r>
      <w:r>
        <w:rPr>
          <w:sz w:val="24"/>
          <w:highlight w:val="none"/>
        </w:rPr>
        <w:t>结果的同时，采购代理机构同时以</w:t>
      </w:r>
      <w:r>
        <w:rPr>
          <w:rFonts w:hint="eastAsia"/>
          <w:sz w:val="24"/>
          <w:highlight w:val="none"/>
          <w:u w:val="single"/>
        </w:rPr>
        <w:t>供应商</w:t>
      </w:r>
      <w:r>
        <w:rPr>
          <w:sz w:val="24"/>
          <w:highlight w:val="none"/>
          <w:u w:val="single"/>
        </w:rPr>
        <w:t>须知前附表</w:t>
      </w:r>
      <w:r>
        <w:rPr>
          <w:sz w:val="24"/>
          <w:highlight w:val="none"/>
        </w:rPr>
        <w:t>规定的形式告知未</w:t>
      </w:r>
      <w:r>
        <w:rPr>
          <w:rFonts w:hint="eastAsia"/>
          <w:sz w:val="24"/>
          <w:highlight w:val="none"/>
        </w:rPr>
        <w:t>成交供应商</w:t>
      </w:r>
      <w:r>
        <w:rPr>
          <w:sz w:val="24"/>
          <w:highlight w:val="none"/>
        </w:rPr>
        <w:t>本人的评审得分和排序。</w:t>
      </w:r>
    </w:p>
    <w:p w14:paraId="2A998574">
      <w:pPr>
        <w:spacing w:line="360" w:lineRule="auto"/>
        <w:ind w:firstLine="480" w:firstLineChars="200"/>
        <w:rPr>
          <w:sz w:val="24"/>
          <w:highlight w:val="none"/>
        </w:rPr>
      </w:pPr>
      <w:r>
        <w:rPr>
          <w:sz w:val="24"/>
          <w:highlight w:val="none"/>
        </w:rPr>
        <w:t>2</w:t>
      </w:r>
      <w:r>
        <w:rPr>
          <w:rFonts w:hint="eastAsia"/>
          <w:sz w:val="24"/>
          <w:highlight w:val="none"/>
        </w:rPr>
        <w:t>4</w:t>
      </w:r>
      <w:r>
        <w:rPr>
          <w:sz w:val="24"/>
          <w:highlight w:val="none"/>
        </w:rPr>
        <w:t>.</w:t>
      </w:r>
      <w:r>
        <w:rPr>
          <w:rFonts w:hint="eastAsia"/>
          <w:sz w:val="24"/>
          <w:highlight w:val="none"/>
        </w:rPr>
        <w:t>2</w:t>
      </w:r>
      <w:r>
        <w:rPr>
          <w:sz w:val="24"/>
          <w:highlight w:val="none"/>
        </w:rPr>
        <w:t>采购代理机构对未成交的供应商不做未成交原因的解释。</w:t>
      </w:r>
    </w:p>
    <w:p w14:paraId="19CF11F5">
      <w:pPr>
        <w:spacing w:line="360" w:lineRule="auto"/>
        <w:ind w:firstLine="437"/>
        <w:outlineLvl w:val="2"/>
        <w:rPr>
          <w:b/>
          <w:sz w:val="24"/>
          <w:highlight w:val="none"/>
        </w:rPr>
      </w:pPr>
      <w:r>
        <w:rPr>
          <w:rFonts w:hint="eastAsia"/>
          <w:b/>
          <w:sz w:val="24"/>
          <w:highlight w:val="none"/>
        </w:rPr>
        <w:t>25</w:t>
      </w:r>
      <w:r>
        <w:rPr>
          <w:b/>
          <w:sz w:val="24"/>
          <w:highlight w:val="none"/>
        </w:rPr>
        <w:t>.履约</w:t>
      </w:r>
      <w:r>
        <w:rPr>
          <w:rFonts w:asciiTheme="minorEastAsia" w:hAnsiTheme="minorEastAsia"/>
          <w:b/>
          <w:sz w:val="24"/>
          <w:highlight w:val="none"/>
        </w:rPr>
        <w:t>保证金</w:t>
      </w:r>
    </w:p>
    <w:p w14:paraId="4369B388">
      <w:pPr>
        <w:spacing w:line="360" w:lineRule="auto"/>
        <w:ind w:firstLine="435"/>
        <w:rPr>
          <w:sz w:val="24"/>
          <w:highlight w:val="none"/>
        </w:rPr>
      </w:pPr>
      <w:r>
        <w:rPr>
          <w:rFonts w:hint="eastAsia"/>
          <w:sz w:val="24"/>
          <w:highlight w:val="none"/>
        </w:rPr>
        <w:t>25</w:t>
      </w:r>
      <w:r>
        <w:rPr>
          <w:sz w:val="24"/>
          <w:highlight w:val="none"/>
        </w:rPr>
        <w:t>.1成交供应商应按照</w:t>
      </w:r>
      <w:r>
        <w:rPr>
          <w:sz w:val="24"/>
          <w:highlight w:val="none"/>
          <w:u w:val="single"/>
        </w:rPr>
        <w:t>供应商须知前附表</w:t>
      </w:r>
      <w:r>
        <w:rPr>
          <w:sz w:val="24"/>
          <w:highlight w:val="none"/>
        </w:rPr>
        <w:t>规定</w:t>
      </w:r>
      <w:r>
        <w:rPr>
          <w:rFonts w:hint="eastAsia"/>
          <w:sz w:val="24"/>
          <w:highlight w:val="none"/>
        </w:rPr>
        <w:t>缴纳</w:t>
      </w:r>
      <w:r>
        <w:rPr>
          <w:sz w:val="24"/>
          <w:highlight w:val="none"/>
        </w:rPr>
        <w:t>履约保证金。</w:t>
      </w:r>
    </w:p>
    <w:p w14:paraId="547D7E5A">
      <w:pPr>
        <w:spacing w:line="360" w:lineRule="auto"/>
        <w:ind w:firstLine="435"/>
        <w:rPr>
          <w:sz w:val="24"/>
          <w:highlight w:val="none"/>
        </w:rPr>
      </w:pPr>
      <w:r>
        <w:rPr>
          <w:rFonts w:hint="eastAsia"/>
          <w:sz w:val="24"/>
          <w:highlight w:val="none"/>
        </w:rPr>
        <w:t>25</w:t>
      </w:r>
      <w:r>
        <w:rPr>
          <w:sz w:val="24"/>
          <w:highlight w:val="none"/>
        </w:rPr>
        <w:t>.2如果成交供应商没有按照上述履约保证金的规定执行，将视为放弃成交资格。在此情况下，采购人可确定下一成交候选供应商为成交供应商，也可以重新开展采购活动。</w:t>
      </w:r>
    </w:p>
    <w:p w14:paraId="38FC9191">
      <w:pPr>
        <w:spacing w:line="360" w:lineRule="auto"/>
        <w:ind w:firstLine="437"/>
        <w:outlineLvl w:val="2"/>
        <w:rPr>
          <w:rFonts w:eastAsia="宋体"/>
          <w:b/>
          <w:sz w:val="24"/>
          <w:highlight w:val="none"/>
        </w:rPr>
      </w:pPr>
      <w:r>
        <w:rPr>
          <w:rFonts w:hint="eastAsia"/>
          <w:b/>
          <w:sz w:val="24"/>
          <w:highlight w:val="none"/>
        </w:rPr>
        <w:t>26</w:t>
      </w:r>
      <w:r>
        <w:rPr>
          <w:b/>
          <w:sz w:val="24"/>
          <w:highlight w:val="none"/>
        </w:rPr>
        <w:t>.</w:t>
      </w:r>
      <w:r>
        <w:rPr>
          <w:rFonts w:hint="eastAsia"/>
          <w:b/>
          <w:sz w:val="24"/>
          <w:highlight w:val="none"/>
        </w:rPr>
        <w:t>代理费用</w:t>
      </w:r>
    </w:p>
    <w:p w14:paraId="589896E4">
      <w:pPr>
        <w:spacing w:line="360" w:lineRule="auto"/>
        <w:ind w:firstLine="435"/>
        <w:rPr>
          <w:sz w:val="24"/>
          <w:highlight w:val="none"/>
        </w:rPr>
      </w:pPr>
      <w:r>
        <w:rPr>
          <w:rFonts w:hint="eastAsia"/>
          <w:sz w:val="24"/>
          <w:highlight w:val="none"/>
        </w:rPr>
        <w:t>26</w:t>
      </w:r>
      <w:r>
        <w:rPr>
          <w:sz w:val="24"/>
          <w:highlight w:val="none"/>
        </w:rPr>
        <w:t>.1本项目</w:t>
      </w:r>
      <w:r>
        <w:rPr>
          <w:rFonts w:hint="eastAsia"/>
          <w:sz w:val="24"/>
          <w:highlight w:val="none"/>
        </w:rPr>
        <w:t>代理费用</w:t>
      </w:r>
      <w:r>
        <w:rPr>
          <w:sz w:val="24"/>
          <w:highlight w:val="none"/>
        </w:rPr>
        <w:t>的收取按</w:t>
      </w:r>
      <w:r>
        <w:rPr>
          <w:rFonts w:hint="eastAsia"/>
          <w:sz w:val="24"/>
          <w:highlight w:val="none"/>
          <w:u w:val="single"/>
        </w:rPr>
        <w:t>供应商</w:t>
      </w:r>
      <w:r>
        <w:rPr>
          <w:sz w:val="24"/>
          <w:highlight w:val="none"/>
          <w:u w:val="single"/>
        </w:rPr>
        <w:t>须知前附表</w:t>
      </w:r>
      <w:r>
        <w:rPr>
          <w:sz w:val="24"/>
          <w:highlight w:val="none"/>
        </w:rPr>
        <w:t>的规定执行。</w:t>
      </w:r>
    </w:p>
    <w:p w14:paraId="45FE5D58">
      <w:pPr>
        <w:spacing w:line="360" w:lineRule="auto"/>
        <w:ind w:firstLine="437"/>
        <w:outlineLvl w:val="2"/>
        <w:rPr>
          <w:b/>
          <w:sz w:val="24"/>
          <w:highlight w:val="none"/>
        </w:rPr>
      </w:pPr>
      <w:r>
        <w:rPr>
          <w:rFonts w:hint="eastAsia"/>
          <w:b/>
          <w:sz w:val="24"/>
          <w:highlight w:val="none"/>
        </w:rPr>
        <w:t>27</w:t>
      </w:r>
      <w:r>
        <w:rPr>
          <w:b/>
          <w:sz w:val="24"/>
          <w:highlight w:val="none"/>
        </w:rPr>
        <w:t>.签订</w:t>
      </w:r>
      <w:r>
        <w:rPr>
          <w:rFonts w:asciiTheme="minorEastAsia" w:hAnsiTheme="minorEastAsia"/>
          <w:b/>
          <w:sz w:val="24"/>
          <w:highlight w:val="none"/>
        </w:rPr>
        <w:t>合同</w:t>
      </w:r>
    </w:p>
    <w:p w14:paraId="62696788">
      <w:pPr>
        <w:spacing w:line="360" w:lineRule="auto"/>
        <w:ind w:firstLine="435"/>
        <w:rPr>
          <w:sz w:val="24"/>
          <w:highlight w:val="none"/>
        </w:rPr>
      </w:pPr>
      <w:r>
        <w:rPr>
          <w:rFonts w:hint="eastAsia"/>
          <w:sz w:val="24"/>
          <w:highlight w:val="none"/>
        </w:rPr>
        <w:t>27</w:t>
      </w:r>
      <w:r>
        <w:rPr>
          <w:sz w:val="24"/>
          <w:highlight w:val="none"/>
        </w:rPr>
        <w:t>.1</w:t>
      </w:r>
      <w:r>
        <w:rPr>
          <w:rFonts w:hint="eastAsia" w:ascii="宋体" w:hAnsi="宋体" w:eastAsia="宋体" w:cs="宋体"/>
          <w:sz w:val="24"/>
          <w:highlight w:val="none"/>
        </w:rPr>
        <w:t>采购人与成交供应商应当按照</w:t>
      </w:r>
      <w:r>
        <w:rPr>
          <w:rFonts w:hint="eastAsia" w:ascii="宋体" w:hAnsi="宋体" w:eastAsia="宋体" w:cs="宋体"/>
          <w:sz w:val="24"/>
          <w:highlight w:val="none"/>
          <w:u w:val="single"/>
        </w:rPr>
        <w:t>供应商须知前附表</w:t>
      </w:r>
      <w:r>
        <w:rPr>
          <w:rFonts w:hint="eastAsia" w:ascii="宋体" w:hAnsi="宋体" w:eastAsia="宋体" w:cs="宋体"/>
          <w:sz w:val="24"/>
          <w:highlight w:val="none"/>
        </w:rPr>
        <w:t>规定的时间内完成政府采购合同签订及合同公告。</w:t>
      </w:r>
    </w:p>
    <w:p w14:paraId="349B3363">
      <w:pPr>
        <w:spacing w:line="360" w:lineRule="auto"/>
        <w:ind w:firstLine="435"/>
        <w:rPr>
          <w:sz w:val="24"/>
          <w:highlight w:val="none"/>
        </w:rPr>
      </w:pPr>
      <w:r>
        <w:rPr>
          <w:rFonts w:hint="eastAsia"/>
          <w:sz w:val="24"/>
          <w:highlight w:val="none"/>
        </w:rPr>
        <w:t>27</w:t>
      </w:r>
      <w:r>
        <w:rPr>
          <w:sz w:val="24"/>
          <w:highlight w:val="none"/>
        </w:rPr>
        <w:t>.2磋商文件、成交供应商的响应文件及其澄清文件等，均为签订合同的依据。</w:t>
      </w:r>
    </w:p>
    <w:p w14:paraId="5544BC7D">
      <w:pPr>
        <w:spacing w:line="360" w:lineRule="auto"/>
        <w:ind w:firstLine="470" w:firstLineChars="196"/>
        <w:rPr>
          <w:sz w:val="24"/>
          <w:highlight w:val="none"/>
        </w:rPr>
      </w:pPr>
      <w:r>
        <w:rPr>
          <w:rFonts w:hint="eastAsia"/>
          <w:sz w:val="24"/>
          <w:highlight w:val="none"/>
        </w:rPr>
        <w:t>27</w:t>
      </w:r>
      <w:r>
        <w:rPr>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sz w:val="24"/>
          <w:highlight w:val="none"/>
        </w:rPr>
        <w:t>成交供应商拒绝签订政府采购合同的不得参加对该项目重新开展的采购活动。</w:t>
      </w:r>
    </w:p>
    <w:p w14:paraId="3FC91431">
      <w:pPr>
        <w:spacing w:line="360" w:lineRule="auto"/>
        <w:ind w:firstLine="470" w:firstLineChars="196"/>
        <w:rPr>
          <w:sz w:val="24"/>
          <w:highlight w:val="none"/>
        </w:rPr>
      </w:pPr>
      <w:bookmarkStart w:id="35" w:name="_Hlk60264926"/>
      <w:r>
        <w:rPr>
          <w:rFonts w:hint="eastAsia"/>
          <w:sz w:val="24"/>
          <w:highlight w:val="none"/>
        </w:rPr>
        <w:t>27.4依据《政府采购促进中小企业发展管理办法》（财库〔</w:t>
      </w:r>
      <w:r>
        <w:rPr>
          <w:sz w:val="24"/>
          <w:highlight w:val="none"/>
        </w:rPr>
        <w:t>2020〕46号</w:t>
      </w:r>
      <w:r>
        <w:rPr>
          <w:rFonts w:hint="eastAsia"/>
          <w:sz w:val="24"/>
          <w:highlight w:val="none"/>
        </w:rPr>
        <w:t>）规定享受扶持政策获得政府采购合同的，小微企业不得将合同分包给大中型企业，中型企业不得将合同分包给大型企业。</w:t>
      </w:r>
      <w:bookmarkEnd w:id="35"/>
    </w:p>
    <w:p w14:paraId="69C52DEB">
      <w:pPr>
        <w:spacing w:line="360" w:lineRule="auto"/>
        <w:ind w:firstLine="437"/>
        <w:outlineLvl w:val="2"/>
        <w:rPr>
          <w:b/>
          <w:sz w:val="24"/>
          <w:highlight w:val="none"/>
        </w:rPr>
      </w:pPr>
      <w:r>
        <w:rPr>
          <w:rFonts w:hint="eastAsia"/>
          <w:b/>
          <w:sz w:val="24"/>
          <w:highlight w:val="none"/>
        </w:rPr>
        <w:t>28</w:t>
      </w:r>
      <w:r>
        <w:rPr>
          <w:b/>
          <w:sz w:val="24"/>
          <w:highlight w:val="none"/>
        </w:rPr>
        <w:t>.廉洁</w:t>
      </w:r>
      <w:r>
        <w:rPr>
          <w:rFonts w:asciiTheme="minorEastAsia" w:hAnsiTheme="minorEastAsia"/>
          <w:b/>
          <w:sz w:val="24"/>
          <w:highlight w:val="none"/>
        </w:rPr>
        <w:t>自律</w:t>
      </w:r>
      <w:r>
        <w:rPr>
          <w:b/>
          <w:sz w:val="24"/>
          <w:highlight w:val="none"/>
        </w:rPr>
        <w:t>规定</w:t>
      </w:r>
    </w:p>
    <w:p w14:paraId="11651401">
      <w:pPr>
        <w:spacing w:line="360" w:lineRule="auto"/>
        <w:ind w:firstLine="435"/>
        <w:rPr>
          <w:sz w:val="24"/>
          <w:highlight w:val="none"/>
        </w:rPr>
      </w:pPr>
      <w:r>
        <w:rPr>
          <w:rFonts w:hint="eastAsia"/>
          <w:sz w:val="24"/>
          <w:highlight w:val="none"/>
        </w:rPr>
        <w:t>28</w:t>
      </w:r>
      <w:r>
        <w:rPr>
          <w:sz w:val="24"/>
          <w:highlight w:val="none"/>
        </w:rPr>
        <w:t>.1采购代理机构工作人员不得以不正当手段获取政府采购代理业务，不得与采购人、供应商恶意串通。</w:t>
      </w:r>
    </w:p>
    <w:p w14:paraId="01647F62">
      <w:pPr>
        <w:spacing w:line="360" w:lineRule="auto"/>
        <w:ind w:firstLine="435"/>
        <w:rPr>
          <w:sz w:val="24"/>
          <w:highlight w:val="none"/>
        </w:rPr>
      </w:pPr>
      <w:r>
        <w:rPr>
          <w:rFonts w:hint="eastAsia"/>
          <w:sz w:val="24"/>
          <w:highlight w:val="none"/>
        </w:rPr>
        <w:t>28</w:t>
      </w:r>
      <w:r>
        <w:rPr>
          <w:sz w:val="24"/>
          <w:highlight w:val="none"/>
        </w:rPr>
        <w:t>.2采购代理机构工作人员不得接受采购人或者供应商组织的宴请、旅游、娱乐，不得收受礼品、现金、有价证券等，不得向采购人或者供应商报销应当由个人承担的费用。</w:t>
      </w:r>
    </w:p>
    <w:p w14:paraId="0BDE1050">
      <w:pPr>
        <w:spacing w:line="360" w:lineRule="auto"/>
        <w:ind w:firstLine="437"/>
        <w:outlineLvl w:val="2"/>
        <w:rPr>
          <w:b/>
          <w:sz w:val="24"/>
          <w:highlight w:val="none"/>
        </w:rPr>
      </w:pPr>
      <w:r>
        <w:rPr>
          <w:rFonts w:hint="eastAsia"/>
          <w:b/>
          <w:sz w:val="24"/>
          <w:highlight w:val="none"/>
        </w:rPr>
        <w:t>29</w:t>
      </w:r>
      <w:r>
        <w:rPr>
          <w:b/>
          <w:sz w:val="24"/>
          <w:highlight w:val="none"/>
        </w:rPr>
        <w:t>.质疑的提出与接收</w:t>
      </w:r>
    </w:p>
    <w:p w14:paraId="6E0402C4">
      <w:pPr>
        <w:spacing w:line="360" w:lineRule="auto"/>
        <w:ind w:firstLine="435"/>
        <w:rPr>
          <w:sz w:val="24"/>
          <w:highlight w:val="none"/>
        </w:rPr>
      </w:pPr>
      <w:r>
        <w:rPr>
          <w:rFonts w:hint="eastAsia"/>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465C8E78">
      <w:pPr>
        <w:spacing w:line="360" w:lineRule="auto"/>
        <w:ind w:firstLine="435"/>
        <w:rPr>
          <w:sz w:val="24"/>
          <w:highlight w:val="none"/>
        </w:rPr>
      </w:pPr>
      <w:r>
        <w:rPr>
          <w:rFonts w:hint="eastAsia"/>
          <w:sz w:val="24"/>
          <w:highlight w:val="none"/>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569FCD28">
      <w:pPr>
        <w:spacing w:line="360" w:lineRule="auto"/>
        <w:ind w:firstLine="435"/>
        <w:rPr>
          <w:sz w:val="24"/>
          <w:highlight w:val="none"/>
        </w:rPr>
      </w:pPr>
      <w:r>
        <w:rPr>
          <w:rFonts w:hint="eastAsia"/>
          <w:sz w:val="24"/>
          <w:highlight w:val="none"/>
        </w:rPr>
        <w:t>29.3采购代理机构质疑函接收部门、联系电话和通讯地址，见</w:t>
      </w:r>
      <w:r>
        <w:rPr>
          <w:rFonts w:hint="eastAsia"/>
          <w:sz w:val="24"/>
          <w:highlight w:val="none"/>
          <w:u w:val="single"/>
        </w:rPr>
        <w:t>供应商须知前附表</w:t>
      </w:r>
      <w:r>
        <w:rPr>
          <w:rFonts w:hint="eastAsia"/>
          <w:sz w:val="24"/>
          <w:highlight w:val="none"/>
        </w:rPr>
        <w:t>。</w:t>
      </w:r>
    </w:p>
    <w:p w14:paraId="698D0267">
      <w:pPr>
        <w:spacing w:line="360" w:lineRule="auto"/>
        <w:ind w:firstLine="435"/>
        <w:rPr>
          <w:sz w:val="24"/>
          <w:highlight w:val="none"/>
        </w:rPr>
      </w:pPr>
      <w:r>
        <w:rPr>
          <w:rFonts w:hint="eastAsia" w:ascii="宋体" w:hAnsi="宋体" w:eastAsia="宋体"/>
          <w:sz w:val="24"/>
          <w:highlight w:val="none"/>
        </w:rPr>
        <w:t>注：上述条款中所要求的书面形式包含通过电子交易系统递交方式。</w:t>
      </w:r>
    </w:p>
    <w:p w14:paraId="15C70444">
      <w:pPr>
        <w:spacing w:line="360" w:lineRule="auto"/>
        <w:ind w:firstLine="437"/>
        <w:outlineLvl w:val="2"/>
        <w:rPr>
          <w:b/>
          <w:sz w:val="24"/>
          <w:highlight w:val="none"/>
        </w:rPr>
      </w:pPr>
      <w:r>
        <w:rPr>
          <w:b/>
          <w:sz w:val="24"/>
          <w:highlight w:val="none"/>
        </w:rPr>
        <w:t>3</w:t>
      </w:r>
      <w:r>
        <w:rPr>
          <w:rFonts w:hint="eastAsia"/>
          <w:b/>
          <w:sz w:val="24"/>
          <w:highlight w:val="none"/>
        </w:rPr>
        <w:t>0</w:t>
      </w:r>
      <w:r>
        <w:rPr>
          <w:b/>
          <w:sz w:val="24"/>
          <w:highlight w:val="none"/>
        </w:rPr>
        <w:t>.需要补充的其他内容</w:t>
      </w:r>
    </w:p>
    <w:p w14:paraId="3052F71E">
      <w:pPr>
        <w:spacing w:line="360" w:lineRule="auto"/>
        <w:ind w:firstLine="435"/>
        <w:rPr>
          <w:sz w:val="24"/>
          <w:highlight w:val="none"/>
        </w:rPr>
      </w:pPr>
      <w:r>
        <w:rPr>
          <w:rFonts w:hint="eastAsia"/>
          <w:sz w:val="24"/>
          <w:highlight w:val="none"/>
        </w:rPr>
        <w:t>需要补充的其他内容，见</w:t>
      </w:r>
      <w:r>
        <w:rPr>
          <w:rFonts w:hint="eastAsia"/>
          <w:sz w:val="24"/>
          <w:highlight w:val="none"/>
          <w:u w:val="single"/>
        </w:rPr>
        <w:t>供应商须知前附表</w:t>
      </w:r>
      <w:r>
        <w:rPr>
          <w:rFonts w:hint="eastAsia"/>
          <w:sz w:val="24"/>
          <w:highlight w:val="none"/>
        </w:rPr>
        <w:t>。</w:t>
      </w:r>
    </w:p>
    <w:p w14:paraId="0A220C60">
      <w:pPr>
        <w:widowControl/>
        <w:jc w:val="left"/>
        <w:rPr>
          <w:rFonts w:asciiTheme="minorEastAsia" w:hAnsiTheme="minorEastAsia"/>
          <w:b/>
          <w:sz w:val="28"/>
          <w:highlight w:val="none"/>
        </w:rPr>
      </w:pPr>
      <w:r>
        <w:rPr>
          <w:rFonts w:asciiTheme="minorEastAsia" w:hAnsiTheme="minorEastAsia"/>
          <w:sz w:val="24"/>
          <w:highlight w:val="none"/>
        </w:rPr>
        <w:br w:type="page"/>
      </w:r>
    </w:p>
    <w:p w14:paraId="5B72FB5F">
      <w:pPr>
        <w:numPr>
          <w:ilvl w:val="0"/>
          <w:numId w:val="4"/>
        </w:numPr>
        <w:spacing w:line="360" w:lineRule="auto"/>
        <w:jc w:val="center"/>
        <w:outlineLvl w:val="0"/>
        <w:rPr>
          <w:rFonts w:asciiTheme="minorEastAsia" w:hAnsiTheme="minorEastAsia"/>
          <w:b/>
          <w:sz w:val="28"/>
          <w:highlight w:val="none"/>
        </w:rPr>
      </w:pPr>
      <w:bookmarkStart w:id="36" w:name="_Toc30873"/>
      <w:r>
        <w:rPr>
          <w:rFonts w:hint="eastAsia" w:asciiTheme="minorEastAsia" w:hAnsiTheme="minorEastAsia"/>
          <w:b/>
          <w:sz w:val="28"/>
          <w:highlight w:val="none"/>
        </w:rPr>
        <w:t xml:space="preserve"> 采购需求</w:t>
      </w:r>
      <w:bookmarkEnd w:id="36"/>
    </w:p>
    <w:p w14:paraId="1255A596">
      <w:pPr>
        <w:pStyle w:val="54"/>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一、采购需求前附表</w:t>
      </w:r>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396"/>
        <w:gridCol w:w="6287"/>
      </w:tblGrid>
      <w:tr w14:paraId="0C6C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02117746">
            <w:pPr>
              <w:spacing w:line="360" w:lineRule="auto"/>
              <w:jc w:val="center"/>
              <w:rPr>
                <w:rFonts w:cs="@仿宋_GB2312" w:asciiTheme="minorEastAsia" w:hAnsiTheme="minorEastAsia"/>
                <w:b/>
                <w:sz w:val="24"/>
                <w:szCs w:val="22"/>
                <w:highlight w:val="none"/>
              </w:rPr>
            </w:pPr>
            <w:r>
              <w:rPr>
                <w:rFonts w:hint="eastAsia" w:cs="@仿宋_GB2312" w:asciiTheme="minorEastAsia" w:hAnsiTheme="minorEastAsia"/>
                <w:b/>
                <w:sz w:val="24"/>
                <w:szCs w:val="22"/>
                <w:highlight w:val="none"/>
              </w:rPr>
              <w:t>序号</w:t>
            </w:r>
          </w:p>
        </w:tc>
        <w:tc>
          <w:tcPr>
            <w:tcW w:w="819" w:type="pct"/>
            <w:vAlign w:val="center"/>
          </w:tcPr>
          <w:p w14:paraId="63AD94B8">
            <w:pPr>
              <w:spacing w:line="360" w:lineRule="auto"/>
              <w:ind w:firstLine="435"/>
              <w:jc w:val="center"/>
              <w:rPr>
                <w:rFonts w:cs="@仿宋_GB2312" w:asciiTheme="minorEastAsia" w:hAnsiTheme="minorEastAsia"/>
                <w:b/>
                <w:sz w:val="24"/>
                <w:szCs w:val="22"/>
                <w:highlight w:val="none"/>
              </w:rPr>
            </w:pPr>
            <w:r>
              <w:rPr>
                <w:rFonts w:hint="eastAsia" w:cs="@仿宋_GB2312" w:asciiTheme="minorEastAsia" w:hAnsiTheme="minorEastAsia"/>
                <w:b/>
                <w:sz w:val="24"/>
                <w:szCs w:val="22"/>
                <w:highlight w:val="none"/>
              </w:rPr>
              <w:t>内容</w:t>
            </w:r>
          </w:p>
        </w:tc>
        <w:tc>
          <w:tcPr>
            <w:tcW w:w="3688" w:type="pct"/>
            <w:vAlign w:val="center"/>
          </w:tcPr>
          <w:p w14:paraId="6CB04E7E">
            <w:pPr>
              <w:spacing w:line="360" w:lineRule="auto"/>
              <w:ind w:firstLine="435"/>
              <w:jc w:val="center"/>
              <w:rPr>
                <w:rFonts w:cs="@仿宋_GB2312" w:asciiTheme="minorEastAsia" w:hAnsiTheme="minorEastAsia"/>
                <w:b/>
                <w:sz w:val="24"/>
                <w:szCs w:val="22"/>
                <w:highlight w:val="none"/>
              </w:rPr>
            </w:pPr>
            <w:r>
              <w:rPr>
                <w:rFonts w:hint="eastAsia" w:cs="@仿宋_GB2312" w:asciiTheme="minorEastAsia" w:hAnsiTheme="minorEastAsia"/>
                <w:b/>
                <w:sz w:val="24"/>
                <w:szCs w:val="22"/>
                <w:highlight w:val="none"/>
              </w:rPr>
              <w:t>说明和要求</w:t>
            </w:r>
          </w:p>
        </w:tc>
      </w:tr>
      <w:tr w14:paraId="6EE8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4C59CEE">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1</w:t>
            </w:r>
          </w:p>
        </w:tc>
        <w:tc>
          <w:tcPr>
            <w:tcW w:w="819" w:type="pct"/>
            <w:vAlign w:val="center"/>
          </w:tcPr>
          <w:p w14:paraId="19ED34E0">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人员到岗及履约要求</w:t>
            </w:r>
          </w:p>
        </w:tc>
        <w:tc>
          <w:tcPr>
            <w:tcW w:w="3688" w:type="pct"/>
            <w:vAlign w:val="center"/>
          </w:tcPr>
          <w:p w14:paraId="7D1A538B">
            <w:pPr>
              <w:spacing w:line="360" w:lineRule="auto"/>
              <w:rPr>
                <w:rFonts w:ascii="宋体" w:hAnsi="宋体" w:eastAsia="宋体" w:cs="宋体"/>
                <w:sz w:val="24"/>
                <w:highlight w:val="none"/>
              </w:rPr>
            </w:pPr>
            <w:r>
              <w:rPr>
                <w:rFonts w:hint="eastAsia" w:ascii="宋体" w:hAnsi="宋体" w:eastAsia="宋体" w:cs="宋体"/>
                <w:sz w:val="24"/>
                <w:highlight w:val="none"/>
              </w:rPr>
              <w:t>（1）供应商一旦成交，磋商时所报项目经理等</w:t>
            </w:r>
            <w:r>
              <w:rPr>
                <w:rFonts w:hint="eastAsia" w:asciiTheme="minorEastAsia" w:hAnsiTheme="minorEastAsia" w:cstheme="minorEastAsia"/>
                <w:sz w:val="24"/>
                <w:highlight w:val="none"/>
                <w:shd w:val="clear" w:color="auto" w:fill="FFFFFF"/>
              </w:rPr>
              <w:t>项目管理人员</w:t>
            </w:r>
            <w:r>
              <w:rPr>
                <w:rFonts w:hint="eastAsia" w:ascii="宋体" w:hAnsi="宋体" w:eastAsia="宋体" w:cs="宋体"/>
                <w:sz w:val="24"/>
                <w:highlight w:val="none"/>
              </w:rPr>
              <w:t>及施工机械等在项目施工期间内必须在位，否则采购人有权终止合同。由此造成的损失，成交供应商自行承担并赔偿可能给采购人造成的损失。</w:t>
            </w:r>
          </w:p>
          <w:p w14:paraId="3ACEAA23">
            <w:pPr>
              <w:spacing w:line="360" w:lineRule="auto"/>
              <w:rPr>
                <w:rFonts w:ascii="宋体" w:hAnsi="宋体" w:eastAsia="宋体" w:cs="宋体"/>
                <w:sz w:val="24"/>
                <w:highlight w:val="none"/>
              </w:rPr>
            </w:pPr>
            <w:r>
              <w:rPr>
                <w:rFonts w:hint="eastAsia" w:ascii="宋体" w:hAnsi="宋体" w:eastAsia="宋体" w:cs="宋体"/>
                <w:sz w:val="24"/>
                <w:highlight w:val="none"/>
              </w:rPr>
              <w:t>（2）成交供应商不得擅自更换磋商时所报项目经理等</w:t>
            </w:r>
            <w:r>
              <w:rPr>
                <w:rFonts w:hint="eastAsia" w:asciiTheme="minorEastAsia" w:hAnsiTheme="minorEastAsia" w:cstheme="minorEastAsia"/>
                <w:sz w:val="24"/>
                <w:highlight w:val="none"/>
                <w:shd w:val="clear" w:color="auto" w:fill="FFFFFF"/>
              </w:rPr>
              <w:t>项目管理人员</w:t>
            </w:r>
            <w:r>
              <w:rPr>
                <w:rFonts w:hint="eastAsia" w:ascii="宋体" w:hAnsi="宋体" w:eastAsia="宋体" w:cs="宋体"/>
                <w:sz w:val="24"/>
                <w:highlight w:val="none"/>
              </w:rPr>
              <w:t>。确需更换时，须报采购人同意，更换后人员不得低于成交供应商磋商时所报人员资质和技术水平。采购人如认为有必要，可要求对上述人员中的部分人员作出更好的调整。</w:t>
            </w:r>
          </w:p>
          <w:p w14:paraId="698D0EBA">
            <w:pPr>
              <w:spacing w:line="360" w:lineRule="auto"/>
              <w:rPr>
                <w:rFonts w:cs="@仿宋_GB2312" w:asciiTheme="minorEastAsia" w:hAnsiTheme="minorEastAsia"/>
                <w:sz w:val="24"/>
                <w:szCs w:val="22"/>
                <w:highlight w:val="none"/>
              </w:rPr>
            </w:pPr>
            <w:r>
              <w:rPr>
                <w:rFonts w:hint="eastAsia" w:ascii="宋体" w:hAnsi="宋体" w:eastAsia="宋体" w:cs="宋体"/>
                <w:sz w:val="24"/>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7A75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492" w:type="pct"/>
            <w:vAlign w:val="center"/>
          </w:tcPr>
          <w:p w14:paraId="008F1AC0">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2</w:t>
            </w:r>
          </w:p>
        </w:tc>
        <w:tc>
          <w:tcPr>
            <w:tcW w:w="819" w:type="pct"/>
            <w:vAlign w:val="center"/>
          </w:tcPr>
          <w:p w14:paraId="143E16FD">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材料要求</w:t>
            </w:r>
          </w:p>
        </w:tc>
        <w:tc>
          <w:tcPr>
            <w:tcW w:w="3688" w:type="pct"/>
            <w:vAlign w:val="center"/>
          </w:tcPr>
          <w:p w14:paraId="2FD3DEE3">
            <w:pPr>
              <w:spacing w:line="360" w:lineRule="auto"/>
              <w:rPr>
                <w:rFonts w:cs="@仿宋_GB2312" w:asciiTheme="minorEastAsia" w:hAnsiTheme="minorEastAsia"/>
                <w:sz w:val="24"/>
                <w:szCs w:val="22"/>
                <w:highlight w:val="none"/>
              </w:rPr>
            </w:pPr>
            <w:r>
              <w:rPr>
                <w:rFonts w:cs="@仿宋_GB2312" w:asciiTheme="minorEastAsia" w:hAnsiTheme="minorEastAsia"/>
                <w:sz w:val="24"/>
                <w:szCs w:val="22"/>
                <w:highlight w:val="none"/>
              </w:rPr>
              <w:t>本工程所需的所有材料，成交供应商除应按国家相关规定报相关部门送检合格外（费用自理），还需无条件接受采购人对本工程任何材料、在施工过程中任何时间提出的检验要求，若该材料经权威检验部门鉴定确有质量问题，由此而发生的一切费用和损失由供应商承担。采购人保留施工时根据实际需要调整部分材料的权利。</w:t>
            </w:r>
          </w:p>
        </w:tc>
      </w:tr>
      <w:tr w14:paraId="0F96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456D3F7">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3</w:t>
            </w:r>
          </w:p>
        </w:tc>
        <w:tc>
          <w:tcPr>
            <w:tcW w:w="819" w:type="pct"/>
            <w:vAlign w:val="center"/>
          </w:tcPr>
          <w:p w14:paraId="5EF7426B">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工程施工重点难点</w:t>
            </w:r>
          </w:p>
        </w:tc>
        <w:tc>
          <w:tcPr>
            <w:tcW w:w="3688" w:type="pct"/>
            <w:vAlign w:val="center"/>
          </w:tcPr>
          <w:p w14:paraId="0B4884D5">
            <w:pPr>
              <w:spacing w:line="480" w:lineRule="exact"/>
              <w:rPr>
                <w:bCs/>
                <w:sz w:val="24"/>
                <w:szCs w:val="18"/>
                <w:highlight w:val="none"/>
              </w:rPr>
            </w:pPr>
            <w:r>
              <w:rPr>
                <w:rFonts w:hint="eastAsia"/>
                <w:bCs/>
                <w:sz w:val="24"/>
                <w:szCs w:val="18"/>
                <w:highlight w:val="none"/>
              </w:rPr>
              <w:t>包括但不限于：</w:t>
            </w:r>
          </w:p>
          <w:p w14:paraId="0845AA47">
            <w:pPr>
              <w:spacing w:line="480" w:lineRule="exact"/>
              <w:rPr>
                <w:bCs/>
                <w:sz w:val="24"/>
                <w:szCs w:val="18"/>
                <w:highlight w:val="none"/>
              </w:rPr>
            </w:pPr>
            <w:r>
              <w:rPr>
                <w:rFonts w:hint="eastAsia"/>
                <w:bCs/>
                <w:sz w:val="24"/>
                <w:szCs w:val="18"/>
                <w:highlight w:val="none"/>
              </w:rPr>
              <w:t>（1）</w:t>
            </w:r>
            <w:r>
              <w:rPr>
                <w:bCs/>
                <w:sz w:val="24"/>
                <w:szCs w:val="18"/>
                <w:highlight w:val="none"/>
              </w:rPr>
              <w:t>项目需在不影响办公情况下施工，施工时间紧迫，</w:t>
            </w:r>
            <w:r>
              <w:rPr>
                <w:rFonts w:hint="eastAsia"/>
                <w:bCs/>
                <w:sz w:val="24"/>
                <w:szCs w:val="18"/>
                <w:highlight w:val="none"/>
              </w:rPr>
              <w:t>供应商应充分考虑时间安排，确保工期</w:t>
            </w:r>
            <w:r>
              <w:rPr>
                <w:bCs/>
                <w:sz w:val="24"/>
                <w:szCs w:val="18"/>
                <w:highlight w:val="none"/>
              </w:rPr>
              <w:t>。</w:t>
            </w:r>
          </w:p>
          <w:p w14:paraId="4A2881C3">
            <w:pPr>
              <w:spacing w:line="360" w:lineRule="auto"/>
              <w:rPr>
                <w:bCs/>
                <w:sz w:val="24"/>
                <w:szCs w:val="18"/>
                <w:highlight w:val="none"/>
              </w:rPr>
            </w:pPr>
            <w:r>
              <w:rPr>
                <w:rFonts w:hint="eastAsia"/>
                <w:bCs/>
                <w:sz w:val="24"/>
                <w:szCs w:val="18"/>
                <w:highlight w:val="none"/>
              </w:rPr>
              <w:t>（2）</w:t>
            </w:r>
            <w:r>
              <w:rPr>
                <w:bCs/>
                <w:sz w:val="24"/>
                <w:szCs w:val="18"/>
                <w:highlight w:val="none"/>
              </w:rPr>
              <w:t>施工过程中必须做好原有建筑、设备等成品保护，并承担其费用及</w:t>
            </w:r>
            <w:r>
              <w:rPr>
                <w:rFonts w:hint="eastAsia"/>
                <w:bCs/>
                <w:sz w:val="24"/>
                <w:szCs w:val="18"/>
                <w:highlight w:val="none"/>
              </w:rPr>
              <w:t>院内人员</w:t>
            </w:r>
            <w:r>
              <w:rPr>
                <w:bCs/>
                <w:sz w:val="24"/>
                <w:szCs w:val="18"/>
                <w:highlight w:val="none"/>
              </w:rPr>
              <w:t>安全。</w:t>
            </w:r>
          </w:p>
          <w:p w14:paraId="47A7351D">
            <w:pPr>
              <w:spacing w:line="360" w:lineRule="auto"/>
              <w:rPr>
                <w:bCs/>
                <w:sz w:val="24"/>
                <w:szCs w:val="18"/>
                <w:highlight w:val="none"/>
              </w:rPr>
            </w:pPr>
            <w:r>
              <w:rPr>
                <w:rFonts w:hint="eastAsia"/>
                <w:bCs/>
                <w:sz w:val="24"/>
                <w:szCs w:val="18"/>
                <w:highlight w:val="none"/>
              </w:rPr>
              <w:t>（3）项目施工不得妨碍院内正常通行，院门施工时应提前张贴告示通知，经同意后方可施工。</w:t>
            </w:r>
          </w:p>
          <w:p w14:paraId="0C50D38C">
            <w:pPr>
              <w:spacing w:line="360" w:lineRule="auto"/>
              <w:rPr>
                <w:rFonts w:cs="@仿宋_GB2312" w:asciiTheme="minorEastAsia" w:hAnsiTheme="minorEastAsia"/>
                <w:sz w:val="24"/>
                <w:szCs w:val="22"/>
                <w:highlight w:val="none"/>
              </w:rPr>
            </w:pPr>
            <w:r>
              <w:rPr>
                <w:rFonts w:hint="eastAsia"/>
                <w:bCs/>
                <w:sz w:val="24"/>
                <w:szCs w:val="18"/>
                <w:highlight w:val="none"/>
              </w:rPr>
              <w:t>（4）施工过程中应设置警示装置和保护措施，确保院内人员安全。</w:t>
            </w:r>
          </w:p>
        </w:tc>
      </w:tr>
      <w:tr w14:paraId="0F04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0AA34D9C">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4</w:t>
            </w:r>
          </w:p>
        </w:tc>
        <w:tc>
          <w:tcPr>
            <w:tcW w:w="819" w:type="pct"/>
            <w:vAlign w:val="center"/>
          </w:tcPr>
          <w:p w14:paraId="61C3394A">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报价须知</w:t>
            </w:r>
          </w:p>
        </w:tc>
        <w:tc>
          <w:tcPr>
            <w:tcW w:w="3688" w:type="pct"/>
            <w:vAlign w:val="center"/>
          </w:tcPr>
          <w:p w14:paraId="0D8765F5">
            <w:pPr>
              <w:spacing w:line="360" w:lineRule="auto"/>
              <w:rPr>
                <w:highlight w:val="none"/>
              </w:rPr>
            </w:pPr>
            <w:r>
              <w:rPr>
                <w:rFonts w:hint="eastAsia" w:ascii="宋体" w:hAnsi="宋体" w:eastAsia="宋体" w:cs="宋体"/>
                <w:sz w:val="24"/>
                <w:highlight w:val="none"/>
              </w:rPr>
              <w:t>1.供应商最后报价均不得高于磋商文件（公告）列明的项目预算、最高限价，否则其响应文件将被认定为响应无效。</w:t>
            </w:r>
          </w:p>
          <w:p w14:paraId="0EDB7819">
            <w:pPr>
              <w:spacing w:line="360" w:lineRule="auto"/>
              <w:rPr>
                <w:highlight w:val="none"/>
              </w:rPr>
            </w:pPr>
            <w:r>
              <w:rPr>
                <w:rFonts w:hint="eastAsia" w:cs="@仿宋_GB2312" w:asciiTheme="minorEastAsia" w:hAnsiTheme="minorEastAsia"/>
                <w:sz w:val="24"/>
                <w:szCs w:val="22"/>
                <w:highlight w:val="none"/>
              </w:rPr>
              <w:t>2.除非合同中另有规定，供应商在响应文件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w:t>
            </w:r>
          </w:p>
        </w:tc>
      </w:tr>
      <w:tr w14:paraId="3896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2A90768">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5</w:t>
            </w:r>
          </w:p>
        </w:tc>
        <w:tc>
          <w:tcPr>
            <w:tcW w:w="819" w:type="pct"/>
            <w:vAlign w:val="center"/>
          </w:tcPr>
          <w:p w14:paraId="401C8AAA">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重要说明</w:t>
            </w:r>
          </w:p>
        </w:tc>
        <w:tc>
          <w:tcPr>
            <w:tcW w:w="3688" w:type="pct"/>
            <w:vAlign w:val="center"/>
          </w:tcPr>
          <w:p w14:paraId="0A00F138">
            <w:pPr>
              <w:spacing w:line="360" w:lineRule="auto"/>
              <w:rPr>
                <w:rFonts w:ascii="宋体" w:hAnsi="宋体" w:eastAsia="宋体"/>
                <w:sz w:val="24"/>
                <w:szCs w:val="18"/>
                <w:highlight w:val="none"/>
              </w:rPr>
            </w:pPr>
            <w:r>
              <w:rPr>
                <w:rFonts w:hint="eastAsia" w:cs="宋体"/>
                <w:sz w:val="24"/>
                <w:highlight w:val="none"/>
              </w:rPr>
              <w:t>1.</w:t>
            </w:r>
            <w:r>
              <w:rPr>
                <w:rFonts w:ascii="宋体" w:hAnsi="宋体" w:eastAsia="宋体" w:cs="宋体"/>
                <w:sz w:val="24"/>
                <w:highlight w:val="none"/>
              </w:rPr>
              <w:t>政府采购政策（包括但不限于下列具体政策要求</w:t>
            </w:r>
            <w:r>
              <w:rPr>
                <w:rFonts w:hint="eastAsia" w:ascii="宋体" w:hAnsi="宋体" w:eastAsia="宋体" w:cs="宋体"/>
                <w:sz w:val="24"/>
                <w:highlight w:val="none"/>
              </w:rPr>
              <w:t>）</w:t>
            </w:r>
            <w:r>
              <w:rPr>
                <w:rFonts w:hint="eastAsia" w:ascii="宋体" w:hAnsi="宋体" w:eastAsia="宋体"/>
                <w:sz w:val="24"/>
                <w:szCs w:val="18"/>
                <w:highlight w:val="none"/>
              </w:rPr>
              <w:t>：</w:t>
            </w:r>
          </w:p>
          <w:p w14:paraId="33EDD926">
            <w:pPr>
              <w:spacing w:line="360" w:lineRule="auto"/>
              <w:rPr>
                <w:rFonts w:ascii="宋体" w:hAnsi="宋体" w:eastAsia="宋体" w:cs="宋体"/>
                <w:sz w:val="24"/>
                <w:highlight w:val="none"/>
              </w:rPr>
            </w:pPr>
            <w:r>
              <w:rPr>
                <w:rFonts w:hint="eastAsia" w:ascii="宋体" w:hAnsi="宋体" w:eastAsia="宋体" w:cs="宋体"/>
                <w:sz w:val="24"/>
                <w:highlight w:val="none"/>
              </w:rPr>
              <w:t>（1）如属于《节能产品政府采购品目清单》中政府强制采购的节能产品，则</w:t>
            </w:r>
            <w:r>
              <w:rPr>
                <w:rFonts w:hint="eastAsia" w:cs="宋体"/>
                <w:sz w:val="24"/>
                <w:highlight w:val="none"/>
              </w:rPr>
              <w:t>供应商</w:t>
            </w:r>
            <w:r>
              <w:rPr>
                <w:rFonts w:hint="eastAsia" w:ascii="宋体" w:hAnsi="宋体" w:eastAsia="宋体" w:cs="宋体"/>
                <w:sz w:val="24"/>
                <w:highlight w:val="none"/>
              </w:rPr>
              <w:t>所投产品须具有市场监管总局公布的《参与实施政府采购节能产品认证机构目录》中的认证机构出具的、处于有效期内的节能产品认证证书。</w:t>
            </w:r>
          </w:p>
          <w:p w14:paraId="39969962">
            <w:pPr>
              <w:spacing w:line="360" w:lineRule="auto"/>
              <w:rPr>
                <w:rFonts w:ascii="宋体" w:hAnsi="宋体" w:eastAsia="宋体" w:cs="宋体"/>
                <w:sz w:val="24"/>
                <w:highlight w:val="none"/>
              </w:rPr>
            </w:pPr>
            <w:r>
              <w:rPr>
                <w:rFonts w:hint="eastAsia" w:ascii="宋体" w:hAnsi="宋体" w:eastAsia="宋体" w:cs="宋体"/>
                <w:sz w:val="24"/>
                <w:highlight w:val="none"/>
              </w:rPr>
              <w:t>（2）如涉及商品包装和快递包装，</w:t>
            </w:r>
            <w:r>
              <w:rPr>
                <w:rFonts w:hint="eastAsia" w:cs="宋体"/>
                <w:sz w:val="24"/>
                <w:highlight w:val="none"/>
              </w:rPr>
              <w:t>供应商</w:t>
            </w:r>
            <w:r>
              <w:rPr>
                <w:rFonts w:hint="eastAsia" w:ascii="宋体" w:hAnsi="宋体" w:eastAsia="宋体" w:cs="宋体"/>
                <w:sz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60C9E74">
            <w:pPr>
              <w:spacing w:line="360" w:lineRule="auto"/>
              <w:rPr>
                <w:rFonts w:asciiTheme="minorEastAsia" w:hAnsiTheme="minorEastAsia" w:cstheme="minorEastAsia"/>
                <w:sz w:val="24"/>
                <w:highlight w:val="none"/>
              </w:rPr>
            </w:pPr>
            <w:r>
              <w:rPr>
                <w:rFonts w:hint="eastAsia" w:ascii="宋体" w:hAnsi="宋体" w:eastAsia="宋体" w:cs="宋体"/>
                <w:sz w:val="24"/>
                <w:highlight w:val="none"/>
              </w:rPr>
              <w:t>（3）按照《关于进一步扩大政府采购支持绿色建材促进建筑品质提升政策实施范围的通知》(财库(2024)36号)，严格执行《绿色建筑和绿色建材政府采购需求标准(2025 年版)》要求。</w:t>
            </w:r>
          </w:p>
        </w:tc>
      </w:tr>
      <w:tr w14:paraId="5ED6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69BEEB79">
            <w:pPr>
              <w:spacing w:line="360" w:lineRule="auto"/>
              <w:jc w:val="center"/>
              <w:rPr>
                <w:rFonts w:cs="@仿宋_GB2312" w:asciiTheme="minorEastAsia" w:hAnsiTheme="minorEastAsia"/>
                <w:sz w:val="24"/>
                <w:szCs w:val="22"/>
                <w:highlight w:val="none"/>
              </w:rPr>
            </w:pPr>
            <w:r>
              <w:rPr>
                <w:rFonts w:cs="@仿宋_GB2312" w:asciiTheme="minorEastAsia" w:hAnsiTheme="minorEastAsia"/>
                <w:sz w:val="24"/>
                <w:szCs w:val="22"/>
                <w:highlight w:val="none"/>
              </w:rPr>
              <w:t>6</w:t>
            </w:r>
          </w:p>
        </w:tc>
        <w:tc>
          <w:tcPr>
            <w:tcW w:w="819" w:type="pct"/>
            <w:vAlign w:val="center"/>
          </w:tcPr>
          <w:p w14:paraId="2642AD63">
            <w:pPr>
              <w:spacing w:line="360" w:lineRule="auto"/>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项目经理</w:t>
            </w:r>
          </w:p>
        </w:tc>
        <w:tc>
          <w:tcPr>
            <w:tcW w:w="3688" w:type="pct"/>
            <w:vAlign w:val="center"/>
          </w:tcPr>
          <w:p w14:paraId="659BB596">
            <w:pPr>
              <w:pStyle w:val="69"/>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1、项目经理具备资格见采购公告要求，且须是供应商本单位人员。</w:t>
            </w:r>
          </w:p>
          <w:p w14:paraId="486C1949">
            <w:pPr>
              <w:pStyle w:val="69"/>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2、项目经理社保：提供</w:t>
            </w:r>
            <w:r>
              <w:rPr>
                <w:rFonts w:hint="eastAsia" w:asciiTheme="minorEastAsia" w:hAnsiTheme="minorEastAsia"/>
                <w:szCs w:val="24"/>
                <w:highlight w:val="none"/>
              </w:rPr>
              <w:t>自2024年9月1日以来任意连续1个月的社保证明材料，社保证明材料</w:t>
            </w:r>
            <w:r>
              <w:rPr>
                <w:rFonts w:hint="eastAsia" w:asciiTheme="minorEastAsia" w:hAnsiTheme="minorEastAsia" w:cstheme="minorEastAsia"/>
                <w:szCs w:val="24"/>
                <w:highlight w:val="none"/>
                <w:shd w:val="clear" w:color="auto" w:fill="FFFFFF"/>
              </w:rPr>
              <w:t>符合供应商须知前附表32.10社保证明材料的要求。</w:t>
            </w:r>
          </w:p>
          <w:p w14:paraId="02AF7B64">
            <w:pPr>
              <w:pStyle w:val="69"/>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3、项目经理不得同时担任两个及以上建设工程施工项目负责人，以下情形除外： </w:t>
            </w:r>
          </w:p>
          <w:p w14:paraId="6CCE4E68">
            <w:pPr>
              <w:pStyle w:val="69"/>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①法定情形； </w:t>
            </w:r>
          </w:p>
          <w:p w14:paraId="2C6CDBE0">
            <w:pPr>
              <w:pStyle w:val="69"/>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②虽在其他项目上担任项目经理岗位，但本项目成交后能够从该项目撤离，全面履约。 </w:t>
            </w:r>
          </w:p>
          <w:p w14:paraId="1C96FECB">
            <w:pPr>
              <w:pStyle w:val="69"/>
              <w:pBdr>
                <w:bottom w:val="none" w:color="auto" w:sz="0" w:space="0"/>
              </w:pBdr>
              <w:tabs>
                <w:tab w:val="clear" w:pos="4153"/>
                <w:tab w:val="clear" w:pos="8306"/>
              </w:tabs>
              <w:adjustRightInd/>
              <w:spacing w:line="440" w:lineRule="exact"/>
              <w:jc w:val="left"/>
              <w:textAlignment w:val="auto"/>
              <w:rPr>
                <w:rFonts w:asciiTheme="minorEastAsia" w:hAnsiTheme="minorEastAsia" w:cstheme="minorEastAsia"/>
                <w:szCs w:val="24"/>
                <w:highlight w:val="none"/>
                <w:shd w:val="clear" w:color="auto" w:fill="FFFFFF"/>
              </w:rPr>
            </w:pPr>
            <w:r>
              <w:rPr>
                <w:rFonts w:hint="eastAsia" w:asciiTheme="minorEastAsia" w:hAnsiTheme="minorEastAsia" w:cstheme="minorEastAsia"/>
                <w:szCs w:val="24"/>
                <w:highlight w:val="none"/>
                <w:shd w:val="clear" w:color="auto" w:fill="FFFFFF"/>
              </w:rPr>
              <w:t xml:space="preserve">4、成交后若项目经理在其他项目上担任项目经理岗位，导致该项目经理无法进场履约的，采购人可取消其成交资格。供应商因此原因被取消成交资格的，视为无正当理由放弃成交资格。 </w:t>
            </w:r>
          </w:p>
          <w:p w14:paraId="00694B14">
            <w:pPr>
              <w:spacing w:line="360" w:lineRule="auto"/>
              <w:rPr>
                <w:rFonts w:asciiTheme="minorEastAsia" w:hAnsiTheme="minorEastAsia" w:cstheme="minorEastAsia"/>
                <w:sz w:val="24"/>
                <w:highlight w:val="none"/>
                <w:shd w:val="clear" w:color="auto" w:fill="FFFFFF"/>
              </w:rPr>
            </w:pPr>
            <w:r>
              <w:rPr>
                <w:rFonts w:hint="eastAsia" w:asciiTheme="minorEastAsia" w:hAnsiTheme="minorEastAsia" w:cstheme="minorEastAsia"/>
                <w:sz w:val="24"/>
                <w:highlight w:val="none"/>
                <w:shd w:val="clear" w:color="auto" w:fill="FFFFFF"/>
              </w:rPr>
              <w:t>5、（1）一级建造师应符合《住房和城乡建设部办公厅关于全面实行一级建造师电子注册证书的通知》(建办市〔2021〕40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w:t>
            </w:r>
          </w:p>
          <w:p w14:paraId="629F50D6">
            <w:pPr>
              <w:spacing w:line="360" w:lineRule="auto"/>
              <w:rPr>
                <w:highlight w:val="none"/>
              </w:rPr>
            </w:pPr>
            <w:r>
              <w:rPr>
                <w:rFonts w:hint="eastAsia" w:ascii="Times New Roman" w:hAnsi="Times New Roman" w:cs="Times New Roman"/>
                <w:bCs/>
                <w:sz w:val="24"/>
                <w:highlight w:val="none"/>
              </w:rPr>
              <w:t>（2）</w:t>
            </w:r>
            <w:r>
              <w:rPr>
                <w:rFonts w:ascii="Times New Roman" w:hAnsi="Times New Roman" w:cs="Times New Roman"/>
                <w:bCs/>
                <w:sz w:val="24"/>
                <w:highlight w:val="none"/>
              </w:rPr>
              <w:t>安徽省二级建造师应按《关于加强二级建造师事中事后监管工作的通知》（建市函〔2024〕137 号）执行，</w:t>
            </w:r>
            <w:r>
              <w:rPr>
                <w:rFonts w:hint="eastAsia" w:ascii="Times New Roman" w:hAnsi="Times New Roman" w:eastAsia="宋体" w:cs="Times New Roman"/>
                <w:bCs/>
                <w:sz w:val="24"/>
                <w:highlight w:val="none"/>
              </w:rPr>
              <w:t>新版的二级建造师电子证书打印后，应在个人签名处手写本人签名，未手写签名或与签名图像笔迹不一致的，该电子证书无效。对于其他省份颁发的二级建造师注册证书使用要求，证书颁发单位另有规定的按其规定执行。</w:t>
            </w:r>
          </w:p>
        </w:tc>
      </w:tr>
      <w:tr w14:paraId="421B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3890D89C">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7</w:t>
            </w:r>
          </w:p>
        </w:tc>
        <w:tc>
          <w:tcPr>
            <w:tcW w:w="819" w:type="pct"/>
            <w:vAlign w:val="center"/>
          </w:tcPr>
          <w:p w14:paraId="5904702D">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其他管理人员</w:t>
            </w:r>
          </w:p>
        </w:tc>
        <w:tc>
          <w:tcPr>
            <w:tcW w:w="3688" w:type="pct"/>
            <w:vAlign w:val="center"/>
          </w:tcPr>
          <w:p w14:paraId="57154472">
            <w:pPr>
              <w:spacing w:line="360" w:lineRule="auto"/>
              <w:rPr>
                <w:rFonts w:ascii="Times New Roman" w:hAnsi="Times New Roman" w:cs="Times New Roman"/>
                <w:bCs/>
                <w:sz w:val="24"/>
                <w:highlight w:val="none"/>
              </w:rPr>
            </w:pPr>
            <w:r>
              <w:rPr>
                <w:rFonts w:hint="eastAsia" w:ascii="Times New Roman" w:hAnsi="Times New Roman" w:cs="Times New Roman"/>
                <w:bCs/>
                <w:sz w:val="24"/>
                <w:highlight w:val="none"/>
              </w:rPr>
              <w:t>成交后，根据采购人需求配备，须满足本项目施工现场管理要求。</w:t>
            </w:r>
          </w:p>
        </w:tc>
      </w:tr>
      <w:tr w14:paraId="296F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vAlign w:val="center"/>
          </w:tcPr>
          <w:p w14:paraId="4E9D92C1">
            <w:pPr>
              <w:spacing w:line="360" w:lineRule="auto"/>
              <w:jc w:val="center"/>
              <w:rPr>
                <w:rFonts w:cs="@仿宋_GB2312" w:asciiTheme="minorEastAsia" w:hAnsiTheme="minorEastAsia"/>
                <w:sz w:val="24"/>
                <w:szCs w:val="22"/>
                <w:highlight w:val="none"/>
              </w:rPr>
            </w:pPr>
            <w:r>
              <w:rPr>
                <w:rFonts w:hint="eastAsia" w:cs="@仿宋_GB2312" w:asciiTheme="minorEastAsia" w:hAnsiTheme="minorEastAsia"/>
                <w:sz w:val="24"/>
                <w:szCs w:val="22"/>
                <w:highlight w:val="none"/>
              </w:rPr>
              <w:t>8</w:t>
            </w:r>
          </w:p>
        </w:tc>
        <w:tc>
          <w:tcPr>
            <w:tcW w:w="819" w:type="pct"/>
            <w:vAlign w:val="center"/>
          </w:tcPr>
          <w:p w14:paraId="4A8D9EAF">
            <w:pPr>
              <w:pStyle w:val="68"/>
              <w:widowControl w:val="0"/>
              <w:spacing w:before="0" w:beforeAutospacing="0" w:after="0" w:afterAutospacing="0" w:line="360" w:lineRule="auto"/>
              <w:rPr>
                <w:rFonts w:cs="@仿宋_GB2312" w:asciiTheme="minorEastAsia" w:hAnsiTheme="minorEastAsia"/>
                <w:sz w:val="24"/>
                <w:highlight w:val="none"/>
              </w:rPr>
            </w:pPr>
            <w:r>
              <w:rPr>
                <w:rFonts w:hint="eastAsia"/>
                <w:b w:val="0"/>
                <w:sz w:val="24"/>
                <w:highlight w:val="none"/>
              </w:rPr>
              <w:t>本项目采购标的名称及所属行业</w:t>
            </w:r>
          </w:p>
        </w:tc>
        <w:tc>
          <w:tcPr>
            <w:tcW w:w="3688" w:type="pct"/>
            <w:vAlign w:val="center"/>
          </w:tcPr>
          <w:p w14:paraId="3747D44D">
            <w:pPr>
              <w:spacing w:line="360" w:lineRule="auto"/>
              <w:jc w:val="left"/>
              <w:rPr>
                <w:rFonts w:asciiTheme="minorEastAsia" w:hAnsiTheme="minorEastAsia"/>
                <w:sz w:val="24"/>
                <w:szCs w:val="22"/>
                <w:highlight w:val="none"/>
              </w:rPr>
            </w:pPr>
            <w:r>
              <w:rPr>
                <w:rFonts w:hint="eastAsia" w:asciiTheme="minorEastAsia" w:hAnsiTheme="minorEastAsia"/>
                <w:sz w:val="24"/>
                <w:szCs w:val="22"/>
                <w:highlight w:val="none"/>
              </w:rPr>
              <w:t>标的名称：安徽省农业科学院院区环境提升项目</w:t>
            </w:r>
          </w:p>
          <w:p w14:paraId="7DACCC85">
            <w:pPr>
              <w:rPr>
                <w:highlight w:val="none"/>
              </w:rPr>
            </w:pPr>
            <w:r>
              <w:rPr>
                <w:rFonts w:hint="eastAsia" w:asciiTheme="minorEastAsia" w:hAnsiTheme="minorEastAsia"/>
                <w:sz w:val="24"/>
                <w:szCs w:val="22"/>
                <w:highlight w:val="none"/>
              </w:rPr>
              <w:t>所属行业：</w:t>
            </w:r>
            <w:r>
              <w:rPr>
                <w:rFonts w:hint="eastAsia" w:asciiTheme="minorEastAsia" w:hAnsiTheme="minorEastAsia"/>
                <w:sz w:val="24"/>
                <w:highlight w:val="none"/>
              </w:rPr>
              <w:t>建筑业</w:t>
            </w:r>
          </w:p>
        </w:tc>
      </w:tr>
    </w:tbl>
    <w:p w14:paraId="62E7D116">
      <w:pPr>
        <w:pStyle w:val="54"/>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二、项目概况</w:t>
      </w:r>
    </w:p>
    <w:p w14:paraId="2B409F40">
      <w:pPr>
        <w:spacing w:line="360" w:lineRule="auto"/>
        <w:ind w:firstLine="480" w:firstLineChars="200"/>
        <w:rPr>
          <w:b/>
          <w:bCs/>
          <w:sz w:val="10"/>
          <w:szCs w:val="10"/>
          <w:highlight w:val="none"/>
        </w:rPr>
      </w:pPr>
      <w:r>
        <w:rPr>
          <w:rFonts w:hint="eastAsia" w:ascii="宋体" w:hAnsi="宋体" w:eastAsia="宋体" w:cs="宋体"/>
          <w:sz w:val="24"/>
          <w:highlight w:val="none"/>
        </w:rPr>
        <w:t>安徽省农业科学院院区环境提升项目，主要包括</w:t>
      </w:r>
      <w:r>
        <w:rPr>
          <w:rFonts w:hint="eastAsia" w:asciiTheme="minorEastAsia" w:hAnsiTheme="minorEastAsia"/>
          <w:sz w:val="24"/>
          <w:highlight w:val="none"/>
        </w:rPr>
        <w:t>固镇路以北道路提升、烟草研发中心北部南部环境提升、科研大楼非机动车棚提升、院南2门提升等事宜，包含道路沥青铺设、标识标线、强弱电排管铺设、雨水排水、排水沟清理、部分排水沟修建、门禁道闸安装等工作</w:t>
      </w:r>
      <w:r>
        <w:rPr>
          <w:rFonts w:hint="eastAsia" w:ascii="宋体" w:hAnsi="宋体" w:eastAsia="宋体"/>
          <w:sz w:val="24"/>
          <w:szCs w:val="18"/>
          <w:highlight w:val="none"/>
        </w:rPr>
        <w:t>。</w:t>
      </w:r>
    </w:p>
    <w:p w14:paraId="1F817BC6">
      <w:pPr>
        <w:pStyle w:val="54"/>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三、施工范围</w:t>
      </w:r>
    </w:p>
    <w:p w14:paraId="516A5D45">
      <w:pPr>
        <w:spacing w:line="360" w:lineRule="auto"/>
        <w:ind w:firstLine="437"/>
        <w:rPr>
          <w:bCs/>
          <w:sz w:val="24"/>
          <w:szCs w:val="18"/>
          <w:highlight w:val="none"/>
        </w:rPr>
      </w:pPr>
      <w:bookmarkStart w:id="37" w:name="_Toc11353"/>
      <w:r>
        <w:rPr>
          <w:rFonts w:hint="eastAsia"/>
          <w:bCs/>
          <w:sz w:val="24"/>
          <w:szCs w:val="18"/>
          <w:highlight w:val="none"/>
        </w:rPr>
        <w:t>具体详见图纸及工程量清单。</w:t>
      </w:r>
    </w:p>
    <w:p w14:paraId="5A2B2CCD">
      <w:pPr>
        <w:pStyle w:val="4"/>
        <w:spacing w:before="0" w:after="0" w:line="360" w:lineRule="auto"/>
        <w:rPr>
          <w:rFonts w:ascii="宋体" w:hAnsi="宋体" w:eastAsia="宋体" w:cs="宋体"/>
          <w:sz w:val="24"/>
          <w:highlight w:val="none"/>
        </w:rPr>
      </w:pPr>
      <w:r>
        <w:rPr>
          <w:rFonts w:hint="eastAsia" w:ascii="宋体" w:hAnsi="宋体" w:eastAsia="宋体" w:cs="宋体"/>
          <w:sz w:val="24"/>
          <w:highlight w:val="none"/>
        </w:rPr>
        <w:t>四、技术要求</w:t>
      </w:r>
    </w:p>
    <w:p w14:paraId="48DC073B">
      <w:pPr>
        <w:spacing w:line="360" w:lineRule="auto"/>
        <w:ind w:firstLine="437"/>
        <w:rPr>
          <w:bCs/>
          <w:sz w:val="24"/>
          <w:szCs w:val="18"/>
          <w:highlight w:val="none"/>
        </w:rPr>
      </w:pPr>
      <w:r>
        <w:rPr>
          <w:bCs/>
          <w:sz w:val="24"/>
          <w:szCs w:val="18"/>
          <w:highlight w:val="none"/>
        </w:rPr>
        <w:t>按照图纸、工程量清单要求及最新国家相关标准、规范要求执行。</w:t>
      </w:r>
    </w:p>
    <w:p w14:paraId="0A4BEFB4">
      <w:pPr>
        <w:pStyle w:val="4"/>
        <w:spacing w:before="0" w:after="0" w:line="360" w:lineRule="auto"/>
        <w:rPr>
          <w:rFonts w:ascii="宋体" w:hAnsi="宋体" w:eastAsia="宋体" w:cs="宋体"/>
          <w:sz w:val="24"/>
          <w:highlight w:val="none"/>
        </w:rPr>
      </w:pPr>
      <w:r>
        <w:rPr>
          <w:rFonts w:hint="eastAsia" w:ascii="宋体" w:hAnsi="宋体" w:eastAsia="宋体" w:cs="宋体"/>
          <w:sz w:val="24"/>
          <w:highlight w:val="none"/>
        </w:rPr>
        <w:t>五、报价要求</w:t>
      </w:r>
    </w:p>
    <w:p w14:paraId="401A572B">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5.1 工程量清单和最高限价的编制依据和说明</w:t>
      </w:r>
    </w:p>
    <w:p w14:paraId="306619C9">
      <w:pPr>
        <w:spacing w:line="360" w:lineRule="auto"/>
        <w:ind w:firstLine="437"/>
        <w:rPr>
          <w:bCs/>
          <w:sz w:val="24"/>
          <w:szCs w:val="18"/>
          <w:highlight w:val="none"/>
        </w:rPr>
      </w:pPr>
      <w:r>
        <w:rPr>
          <w:rFonts w:hint="eastAsia"/>
          <w:bCs/>
          <w:sz w:val="24"/>
          <w:szCs w:val="18"/>
          <w:highlight w:val="none"/>
        </w:rPr>
        <w:t>5.1.1 工程量清单编制的主要依据</w:t>
      </w:r>
    </w:p>
    <w:p w14:paraId="72B0CCCB">
      <w:pPr>
        <w:spacing w:line="360" w:lineRule="auto"/>
        <w:ind w:firstLine="437"/>
        <w:rPr>
          <w:bCs/>
          <w:sz w:val="24"/>
          <w:szCs w:val="18"/>
          <w:highlight w:val="none"/>
        </w:rPr>
      </w:pPr>
      <w:r>
        <w:rPr>
          <w:rFonts w:hint="eastAsia"/>
          <w:bCs/>
          <w:sz w:val="24"/>
          <w:szCs w:val="18"/>
          <w:highlight w:val="none"/>
        </w:rPr>
        <w:t>（1）现行的计价规范：《建设工程工程量清单计价规范》（GB50500-2013）；</w:t>
      </w:r>
    </w:p>
    <w:p w14:paraId="3B4B1045">
      <w:pPr>
        <w:spacing w:line="360" w:lineRule="auto"/>
        <w:ind w:firstLine="437"/>
        <w:rPr>
          <w:bCs/>
          <w:sz w:val="24"/>
          <w:szCs w:val="18"/>
          <w:highlight w:val="none"/>
        </w:rPr>
      </w:pPr>
      <w:r>
        <w:rPr>
          <w:rFonts w:hint="eastAsia"/>
          <w:bCs/>
          <w:sz w:val="24"/>
          <w:szCs w:val="18"/>
          <w:highlight w:val="none"/>
        </w:rPr>
        <w:t>（2）现行计价依据：《2018版安徽省建设工程计价依据动态调整（第1期）》；</w:t>
      </w:r>
    </w:p>
    <w:p w14:paraId="724097EC">
      <w:pPr>
        <w:spacing w:line="360" w:lineRule="auto"/>
        <w:ind w:firstLine="437"/>
        <w:rPr>
          <w:bCs/>
          <w:sz w:val="24"/>
          <w:szCs w:val="18"/>
          <w:highlight w:val="none"/>
        </w:rPr>
      </w:pPr>
      <w:r>
        <w:rPr>
          <w:rFonts w:hint="eastAsia"/>
          <w:bCs/>
          <w:sz w:val="24"/>
          <w:szCs w:val="18"/>
          <w:highlight w:val="none"/>
        </w:rPr>
        <w:t>（3）建设工程设计文件及相关资料；</w:t>
      </w:r>
    </w:p>
    <w:p w14:paraId="3BEA11AF">
      <w:pPr>
        <w:spacing w:line="360" w:lineRule="auto"/>
        <w:ind w:firstLine="437"/>
        <w:rPr>
          <w:bCs/>
          <w:sz w:val="24"/>
          <w:szCs w:val="18"/>
          <w:highlight w:val="none"/>
        </w:rPr>
      </w:pPr>
      <w:r>
        <w:rPr>
          <w:rFonts w:hint="eastAsia"/>
          <w:bCs/>
          <w:sz w:val="24"/>
          <w:szCs w:val="18"/>
          <w:highlight w:val="none"/>
        </w:rPr>
        <w:t>（4）与建设工程有关的标准、规范、技术资料；</w:t>
      </w:r>
    </w:p>
    <w:p w14:paraId="3DE33E33">
      <w:pPr>
        <w:spacing w:line="360" w:lineRule="auto"/>
        <w:ind w:firstLine="437"/>
        <w:rPr>
          <w:bCs/>
          <w:sz w:val="24"/>
          <w:szCs w:val="18"/>
          <w:highlight w:val="none"/>
        </w:rPr>
      </w:pPr>
      <w:r>
        <w:rPr>
          <w:rFonts w:hint="eastAsia"/>
          <w:bCs/>
          <w:sz w:val="24"/>
          <w:szCs w:val="18"/>
          <w:highlight w:val="none"/>
        </w:rPr>
        <w:t>（5）项目的采购文件；</w:t>
      </w:r>
    </w:p>
    <w:p w14:paraId="7C25FF86">
      <w:pPr>
        <w:spacing w:line="360" w:lineRule="auto"/>
        <w:ind w:firstLine="437"/>
        <w:rPr>
          <w:bCs/>
          <w:sz w:val="24"/>
          <w:szCs w:val="18"/>
          <w:highlight w:val="none"/>
        </w:rPr>
      </w:pPr>
      <w:r>
        <w:rPr>
          <w:rFonts w:hint="eastAsia"/>
          <w:bCs/>
          <w:sz w:val="24"/>
          <w:szCs w:val="18"/>
          <w:highlight w:val="none"/>
        </w:rPr>
        <w:t>（6）施工现场情况、地勘水文资料、工程特点及常规施工方案；</w:t>
      </w:r>
    </w:p>
    <w:p w14:paraId="5E65F1A8">
      <w:pPr>
        <w:spacing w:line="360" w:lineRule="auto"/>
        <w:ind w:firstLine="437"/>
        <w:rPr>
          <w:bCs/>
          <w:sz w:val="24"/>
          <w:szCs w:val="18"/>
          <w:highlight w:val="none"/>
        </w:rPr>
      </w:pPr>
      <w:r>
        <w:rPr>
          <w:rFonts w:hint="eastAsia"/>
          <w:bCs/>
          <w:sz w:val="24"/>
          <w:szCs w:val="18"/>
          <w:highlight w:val="none"/>
        </w:rPr>
        <w:t>5.1.2 最高限价编制的主要依据</w:t>
      </w:r>
    </w:p>
    <w:p w14:paraId="1E6276D3">
      <w:pPr>
        <w:spacing w:line="360" w:lineRule="auto"/>
        <w:ind w:firstLine="437"/>
        <w:rPr>
          <w:bCs/>
          <w:sz w:val="24"/>
          <w:szCs w:val="18"/>
          <w:highlight w:val="none"/>
        </w:rPr>
      </w:pPr>
      <w:r>
        <w:rPr>
          <w:rFonts w:hint="eastAsia"/>
          <w:bCs/>
          <w:sz w:val="24"/>
          <w:szCs w:val="18"/>
          <w:highlight w:val="none"/>
        </w:rPr>
        <w:t>（1）现行的计价规范：《建设工程工程量清单计价规范》（GB50500-2013）；</w:t>
      </w:r>
    </w:p>
    <w:p w14:paraId="7114B339">
      <w:pPr>
        <w:spacing w:line="360" w:lineRule="auto"/>
        <w:ind w:firstLine="437"/>
        <w:rPr>
          <w:bCs/>
          <w:sz w:val="24"/>
          <w:szCs w:val="18"/>
          <w:highlight w:val="none"/>
        </w:rPr>
      </w:pPr>
      <w:r>
        <w:rPr>
          <w:rFonts w:hint="eastAsia"/>
          <w:bCs/>
          <w:sz w:val="24"/>
          <w:szCs w:val="18"/>
          <w:highlight w:val="none"/>
        </w:rPr>
        <w:t>（2）现行计价依据：《2018版安徽省建设工程计价依据动态调整（第1期）》；</w:t>
      </w:r>
    </w:p>
    <w:p w14:paraId="1F369A5A">
      <w:pPr>
        <w:spacing w:line="360" w:lineRule="auto"/>
        <w:ind w:firstLine="437"/>
        <w:rPr>
          <w:bCs/>
          <w:sz w:val="24"/>
          <w:szCs w:val="18"/>
          <w:highlight w:val="none"/>
        </w:rPr>
      </w:pPr>
      <w:r>
        <w:rPr>
          <w:rFonts w:hint="eastAsia"/>
          <w:bCs/>
          <w:sz w:val="24"/>
          <w:szCs w:val="18"/>
          <w:highlight w:val="none"/>
        </w:rPr>
        <w:t>（3）建设工程设计文件及相关资料；</w:t>
      </w:r>
    </w:p>
    <w:p w14:paraId="1B6EEF7F">
      <w:pPr>
        <w:spacing w:line="360" w:lineRule="auto"/>
        <w:ind w:firstLine="437"/>
        <w:rPr>
          <w:bCs/>
          <w:sz w:val="24"/>
          <w:szCs w:val="18"/>
          <w:highlight w:val="none"/>
        </w:rPr>
      </w:pPr>
      <w:r>
        <w:rPr>
          <w:rFonts w:hint="eastAsia"/>
          <w:bCs/>
          <w:sz w:val="24"/>
          <w:szCs w:val="18"/>
          <w:highlight w:val="none"/>
        </w:rPr>
        <w:t>（4）项目的采购文件及工程量清单及其答疑、澄清、修改；</w:t>
      </w:r>
    </w:p>
    <w:p w14:paraId="3D67F739">
      <w:pPr>
        <w:spacing w:line="360" w:lineRule="auto"/>
        <w:ind w:firstLine="437"/>
        <w:rPr>
          <w:bCs/>
          <w:sz w:val="24"/>
          <w:szCs w:val="18"/>
          <w:highlight w:val="none"/>
        </w:rPr>
      </w:pPr>
      <w:r>
        <w:rPr>
          <w:rFonts w:hint="eastAsia"/>
          <w:bCs/>
          <w:sz w:val="24"/>
          <w:szCs w:val="18"/>
          <w:highlight w:val="none"/>
        </w:rPr>
        <w:t>（5）与建设工程有关的标准、规范、技术资料；</w:t>
      </w:r>
    </w:p>
    <w:p w14:paraId="15122017">
      <w:pPr>
        <w:spacing w:line="360" w:lineRule="auto"/>
        <w:ind w:firstLine="437"/>
        <w:rPr>
          <w:bCs/>
          <w:sz w:val="24"/>
          <w:szCs w:val="18"/>
          <w:highlight w:val="none"/>
        </w:rPr>
      </w:pPr>
      <w:r>
        <w:rPr>
          <w:rFonts w:hint="eastAsia"/>
          <w:bCs/>
          <w:sz w:val="24"/>
          <w:szCs w:val="18"/>
          <w:highlight w:val="none"/>
        </w:rPr>
        <w:t>（6）施工现场情况、工程特点及常规施工方案；</w:t>
      </w:r>
    </w:p>
    <w:p w14:paraId="1E0BF002">
      <w:pPr>
        <w:spacing w:line="360" w:lineRule="auto"/>
        <w:ind w:firstLine="437"/>
        <w:rPr>
          <w:bCs/>
          <w:sz w:val="24"/>
          <w:szCs w:val="18"/>
          <w:highlight w:val="none"/>
        </w:rPr>
      </w:pPr>
      <w:r>
        <w:rPr>
          <w:rFonts w:hint="eastAsia"/>
          <w:bCs/>
          <w:sz w:val="24"/>
          <w:szCs w:val="18"/>
          <w:highlight w:val="none"/>
        </w:rPr>
        <w:t>（7）工程造价管理机构发布的工程造价信息。</w:t>
      </w:r>
    </w:p>
    <w:p w14:paraId="21758E13">
      <w:pPr>
        <w:spacing w:line="360" w:lineRule="auto"/>
        <w:ind w:firstLine="437"/>
        <w:rPr>
          <w:bCs/>
          <w:sz w:val="24"/>
          <w:szCs w:val="18"/>
          <w:highlight w:val="none"/>
        </w:rPr>
      </w:pPr>
      <w:r>
        <w:rPr>
          <w:rFonts w:hint="eastAsia"/>
          <w:bCs/>
          <w:sz w:val="24"/>
          <w:szCs w:val="18"/>
          <w:highlight w:val="none"/>
        </w:rPr>
        <w:t>（8）其他相关材料。</w:t>
      </w:r>
    </w:p>
    <w:p w14:paraId="67526DEA">
      <w:pPr>
        <w:spacing w:line="360" w:lineRule="auto"/>
        <w:ind w:firstLine="437"/>
        <w:rPr>
          <w:bCs/>
          <w:sz w:val="24"/>
          <w:szCs w:val="18"/>
          <w:highlight w:val="none"/>
        </w:rPr>
      </w:pPr>
      <w:r>
        <w:rPr>
          <w:rFonts w:hint="eastAsia"/>
          <w:bCs/>
          <w:sz w:val="24"/>
          <w:szCs w:val="18"/>
          <w:highlight w:val="none"/>
        </w:rPr>
        <w:t>5.1.3 分部分项工程量清单费按本采购文件的分部分项工程量清单的特征描述及有关要求，结合本章第5.1.2项编制依据确定。</w:t>
      </w:r>
    </w:p>
    <w:p w14:paraId="4CF1EF13">
      <w:pPr>
        <w:spacing w:line="360" w:lineRule="auto"/>
        <w:ind w:firstLine="437"/>
        <w:rPr>
          <w:bCs/>
          <w:sz w:val="24"/>
          <w:szCs w:val="18"/>
          <w:highlight w:val="none"/>
        </w:rPr>
      </w:pPr>
      <w:r>
        <w:rPr>
          <w:rFonts w:hint="eastAsia"/>
          <w:bCs/>
          <w:sz w:val="24"/>
          <w:szCs w:val="18"/>
          <w:highlight w:val="none"/>
        </w:rPr>
        <w:t>（1）综合单价中人工和施工机械台班单价按省级工程造价管理机构公布的单价计算。</w:t>
      </w:r>
    </w:p>
    <w:p w14:paraId="4370DAD8">
      <w:pPr>
        <w:spacing w:line="360" w:lineRule="auto"/>
        <w:ind w:firstLine="437"/>
        <w:rPr>
          <w:bCs/>
          <w:sz w:val="24"/>
          <w:szCs w:val="18"/>
          <w:highlight w:val="none"/>
        </w:rPr>
      </w:pPr>
      <w:r>
        <w:rPr>
          <w:rFonts w:hint="eastAsia"/>
          <w:bCs/>
          <w:sz w:val="24"/>
          <w:szCs w:val="18"/>
          <w:highlight w:val="none"/>
        </w:rPr>
        <w:t>（2）综合单价中材料单价按省级和工程所在地的市级工程造价管理机构发布的当期市场信息以及本采购文件规定的暂定价、市场调查价格计算。</w:t>
      </w:r>
    </w:p>
    <w:p w14:paraId="049B1ECE">
      <w:pPr>
        <w:spacing w:line="360" w:lineRule="auto"/>
        <w:ind w:firstLine="437"/>
        <w:rPr>
          <w:bCs/>
          <w:sz w:val="24"/>
          <w:szCs w:val="18"/>
          <w:highlight w:val="none"/>
        </w:rPr>
      </w:pPr>
      <w:r>
        <w:rPr>
          <w:rFonts w:hint="eastAsia"/>
          <w:bCs/>
          <w:sz w:val="24"/>
          <w:szCs w:val="18"/>
          <w:highlight w:val="none"/>
        </w:rPr>
        <w:t>（3）本采购文件中列有材料、设备暂估价的，按暂估价综合单价。</w:t>
      </w:r>
    </w:p>
    <w:p w14:paraId="6221A31B">
      <w:pPr>
        <w:spacing w:line="360" w:lineRule="auto"/>
        <w:ind w:firstLine="437"/>
        <w:rPr>
          <w:bCs/>
          <w:sz w:val="24"/>
          <w:szCs w:val="18"/>
          <w:highlight w:val="none"/>
        </w:rPr>
      </w:pPr>
      <w:r>
        <w:rPr>
          <w:rFonts w:hint="eastAsia"/>
          <w:bCs/>
          <w:sz w:val="24"/>
          <w:szCs w:val="18"/>
          <w:highlight w:val="none"/>
        </w:rPr>
        <w:t>（4）综合单价中人工、材料和施工机械台班消耗量均按国家和省的定额消耗量计算。</w:t>
      </w:r>
    </w:p>
    <w:p w14:paraId="6328DB49">
      <w:pPr>
        <w:spacing w:line="360" w:lineRule="auto"/>
        <w:ind w:firstLine="437"/>
        <w:rPr>
          <w:bCs/>
          <w:sz w:val="24"/>
          <w:szCs w:val="18"/>
          <w:highlight w:val="none"/>
        </w:rPr>
      </w:pPr>
      <w:r>
        <w:rPr>
          <w:rFonts w:hint="eastAsia"/>
          <w:bCs/>
          <w:sz w:val="24"/>
          <w:szCs w:val="18"/>
          <w:highlight w:val="none"/>
        </w:rPr>
        <w:t>（5）综合单价中管理费、利润为可竞争性费用，其费率按国家和省、市的定额规定标准计取。</w:t>
      </w:r>
    </w:p>
    <w:p w14:paraId="0B3A95EC">
      <w:pPr>
        <w:spacing w:line="360" w:lineRule="auto"/>
        <w:ind w:firstLine="437"/>
        <w:rPr>
          <w:bCs/>
          <w:sz w:val="24"/>
          <w:szCs w:val="18"/>
          <w:highlight w:val="none"/>
        </w:rPr>
      </w:pPr>
      <w:r>
        <w:rPr>
          <w:rFonts w:hint="eastAsia"/>
          <w:bCs/>
          <w:sz w:val="24"/>
          <w:szCs w:val="18"/>
          <w:highlight w:val="none"/>
        </w:rPr>
        <w:t>（6）综合单价中应包括采购文件约定的应由供应商承担的风险范围及其费用，风险按本采购文件约定计算。</w:t>
      </w:r>
    </w:p>
    <w:p w14:paraId="38A34F44">
      <w:pPr>
        <w:spacing w:line="360" w:lineRule="auto"/>
        <w:ind w:firstLine="437"/>
        <w:rPr>
          <w:bCs/>
          <w:sz w:val="24"/>
          <w:szCs w:val="18"/>
          <w:highlight w:val="none"/>
        </w:rPr>
      </w:pPr>
      <w:r>
        <w:rPr>
          <w:rFonts w:hint="eastAsia"/>
          <w:bCs/>
          <w:sz w:val="24"/>
          <w:szCs w:val="18"/>
          <w:highlight w:val="none"/>
        </w:rPr>
        <w:t>5.1.4 措施项目清单费按本采购文件中的措施项目清单，应根据拟定的采购文件和常规施工方案以及计价规范的规定确定。对于施工机械设备的选型根据工程特点和施工条件，本着经济实用、先进高效的原则确定。其中不可竞争性的措施费用严格按照国家和省的有关规定计算。竞争性的措施费用依据项目具体情况进行合理确定。</w:t>
      </w:r>
    </w:p>
    <w:p w14:paraId="26AB8D71">
      <w:pPr>
        <w:spacing w:line="360" w:lineRule="auto"/>
        <w:ind w:firstLine="437"/>
        <w:rPr>
          <w:bCs/>
          <w:sz w:val="24"/>
          <w:szCs w:val="18"/>
          <w:highlight w:val="none"/>
        </w:rPr>
      </w:pPr>
      <w:r>
        <w:rPr>
          <w:rFonts w:hint="eastAsia"/>
          <w:bCs/>
          <w:sz w:val="24"/>
          <w:szCs w:val="18"/>
          <w:highlight w:val="none"/>
        </w:rPr>
        <w:t>5.1.5 其他项目费用应按照下列规定计价：</w:t>
      </w:r>
    </w:p>
    <w:p w14:paraId="0F08F36C">
      <w:pPr>
        <w:spacing w:line="360" w:lineRule="auto"/>
        <w:ind w:firstLine="437"/>
        <w:rPr>
          <w:bCs/>
          <w:sz w:val="24"/>
          <w:szCs w:val="18"/>
          <w:highlight w:val="none"/>
        </w:rPr>
      </w:pPr>
      <w:r>
        <w:rPr>
          <w:rFonts w:hint="eastAsia"/>
          <w:bCs/>
          <w:sz w:val="24"/>
          <w:szCs w:val="18"/>
          <w:highlight w:val="none"/>
        </w:rPr>
        <w:t>（1）暂列金额、专业工程暂估价应按工程量清单中列出的金额填写；</w:t>
      </w:r>
    </w:p>
    <w:p w14:paraId="37279B09">
      <w:pPr>
        <w:spacing w:line="360" w:lineRule="auto"/>
        <w:ind w:firstLine="437"/>
        <w:rPr>
          <w:bCs/>
          <w:sz w:val="24"/>
          <w:szCs w:val="18"/>
          <w:highlight w:val="none"/>
        </w:rPr>
      </w:pPr>
      <w:r>
        <w:rPr>
          <w:rFonts w:hint="eastAsia"/>
          <w:bCs/>
          <w:sz w:val="24"/>
          <w:szCs w:val="18"/>
          <w:highlight w:val="none"/>
        </w:rPr>
        <w:t>（2）暂估价中的材料、工程设备单价应按工程量清单列出的单价计入工程单价。</w:t>
      </w:r>
    </w:p>
    <w:p w14:paraId="6FF9925A">
      <w:pPr>
        <w:spacing w:line="360" w:lineRule="auto"/>
        <w:ind w:firstLine="437"/>
        <w:rPr>
          <w:bCs/>
          <w:sz w:val="24"/>
          <w:szCs w:val="18"/>
          <w:highlight w:val="none"/>
        </w:rPr>
      </w:pPr>
      <w:r>
        <w:rPr>
          <w:rFonts w:hint="eastAsia"/>
          <w:bCs/>
          <w:sz w:val="24"/>
          <w:szCs w:val="18"/>
          <w:highlight w:val="none"/>
        </w:rPr>
        <w:t>（3）零星工作项目按采购人在零星工作项目表中列出的人工、材料、机械数量，结合本章第5.1.2项编制依据的要求确定综合单价并计算人工、材料、机械费用；</w:t>
      </w:r>
    </w:p>
    <w:p w14:paraId="54CA6C71">
      <w:pPr>
        <w:spacing w:line="360" w:lineRule="auto"/>
        <w:ind w:firstLine="437"/>
        <w:rPr>
          <w:bCs/>
          <w:sz w:val="24"/>
          <w:szCs w:val="18"/>
          <w:highlight w:val="none"/>
        </w:rPr>
      </w:pPr>
      <w:r>
        <w:rPr>
          <w:rFonts w:hint="eastAsia"/>
          <w:bCs/>
          <w:sz w:val="24"/>
          <w:szCs w:val="18"/>
          <w:highlight w:val="none"/>
        </w:rPr>
        <w:t>（4）总包服务费应根据采购文件列出的内容和要求估算。</w:t>
      </w:r>
    </w:p>
    <w:p w14:paraId="7FEA9AD3">
      <w:pPr>
        <w:spacing w:line="360" w:lineRule="auto"/>
        <w:ind w:firstLine="437"/>
        <w:rPr>
          <w:bCs/>
          <w:sz w:val="24"/>
          <w:szCs w:val="18"/>
          <w:highlight w:val="none"/>
        </w:rPr>
      </w:pPr>
      <w:r>
        <w:rPr>
          <w:rFonts w:hint="eastAsia"/>
          <w:bCs/>
          <w:sz w:val="24"/>
          <w:szCs w:val="18"/>
          <w:highlight w:val="none"/>
        </w:rPr>
        <w:t>5.1.6 不可竞争费（含安全文明施工费、环境保护税）、税金按本采购文件中的不可竞争费（含安全文明施工费、环境保护税）、税金项目清单，结合本章第5.1.2项编制依据的要求编制。不可竞争性费用应严格按国家、省、市的有关规定及工程量清单、采购文件规定计取，不得降低标准。</w:t>
      </w:r>
    </w:p>
    <w:p w14:paraId="6495E8FE">
      <w:pPr>
        <w:spacing w:line="360" w:lineRule="auto"/>
        <w:ind w:firstLine="437"/>
        <w:rPr>
          <w:bCs/>
          <w:sz w:val="24"/>
          <w:szCs w:val="18"/>
          <w:highlight w:val="none"/>
        </w:rPr>
      </w:pPr>
      <w:r>
        <w:rPr>
          <w:rFonts w:hint="eastAsia"/>
          <w:bCs/>
          <w:sz w:val="24"/>
          <w:szCs w:val="18"/>
          <w:highlight w:val="none"/>
        </w:rPr>
        <w:t>5.1.7 工程量清单的核实与调整</w:t>
      </w:r>
    </w:p>
    <w:p w14:paraId="22A3047F">
      <w:pPr>
        <w:spacing w:line="360" w:lineRule="auto"/>
        <w:ind w:firstLine="437"/>
        <w:rPr>
          <w:bCs/>
          <w:sz w:val="24"/>
          <w:szCs w:val="18"/>
          <w:highlight w:val="none"/>
        </w:rPr>
      </w:pPr>
      <w:r>
        <w:rPr>
          <w:rFonts w:hint="eastAsia"/>
          <w:bCs/>
          <w:sz w:val="24"/>
          <w:szCs w:val="18"/>
          <w:highlight w:val="none"/>
        </w:rPr>
        <w:t>（1）本工程在发放工程量清单、最高限价后，供应商应对工程量清单和最高限价等数据进行复核。如供应商认为数据有误，可在提交首次响应文件截止时间前按疑问提交时限要求书面提出。如在规定时间内未提出书面异议的，工程量清单和最高限价将作为判定响应报价是否低于成本价的依据之一（工程量清单或最高限价出现重大错误除外）。</w:t>
      </w:r>
    </w:p>
    <w:p w14:paraId="783096C1">
      <w:pPr>
        <w:spacing w:line="360" w:lineRule="auto"/>
        <w:ind w:firstLine="437"/>
        <w:rPr>
          <w:bCs/>
          <w:sz w:val="24"/>
          <w:szCs w:val="18"/>
          <w:highlight w:val="none"/>
        </w:rPr>
      </w:pPr>
      <w:r>
        <w:rPr>
          <w:rFonts w:hint="eastAsia"/>
          <w:bCs/>
          <w:sz w:val="24"/>
          <w:szCs w:val="18"/>
          <w:highlight w:val="none"/>
        </w:rPr>
        <w:t>若供应商未按规定的时间前对清单和最高限价未提出相关书面异议，视同认可工程量清单和最高限价编制合理。成交后，供应商应按其报价完成采购范围和图纸内的全部内容，不得以工程量清单和最高限价编制存在数量偏差、缺漏项或者不合理提出各种形式的索赔。</w:t>
      </w:r>
    </w:p>
    <w:p w14:paraId="18FAC4FF">
      <w:pPr>
        <w:spacing w:line="360" w:lineRule="auto"/>
        <w:ind w:firstLine="437"/>
        <w:rPr>
          <w:bCs/>
          <w:sz w:val="24"/>
          <w:szCs w:val="18"/>
          <w:highlight w:val="none"/>
        </w:rPr>
      </w:pPr>
      <w:r>
        <w:rPr>
          <w:rFonts w:hint="eastAsia"/>
          <w:bCs/>
          <w:sz w:val="24"/>
          <w:szCs w:val="18"/>
          <w:highlight w:val="none"/>
        </w:rPr>
        <w:t>（2）供应商成交后，合同价为固定总价，除经批准的设计变更、经济签证外，其它工程造价增减均不予调整合同价格。</w:t>
      </w:r>
    </w:p>
    <w:p w14:paraId="08433398">
      <w:pPr>
        <w:spacing w:line="360" w:lineRule="auto"/>
        <w:ind w:firstLine="437"/>
        <w:rPr>
          <w:bCs/>
          <w:sz w:val="24"/>
          <w:szCs w:val="18"/>
          <w:highlight w:val="none"/>
        </w:rPr>
      </w:pPr>
      <w:r>
        <w:rPr>
          <w:rFonts w:hint="eastAsia"/>
          <w:bCs/>
          <w:sz w:val="24"/>
          <w:szCs w:val="18"/>
          <w:highlight w:val="none"/>
        </w:rPr>
        <w:t>（3）提交首次响应文件截止时间前，供应商应认真对照设计图纸等文件核对采购人提供的工程量清单，发现工程量存在项目划分误差、计量单位误差、数量误差、缺漏项的，必须在采购文件规定的时间内向采购人提出异议或修正要求，否则采购人可不予答复。</w:t>
      </w:r>
    </w:p>
    <w:p w14:paraId="5F073D7F">
      <w:pPr>
        <w:spacing w:line="360" w:lineRule="auto"/>
        <w:ind w:firstLine="437"/>
        <w:rPr>
          <w:bCs/>
          <w:sz w:val="24"/>
          <w:szCs w:val="18"/>
          <w:highlight w:val="none"/>
        </w:rPr>
      </w:pPr>
      <w:r>
        <w:rPr>
          <w:rFonts w:hint="eastAsia"/>
          <w:bCs/>
          <w:sz w:val="24"/>
          <w:szCs w:val="18"/>
          <w:highlight w:val="none"/>
        </w:rPr>
        <w:t>（4）采购人对异议或修正要求应进行核实，确认工程量单项子目误差在±3%（含±3%）以内的，采购人可不予调整工程量，供应商应将其误差考虑在综合单价内；若有单项子目工程量误差超过±3%的，采购人应进行修正并重新公布工程量清单和最高限价（如需）；</w:t>
      </w:r>
    </w:p>
    <w:p w14:paraId="59094ED0">
      <w:pPr>
        <w:spacing w:line="360" w:lineRule="auto"/>
        <w:ind w:firstLine="437"/>
        <w:rPr>
          <w:bCs/>
          <w:sz w:val="24"/>
          <w:szCs w:val="18"/>
          <w:highlight w:val="none"/>
        </w:rPr>
      </w:pPr>
      <w:r>
        <w:rPr>
          <w:rFonts w:hint="eastAsia"/>
          <w:bCs/>
          <w:sz w:val="24"/>
          <w:szCs w:val="18"/>
          <w:highlight w:val="none"/>
        </w:rPr>
        <w:t>（5）供应商在前规定时间内未对工程量清单和最高限价提出异议的，将被视为已对照图纸等资料复核过工程量清单和最高限价，并对其中存在的误差已全部考虑在报价中，成交后，采购人不再对工程量清单的项目和数量进行调整。供应商必须按其报价完成采购文件规定范围内的设计图纸规定的所有工程项目。</w:t>
      </w:r>
    </w:p>
    <w:p w14:paraId="2BE9659A">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5.2 响应报价的编制依据</w:t>
      </w:r>
    </w:p>
    <w:p w14:paraId="6BE6EDC7">
      <w:pPr>
        <w:spacing w:line="360" w:lineRule="auto"/>
        <w:ind w:firstLine="437"/>
        <w:rPr>
          <w:bCs/>
          <w:sz w:val="24"/>
          <w:szCs w:val="18"/>
          <w:highlight w:val="none"/>
        </w:rPr>
      </w:pPr>
      <w:r>
        <w:rPr>
          <w:rFonts w:hint="eastAsia"/>
          <w:bCs/>
          <w:sz w:val="24"/>
          <w:szCs w:val="18"/>
          <w:highlight w:val="none"/>
        </w:rPr>
        <w:t>（1）现行的计价规范：《建设工程工程量清单计价规范》（GB50500-2013）；</w:t>
      </w:r>
    </w:p>
    <w:p w14:paraId="095A706A">
      <w:pPr>
        <w:spacing w:line="360" w:lineRule="auto"/>
        <w:ind w:firstLine="437"/>
        <w:rPr>
          <w:bCs/>
          <w:sz w:val="24"/>
          <w:szCs w:val="18"/>
          <w:highlight w:val="none"/>
        </w:rPr>
      </w:pPr>
      <w:r>
        <w:rPr>
          <w:rFonts w:hint="eastAsia"/>
          <w:bCs/>
          <w:sz w:val="24"/>
          <w:szCs w:val="18"/>
          <w:highlight w:val="none"/>
        </w:rPr>
        <w:t>（2）现行计价依据：《2018版安徽省建设工程计价依据动态调整（第1期）》；</w:t>
      </w:r>
    </w:p>
    <w:p w14:paraId="26F53406">
      <w:pPr>
        <w:spacing w:line="360" w:lineRule="auto"/>
        <w:ind w:firstLine="437"/>
        <w:rPr>
          <w:bCs/>
          <w:sz w:val="24"/>
          <w:szCs w:val="18"/>
          <w:highlight w:val="none"/>
        </w:rPr>
      </w:pPr>
      <w:r>
        <w:rPr>
          <w:rFonts w:hint="eastAsia"/>
          <w:bCs/>
          <w:sz w:val="24"/>
          <w:szCs w:val="18"/>
          <w:highlight w:val="none"/>
        </w:rPr>
        <w:t>（3）建设工程设计文件及相关资料；</w:t>
      </w:r>
    </w:p>
    <w:p w14:paraId="6C1E0387">
      <w:pPr>
        <w:spacing w:line="360" w:lineRule="auto"/>
        <w:ind w:firstLine="437"/>
        <w:rPr>
          <w:bCs/>
          <w:sz w:val="24"/>
          <w:szCs w:val="18"/>
          <w:highlight w:val="none"/>
        </w:rPr>
      </w:pPr>
      <w:r>
        <w:rPr>
          <w:rFonts w:hint="eastAsia"/>
          <w:bCs/>
          <w:sz w:val="24"/>
          <w:szCs w:val="18"/>
          <w:highlight w:val="none"/>
        </w:rPr>
        <w:t>（4）采购文件及工程量清单及其答疑、澄清、修改；</w:t>
      </w:r>
    </w:p>
    <w:p w14:paraId="7B4ADD32">
      <w:pPr>
        <w:spacing w:line="360" w:lineRule="auto"/>
        <w:ind w:firstLine="437"/>
        <w:rPr>
          <w:bCs/>
          <w:sz w:val="24"/>
          <w:szCs w:val="18"/>
          <w:highlight w:val="none"/>
        </w:rPr>
      </w:pPr>
      <w:r>
        <w:rPr>
          <w:rFonts w:hint="eastAsia"/>
          <w:bCs/>
          <w:sz w:val="24"/>
          <w:szCs w:val="18"/>
          <w:highlight w:val="none"/>
        </w:rPr>
        <w:t>（5）与建设工程有关的标准、规范、技术资料；</w:t>
      </w:r>
    </w:p>
    <w:p w14:paraId="27A31050">
      <w:pPr>
        <w:spacing w:line="360" w:lineRule="auto"/>
        <w:ind w:firstLine="437"/>
        <w:rPr>
          <w:bCs/>
          <w:sz w:val="24"/>
          <w:szCs w:val="18"/>
          <w:highlight w:val="none"/>
        </w:rPr>
      </w:pPr>
      <w:r>
        <w:rPr>
          <w:rFonts w:hint="eastAsia"/>
          <w:bCs/>
          <w:sz w:val="24"/>
          <w:szCs w:val="18"/>
          <w:highlight w:val="none"/>
        </w:rPr>
        <w:t>（6）施工现场情况、工程特点及响应文件中拟定的施工组织设计。</w:t>
      </w:r>
    </w:p>
    <w:p w14:paraId="2BD4BF53">
      <w:pPr>
        <w:spacing w:line="360" w:lineRule="auto"/>
        <w:ind w:firstLine="437"/>
        <w:rPr>
          <w:bCs/>
          <w:sz w:val="24"/>
          <w:szCs w:val="18"/>
          <w:highlight w:val="none"/>
        </w:rPr>
      </w:pPr>
      <w:r>
        <w:rPr>
          <w:rFonts w:hint="eastAsia"/>
          <w:bCs/>
          <w:sz w:val="24"/>
          <w:szCs w:val="18"/>
          <w:highlight w:val="none"/>
        </w:rPr>
        <w:t>（7）市场价格信息，或参照工程造价管理机构发布的工程造价信息。</w:t>
      </w:r>
    </w:p>
    <w:p w14:paraId="6A61703B">
      <w:pPr>
        <w:spacing w:line="360" w:lineRule="auto"/>
        <w:ind w:firstLine="437"/>
        <w:rPr>
          <w:bCs/>
          <w:sz w:val="24"/>
          <w:szCs w:val="18"/>
          <w:highlight w:val="none"/>
        </w:rPr>
      </w:pPr>
      <w:r>
        <w:rPr>
          <w:rFonts w:hint="eastAsia"/>
          <w:bCs/>
          <w:sz w:val="24"/>
          <w:szCs w:val="18"/>
          <w:highlight w:val="none"/>
        </w:rPr>
        <w:t>（8）合同执行期间由供应商承担的风险因素。</w:t>
      </w:r>
    </w:p>
    <w:p w14:paraId="1935D929">
      <w:pPr>
        <w:spacing w:line="360" w:lineRule="auto"/>
        <w:ind w:firstLine="437"/>
        <w:rPr>
          <w:bCs/>
          <w:sz w:val="24"/>
          <w:szCs w:val="18"/>
          <w:highlight w:val="none"/>
        </w:rPr>
      </w:pPr>
      <w:r>
        <w:rPr>
          <w:rFonts w:hint="eastAsia"/>
          <w:bCs/>
          <w:sz w:val="24"/>
          <w:szCs w:val="18"/>
          <w:highlight w:val="none"/>
        </w:rPr>
        <w:t>（9）其他相关资料。</w:t>
      </w:r>
    </w:p>
    <w:p w14:paraId="3AF09ECF">
      <w:pPr>
        <w:spacing w:line="360" w:lineRule="auto"/>
        <w:ind w:firstLine="480"/>
        <w:rPr>
          <w:rFonts w:ascii="宋体" w:hAnsi="宋体" w:eastAsia="宋体" w:cs="宋体"/>
          <w:b/>
          <w:sz w:val="24"/>
          <w:highlight w:val="none"/>
        </w:rPr>
      </w:pPr>
      <w:r>
        <w:rPr>
          <w:rFonts w:hint="eastAsia" w:ascii="宋体" w:hAnsi="宋体" w:eastAsia="宋体" w:cs="宋体"/>
          <w:b/>
          <w:sz w:val="24"/>
          <w:highlight w:val="none"/>
        </w:rPr>
        <w:t>5.3 响应报价的编制要求</w:t>
      </w:r>
    </w:p>
    <w:p w14:paraId="7409E7B3">
      <w:pPr>
        <w:spacing w:line="360" w:lineRule="auto"/>
        <w:ind w:firstLine="437"/>
        <w:rPr>
          <w:bCs/>
          <w:sz w:val="24"/>
          <w:szCs w:val="18"/>
          <w:highlight w:val="none"/>
        </w:rPr>
      </w:pPr>
      <w:r>
        <w:rPr>
          <w:rFonts w:hint="eastAsia"/>
          <w:bCs/>
          <w:sz w:val="24"/>
          <w:szCs w:val="18"/>
          <w:highlight w:val="none"/>
        </w:rPr>
        <w:t>5.3.1 供应商应仔细阅读采购文件，了解采购项目的全部工程内容。供应商的响应报价应是采购文件所确定的采购范围内全部工程内容的价格体现，但其响应报价不得低于供应商个别成本价。供应商不得以自有机械闲置、自有材料为由等不计成本地进行报价。</w:t>
      </w:r>
    </w:p>
    <w:p w14:paraId="40E4D327">
      <w:pPr>
        <w:spacing w:line="360" w:lineRule="auto"/>
        <w:ind w:firstLine="437"/>
        <w:rPr>
          <w:bCs/>
          <w:sz w:val="24"/>
          <w:szCs w:val="18"/>
          <w:highlight w:val="none"/>
        </w:rPr>
      </w:pPr>
      <w:r>
        <w:rPr>
          <w:rFonts w:hint="eastAsia"/>
          <w:bCs/>
          <w:sz w:val="24"/>
          <w:szCs w:val="18"/>
          <w:highlight w:val="none"/>
        </w:rPr>
        <w:t>5.3.2 除非采购人对采购文件予以澄清、修改，否则供应商应按采购人提供的工程量清单中列出的工程项目和工程量逐项填报综合单价和合价。供应商不得在工程量清单中任意增删、修改清单项目与工程量及项目排列顺序。</w:t>
      </w:r>
    </w:p>
    <w:p w14:paraId="3B940B8D">
      <w:pPr>
        <w:spacing w:line="360" w:lineRule="auto"/>
        <w:ind w:firstLine="437"/>
        <w:rPr>
          <w:bCs/>
          <w:sz w:val="24"/>
          <w:szCs w:val="18"/>
          <w:highlight w:val="none"/>
        </w:rPr>
      </w:pPr>
      <w:r>
        <w:rPr>
          <w:rFonts w:hint="eastAsia"/>
          <w:bCs/>
          <w:sz w:val="24"/>
          <w:szCs w:val="18"/>
          <w:highlight w:val="none"/>
        </w:rPr>
        <w:t>5.3.3 为满足工程建设标准和技术规范要求所发生的费用应包括在响应报价中。响应报价为供应商在响应文件中提出的各项支付金额的总和。除不可竞争费用外，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02BFA525">
      <w:pPr>
        <w:spacing w:line="360" w:lineRule="auto"/>
        <w:ind w:firstLine="437"/>
        <w:rPr>
          <w:bCs/>
          <w:sz w:val="24"/>
          <w:szCs w:val="18"/>
          <w:highlight w:val="none"/>
        </w:rPr>
      </w:pPr>
      <w:r>
        <w:rPr>
          <w:rFonts w:hint="eastAsia"/>
          <w:bCs/>
          <w:sz w:val="24"/>
          <w:szCs w:val="18"/>
          <w:highlight w:val="none"/>
        </w:rPr>
        <w:t>5.3.4 关于工程所需的材料和设备的供应方式和报价等要求：</w:t>
      </w:r>
    </w:p>
    <w:p w14:paraId="215B514C">
      <w:pPr>
        <w:spacing w:line="360" w:lineRule="auto"/>
        <w:ind w:firstLine="437"/>
        <w:rPr>
          <w:bCs/>
          <w:sz w:val="24"/>
          <w:szCs w:val="18"/>
          <w:highlight w:val="none"/>
        </w:rPr>
      </w:pPr>
      <w:r>
        <w:rPr>
          <w:rFonts w:hint="eastAsia"/>
          <w:bCs/>
          <w:sz w:val="24"/>
          <w:szCs w:val="18"/>
          <w:highlight w:val="none"/>
        </w:rPr>
        <w:t>（1）本工程使用的设备材料，除图纸、采购文件及补充答疑文件明确注明甲供或甲定乙供外，均由承包方采购供应；设备材料采购前，其厂家、规格、型号、质量须报采购人、监理单位认可及批准方可采购，同时设备材料进场也须经采购人、监理方认可后方可使用。如果供应商采购的设备、材料不符合设计图纸、技术规范、标准、参考品牌及采购人的要求，采购人将有权同监理单位等共同确定设备材料的品牌、厂家、规格、型号、质量，并交由施工单位采购，若采购人确定的设备材料品牌及产品的价格超过响应报价中的价格，则按响应文件中的报价进行结算，若采购人确定的设备材料品牌及产品的价格低于响应报价中的价格，则按采购人确定的品牌价格进行结算，供应商一旦递交响应文件，视为无条件的同意及执行此项条款的要求。施工过程中违反规定的，视为违约，因此影响工期的总工期不顺延，同时由此造成的其他一切损失由承包人自行承担。</w:t>
      </w:r>
    </w:p>
    <w:p w14:paraId="5A2E3B9E">
      <w:pPr>
        <w:spacing w:line="360" w:lineRule="auto"/>
        <w:ind w:firstLine="437"/>
        <w:rPr>
          <w:bCs/>
          <w:sz w:val="24"/>
          <w:szCs w:val="18"/>
          <w:highlight w:val="none"/>
        </w:rPr>
      </w:pPr>
      <w:r>
        <w:rPr>
          <w:rFonts w:hint="eastAsia"/>
          <w:bCs/>
          <w:sz w:val="24"/>
          <w:szCs w:val="18"/>
          <w:highlight w:val="none"/>
        </w:rPr>
        <w:t>（2）除甲供材、实行暂定价的材料和合同约定价格可调的材料（如有）以外，由供应商自行采购的材料确定报价时应充分考虑材料价格上涨等市场风险因素，成交后不作调整。综合单价中的材料费应包括材料运杂费、运输损耗费、采购及保管费，材料的试验检验费由供应商考虑在综合费中。</w:t>
      </w:r>
    </w:p>
    <w:p w14:paraId="09D925E6">
      <w:pPr>
        <w:spacing w:line="360" w:lineRule="auto"/>
        <w:ind w:firstLine="437"/>
        <w:rPr>
          <w:bCs/>
          <w:sz w:val="24"/>
          <w:szCs w:val="18"/>
          <w:highlight w:val="none"/>
        </w:rPr>
      </w:pPr>
      <w:r>
        <w:rPr>
          <w:rFonts w:hint="eastAsia"/>
          <w:bCs/>
          <w:sz w:val="24"/>
          <w:szCs w:val="18"/>
          <w:highlight w:val="none"/>
        </w:rPr>
        <w:t>（3）结算时实行暂定价的材料和设备的价差仅计取税金，不再计取其他费用。</w:t>
      </w:r>
    </w:p>
    <w:p w14:paraId="6C341FDF">
      <w:pPr>
        <w:spacing w:line="360" w:lineRule="auto"/>
        <w:ind w:firstLine="437"/>
        <w:rPr>
          <w:bCs/>
          <w:sz w:val="24"/>
          <w:szCs w:val="18"/>
          <w:highlight w:val="none"/>
        </w:rPr>
      </w:pPr>
      <w:r>
        <w:rPr>
          <w:rFonts w:hint="eastAsia"/>
          <w:bCs/>
          <w:sz w:val="24"/>
          <w:szCs w:val="18"/>
          <w:highlight w:val="none"/>
        </w:rPr>
        <w:t>5.3.5 本项目施工所需的水、电的接入点由供应商自行踏勘现场并充分考虑确定，供应商报价时须充分考虑此部分费用及风险并含在报价中。供应商成交后，采购人不再为此承担任何费用及责任。供应商在开工前将水、电接至施工场地范围内，场内临时管线及装表等其它工作费用也由供应商自行承担。</w:t>
      </w:r>
    </w:p>
    <w:p w14:paraId="5E630813">
      <w:pPr>
        <w:spacing w:line="360" w:lineRule="auto"/>
        <w:ind w:firstLine="437"/>
        <w:rPr>
          <w:bCs/>
          <w:sz w:val="24"/>
          <w:szCs w:val="18"/>
          <w:highlight w:val="none"/>
        </w:rPr>
      </w:pPr>
      <w:r>
        <w:rPr>
          <w:rFonts w:hint="eastAsia"/>
          <w:bCs/>
          <w:sz w:val="24"/>
          <w:szCs w:val="18"/>
          <w:highlight w:val="none"/>
        </w:rPr>
        <w:t>5.3.6 分部分项工程量清单费根据采购文件中的工程量清单项目及项目特征描述等确定综合单价。其中综合单价是指完成一个规定清单项目所需的人工费、材料和工程设备费、施工机具使用费和企业管理费、利润以及合同规定的供应商承担的风险费用。</w:t>
      </w:r>
    </w:p>
    <w:p w14:paraId="1C0F863F">
      <w:pPr>
        <w:spacing w:line="360" w:lineRule="auto"/>
        <w:ind w:firstLine="437"/>
        <w:rPr>
          <w:bCs/>
          <w:sz w:val="24"/>
          <w:szCs w:val="18"/>
          <w:highlight w:val="none"/>
        </w:rPr>
      </w:pPr>
      <w:r>
        <w:rPr>
          <w:rFonts w:hint="eastAsia"/>
          <w:bCs/>
          <w:sz w:val="24"/>
          <w:szCs w:val="18"/>
          <w:highlight w:val="none"/>
        </w:rPr>
        <w:t>5.3.7 措施项目清单费根据采购文件中的工程量清单措施项目，结合本章第5.1款编制依据确定。供应商对采购人所列的措施项目可根据工程实际情况结合施工组织设计进行增补，其中不可竞争性的措施费用严格按照采购文件规定计算，不得降低标准。</w:t>
      </w:r>
    </w:p>
    <w:p w14:paraId="5AD8BC9A">
      <w:pPr>
        <w:spacing w:line="360" w:lineRule="auto"/>
        <w:ind w:firstLine="437"/>
        <w:rPr>
          <w:bCs/>
          <w:sz w:val="24"/>
          <w:szCs w:val="18"/>
          <w:highlight w:val="none"/>
        </w:rPr>
      </w:pPr>
      <w:r>
        <w:rPr>
          <w:rFonts w:hint="eastAsia"/>
          <w:bCs/>
          <w:sz w:val="24"/>
          <w:szCs w:val="18"/>
          <w:highlight w:val="none"/>
        </w:rPr>
        <w:t>5.3.8 其他项目清单费应按照采购文件规定报价。其中暂列金额（预留金）、暂估价、暂定价、材料购置费用等均为估算金额。编制响应报价时计入总价，工程竣工后应按供应商实际完成的工程内容结算。</w:t>
      </w:r>
    </w:p>
    <w:p w14:paraId="7D57D203">
      <w:pPr>
        <w:spacing w:line="360" w:lineRule="auto"/>
        <w:ind w:firstLine="437"/>
        <w:rPr>
          <w:bCs/>
          <w:sz w:val="24"/>
          <w:szCs w:val="18"/>
          <w:highlight w:val="none"/>
        </w:rPr>
      </w:pPr>
      <w:r>
        <w:rPr>
          <w:rFonts w:hint="eastAsia"/>
          <w:bCs/>
          <w:sz w:val="24"/>
          <w:szCs w:val="18"/>
          <w:highlight w:val="none"/>
        </w:rPr>
        <w:t>5.3.9 税金应采用增值税模式，供应商依据现行文件要求计取增值税，不得降低标准。</w:t>
      </w:r>
    </w:p>
    <w:p w14:paraId="076D825A">
      <w:pPr>
        <w:spacing w:line="360" w:lineRule="auto"/>
        <w:ind w:firstLine="437"/>
        <w:rPr>
          <w:bCs/>
          <w:sz w:val="24"/>
          <w:szCs w:val="18"/>
          <w:highlight w:val="none"/>
        </w:rPr>
      </w:pPr>
      <w:r>
        <w:rPr>
          <w:rFonts w:hint="eastAsia"/>
          <w:bCs/>
          <w:sz w:val="24"/>
          <w:szCs w:val="18"/>
          <w:highlight w:val="none"/>
        </w:rPr>
        <w:t>5.3.10 供应商的响应报价由不可竞争费用和可竞争费用构成。不可竞争费用（规费）不得低于下表有关费用标准，报价时不得降低标准。</w:t>
      </w:r>
    </w:p>
    <w:p w14:paraId="13559D90">
      <w:pPr>
        <w:spacing w:line="360" w:lineRule="auto"/>
        <w:ind w:firstLine="437"/>
        <w:rPr>
          <w:bCs/>
          <w:sz w:val="24"/>
          <w:szCs w:val="18"/>
          <w:highlight w:val="none"/>
        </w:rPr>
      </w:pPr>
      <w:r>
        <w:rPr>
          <w:rFonts w:hint="eastAsia"/>
          <w:bCs/>
          <w:sz w:val="24"/>
          <w:szCs w:val="18"/>
          <w:highlight w:val="none"/>
        </w:rPr>
        <w:t>（1）措施费中的不可竞争费用（见下表）</w:t>
      </w:r>
    </w:p>
    <w:tbl>
      <w:tblPr>
        <w:tblStyle w:val="5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6"/>
        <w:gridCol w:w="2227"/>
        <w:gridCol w:w="2133"/>
        <w:gridCol w:w="2255"/>
      </w:tblGrid>
      <w:tr w14:paraId="0E6B4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vMerge w:val="restart"/>
            <w:tcBorders>
              <w:top w:val="single" w:color="auto" w:sz="4" w:space="0"/>
              <w:left w:val="single" w:color="auto" w:sz="4" w:space="0"/>
              <w:bottom w:val="single" w:color="auto" w:sz="4" w:space="0"/>
              <w:right w:val="single" w:color="auto" w:sz="4" w:space="0"/>
            </w:tcBorders>
            <w:vAlign w:val="center"/>
          </w:tcPr>
          <w:p w14:paraId="6BBDC7AB">
            <w:pPr>
              <w:spacing w:line="360" w:lineRule="auto"/>
              <w:jc w:val="center"/>
              <w:rPr>
                <w:bCs/>
                <w:sz w:val="24"/>
                <w:szCs w:val="18"/>
                <w:highlight w:val="none"/>
              </w:rPr>
            </w:pPr>
            <w:r>
              <w:rPr>
                <w:rFonts w:hint="eastAsia"/>
                <w:bCs/>
                <w:sz w:val="24"/>
                <w:szCs w:val="18"/>
                <w:highlight w:val="none"/>
              </w:rPr>
              <w:t>项目名称</w:t>
            </w:r>
          </w:p>
        </w:tc>
        <w:tc>
          <w:tcPr>
            <w:tcW w:w="2227" w:type="dxa"/>
            <w:vMerge w:val="restart"/>
            <w:tcBorders>
              <w:top w:val="single" w:color="auto" w:sz="4" w:space="0"/>
              <w:left w:val="single" w:color="auto" w:sz="4" w:space="0"/>
              <w:bottom w:val="single" w:color="auto" w:sz="4" w:space="0"/>
              <w:right w:val="single" w:color="auto" w:sz="4" w:space="0"/>
            </w:tcBorders>
            <w:vAlign w:val="center"/>
          </w:tcPr>
          <w:p w14:paraId="7DF3011C">
            <w:pPr>
              <w:spacing w:line="360" w:lineRule="auto"/>
              <w:jc w:val="center"/>
              <w:rPr>
                <w:bCs/>
                <w:sz w:val="24"/>
                <w:szCs w:val="18"/>
                <w:highlight w:val="none"/>
              </w:rPr>
            </w:pPr>
            <w:r>
              <w:rPr>
                <w:rFonts w:hint="eastAsia"/>
                <w:bCs/>
                <w:sz w:val="24"/>
                <w:szCs w:val="18"/>
                <w:highlight w:val="none"/>
              </w:rPr>
              <w:t>计费基础</w:t>
            </w:r>
          </w:p>
        </w:tc>
        <w:tc>
          <w:tcPr>
            <w:tcW w:w="4388" w:type="dxa"/>
            <w:gridSpan w:val="2"/>
            <w:tcBorders>
              <w:top w:val="single" w:color="auto" w:sz="4" w:space="0"/>
              <w:left w:val="single" w:color="auto" w:sz="4" w:space="0"/>
              <w:bottom w:val="single" w:color="auto" w:sz="4" w:space="0"/>
              <w:right w:val="single" w:color="auto" w:sz="4" w:space="0"/>
            </w:tcBorders>
            <w:vAlign w:val="center"/>
          </w:tcPr>
          <w:p w14:paraId="72995304">
            <w:pPr>
              <w:spacing w:line="360" w:lineRule="auto"/>
              <w:jc w:val="center"/>
              <w:rPr>
                <w:bCs/>
                <w:sz w:val="24"/>
                <w:szCs w:val="18"/>
                <w:highlight w:val="none"/>
              </w:rPr>
            </w:pPr>
            <w:r>
              <w:rPr>
                <w:rFonts w:hint="eastAsia"/>
                <w:bCs/>
                <w:sz w:val="24"/>
                <w:szCs w:val="18"/>
                <w:highlight w:val="none"/>
              </w:rPr>
              <w:t>费率（%）</w:t>
            </w:r>
          </w:p>
        </w:tc>
      </w:tr>
      <w:tr w14:paraId="718C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vMerge w:val="continue"/>
            <w:tcBorders>
              <w:top w:val="single" w:color="auto" w:sz="4" w:space="0"/>
              <w:left w:val="single" w:color="auto" w:sz="4" w:space="0"/>
              <w:bottom w:val="single" w:color="auto" w:sz="4" w:space="0"/>
              <w:right w:val="single" w:color="auto" w:sz="4" w:space="0"/>
            </w:tcBorders>
            <w:vAlign w:val="center"/>
          </w:tcPr>
          <w:p w14:paraId="1DA2BB1E">
            <w:pPr>
              <w:spacing w:line="360" w:lineRule="auto"/>
              <w:jc w:val="center"/>
              <w:rPr>
                <w:bCs/>
                <w:sz w:val="24"/>
                <w:szCs w:val="18"/>
                <w:highlight w:val="none"/>
              </w:rPr>
            </w:pP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07105312">
            <w:pPr>
              <w:spacing w:line="360" w:lineRule="auto"/>
              <w:jc w:val="center"/>
              <w:rPr>
                <w:bCs/>
                <w:sz w:val="24"/>
                <w:szCs w:val="18"/>
                <w:highlight w:val="none"/>
              </w:rPr>
            </w:pPr>
          </w:p>
        </w:tc>
        <w:tc>
          <w:tcPr>
            <w:tcW w:w="2133" w:type="dxa"/>
            <w:vMerge w:val="restart"/>
            <w:tcBorders>
              <w:top w:val="single" w:color="auto" w:sz="4" w:space="0"/>
              <w:left w:val="single" w:color="auto" w:sz="4" w:space="0"/>
              <w:bottom w:val="single" w:color="000000" w:sz="4" w:space="0"/>
              <w:right w:val="single" w:color="auto" w:sz="4" w:space="0"/>
            </w:tcBorders>
            <w:vAlign w:val="center"/>
          </w:tcPr>
          <w:p w14:paraId="5C72ED47">
            <w:pPr>
              <w:spacing w:line="360" w:lineRule="auto"/>
              <w:jc w:val="center"/>
              <w:rPr>
                <w:bCs/>
                <w:sz w:val="24"/>
                <w:szCs w:val="18"/>
                <w:highlight w:val="none"/>
              </w:rPr>
            </w:pPr>
            <w:r>
              <w:rPr>
                <w:rFonts w:hint="eastAsia"/>
                <w:bCs/>
                <w:sz w:val="24"/>
                <w:szCs w:val="18"/>
                <w:highlight w:val="none"/>
              </w:rPr>
              <w:t>建筑工程</w:t>
            </w:r>
          </w:p>
        </w:tc>
        <w:tc>
          <w:tcPr>
            <w:tcW w:w="2255" w:type="dxa"/>
            <w:vMerge w:val="restart"/>
            <w:tcBorders>
              <w:top w:val="single" w:color="auto" w:sz="4" w:space="0"/>
              <w:left w:val="single" w:color="auto" w:sz="4" w:space="0"/>
              <w:right w:val="single" w:color="auto" w:sz="4" w:space="0"/>
            </w:tcBorders>
            <w:vAlign w:val="center"/>
          </w:tcPr>
          <w:p w14:paraId="44AF76DF">
            <w:pPr>
              <w:spacing w:line="360" w:lineRule="auto"/>
              <w:jc w:val="center"/>
              <w:rPr>
                <w:bCs/>
                <w:sz w:val="24"/>
                <w:szCs w:val="18"/>
                <w:highlight w:val="none"/>
              </w:rPr>
            </w:pPr>
            <w:r>
              <w:rPr>
                <w:rFonts w:hint="eastAsia"/>
                <w:bCs/>
                <w:sz w:val="24"/>
                <w:szCs w:val="18"/>
                <w:highlight w:val="none"/>
              </w:rPr>
              <w:t>市政公用工程</w:t>
            </w:r>
          </w:p>
        </w:tc>
      </w:tr>
      <w:tr w14:paraId="0063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976" w:type="dxa"/>
            <w:vMerge w:val="continue"/>
            <w:tcBorders>
              <w:top w:val="single" w:color="000000" w:sz="4" w:space="0"/>
              <w:left w:val="single" w:color="auto" w:sz="4" w:space="0"/>
              <w:bottom w:val="single" w:color="auto" w:sz="4" w:space="0"/>
              <w:right w:val="single" w:color="auto" w:sz="4" w:space="0"/>
            </w:tcBorders>
            <w:vAlign w:val="center"/>
          </w:tcPr>
          <w:p w14:paraId="2124961B">
            <w:pPr>
              <w:spacing w:line="360" w:lineRule="auto"/>
              <w:jc w:val="center"/>
              <w:rPr>
                <w:bCs/>
                <w:sz w:val="24"/>
                <w:szCs w:val="18"/>
                <w:highlight w:val="none"/>
              </w:rPr>
            </w:pPr>
          </w:p>
        </w:tc>
        <w:tc>
          <w:tcPr>
            <w:tcW w:w="2227" w:type="dxa"/>
            <w:vMerge w:val="continue"/>
            <w:tcBorders>
              <w:top w:val="single" w:color="000000" w:sz="4" w:space="0"/>
              <w:left w:val="single" w:color="auto" w:sz="4" w:space="0"/>
              <w:bottom w:val="single" w:color="auto" w:sz="4" w:space="0"/>
              <w:right w:val="single" w:color="auto" w:sz="4" w:space="0"/>
            </w:tcBorders>
            <w:vAlign w:val="center"/>
          </w:tcPr>
          <w:p w14:paraId="34A99000">
            <w:pPr>
              <w:spacing w:line="360" w:lineRule="auto"/>
              <w:jc w:val="center"/>
              <w:rPr>
                <w:bCs/>
                <w:sz w:val="24"/>
                <w:szCs w:val="18"/>
                <w:highlight w:val="none"/>
              </w:rPr>
            </w:pPr>
          </w:p>
        </w:tc>
        <w:tc>
          <w:tcPr>
            <w:tcW w:w="2133" w:type="dxa"/>
            <w:vMerge w:val="continue"/>
            <w:tcBorders>
              <w:top w:val="single" w:color="000000" w:sz="4" w:space="0"/>
              <w:left w:val="single" w:color="auto" w:sz="4" w:space="0"/>
              <w:bottom w:val="single" w:color="auto" w:sz="4" w:space="0"/>
              <w:right w:val="single" w:color="auto" w:sz="4" w:space="0"/>
            </w:tcBorders>
            <w:vAlign w:val="center"/>
          </w:tcPr>
          <w:p w14:paraId="57653DC4">
            <w:pPr>
              <w:spacing w:line="360" w:lineRule="auto"/>
              <w:jc w:val="center"/>
              <w:rPr>
                <w:bCs/>
                <w:sz w:val="24"/>
                <w:szCs w:val="18"/>
                <w:highlight w:val="none"/>
              </w:rPr>
            </w:pPr>
          </w:p>
        </w:tc>
        <w:tc>
          <w:tcPr>
            <w:tcW w:w="2255" w:type="dxa"/>
            <w:vMerge w:val="continue"/>
            <w:tcBorders>
              <w:left w:val="single" w:color="auto" w:sz="4" w:space="0"/>
              <w:bottom w:val="single" w:color="auto" w:sz="4" w:space="0"/>
              <w:right w:val="single" w:color="auto" w:sz="4" w:space="0"/>
            </w:tcBorders>
            <w:vAlign w:val="center"/>
          </w:tcPr>
          <w:p w14:paraId="21385E8D">
            <w:pPr>
              <w:spacing w:line="360" w:lineRule="auto"/>
              <w:jc w:val="center"/>
              <w:rPr>
                <w:bCs/>
                <w:sz w:val="24"/>
                <w:szCs w:val="18"/>
                <w:highlight w:val="none"/>
              </w:rPr>
            </w:pPr>
          </w:p>
        </w:tc>
      </w:tr>
      <w:tr w14:paraId="7947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000000" w:sz="4" w:space="0"/>
              <w:right w:val="single" w:color="auto" w:sz="4" w:space="0"/>
            </w:tcBorders>
            <w:vAlign w:val="center"/>
          </w:tcPr>
          <w:p w14:paraId="154F5E84">
            <w:pPr>
              <w:spacing w:line="360" w:lineRule="auto"/>
              <w:jc w:val="center"/>
              <w:rPr>
                <w:bCs/>
                <w:sz w:val="24"/>
                <w:szCs w:val="18"/>
                <w:highlight w:val="none"/>
              </w:rPr>
            </w:pPr>
            <w:r>
              <w:rPr>
                <w:rFonts w:hint="eastAsia"/>
                <w:bCs/>
                <w:sz w:val="24"/>
                <w:szCs w:val="18"/>
                <w:highlight w:val="none"/>
              </w:rPr>
              <w:t>环境保护费</w:t>
            </w:r>
          </w:p>
        </w:tc>
        <w:tc>
          <w:tcPr>
            <w:tcW w:w="2227" w:type="dxa"/>
            <w:vMerge w:val="restart"/>
            <w:tcBorders>
              <w:top w:val="single" w:color="auto" w:sz="4" w:space="0"/>
              <w:left w:val="single" w:color="auto" w:sz="4" w:space="0"/>
              <w:bottom w:val="single" w:color="auto" w:sz="4" w:space="0"/>
              <w:right w:val="single" w:color="auto" w:sz="4" w:space="0"/>
            </w:tcBorders>
            <w:vAlign w:val="center"/>
          </w:tcPr>
          <w:p w14:paraId="5A7F778F">
            <w:pPr>
              <w:spacing w:line="360" w:lineRule="auto"/>
              <w:jc w:val="center"/>
              <w:rPr>
                <w:bCs/>
                <w:sz w:val="24"/>
                <w:szCs w:val="18"/>
                <w:highlight w:val="none"/>
              </w:rPr>
            </w:pPr>
            <w:r>
              <w:rPr>
                <w:rFonts w:hint="eastAsia"/>
                <w:bCs/>
                <w:sz w:val="24"/>
                <w:szCs w:val="18"/>
                <w:highlight w:val="none"/>
              </w:rPr>
              <w:t>定额人工费+定额机械费</w:t>
            </w:r>
          </w:p>
        </w:tc>
        <w:tc>
          <w:tcPr>
            <w:tcW w:w="2133" w:type="dxa"/>
            <w:tcBorders>
              <w:top w:val="single" w:color="auto" w:sz="4" w:space="0"/>
              <w:left w:val="single" w:color="auto" w:sz="4" w:space="0"/>
              <w:bottom w:val="single" w:color="auto" w:sz="4" w:space="0"/>
              <w:right w:val="single" w:color="auto" w:sz="4" w:space="0"/>
            </w:tcBorders>
            <w:vAlign w:val="center"/>
          </w:tcPr>
          <w:p w14:paraId="3023143F">
            <w:pPr>
              <w:spacing w:line="360" w:lineRule="auto"/>
              <w:jc w:val="center"/>
              <w:rPr>
                <w:bCs/>
                <w:sz w:val="24"/>
                <w:szCs w:val="18"/>
                <w:highlight w:val="none"/>
              </w:rPr>
            </w:pPr>
            <w:r>
              <w:rPr>
                <w:rFonts w:hint="eastAsia"/>
                <w:bCs/>
                <w:sz w:val="24"/>
                <w:szCs w:val="18"/>
                <w:highlight w:val="none"/>
              </w:rPr>
              <w:t>3.28</w:t>
            </w:r>
          </w:p>
        </w:tc>
        <w:tc>
          <w:tcPr>
            <w:tcW w:w="2255" w:type="dxa"/>
            <w:tcBorders>
              <w:top w:val="single" w:color="auto" w:sz="4" w:space="0"/>
              <w:left w:val="single" w:color="auto" w:sz="4" w:space="0"/>
              <w:bottom w:val="single" w:color="auto" w:sz="4" w:space="0"/>
              <w:right w:val="single" w:color="auto" w:sz="4" w:space="0"/>
            </w:tcBorders>
            <w:vAlign w:val="center"/>
          </w:tcPr>
          <w:p w14:paraId="0F448A18">
            <w:pPr>
              <w:spacing w:line="360" w:lineRule="auto"/>
              <w:jc w:val="center"/>
              <w:rPr>
                <w:bCs/>
                <w:sz w:val="24"/>
                <w:szCs w:val="18"/>
                <w:highlight w:val="none"/>
              </w:rPr>
            </w:pPr>
            <w:r>
              <w:rPr>
                <w:rFonts w:hint="eastAsia"/>
                <w:bCs/>
                <w:sz w:val="24"/>
                <w:szCs w:val="18"/>
                <w:highlight w:val="none"/>
              </w:rPr>
              <w:t>3.57</w:t>
            </w:r>
          </w:p>
        </w:tc>
      </w:tr>
      <w:tr w14:paraId="216E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vAlign w:val="center"/>
          </w:tcPr>
          <w:p w14:paraId="3F08D203">
            <w:pPr>
              <w:spacing w:line="360" w:lineRule="auto"/>
              <w:jc w:val="center"/>
              <w:rPr>
                <w:bCs/>
                <w:sz w:val="24"/>
                <w:szCs w:val="18"/>
                <w:highlight w:val="none"/>
              </w:rPr>
            </w:pPr>
            <w:r>
              <w:rPr>
                <w:rFonts w:hint="eastAsia"/>
                <w:bCs/>
                <w:sz w:val="24"/>
                <w:szCs w:val="18"/>
                <w:highlight w:val="none"/>
              </w:rPr>
              <w:t>文明施工费</w:t>
            </w: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3494B37A">
            <w:pPr>
              <w:spacing w:line="360" w:lineRule="auto"/>
              <w:jc w:val="center"/>
              <w:rPr>
                <w:bCs/>
                <w:sz w:val="24"/>
                <w:szCs w:val="18"/>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0E20A2CF">
            <w:pPr>
              <w:spacing w:line="360" w:lineRule="auto"/>
              <w:jc w:val="center"/>
              <w:rPr>
                <w:bCs/>
                <w:sz w:val="24"/>
                <w:szCs w:val="18"/>
                <w:highlight w:val="none"/>
              </w:rPr>
            </w:pPr>
            <w:r>
              <w:rPr>
                <w:rFonts w:hint="eastAsia"/>
                <w:bCs/>
                <w:sz w:val="24"/>
                <w:szCs w:val="18"/>
                <w:highlight w:val="none"/>
              </w:rPr>
              <w:t>5.12</w:t>
            </w:r>
          </w:p>
        </w:tc>
        <w:tc>
          <w:tcPr>
            <w:tcW w:w="2255" w:type="dxa"/>
            <w:tcBorders>
              <w:top w:val="single" w:color="auto" w:sz="4" w:space="0"/>
              <w:left w:val="single" w:color="auto" w:sz="4" w:space="0"/>
              <w:bottom w:val="single" w:color="auto" w:sz="4" w:space="0"/>
              <w:right w:val="single" w:color="auto" w:sz="4" w:space="0"/>
            </w:tcBorders>
            <w:vAlign w:val="center"/>
          </w:tcPr>
          <w:p w14:paraId="65A614C2">
            <w:pPr>
              <w:spacing w:line="360" w:lineRule="auto"/>
              <w:jc w:val="center"/>
              <w:rPr>
                <w:bCs/>
                <w:sz w:val="24"/>
                <w:szCs w:val="18"/>
                <w:highlight w:val="none"/>
              </w:rPr>
            </w:pPr>
            <w:r>
              <w:rPr>
                <w:rFonts w:hint="eastAsia"/>
                <w:bCs/>
                <w:sz w:val="24"/>
                <w:szCs w:val="18"/>
                <w:highlight w:val="none"/>
              </w:rPr>
              <w:t>7.33</w:t>
            </w:r>
          </w:p>
        </w:tc>
      </w:tr>
      <w:tr w14:paraId="6A6E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vAlign w:val="center"/>
          </w:tcPr>
          <w:p w14:paraId="57173014">
            <w:pPr>
              <w:spacing w:line="360" w:lineRule="auto"/>
              <w:jc w:val="center"/>
              <w:rPr>
                <w:bCs/>
                <w:sz w:val="24"/>
                <w:szCs w:val="18"/>
                <w:highlight w:val="none"/>
              </w:rPr>
            </w:pPr>
            <w:r>
              <w:rPr>
                <w:rFonts w:hint="eastAsia"/>
                <w:bCs/>
                <w:sz w:val="24"/>
                <w:szCs w:val="18"/>
                <w:highlight w:val="none"/>
              </w:rPr>
              <w:t>安全施工费</w:t>
            </w: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3FC4C21B">
            <w:pPr>
              <w:spacing w:line="360" w:lineRule="auto"/>
              <w:jc w:val="center"/>
              <w:rPr>
                <w:bCs/>
                <w:sz w:val="24"/>
                <w:szCs w:val="18"/>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4ACDE3A3">
            <w:pPr>
              <w:spacing w:line="360" w:lineRule="auto"/>
              <w:jc w:val="center"/>
              <w:rPr>
                <w:bCs/>
                <w:sz w:val="24"/>
                <w:szCs w:val="18"/>
                <w:highlight w:val="none"/>
              </w:rPr>
            </w:pPr>
            <w:r>
              <w:rPr>
                <w:rFonts w:hint="eastAsia"/>
                <w:bCs/>
                <w:sz w:val="24"/>
                <w:szCs w:val="18"/>
                <w:highlight w:val="none"/>
              </w:rPr>
              <w:t>4.13</w:t>
            </w:r>
          </w:p>
        </w:tc>
        <w:tc>
          <w:tcPr>
            <w:tcW w:w="2255" w:type="dxa"/>
            <w:tcBorders>
              <w:top w:val="single" w:color="auto" w:sz="4" w:space="0"/>
              <w:left w:val="single" w:color="auto" w:sz="4" w:space="0"/>
              <w:bottom w:val="single" w:color="auto" w:sz="4" w:space="0"/>
              <w:right w:val="single" w:color="auto" w:sz="4" w:space="0"/>
            </w:tcBorders>
            <w:vAlign w:val="center"/>
          </w:tcPr>
          <w:p w14:paraId="46BDEA57">
            <w:pPr>
              <w:spacing w:line="360" w:lineRule="auto"/>
              <w:jc w:val="center"/>
              <w:rPr>
                <w:bCs/>
                <w:sz w:val="24"/>
                <w:szCs w:val="18"/>
                <w:highlight w:val="none"/>
              </w:rPr>
            </w:pPr>
            <w:r>
              <w:rPr>
                <w:rFonts w:hint="eastAsia"/>
                <w:bCs/>
                <w:sz w:val="24"/>
                <w:szCs w:val="18"/>
                <w:highlight w:val="none"/>
              </w:rPr>
              <w:t>5.28</w:t>
            </w:r>
          </w:p>
        </w:tc>
      </w:tr>
      <w:tr w14:paraId="0917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vAlign w:val="center"/>
          </w:tcPr>
          <w:p w14:paraId="0513732F">
            <w:pPr>
              <w:spacing w:line="360" w:lineRule="auto"/>
              <w:jc w:val="center"/>
              <w:rPr>
                <w:bCs/>
                <w:sz w:val="24"/>
                <w:szCs w:val="18"/>
                <w:highlight w:val="none"/>
              </w:rPr>
            </w:pPr>
            <w:r>
              <w:rPr>
                <w:rFonts w:hint="eastAsia"/>
                <w:bCs/>
                <w:sz w:val="24"/>
                <w:szCs w:val="18"/>
                <w:highlight w:val="none"/>
              </w:rPr>
              <w:t>临时设施费</w:t>
            </w:r>
          </w:p>
        </w:tc>
        <w:tc>
          <w:tcPr>
            <w:tcW w:w="2227" w:type="dxa"/>
            <w:vMerge w:val="continue"/>
            <w:tcBorders>
              <w:top w:val="single" w:color="auto" w:sz="4" w:space="0"/>
              <w:left w:val="single" w:color="auto" w:sz="4" w:space="0"/>
              <w:bottom w:val="single" w:color="auto" w:sz="4" w:space="0"/>
              <w:right w:val="single" w:color="auto" w:sz="4" w:space="0"/>
            </w:tcBorders>
            <w:vAlign w:val="center"/>
          </w:tcPr>
          <w:p w14:paraId="367EAC78">
            <w:pPr>
              <w:spacing w:line="360" w:lineRule="auto"/>
              <w:jc w:val="center"/>
              <w:rPr>
                <w:bCs/>
                <w:sz w:val="24"/>
                <w:szCs w:val="18"/>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52F6593D">
            <w:pPr>
              <w:spacing w:line="360" w:lineRule="auto"/>
              <w:jc w:val="center"/>
              <w:rPr>
                <w:bCs/>
                <w:sz w:val="24"/>
                <w:szCs w:val="18"/>
                <w:highlight w:val="none"/>
              </w:rPr>
            </w:pPr>
            <w:r>
              <w:rPr>
                <w:rFonts w:hint="eastAsia"/>
                <w:bCs/>
                <w:sz w:val="24"/>
                <w:szCs w:val="18"/>
                <w:highlight w:val="none"/>
              </w:rPr>
              <w:t>8.10</w:t>
            </w:r>
          </w:p>
        </w:tc>
        <w:tc>
          <w:tcPr>
            <w:tcW w:w="2255" w:type="dxa"/>
            <w:tcBorders>
              <w:top w:val="single" w:color="auto" w:sz="4" w:space="0"/>
              <w:left w:val="single" w:color="auto" w:sz="4" w:space="0"/>
              <w:bottom w:val="single" w:color="auto" w:sz="4" w:space="0"/>
              <w:right w:val="single" w:color="auto" w:sz="4" w:space="0"/>
            </w:tcBorders>
            <w:vAlign w:val="center"/>
          </w:tcPr>
          <w:p w14:paraId="24EDBF6F">
            <w:pPr>
              <w:spacing w:line="360" w:lineRule="auto"/>
              <w:jc w:val="center"/>
              <w:rPr>
                <w:bCs/>
                <w:sz w:val="24"/>
                <w:szCs w:val="18"/>
                <w:highlight w:val="none"/>
              </w:rPr>
            </w:pPr>
            <w:r>
              <w:rPr>
                <w:rFonts w:hint="eastAsia"/>
                <w:bCs/>
                <w:sz w:val="24"/>
                <w:szCs w:val="18"/>
                <w:highlight w:val="none"/>
              </w:rPr>
              <w:t>9.99</w:t>
            </w:r>
          </w:p>
        </w:tc>
      </w:tr>
    </w:tbl>
    <w:p w14:paraId="45EDC8A0">
      <w:pPr>
        <w:spacing w:line="360" w:lineRule="auto"/>
        <w:ind w:firstLine="437"/>
        <w:rPr>
          <w:bCs/>
          <w:sz w:val="24"/>
          <w:szCs w:val="18"/>
          <w:highlight w:val="none"/>
        </w:rPr>
      </w:pPr>
      <w:r>
        <w:rPr>
          <w:rFonts w:hint="eastAsia"/>
          <w:bCs/>
          <w:sz w:val="24"/>
          <w:szCs w:val="18"/>
          <w:highlight w:val="none"/>
        </w:rPr>
        <w:t>（2）工程税金税率：采用一般计税方法计算增值税，根据安徽省建设工程造价管理总站《关于调整我省现行建设工程计价依据增值税税率的通知》（造价〔2019〕7号）规定，税金税率为9%。</w:t>
      </w:r>
    </w:p>
    <w:p w14:paraId="5E25DA97">
      <w:pPr>
        <w:spacing w:line="360" w:lineRule="auto"/>
        <w:ind w:firstLine="437"/>
        <w:rPr>
          <w:bCs/>
          <w:sz w:val="24"/>
          <w:szCs w:val="18"/>
          <w:highlight w:val="none"/>
        </w:rPr>
      </w:pPr>
      <w:r>
        <w:rPr>
          <w:rFonts w:hint="eastAsia"/>
          <w:bCs/>
          <w:sz w:val="24"/>
          <w:szCs w:val="18"/>
          <w:highlight w:val="none"/>
        </w:rPr>
        <w:t>（3）采购文件中明确的由采购人自行采购的材料、设备费用。</w:t>
      </w:r>
    </w:p>
    <w:p w14:paraId="7803F669">
      <w:pPr>
        <w:spacing w:line="360" w:lineRule="auto"/>
        <w:ind w:firstLine="437"/>
        <w:rPr>
          <w:bCs/>
          <w:sz w:val="24"/>
          <w:szCs w:val="18"/>
          <w:highlight w:val="none"/>
        </w:rPr>
      </w:pPr>
      <w:r>
        <w:rPr>
          <w:rFonts w:hint="eastAsia"/>
          <w:bCs/>
          <w:sz w:val="24"/>
          <w:szCs w:val="18"/>
          <w:highlight w:val="none"/>
        </w:rPr>
        <w:t>（4）法规规章、上级文件规定的其他不可竞争费用。</w:t>
      </w:r>
    </w:p>
    <w:p w14:paraId="6223EA82">
      <w:pPr>
        <w:spacing w:line="360" w:lineRule="auto"/>
        <w:ind w:firstLine="437"/>
        <w:rPr>
          <w:bCs/>
          <w:sz w:val="24"/>
          <w:szCs w:val="18"/>
          <w:highlight w:val="none"/>
        </w:rPr>
      </w:pPr>
      <w:r>
        <w:rPr>
          <w:rFonts w:hint="eastAsia"/>
          <w:bCs/>
          <w:sz w:val="24"/>
          <w:szCs w:val="18"/>
          <w:highlight w:val="none"/>
        </w:rPr>
        <w:t>5.3.12 可竞争费用包括：</w:t>
      </w:r>
    </w:p>
    <w:p w14:paraId="6B2B4854">
      <w:pPr>
        <w:spacing w:line="360" w:lineRule="auto"/>
        <w:ind w:firstLine="437"/>
        <w:rPr>
          <w:bCs/>
          <w:sz w:val="24"/>
          <w:szCs w:val="18"/>
          <w:highlight w:val="none"/>
        </w:rPr>
      </w:pPr>
      <w:r>
        <w:rPr>
          <w:rFonts w:hint="eastAsia"/>
          <w:bCs/>
          <w:sz w:val="24"/>
          <w:szCs w:val="18"/>
          <w:highlight w:val="none"/>
        </w:rPr>
        <w:t>（1）人工费、材料费、机械费用；</w:t>
      </w:r>
    </w:p>
    <w:p w14:paraId="372DB2A1">
      <w:pPr>
        <w:spacing w:line="360" w:lineRule="auto"/>
        <w:ind w:firstLine="437"/>
        <w:rPr>
          <w:bCs/>
          <w:sz w:val="24"/>
          <w:szCs w:val="18"/>
          <w:highlight w:val="none"/>
        </w:rPr>
      </w:pPr>
      <w:r>
        <w:rPr>
          <w:rFonts w:hint="eastAsia"/>
          <w:bCs/>
          <w:sz w:val="24"/>
          <w:szCs w:val="18"/>
          <w:highlight w:val="none"/>
        </w:rPr>
        <w:t>（2）管理费；</w:t>
      </w:r>
    </w:p>
    <w:p w14:paraId="6C094D1C">
      <w:pPr>
        <w:spacing w:line="360" w:lineRule="auto"/>
        <w:ind w:firstLine="437"/>
        <w:rPr>
          <w:bCs/>
          <w:sz w:val="24"/>
          <w:szCs w:val="18"/>
          <w:highlight w:val="none"/>
        </w:rPr>
      </w:pPr>
      <w:r>
        <w:rPr>
          <w:rFonts w:hint="eastAsia"/>
          <w:bCs/>
          <w:sz w:val="24"/>
          <w:szCs w:val="18"/>
          <w:highlight w:val="none"/>
        </w:rPr>
        <w:t>（3）利润；</w:t>
      </w:r>
    </w:p>
    <w:p w14:paraId="1020C5BE">
      <w:pPr>
        <w:spacing w:line="360" w:lineRule="auto"/>
        <w:ind w:firstLine="437"/>
        <w:rPr>
          <w:bCs/>
          <w:sz w:val="24"/>
          <w:szCs w:val="18"/>
          <w:highlight w:val="none"/>
        </w:rPr>
      </w:pPr>
      <w:r>
        <w:rPr>
          <w:rFonts w:hint="eastAsia"/>
          <w:bCs/>
          <w:sz w:val="24"/>
          <w:szCs w:val="18"/>
          <w:highlight w:val="none"/>
        </w:rPr>
        <w:t>（4）措施费（规定的不可竞争费用除外）。</w:t>
      </w:r>
    </w:p>
    <w:p w14:paraId="2AFCAFE2">
      <w:pPr>
        <w:pStyle w:val="54"/>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六、工程量清单</w:t>
      </w:r>
    </w:p>
    <w:p w14:paraId="1F9AFAC1">
      <w:pPr>
        <w:spacing w:line="360" w:lineRule="auto"/>
        <w:ind w:firstLine="482" w:firstLineChars="200"/>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另行发放。</w:t>
      </w:r>
      <w:r>
        <w:rPr>
          <w:rFonts w:hint="eastAsia" w:ascii="Times New Roman" w:hAnsi="Times New Roman" w:eastAsia="宋体" w:cs="Times New Roman"/>
          <w:b/>
          <w:bCs/>
          <w:sz w:val="24"/>
          <w:highlight w:val="none"/>
        </w:rPr>
        <w:t xml:space="preserve"> </w:t>
      </w:r>
    </w:p>
    <w:p w14:paraId="08C1141F">
      <w:pPr>
        <w:pStyle w:val="54"/>
        <w:ind w:left="0" w:leftChars="0" w:firstLine="0" w:firstLineChars="0"/>
        <w:outlineLvl w:val="1"/>
        <w:rPr>
          <w:rFonts w:ascii="宋体" w:hAnsi="宋体" w:eastAsia="宋体" w:cs="Times New Roman"/>
          <w:b/>
          <w:sz w:val="24"/>
          <w:szCs w:val="18"/>
          <w:highlight w:val="none"/>
        </w:rPr>
      </w:pPr>
      <w:r>
        <w:rPr>
          <w:rFonts w:hint="eastAsia" w:ascii="宋体" w:hAnsi="宋体" w:eastAsia="宋体" w:cs="Times New Roman"/>
          <w:b/>
          <w:sz w:val="24"/>
          <w:szCs w:val="18"/>
          <w:highlight w:val="none"/>
        </w:rPr>
        <w:t>七、图纸</w:t>
      </w:r>
    </w:p>
    <w:p w14:paraId="76763CF9">
      <w:pPr>
        <w:ind w:firstLine="482" w:firstLineChars="200"/>
        <w:rPr>
          <w:highlight w:val="none"/>
        </w:rPr>
      </w:pPr>
      <w:r>
        <w:rPr>
          <w:rFonts w:ascii="Times New Roman" w:hAnsi="Times New Roman" w:eastAsia="宋体" w:cs="Times New Roman"/>
          <w:b/>
          <w:bCs/>
          <w:sz w:val="24"/>
          <w:highlight w:val="none"/>
        </w:rPr>
        <w:t>另行发放。</w:t>
      </w:r>
    </w:p>
    <w:p w14:paraId="345C1F2D">
      <w:pPr>
        <w:pStyle w:val="276"/>
        <w:spacing w:line="360" w:lineRule="auto"/>
        <w:ind w:firstLine="0"/>
        <w:rPr>
          <w:sz w:val="24"/>
          <w:szCs w:val="24"/>
          <w:highlight w:val="none"/>
        </w:rPr>
      </w:pPr>
      <w:r>
        <w:rPr>
          <w:rFonts w:hint="eastAsia"/>
          <w:sz w:val="24"/>
          <w:szCs w:val="24"/>
          <w:highlight w:val="none"/>
        </w:rPr>
        <w:br w:type="page"/>
      </w:r>
    </w:p>
    <w:p w14:paraId="75193AF9">
      <w:pPr>
        <w:spacing w:line="360" w:lineRule="auto"/>
        <w:jc w:val="center"/>
        <w:outlineLvl w:val="0"/>
        <w:rPr>
          <w:rFonts w:asciiTheme="minorEastAsia" w:hAnsiTheme="minorEastAsia"/>
          <w:b/>
          <w:sz w:val="28"/>
          <w:highlight w:val="none"/>
        </w:rPr>
      </w:pPr>
      <w:r>
        <w:rPr>
          <w:rFonts w:hint="eastAsia" w:asciiTheme="minorEastAsia" w:hAnsiTheme="minorEastAsia"/>
          <w:b/>
          <w:sz w:val="28"/>
          <w:highlight w:val="none"/>
        </w:rPr>
        <w:t>第四章  评审方法和标准</w:t>
      </w:r>
      <w:bookmarkEnd w:id="37"/>
    </w:p>
    <w:p w14:paraId="34155227">
      <w:pPr>
        <w:spacing w:line="360" w:lineRule="auto"/>
        <w:ind w:firstLine="437"/>
        <w:outlineLvl w:val="1"/>
        <w:rPr>
          <w:rFonts w:asciiTheme="minorEastAsia" w:hAnsiTheme="minorEastAsia"/>
          <w:b/>
          <w:sz w:val="24"/>
          <w:highlight w:val="none"/>
        </w:rPr>
      </w:pPr>
      <w:bookmarkStart w:id="38" w:name="_Toc31533"/>
      <w:bookmarkStart w:id="39" w:name="_Toc3679"/>
      <w:r>
        <w:rPr>
          <w:rFonts w:hint="eastAsia" w:asciiTheme="minorEastAsia" w:hAnsiTheme="minorEastAsia"/>
          <w:b/>
          <w:sz w:val="24"/>
          <w:highlight w:val="none"/>
        </w:rPr>
        <w:t>一、总则</w:t>
      </w:r>
      <w:bookmarkEnd w:id="38"/>
      <w:bookmarkEnd w:id="39"/>
    </w:p>
    <w:p w14:paraId="200F3627">
      <w:pPr>
        <w:spacing w:line="360" w:lineRule="auto"/>
        <w:ind w:firstLine="435"/>
        <w:rPr>
          <w:rFonts w:asciiTheme="minorEastAsia" w:hAnsiTheme="minorEastAsia"/>
          <w:sz w:val="24"/>
          <w:highlight w:val="none"/>
        </w:rPr>
      </w:pPr>
      <w:r>
        <w:rPr>
          <w:rFonts w:hint="eastAsia" w:asciiTheme="minorEastAsia" w:hAnsiTheme="minorEastAsia"/>
          <w:sz w:val="24"/>
          <w:highlight w:val="none"/>
        </w:rPr>
        <w:t>本项目将按照磋商文件第二章供应商须知的相关要求</w:t>
      </w:r>
      <w:r>
        <w:rPr>
          <w:rFonts w:asciiTheme="minorEastAsia" w:hAnsiTheme="minorEastAsia"/>
          <w:sz w:val="24"/>
          <w:highlight w:val="none"/>
        </w:rPr>
        <w:t>及本章的规定</w:t>
      </w:r>
      <w:r>
        <w:rPr>
          <w:rFonts w:hint="eastAsia" w:asciiTheme="minorEastAsia" w:hAnsiTheme="minorEastAsia"/>
          <w:sz w:val="24"/>
          <w:highlight w:val="none"/>
        </w:rPr>
        <w:t>评审</w:t>
      </w:r>
      <w:r>
        <w:rPr>
          <w:rFonts w:asciiTheme="minorEastAsia" w:hAnsiTheme="minorEastAsia"/>
          <w:sz w:val="24"/>
          <w:highlight w:val="none"/>
        </w:rPr>
        <w:t>。</w:t>
      </w:r>
    </w:p>
    <w:p w14:paraId="0CCDA14C">
      <w:pPr>
        <w:spacing w:line="360" w:lineRule="auto"/>
        <w:ind w:firstLine="437"/>
        <w:outlineLvl w:val="1"/>
        <w:rPr>
          <w:rFonts w:asciiTheme="minorEastAsia" w:hAnsiTheme="minorEastAsia"/>
          <w:b/>
          <w:sz w:val="24"/>
          <w:highlight w:val="none"/>
        </w:rPr>
      </w:pPr>
      <w:bookmarkStart w:id="40" w:name="_Toc13405"/>
      <w:bookmarkStart w:id="41" w:name="_Toc16232"/>
      <w:r>
        <w:rPr>
          <w:rFonts w:hint="eastAsia" w:asciiTheme="minorEastAsia" w:hAnsiTheme="minorEastAsia"/>
          <w:b/>
          <w:sz w:val="24"/>
          <w:highlight w:val="none"/>
        </w:rPr>
        <w:t>二、评审方法</w:t>
      </w:r>
      <w:bookmarkEnd w:id="40"/>
      <w:bookmarkEnd w:id="41"/>
    </w:p>
    <w:p w14:paraId="65391504">
      <w:pPr>
        <w:spacing w:line="360" w:lineRule="auto"/>
        <w:ind w:firstLine="435"/>
        <w:outlineLvl w:val="2"/>
        <w:rPr>
          <w:rFonts w:asciiTheme="minorEastAsia" w:hAnsiTheme="minorEastAsia"/>
          <w:sz w:val="24"/>
          <w:highlight w:val="none"/>
        </w:rPr>
      </w:pPr>
      <w:r>
        <w:rPr>
          <w:rFonts w:hint="eastAsia" w:asciiTheme="minorEastAsia" w:hAnsiTheme="minorEastAsia"/>
          <w:sz w:val="24"/>
          <w:highlight w:val="none"/>
        </w:rPr>
        <w:t>2.1初审</w:t>
      </w:r>
    </w:p>
    <w:p w14:paraId="6240FA6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2256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DD94A50">
            <w:pPr>
              <w:adjustRightInd w:val="0"/>
              <w:snapToGrid w:val="0"/>
              <w:ind w:right="-10"/>
              <w:jc w:val="center"/>
              <w:rPr>
                <w:rFonts w:ascii="Calibri" w:hAnsi="Calibri" w:cs="Times New Roman"/>
                <w:b/>
                <w:sz w:val="24"/>
                <w:szCs w:val="22"/>
                <w:highlight w:val="none"/>
              </w:rPr>
            </w:pPr>
            <w:r>
              <w:rPr>
                <w:rFonts w:hint="eastAsia" w:ascii="Calibri" w:hAnsi="Calibri" w:cs="Times New Roman"/>
                <w:b/>
                <w:sz w:val="24"/>
                <w:szCs w:val="22"/>
                <w:highlight w:val="none"/>
              </w:rPr>
              <w:t>初审表</w:t>
            </w:r>
          </w:p>
        </w:tc>
      </w:tr>
      <w:tr w14:paraId="550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367CF5F1">
            <w:pPr>
              <w:adjustRightInd w:val="0"/>
              <w:snapToGrid w:val="0"/>
              <w:spacing w:line="360" w:lineRule="auto"/>
              <w:ind w:right="-10"/>
              <w:jc w:val="center"/>
              <w:rPr>
                <w:rFonts w:ascii="Calibri" w:hAnsi="Calibri" w:cs="Times New Roman"/>
                <w:b/>
                <w:bCs/>
                <w:sz w:val="24"/>
                <w:szCs w:val="22"/>
                <w:highlight w:val="none"/>
              </w:rPr>
            </w:pPr>
            <w:r>
              <w:rPr>
                <w:rFonts w:hint="eastAsia" w:ascii="宋体" w:hAnsi="宋体" w:eastAsia="宋体"/>
                <w:b/>
                <w:bCs/>
                <w:sz w:val="24"/>
                <w:highlight w:val="none"/>
              </w:rPr>
              <w:t>序号</w:t>
            </w:r>
          </w:p>
        </w:tc>
        <w:tc>
          <w:tcPr>
            <w:tcW w:w="796" w:type="pct"/>
            <w:tcBorders>
              <w:bottom w:val="single" w:color="auto" w:sz="4" w:space="0"/>
            </w:tcBorders>
            <w:vAlign w:val="center"/>
          </w:tcPr>
          <w:p w14:paraId="14A24E19">
            <w:pPr>
              <w:pStyle w:val="69"/>
              <w:pBdr>
                <w:bottom w:val="none" w:color="auto" w:sz="0" w:space="0"/>
              </w:pBdr>
              <w:tabs>
                <w:tab w:val="clear" w:pos="4153"/>
                <w:tab w:val="clear" w:pos="8306"/>
              </w:tabs>
              <w:snapToGrid w:val="0"/>
              <w:spacing w:line="360" w:lineRule="auto"/>
              <w:ind w:right="-10"/>
              <w:textAlignment w:val="auto"/>
              <w:rPr>
                <w:rFonts w:ascii="Calibri" w:hAnsi="Calibri" w:cs="Times New Roman"/>
                <w:b/>
                <w:bCs/>
                <w:szCs w:val="24"/>
                <w:highlight w:val="none"/>
              </w:rPr>
            </w:pPr>
            <w:r>
              <w:rPr>
                <w:rFonts w:hint="eastAsia" w:ascii="宋体" w:hAnsi="宋体" w:eastAsia="宋体"/>
                <w:b/>
                <w:bCs/>
                <w:szCs w:val="24"/>
                <w:highlight w:val="none"/>
              </w:rPr>
              <w:t>审查因素</w:t>
            </w:r>
          </w:p>
        </w:tc>
        <w:tc>
          <w:tcPr>
            <w:tcW w:w="2268" w:type="pct"/>
            <w:tcBorders>
              <w:bottom w:val="single" w:color="auto" w:sz="4" w:space="0"/>
            </w:tcBorders>
            <w:vAlign w:val="center"/>
          </w:tcPr>
          <w:p w14:paraId="73EA8639">
            <w:pPr>
              <w:adjustRightInd w:val="0"/>
              <w:snapToGrid w:val="0"/>
              <w:spacing w:line="360" w:lineRule="auto"/>
              <w:ind w:right="-10"/>
              <w:jc w:val="center"/>
              <w:rPr>
                <w:rFonts w:ascii="Calibri" w:hAnsi="Calibri" w:cs="Times New Roman"/>
                <w:b/>
                <w:bCs/>
                <w:sz w:val="24"/>
                <w:szCs w:val="22"/>
                <w:highlight w:val="none"/>
              </w:rPr>
            </w:pPr>
            <w:r>
              <w:rPr>
                <w:rFonts w:hint="eastAsia" w:ascii="宋体" w:hAnsi="宋体" w:eastAsia="宋体"/>
                <w:b/>
                <w:bCs/>
                <w:sz w:val="24"/>
                <w:highlight w:val="none"/>
              </w:rPr>
              <w:t>审查内容</w:t>
            </w:r>
          </w:p>
        </w:tc>
        <w:tc>
          <w:tcPr>
            <w:tcW w:w="1524" w:type="pct"/>
            <w:tcBorders>
              <w:bottom w:val="single" w:color="auto" w:sz="4" w:space="0"/>
            </w:tcBorders>
            <w:vAlign w:val="center"/>
          </w:tcPr>
          <w:p w14:paraId="43E96663">
            <w:pPr>
              <w:adjustRightInd w:val="0"/>
              <w:snapToGrid w:val="0"/>
              <w:spacing w:line="360" w:lineRule="auto"/>
              <w:ind w:right="-10"/>
              <w:jc w:val="center"/>
              <w:rPr>
                <w:rFonts w:ascii="Calibri" w:hAnsi="Calibri" w:cs="Times New Roman"/>
                <w:b/>
                <w:bCs/>
                <w:sz w:val="24"/>
                <w:szCs w:val="22"/>
                <w:highlight w:val="none"/>
              </w:rPr>
            </w:pPr>
            <w:r>
              <w:rPr>
                <w:rFonts w:hint="eastAsia" w:ascii="宋体" w:hAnsi="宋体" w:eastAsia="宋体"/>
                <w:b/>
                <w:bCs/>
                <w:sz w:val="24"/>
                <w:highlight w:val="none"/>
              </w:rPr>
              <w:t>格式要求</w:t>
            </w:r>
          </w:p>
        </w:tc>
      </w:tr>
      <w:tr w14:paraId="400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643A25B9">
            <w:pPr>
              <w:adjustRightInd w:val="0"/>
              <w:snapToGrid w:val="0"/>
              <w:spacing w:line="360" w:lineRule="auto"/>
              <w:ind w:right="-10"/>
              <w:jc w:val="center"/>
              <w:rPr>
                <w:rFonts w:cs="Times New Roman"/>
                <w:sz w:val="24"/>
                <w:szCs w:val="22"/>
                <w:highlight w:val="none"/>
              </w:rPr>
            </w:pPr>
            <w:r>
              <w:rPr>
                <w:rFonts w:hint="eastAsia" w:ascii="宋体" w:hAnsi="宋体" w:eastAsia="宋体"/>
                <w:sz w:val="24"/>
                <w:highlight w:val="none"/>
              </w:rPr>
              <w:t>1</w:t>
            </w:r>
          </w:p>
        </w:tc>
        <w:tc>
          <w:tcPr>
            <w:tcW w:w="796" w:type="pct"/>
            <w:tcBorders>
              <w:bottom w:val="single" w:color="auto" w:sz="4" w:space="0"/>
            </w:tcBorders>
            <w:vAlign w:val="center"/>
          </w:tcPr>
          <w:p w14:paraId="1C36CD35">
            <w:pPr>
              <w:spacing w:after="50" w:line="360" w:lineRule="auto"/>
              <w:ind w:right="-10"/>
              <w:jc w:val="center"/>
              <w:rPr>
                <w:rFonts w:ascii="Calibri" w:hAnsi="Calibri" w:cs="Times New Roman"/>
                <w:sz w:val="24"/>
                <w:highlight w:val="none"/>
              </w:rPr>
            </w:pPr>
            <w:r>
              <w:rPr>
                <w:rFonts w:ascii="宋体" w:hAnsi="宋体" w:eastAsia="宋体" w:cs="宋体"/>
                <w:spacing w:val="9"/>
                <w:sz w:val="24"/>
                <w:highlight w:val="none"/>
              </w:rPr>
              <w:t>营业执照等证明</w:t>
            </w:r>
            <w:r>
              <w:rPr>
                <w:rFonts w:ascii="宋体" w:hAnsi="宋体" w:eastAsia="宋体" w:cs="宋体"/>
                <w:spacing w:val="-3"/>
                <w:sz w:val="24"/>
                <w:highlight w:val="none"/>
              </w:rPr>
              <w:t>文件</w:t>
            </w:r>
          </w:p>
        </w:tc>
        <w:tc>
          <w:tcPr>
            <w:tcW w:w="2268" w:type="pct"/>
            <w:tcBorders>
              <w:bottom w:val="single" w:color="auto" w:sz="4" w:space="0"/>
            </w:tcBorders>
            <w:vAlign w:val="center"/>
          </w:tcPr>
          <w:p w14:paraId="147F42A7">
            <w:pPr>
              <w:spacing w:after="50" w:line="360" w:lineRule="auto"/>
              <w:ind w:right="-10"/>
              <w:jc w:val="left"/>
              <w:rPr>
                <w:rFonts w:ascii="宋体" w:hAnsi="宋体" w:eastAsia="宋体" w:cs="宋体"/>
                <w:sz w:val="24"/>
                <w:highlight w:val="none"/>
              </w:rPr>
            </w:pPr>
            <w:r>
              <w:rPr>
                <w:rFonts w:hint="eastAsia" w:ascii="宋体" w:hAnsi="宋体" w:eastAsia="宋体" w:cs="宋体"/>
                <w:sz w:val="24"/>
                <w:highlight w:val="none"/>
              </w:rPr>
              <w:t>（1）供应商</w:t>
            </w:r>
            <w:r>
              <w:rPr>
                <w:rFonts w:ascii="宋体" w:hAnsi="宋体" w:eastAsia="宋体" w:cs="宋体"/>
                <w:sz w:val="24"/>
                <w:highlight w:val="none"/>
              </w:rPr>
              <w:t>为企业（包括合伙企业）的，应</w:t>
            </w:r>
            <w:r>
              <w:rPr>
                <w:rFonts w:hint="eastAsia" w:ascii="宋体" w:hAnsi="宋体" w:eastAsia="宋体" w:cs="宋体"/>
                <w:sz w:val="24"/>
                <w:highlight w:val="none"/>
              </w:rPr>
              <w:t>提</w:t>
            </w:r>
            <w:r>
              <w:rPr>
                <w:rFonts w:ascii="宋体" w:hAnsi="宋体" w:eastAsia="宋体" w:cs="宋体"/>
                <w:sz w:val="24"/>
                <w:highlight w:val="none"/>
              </w:rPr>
              <w:t>供有效的营业执照；</w:t>
            </w:r>
          </w:p>
          <w:p w14:paraId="7604A6B4">
            <w:pPr>
              <w:spacing w:after="50" w:line="360" w:lineRule="auto"/>
              <w:ind w:right="-10"/>
              <w:jc w:val="left"/>
              <w:rPr>
                <w:rFonts w:ascii="宋体" w:hAnsi="宋体" w:eastAsia="宋体" w:cs="宋体"/>
                <w:sz w:val="24"/>
                <w:highlight w:val="none"/>
              </w:rPr>
            </w:pPr>
            <w:r>
              <w:rPr>
                <w:rFonts w:hint="eastAsia" w:ascii="宋体" w:hAnsi="宋体" w:eastAsia="宋体" w:cs="宋体"/>
                <w:sz w:val="24"/>
                <w:highlight w:val="none"/>
              </w:rPr>
              <w:t>（2）供应商</w:t>
            </w:r>
            <w:r>
              <w:rPr>
                <w:rFonts w:ascii="宋体" w:hAnsi="宋体" w:eastAsia="宋体" w:cs="宋体"/>
                <w:sz w:val="24"/>
                <w:highlight w:val="none"/>
              </w:rPr>
              <w:t>为事业单位的，应</w:t>
            </w:r>
            <w:r>
              <w:rPr>
                <w:rFonts w:hint="eastAsia" w:ascii="宋体" w:hAnsi="宋体" w:eastAsia="宋体" w:cs="宋体"/>
                <w:sz w:val="24"/>
                <w:highlight w:val="none"/>
              </w:rPr>
              <w:t>提</w:t>
            </w:r>
            <w:r>
              <w:rPr>
                <w:rFonts w:ascii="宋体" w:hAnsi="宋体" w:eastAsia="宋体" w:cs="宋体"/>
                <w:sz w:val="24"/>
                <w:highlight w:val="none"/>
              </w:rPr>
              <w:t>供有效的事业单位法人证书；</w:t>
            </w:r>
          </w:p>
          <w:p w14:paraId="6B2CD506">
            <w:pPr>
              <w:spacing w:after="50" w:line="360" w:lineRule="auto"/>
              <w:ind w:right="-10"/>
              <w:jc w:val="left"/>
              <w:rPr>
                <w:rFonts w:ascii="宋体" w:hAnsi="宋体" w:eastAsia="宋体" w:cs="宋体"/>
                <w:sz w:val="24"/>
                <w:highlight w:val="none"/>
              </w:rPr>
            </w:pPr>
            <w:r>
              <w:rPr>
                <w:rFonts w:hint="eastAsia" w:ascii="宋体" w:hAnsi="宋体" w:eastAsia="宋体" w:cs="宋体"/>
                <w:sz w:val="24"/>
                <w:highlight w:val="none"/>
              </w:rPr>
              <w:t>（3）供应商</w:t>
            </w:r>
            <w:r>
              <w:rPr>
                <w:rFonts w:ascii="宋体" w:hAnsi="宋体" w:eastAsia="宋体" w:cs="宋体"/>
                <w:sz w:val="24"/>
                <w:highlight w:val="none"/>
              </w:rPr>
              <w:t>是非企业机构的，应</w:t>
            </w:r>
            <w:r>
              <w:rPr>
                <w:rFonts w:hint="eastAsia" w:ascii="宋体" w:hAnsi="宋体" w:eastAsia="宋体" w:cs="宋体"/>
                <w:sz w:val="24"/>
                <w:highlight w:val="none"/>
              </w:rPr>
              <w:t>提</w:t>
            </w:r>
            <w:r>
              <w:rPr>
                <w:rFonts w:ascii="宋体" w:hAnsi="宋体" w:eastAsia="宋体" w:cs="宋体"/>
                <w:sz w:val="24"/>
                <w:highlight w:val="none"/>
              </w:rPr>
              <w:t>供有效的执业许可证</w:t>
            </w:r>
            <w:r>
              <w:rPr>
                <w:rFonts w:hint="eastAsia" w:ascii="宋体" w:hAnsi="宋体" w:eastAsia="宋体" w:cs="宋体"/>
                <w:sz w:val="24"/>
                <w:highlight w:val="none"/>
              </w:rPr>
              <w:t>或</w:t>
            </w:r>
            <w:r>
              <w:rPr>
                <w:rFonts w:ascii="宋体" w:hAnsi="宋体" w:eastAsia="宋体" w:cs="宋体"/>
                <w:sz w:val="24"/>
                <w:highlight w:val="none"/>
              </w:rPr>
              <w:t>登记证书等证明文件；</w:t>
            </w:r>
          </w:p>
          <w:p w14:paraId="2DBB0187">
            <w:pPr>
              <w:spacing w:after="50" w:line="360" w:lineRule="auto"/>
              <w:ind w:right="-10"/>
              <w:jc w:val="left"/>
              <w:rPr>
                <w:rFonts w:ascii="宋体" w:hAnsi="宋体" w:eastAsia="宋体" w:cs="宋体"/>
                <w:sz w:val="24"/>
                <w:highlight w:val="none"/>
              </w:rPr>
            </w:pPr>
            <w:r>
              <w:rPr>
                <w:rFonts w:hint="eastAsia" w:ascii="宋体" w:hAnsi="宋体" w:eastAsia="宋体" w:cs="宋体"/>
                <w:sz w:val="24"/>
                <w:highlight w:val="none"/>
              </w:rPr>
              <w:t>（4）供应商</w:t>
            </w:r>
            <w:r>
              <w:rPr>
                <w:rFonts w:ascii="宋体" w:hAnsi="宋体" w:eastAsia="宋体" w:cs="宋体"/>
                <w:sz w:val="24"/>
                <w:highlight w:val="none"/>
              </w:rPr>
              <w:t>是个体工商户的，应</w:t>
            </w:r>
            <w:r>
              <w:rPr>
                <w:rFonts w:hint="eastAsia" w:ascii="宋体" w:hAnsi="宋体" w:eastAsia="宋体" w:cs="宋体"/>
                <w:sz w:val="24"/>
                <w:highlight w:val="none"/>
              </w:rPr>
              <w:t>提</w:t>
            </w:r>
            <w:r>
              <w:rPr>
                <w:rFonts w:ascii="宋体" w:hAnsi="宋体" w:eastAsia="宋体" w:cs="宋体"/>
                <w:sz w:val="24"/>
                <w:highlight w:val="none"/>
              </w:rPr>
              <w:t>供有效的个体工商户营业执照；</w:t>
            </w:r>
          </w:p>
          <w:p w14:paraId="17BC947F">
            <w:pPr>
              <w:spacing w:after="50" w:line="360" w:lineRule="auto"/>
              <w:ind w:right="-10"/>
              <w:jc w:val="left"/>
              <w:rPr>
                <w:rFonts w:ascii="Calibri" w:hAnsi="Calibri" w:cs="Times New Roman"/>
                <w:sz w:val="24"/>
                <w:szCs w:val="22"/>
                <w:highlight w:val="none"/>
              </w:rPr>
            </w:pPr>
            <w:r>
              <w:rPr>
                <w:rFonts w:hint="eastAsia" w:ascii="宋体" w:hAnsi="宋体" w:eastAsia="宋体" w:cs="宋体"/>
                <w:sz w:val="24"/>
                <w:highlight w:val="none"/>
              </w:rPr>
              <w:t>（5）供应商</w:t>
            </w:r>
            <w:r>
              <w:rPr>
                <w:rFonts w:ascii="宋体" w:hAnsi="宋体" w:eastAsia="宋体" w:cs="宋体"/>
                <w:sz w:val="24"/>
                <w:highlight w:val="none"/>
              </w:rPr>
              <w:t>是自然人的，应</w:t>
            </w:r>
            <w:r>
              <w:rPr>
                <w:rFonts w:hint="eastAsia" w:ascii="宋体" w:hAnsi="宋体" w:eastAsia="宋体" w:cs="宋体"/>
                <w:sz w:val="24"/>
                <w:highlight w:val="none"/>
              </w:rPr>
              <w:t>提</w:t>
            </w:r>
            <w:r>
              <w:rPr>
                <w:rFonts w:ascii="宋体" w:hAnsi="宋体" w:eastAsia="宋体" w:cs="宋体"/>
                <w:sz w:val="24"/>
                <w:highlight w:val="none"/>
              </w:rPr>
              <w:t>供有效的自然人身份证明。</w:t>
            </w:r>
          </w:p>
        </w:tc>
        <w:tc>
          <w:tcPr>
            <w:tcW w:w="1524" w:type="pct"/>
            <w:tcBorders>
              <w:bottom w:val="single" w:color="auto" w:sz="4" w:space="0"/>
            </w:tcBorders>
            <w:vAlign w:val="center"/>
          </w:tcPr>
          <w:p w14:paraId="0675B6A1">
            <w:pPr>
              <w:spacing w:line="360" w:lineRule="auto"/>
              <w:jc w:val="left"/>
              <w:rPr>
                <w:rFonts w:cs="Times New Roman"/>
                <w:sz w:val="24"/>
                <w:szCs w:val="22"/>
                <w:highlight w:val="none"/>
              </w:rPr>
            </w:pPr>
            <w:r>
              <w:rPr>
                <w:rFonts w:hint="eastAsia" w:ascii="宋体" w:hAnsi="宋体" w:eastAsia="宋体" w:cs="宋体"/>
                <w:sz w:val="24"/>
                <w:highlight w:val="none"/>
              </w:rPr>
              <w:t>提供材料扫描件或电子证照，应完整的体现出材料或电子证照全部内容。联合体磋商的联合体各方均须提供。</w:t>
            </w:r>
          </w:p>
        </w:tc>
      </w:tr>
      <w:tr w14:paraId="5F81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423C8CD">
            <w:pPr>
              <w:adjustRightInd w:val="0"/>
              <w:snapToGrid w:val="0"/>
              <w:spacing w:line="360" w:lineRule="auto"/>
              <w:ind w:right="-10"/>
              <w:jc w:val="center"/>
              <w:rPr>
                <w:rFonts w:cs="Times New Roman"/>
                <w:sz w:val="24"/>
                <w:szCs w:val="22"/>
                <w:highlight w:val="none"/>
              </w:rPr>
            </w:pPr>
            <w:r>
              <w:rPr>
                <w:rFonts w:hint="eastAsia" w:ascii="宋体" w:hAnsi="宋体" w:eastAsia="宋体"/>
                <w:sz w:val="24"/>
                <w:highlight w:val="none"/>
              </w:rPr>
              <w:t>2</w:t>
            </w:r>
          </w:p>
        </w:tc>
        <w:tc>
          <w:tcPr>
            <w:tcW w:w="796" w:type="pct"/>
            <w:vAlign w:val="center"/>
          </w:tcPr>
          <w:p w14:paraId="5D96DDB5">
            <w:pPr>
              <w:spacing w:after="50" w:line="360" w:lineRule="auto"/>
              <w:ind w:right="-10"/>
              <w:jc w:val="center"/>
              <w:rPr>
                <w:rFonts w:ascii="Calibri" w:hAnsi="Calibri" w:cs="Times New Roman"/>
                <w:sz w:val="24"/>
                <w:highlight w:val="none"/>
              </w:rPr>
            </w:pPr>
            <w:r>
              <w:rPr>
                <w:rFonts w:hint="eastAsia" w:ascii="宋体" w:hAnsi="宋体" w:eastAsia="宋体"/>
                <w:sz w:val="24"/>
                <w:szCs w:val="18"/>
                <w:highlight w:val="none"/>
              </w:rPr>
              <w:t>供应商资格声明书</w:t>
            </w:r>
          </w:p>
        </w:tc>
        <w:tc>
          <w:tcPr>
            <w:tcW w:w="2268" w:type="pct"/>
            <w:vAlign w:val="center"/>
          </w:tcPr>
          <w:p w14:paraId="6B4DE382">
            <w:pPr>
              <w:spacing w:after="50" w:line="360" w:lineRule="auto"/>
              <w:ind w:right="-10"/>
              <w:jc w:val="left"/>
              <w:rPr>
                <w:rFonts w:ascii="Calibri" w:hAnsi="Calibri" w:cs="Times New Roman"/>
                <w:sz w:val="24"/>
                <w:szCs w:val="22"/>
                <w:highlight w:val="none"/>
              </w:rPr>
            </w:pPr>
            <w:r>
              <w:rPr>
                <w:rFonts w:hint="eastAsia" w:ascii="宋体" w:hAnsi="宋体" w:eastAsia="宋体" w:cs="宋体"/>
                <w:sz w:val="24"/>
                <w:highlight w:val="none"/>
              </w:rPr>
              <w:t>提</w:t>
            </w:r>
            <w:r>
              <w:rPr>
                <w:rFonts w:ascii="宋体" w:hAnsi="宋体" w:eastAsia="宋体" w:cs="宋体"/>
                <w:sz w:val="24"/>
                <w:highlight w:val="none"/>
              </w:rPr>
              <w:t>供符合</w:t>
            </w:r>
            <w:r>
              <w:rPr>
                <w:rFonts w:hint="eastAsia" w:cs="宋体"/>
                <w:sz w:val="24"/>
                <w:highlight w:val="none"/>
              </w:rPr>
              <w:t>磋商</w:t>
            </w:r>
            <w:r>
              <w:rPr>
                <w:rFonts w:ascii="宋体" w:hAnsi="宋体" w:eastAsia="宋体" w:cs="宋体"/>
                <w:sz w:val="24"/>
                <w:highlight w:val="none"/>
              </w:rPr>
              <w:t>文件要求的《</w:t>
            </w:r>
            <w:r>
              <w:rPr>
                <w:rFonts w:hint="eastAsia" w:ascii="宋体" w:hAnsi="宋体" w:eastAsia="宋体" w:cs="宋体"/>
                <w:sz w:val="24"/>
                <w:highlight w:val="none"/>
              </w:rPr>
              <w:t>供应商</w:t>
            </w:r>
            <w:r>
              <w:rPr>
                <w:rFonts w:ascii="宋体" w:hAnsi="宋体" w:eastAsia="宋体" w:cs="宋体"/>
                <w:sz w:val="24"/>
                <w:highlight w:val="none"/>
              </w:rPr>
              <w:t>资格声明书》</w:t>
            </w:r>
            <w:r>
              <w:rPr>
                <w:rFonts w:hint="eastAsia" w:ascii="宋体" w:hAnsi="宋体" w:eastAsia="宋体" w:cs="宋体"/>
                <w:sz w:val="24"/>
                <w:highlight w:val="none"/>
              </w:rPr>
              <w:t>。</w:t>
            </w:r>
          </w:p>
        </w:tc>
        <w:tc>
          <w:tcPr>
            <w:tcW w:w="1524" w:type="pct"/>
            <w:vAlign w:val="center"/>
          </w:tcPr>
          <w:p w14:paraId="3A2F7427">
            <w:pPr>
              <w:spacing w:line="360" w:lineRule="auto"/>
              <w:jc w:val="left"/>
              <w:rPr>
                <w:rFonts w:cs="Times New Roman"/>
                <w:sz w:val="24"/>
                <w:szCs w:val="22"/>
                <w:highlight w:val="none"/>
              </w:rPr>
            </w:pPr>
            <w:r>
              <w:rPr>
                <w:rFonts w:hint="eastAsia" w:ascii="宋体" w:hAnsi="宋体" w:eastAsia="宋体"/>
                <w:sz w:val="24"/>
                <w:highlight w:val="none"/>
              </w:rPr>
              <w:t>详见第六章响应文件格式。</w:t>
            </w:r>
          </w:p>
        </w:tc>
      </w:tr>
      <w:tr w14:paraId="4EDE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18A28B3">
            <w:pPr>
              <w:adjustRightInd w:val="0"/>
              <w:snapToGrid w:val="0"/>
              <w:spacing w:line="360" w:lineRule="auto"/>
              <w:ind w:right="-10"/>
              <w:jc w:val="center"/>
              <w:rPr>
                <w:rFonts w:cs="Times New Roman"/>
                <w:sz w:val="24"/>
                <w:szCs w:val="22"/>
                <w:highlight w:val="none"/>
              </w:rPr>
            </w:pPr>
            <w:r>
              <w:rPr>
                <w:rFonts w:hint="eastAsia" w:ascii="宋体" w:hAnsi="宋体" w:eastAsia="宋体"/>
                <w:sz w:val="24"/>
                <w:highlight w:val="none"/>
              </w:rPr>
              <w:t>3</w:t>
            </w:r>
          </w:p>
        </w:tc>
        <w:tc>
          <w:tcPr>
            <w:tcW w:w="796" w:type="pct"/>
            <w:vAlign w:val="center"/>
          </w:tcPr>
          <w:p w14:paraId="7C9A5EB3">
            <w:pPr>
              <w:spacing w:after="50" w:line="360" w:lineRule="auto"/>
              <w:ind w:right="-10"/>
              <w:jc w:val="center"/>
              <w:rPr>
                <w:rFonts w:ascii="Calibri" w:hAnsi="Calibri" w:cs="Times New Roman"/>
                <w:sz w:val="24"/>
                <w:highlight w:val="none"/>
              </w:rPr>
            </w:pPr>
            <w:r>
              <w:rPr>
                <w:rFonts w:hint="eastAsia" w:ascii="宋体" w:hAnsi="宋体" w:eastAsia="宋体"/>
                <w:sz w:val="24"/>
                <w:szCs w:val="18"/>
                <w:highlight w:val="none"/>
              </w:rPr>
              <w:t>供应商</w:t>
            </w:r>
            <w:r>
              <w:rPr>
                <w:rFonts w:hint="eastAsia" w:ascii="宋体" w:hAnsi="宋体" w:eastAsia="宋体" w:cs="宋体"/>
                <w:sz w:val="24"/>
                <w:highlight w:val="none"/>
              </w:rPr>
              <w:t>信用记录</w:t>
            </w:r>
          </w:p>
        </w:tc>
        <w:tc>
          <w:tcPr>
            <w:tcW w:w="2268" w:type="pct"/>
            <w:vAlign w:val="center"/>
          </w:tcPr>
          <w:p w14:paraId="31BFA9EC">
            <w:pPr>
              <w:spacing w:after="50" w:line="360" w:lineRule="auto"/>
              <w:ind w:right="-10"/>
              <w:jc w:val="left"/>
              <w:rPr>
                <w:rFonts w:ascii="Calibri" w:hAnsi="Calibri" w:cs="Times New Roman"/>
                <w:sz w:val="24"/>
                <w:szCs w:val="22"/>
                <w:highlight w:val="none"/>
              </w:rPr>
            </w:pPr>
            <w:r>
              <w:rPr>
                <w:rFonts w:hint="eastAsia" w:cs="宋体"/>
                <w:sz w:val="24"/>
                <w:highlight w:val="none"/>
              </w:rPr>
              <w:t>供应商</w:t>
            </w:r>
            <w:r>
              <w:rPr>
                <w:rFonts w:hint="eastAsia" w:ascii="宋体" w:hAnsi="宋体" w:eastAsia="宋体" w:cs="宋体"/>
                <w:sz w:val="24"/>
                <w:highlight w:val="none"/>
                <w:lang w:val="zh-CN"/>
              </w:rPr>
              <w:t>不得存在</w:t>
            </w:r>
            <w:r>
              <w:rPr>
                <w:rFonts w:hint="eastAsia" w:cs="宋体"/>
                <w:sz w:val="24"/>
                <w:highlight w:val="none"/>
              </w:rPr>
              <w:t>供应商</w:t>
            </w:r>
            <w:r>
              <w:rPr>
                <w:rFonts w:hint="eastAsia" w:ascii="宋体" w:hAnsi="宋体" w:eastAsia="宋体" w:cs="宋体"/>
                <w:sz w:val="24"/>
                <w:highlight w:val="none"/>
                <w:lang w:val="zh-CN"/>
              </w:rPr>
              <w:t>须知正文第1</w:t>
            </w:r>
            <w:r>
              <w:rPr>
                <w:rFonts w:hint="eastAsia" w:ascii="宋体" w:hAnsi="宋体" w:eastAsia="宋体" w:cs="宋体"/>
                <w:sz w:val="24"/>
                <w:highlight w:val="none"/>
              </w:rPr>
              <w:t>4</w:t>
            </w:r>
            <w:r>
              <w:rPr>
                <w:rFonts w:hint="eastAsia" w:ascii="宋体" w:hAnsi="宋体" w:eastAsia="宋体" w:cs="宋体"/>
                <w:sz w:val="24"/>
                <w:highlight w:val="none"/>
                <w:lang w:val="zh-CN"/>
              </w:rPr>
              <w:t>.</w:t>
            </w:r>
            <w:r>
              <w:rPr>
                <w:rFonts w:hint="eastAsia" w:ascii="宋体" w:hAnsi="宋体" w:eastAsia="宋体" w:cs="宋体"/>
                <w:sz w:val="24"/>
                <w:highlight w:val="none"/>
              </w:rPr>
              <w:t>3条中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524" w:type="pct"/>
            <w:vAlign w:val="center"/>
          </w:tcPr>
          <w:p w14:paraId="1D71AED7">
            <w:pPr>
              <w:spacing w:line="360" w:lineRule="auto"/>
              <w:jc w:val="left"/>
              <w:rPr>
                <w:rFonts w:cs="Times New Roman"/>
                <w:sz w:val="24"/>
                <w:szCs w:val="22"/>
                <w:highlight w:val="none"/>
              </w:rPr>
            </w:pPr>
            <w:r>
              <w:rPr>
                <w:rFonts w:hint="eastAsia" w:ascii="宋体" w:hAnsi="宋体" w:eastAsia="宋体" w:cs="宋体"/>
                <w:sz w:val="24"/>
                <w:highlight w:val="none"/>
              </w:rPr>
              <w:t>无须供应商提供，由采购人或采购代理机构查询。</w:t>
            </w:r>
          </w:p>
        </w:tc>
      </w:tr>
      <w:tr w14:paraId="12C8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3BBEC09">
            <w:pPr>
              <w:adjustRightInd w:val="0"/>
              <w:snapToGrid w:val="0"/>
              <w:spacing w:line="360" w:lineRule="auto"/>
              <w:ind w:right="-10"/>
              <w:jc w:val="center"/>
              <w:rPr>
                <w:rFonts w:cs="Times New Roman"/>
                <w:sz w:val="24"/>
                <w:szCs w:val="22"/>
                <w:highlight w:val="none"/>
              </w:rPr>
            </w:pPr>
            <w:r>
              <w:rPr>
                <w:rFonts w:hint="eastAsia" w:ascii="宋体" w:hAnsi="宋体" w:eastAsia="宋体"/>
                <w:sz w:val="24"/>
                <w:highlight w:val="none"/>
              </w:rPr>
              <w:t>4</w:t>
            </w:r>
          </w:p>
        </w:tc>
        <w:tc>
          <w:tcPr>
            <w:tcW w:w="796" w:type="pct"/>
            <w:vAlign w:val="center"/>
          </w:tcPr>
          <w:p w14:paraId="6AB8F5E0">
            <w:pPr>
              <w:spacing w:after="50" w:line="360" w:lineRule="auto"/>
              <w:ind w:right="-10"/>
              <w:jc w:val="center"/>
              <w:rPr>
                <w:rFonts w:ascii="Calibri" w:hAnsi="Calibri" w:cs="Times New Roman"/>
                <w:sz w:val="24"/>
                <w:highlight w:val="none"/>
              </w:rPr>
            </w:pPr>
            <w:r>
              <w:rPr>
                <w:rFonts w:hint="eastAsia" w:ascii="宋体" w:hAnsi="宋体" w:eastAsia="宋体" w:cs="宋体"/>
                <w:sz w:val="24"/>
                <w:highlight w:val="none"/>
              </w:rPr>
              <w:t>中小企业证明文件</w:t>
            </w:r>
          </w:p>
        </w:tc>
        <w:tc>
          <w:tcPr>
            <w:tcW w:w="2268" w:type="pct"/>
          </w:tcPr>
          <w:p w14:paraId="6524FD32">
            <w:pPr>
              <w:spacing w:after="50" w:line="360" w:lineRule="auto"/>
              <w:ind w:right="-10"/>
              <w:jc w:val="left"/>
              <w:rPr>
                <w:rFonts w:ascii="宋体" w:hAnsi="宋体" w:eastAsia="宋体" w:cs="宋体"/>
                <w:sz w:val="24"/>
                <w:highlight w:val="none"/>
              </w:rPr>
            </w:pPr>
            <w:r>
              <w:rPr>
                <w:rFonts w:hint="eastAsia" w:ascii="宋体" w:hAnsi="宋体" w:eastAsia="宋体"/>
                <w:sz w:val="24"/>
                <w:szCs w:val="28"/>
                <w:highlight w:val="none"/>
              </w:rPr>
              <w:t>符合申请人的资格要求中落实政府采购政策需满足的资格要求：</w:t>
            </w:r>
          </w:p>
          <w:p w14:paraId="4FF02F46">
            <w:pPr>
              <w:spacing w:after="50" w:line="360" w:lineRule="auto"/>
              <w:ind w:right="-10"/>
              <w:jc w:val="left"/>
              <w:rPr>
                <w:rFonts w:ascii="宋体" w:hAnsi="宋体" w:eastAsia="宋体" w:cs="宋体"/>
                <w:sz w:val="24"/>
                <w:highlight w:val="none"/>
              </w:rPr>
            </w:pPr>
            <w:r>
              <w:rPr>
                <w:rFonts w:hint="eastAsia" w:ascii="宋体" w:hAnsi="宋体" w:eastAsia="宋体" w:cs="宋体"/>
                <w:sz w:val="24"/>
                <w:highlight w:val="none"/>
              </w:rPr>
              <w:t>（1）专门面向中小企业采购的，供应商应提供《中小企业声明函》或《残疾人福利性单位声明函》或由省级以上监狱管理局、戒毒管理局（含新疆 生产建设兵团）出具的属于监狱企业的证明文件。</w:t>
            </w:r>
          </w:p>
          <w:p w14:paraId="6E499685">
            <w:pPr>
              <w:spacing w:after="50" w:line="360" w:lineRule="auto"/>
              <w:ind w:right="-10"/>
              <w:jc w:val="left"/>
              <w:rPr>
                <w:rFonts w:ascii="Calibri" w:hAnsi="Calibri" w:cs="Times New Roman"/>
                <w:sz w:val="24"/>
                <w:szCs w:val="22"/>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524" w:type="pct"/>
            <w:vAlign w:val="center"/>
          </w:tcPr>
          <w:p w14:paraId="4E349811">
            <w:pPr>
              <w:spacing w:after="50" w:line="360" w:lineRule="auto"/>
              <w:ind w:right="-10"/>
              <w:jc w:val="center"/>
              <w:rPr>
                <w:rFonts w:cs="Times New Roman"/>
                <w:sz w:val="24"/>
                <w:szCs w:val="22"/>
                <w:highlight w:val="none"/>
              </w:rPr>
            </w:pPr>
            <w:r>
              <w:rPr>
                <w:rFonts w:hint="eastAsia" w:ascii="宋体" w:hAnsi="宋体" w:eastAsia="宋体"/>
                <w:sz w:val="24"/>
                <w:highlight w:val="none"/>
              </w:rPr>
              <w:t>详见第六章响应文件格式。</w:t>
            </w:r>
          </w:p>
        </w:tc>
      </w:tr>
      <w:tr w14:paraId="2241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7098D7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5</w:t>
            </w:r>
          </w:p>
        </w:tc>
        <w:tc>
          <w:tcPr>
            <w:tcW w:w="796" w:type="pct"/>
            <w:shd w:val="clear" w:color="auto" w:fill="auto"/>
          </w:tcPr>
          <w:p w14:paraId="496C1165">
            <w:pPr>
              <w:spacing w:after="50" w:line="360" w:lineRule="auto"/>
              <w:ind w:right="-10"/>
              <w:jc w:val="center"/>
              <w:rPr>
                <w:rFonts w:ascii="Calibri" w:hAnsi="Calibri" w:cs="Times New Roman"/>
                <w:sz w:val="24"/>
                <w:highlight w:val="none"/>
              </w:rPr>
            </w:pPr>
            <w:r>
              <w:rPr>
                <w:rFonts w:hint="eastAsia" w:ascii="宋体" w:hAnsi="宋体" w:eastAsia="宋体" w:cs="宋体"/>
                <w:sz w:val="24"/>
                <w:highlight w:val="none"/>
              </w:rPr>
              <w:t>拟分包情况说明及分包意向协议（本项目不适用）</w:t>
            </w:r>
          </w:p>
        </w:tc>
        <w:tc>
          <w:tcPr>
            <w:tcW w:w="2268" w:type="pct"/>
            <w:shd w:val="clear" w:color="auto" w:fill="auto"/>
            <w:vAlign w:val="center"/>
          </w:tcPr>
          <w:p w14:paraId="41C3D1BA">
            <w:pPr>
              <w:spacing w:after="50" w:line="360" w:lineRule="auto"/>
              <w:ind w:right="-10"/>
              <w:rPr>
                <w:rFonts w:ascii="Calibri" w:hAnsi="Calibri" w:cs="Times New Roman"/>
                <w:sz w:val="24"/>
                <w:szCs w:val="22"/>
                <w:highlight w:val="none"/>
              </w:rPr>
            </w:pPr>
            <w:r>
              <w:rPr>
                <w:rFonts w:hint="eastAsia" w:ascii="宋体" w:hAnsi="宋体" w:eastAsia="宋体" w:cs="宋体"/>
                <w:sz w:val="24"/>
                <w:highlight w:val="none"/>
              </w:rPr>
              <w:t>通过分包措施预留部分采购份额面向中小企业采购、且供应商因落实政府采购政策拟进行分包的。</w:t>
            </w:r>
          </w:p>
        </w:tc>
        <w:tc>
          <w:tcPr>
            <w:tcW w:w="1524" w:type="pct"/>
            <w:shd w:val="clear" w:color="auto" w:fill="auto"/>
            <w:vAlign w:val="center"/>
          </w:tcPr>
          <w:p w14:paraId="551914C5">
            <w:pPr>
              <w:spacing w:after="50" w:line="360" w:lineRule="auto"/>
              <w:ind w:right="-10"/>
              <w:rPr>
                <w:rFonts w:cs="Times New Roman"/>
                <w:sz w:val="24"/>
                <w:szCs w:val="22"/>
                <w:highlight w:val="none"/>
              </w:rPr>
            </w:pPr>
            <w:r>
              <w:rPr>
                <w:rFonts w:hint="eastAsia" w:ascii="宋体" w:hAnsi="宋体" w:eastAsia="宋体"/>
                <w:sz w:val="24"/>
                <w:highlight w:val="none"/>
              </w:rPr>
              <w:t>详见第六章响应文件格式。</w:t>
            </w:r>
          </w:p>
        </w:tc>
      </w:tr>
      <w:tr w14:paraId="3DB5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E3BED43">
            <w:pPr>
              <w:adjustRightInd w:val="0"/>
              <w:snapToGrid w:val="0"/>
              <w:spacing w:line="360" w:lineRule="auto"/>
              <w:ind w:right="-10"/>
              <w:jc w:val="center"/>
              <w:rPr>
                <w:rFonts w:cs="Times New Roman"/>
                <w:sz w:val="24"/>
                <w:szCs w:val="22"/>
                <w:highlight w:val="none"/>
              </w:rPr>
            </w:pPr>
            <w:r>
              <w:rPr>
                <w:rFonts w:hint="eastAsia"/>
                <w:sz w:val="24"/>
                <w:highlight w:val="none"/>
              </w:rPr>
              <w:t>6</w:t>
            </w:r>
          </w:p>
        </w:tc>
        <w:tc>
          <w:tcPr>
            <w:tcW w:w="796" w:type="pct"/>
            <w:vAlign w:val="center"/>
          </w:tcPr>
          <w:p w14:paraId="3E88C31F">
            <w:pPr>
              <w:spacing w:after="50" w:line="360" w:lineRule="auto"/>
              <w:ind w:right="-10"/>
              <w:rPr>
                <w:rFonts w:ascii="Calibri" w:hAnsi="Calibri" w:cs="Times New Roman"/>
                <w:sz w:val="24"/>
                <w:highlight w:val="none"/>
              </w:rPr>
            </w:pPr>
            <w:r>
              <w:rPr>
                <w:rFonts w:ascii="宋体" w:hAnsi="宋体" w:eastAsia="宋体" w:cs="宋体"/>
                <w:spacing w:val="10"/>
                <w:sz w:val="24"/>
                <w:highlight w:val="none"/>
              </w:rPr>
              <w:t>其它落实政府采</w:t>
            </w:r>
            <w:r>
              <w:rPr>
                <w:rFonts w:ascii="宋体" w:hAnsi="宋体" w:eastAsia="宋体" w:cs="宋体"/>
                <w:spacing w:val="11"/>
                <w:sz w:val="24"/>
                <w:highlight w:val="none"/>
              </w:rPr>
              <w:t>购政策的资格要</w:t>
            </w:r>
            <w:r>
              <w:rPr>
                <w:rFonts w:ascii="宋体" w:hAnsi="宋体" w:eastAsia="宋体" w:cs="宋体"/>
                <w:sz w:val="24"/>
                <w:highlight w:val="none"/>
              </w:rPr>
              <w:t>求</w:t>
            </w:r>
          </w:p>
        </w:tc>
        <w:tc>
          <w:tcPr>
            <w:tcW w:w="2268" w:type="pct"/>
            <w:vAlign w:val="center"/>
          </w:tcPr>
          <w:p w14:paraId="3EA9A89F">
            <w:pPr>
              <w:spacing w:after="50" w:line="360" w:lineRule="auto"/>
              <w:ind w:right="-10"/>
              <w:rPr>
                <w:rFonts w:ascii="Calibri" w:hAnsi="Calibri" w:cs="Times New Roman"/>
                <w:sz w:val="24"/>
                <w:szCs w:val="22"/>
                <w:highlight w:val="none"/>
              </w:rPr>
            </w:pPr>
            <w:r>
              <w:rPr>
                <w:rFonts w:ascii="宋体" w:hAnsi="宋体" w:eastAsia="宋体" w:cs="宋体"/>
                <w:spacing w:val="-2"/>
                <w:sz w:val="24"/>
                <w:highlight w:val="none"/>
              </w:rPr>
              <w:t>如有，见第一章《</w:t>
            </w:r>
            <w:r>
              <w:rPr>
                <w:rFonts w:hint="eastAsia" w:ascii="宋体" w:hAnsi="宋体" w:eastAsia="宋体" w:cs="宋体"/>
                <w:spacing w:val="10"/>
                <w:sz w:val="24"/>
                <w:highlight w:val="none"/>
              </w:rPr>
              <w:t>磋商</w:t>
            </w:r>
            <w:r>
              <w:rPr>
                <w:rFonts w:ascii="宋体" w:hAnsi="宋体" w:eastAsia="宋体" w:cs="宋体"/>
                <w:spacing w:val="-2"/>
                <w:sz w:val="24"/>
                <w:highlight w:val="none"/>
              </w:rPr>
              <w:t>邀请》</w:t>
            </w:r>
          </w:p>
        </w:tc>
        <w:tc>
          <w:tcPr>
            <w:tcW w:w="1524" w:type="pct"/>
            <w:vAlign w:val="center"/>
          </w:tcPr>
          <w:p w14:paraId="19061BE1">
            <w:pPr>
              <w:spacing w:after="50" w:line="360" w:lineRule="auto"/>
              <w:ind w:right="-10"/>
              <w:rPr>
                <w:rFonts w:cs="Times New Roman"/>
                <w:sz w:val="24"/>
                <w:szCs w:val="22"/>
                <w:highlight w:val="none"/>
              </w:rPr>
            </w:pPr>
            <w:r>
              <w:rPr>
                <w:rFonts w:hint="eastAsia" w:ascii="宋体" w:hAnsi="宋体" w:eastAsia="宋体" w:cs="宋体"/>
                <w:sz w:val="24"/>
                <w:highlight w:val="none"/>
              </w:rPr>
              <w:t>提供材料扫描件或电子证照，应完整的体现出材料或电子证照全部内容。</w:t>
            </w:r>
          </w:p>
        </w:tc>
      </w:tr>
      <w:tr w14:paraId="63AE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46425076">
            <w:pPr>
              <w:adjustRightInd w:val="0"/>
              <w:snapToGrid w:val="0"/>
              <w:spacing w:line="360" w:lineRule="auto"/>
              <w:ind w:right="-10"/>
              <w:jc w:val="center"/>
              <w:rPr>
                <w:rFonts w:cs="Times New Roman"/>
                <w:sz w:val="24"/>
                <w:szCs w:val="22"/>
                <w:highlight w:val="none"/>
              </w:rPr>
            </w:pPr>
            <w:r>
              <w:rPr>
                <w:rFonts w:hint="eastAsia"/>
                <w:sz w:val="24"/>
                <w:highlight w:val="none"/>
              </w:rPr>
              <w:t>7</w:t>
            </w:r>
          </w:p>
        </w:tc>
        <w:tc>
          <w:tcPr>
            <w:tcW w:w="796" w:type="pct"/>
            <w:vAlign w:val="center"/>
          </w:tcPr>
          <w:p w14:paraId="6A2B43D7">
            <w:pPr>
              <w:spacing w:after="50" w:line="360" w:lineRule="auto"/>
              <w:ind w:right="-10"/>
              <w:rPr>
                <w:rFonts w:ascii="Calibri" w:hAnsi="Calibri" w:cs="Times New Roman"/>
                <w:sz w:val="24"/>
                <w:highlight w:val="none"/>
              </w:rPr>
            </w:pPr>
            <w:r>
              <w:rPr>
                <w:rFonts w:ascii="宋体" w:hAnsi="宋体" w:eastAsia="宋体" w:cs="宋体"/>
                <w:spacing w:val="10"/>
                <w:sz w:val="24"/>
                <w:highlight w:val="none"/>
              </w:rPr>
              <w:t>其他特定资格要求</w:t>
            </w:r>
          </w:p>
        </w:tc>
        <w:tc>
          <w:tcPr>
            <w:tcW w:w="2268" w:type="pct"/>
            <w:vAlign w:val="center"/>
          </w:tcPr>
          <w:p w14:paraId="64D3C0E4">
            <w:pPr>
              <w:spacing w:after="50" w:line="360" w:lineRule="auto"/>
              <w:ind w:right="-10"/>
              <w:rPr>
                <w:rFonts w:ascii="Calibri" w:hAnsi="Calibri" w:cs="Times New Roman"/>
                <w:sz w:val="24"/>
                <w:szCs w:val="22"/>
                <w:highlight w:val="none"/>
              </w:rPr>
            </w:pPr>
            <w:r>
              <w:rPr>
                <w:rFonts w:ascii="宋体" w:hAnsi="宋体" w:eastAsia="宋体" w:cs="宋体"/>
                <w:spacing w:val="10"/>
                <w:sz w:val="24"/>
                <w:highlight w:val="none"/>
              </w:rPr>
              <w:t>如有，见第一章《</w:t>
            </w:r>
            <w:r>
              <w:rPr>
                <w:rFonts w:hint="eastAsia" w:ascii="宋体" w:hAnsi="宋体" w:eastAsia="宋体" w:cs="宋体"/>
                <w:spacing w:val="10"/>
                <w:sz w:val="24"/>
                <w:highlight w:val="none"/>
              </w:rPr>
              <w:t>磋商</w:t>
            </w:r>
            <w:r>
              <w:rPr>
                <w:rFonts w:ascii="宋体" w:hAnsi="宋体" w:eastAsia="宋体" w:cs="宋体"/>
                <w:spacing w:val="10"/>
                <w:sz w:val="24"/>
                <w:highlight w:val="none"/>
              </w:rPr>
              <w:t>邀请》</w:t>
            </w:r>
          </w:p>
        </w:tc>
        <w:tc>
          <w:tcPr>
            <w:tcW w:w="1524" w:type="pct"/>
            <w:vAlign w:val="center"/>
          </w:tcPr>
          <w:p w14:paraId="469A067F">
            <w:pPr>
              <w:spacing w:after="50" w:line="360" w:lineRule="auto"/>
              <w:ind w:right="-10"/>
              <w:rPr>
                <w:rFonts w:cs="Times New Roman"/>
                <w:sz w:val="24"/>
                <w:szCs w:val="28"/>
                <w:highlight w:val="none"/>
              </w:rPr>
            </w:pPr>
            <w:r>
              <w:rPr>
                <w:rFonts w:hint="eastAsia" w:ascii="宋体" w:hAnsi="宋体" w:eastAsia="宋体" w:cs="宋体"/>
                <w:sz w:val="24"/>
                <w:highlight w:val="none"/>
              </w:rPr>
              <w:t>提供材料扫描件或电子证照，应完整的体现出材料或电子证照全部内容。包括但不限于企业资质证书、企业安全生产许可证、项目经理（建造师）注册证书及安全生产考核合格证（B类）</w:t>
            </w:r>
          </w:p>
        </w:tc>
      </w:tr>
      <w:tr w14:paraId="2563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540A7EC3">
            <w:pPr>
              <w:adjustRightInd w:val="0"/>
              <w:snapToGrid w:val="0"/>
              <w:spacing w:line="360" w:lineRule="auto"/>
              <w:ind w:right="-10"/>
              <w:jc w:val="center"/>
              <w:rPr>
                <w:sz w:val="24"/>
                <w:highlight w:val="none"/>
              </w:rPr>
            </w:pPr>
            <w:r>
              <w:rPr>
                <w:rFonts w:hint="eastAsia"/>
                <w:sz w:val="24"/>
                <w:highlight w:val="none"/>
              </w:rPr>
              <w:t>8</w:t>
            </w:r>
          </w:p>
        </w:tc>
        <w:tc>
          <w:tcPr>
            <w:tcW w:w="796" w:type="pct"/>
            <w:shd w:val="clear" w:color="auto" w:fill="auto"/>
            <w:vAlign w:val="center"/>
          </w:tcPr>
          <w:p w14:paraId="00593705">
            <w:pPr>
              <w:spacing w:after="50" w:line="360" w:lineRule="auto"/>
              <w:ind w:right="-10"/>
              <w:rPr>
                <w:rFonts w:ascii="Calibri" w:hAnsi="Calibri" w:cs="Times New Roman"/>
                <w:sz w:val="24"/>
                <w:highlight w:val="none"/>
              </w:rPr>
            </w:pPr>
            <w:r>
              <w:rPr>
                <w:rFonts w:ascii="宋体" w:hAnsi="宋体" w:eastAsia="宋体" w:cs="宋体"/>
                <w:spacing w:val="10"/>
                <w:sz w:val="24"/>
                <w:highlight w:val="none"/>
              </w:rPr>
              <w:t>本项目对于联合</w:t>
            </w:r>
            <w:r>
              <w:rPr>
                <w:rFonts w:ascii="宋体" w:hAnsi="宋体" w:eastAsia="宋体" w:cs="宋体"/>
                <w:spacing w:val="-2"/>
                <w:sz w:val="24"/>
                <w:highlight w:val="none"/>
              </w:rPr>
              <w:t>体的要求</w:t>
            </w:r>
            <w:r>
              <w:rPr>
                <w:rFonts w:hint="eastAsia" w:ascii="宋体" w:hAnsi="宋体" w:eastAsia="宋体" w:cs="宋体"/>
                <w:spacing w:val="-2"/>
                <w:sz w:val="24"/>
                <w:highlight w:val="none"/>
              </w:rPr>
              <w:t>（本项目不适用）</w:t>
            </w:r>
          </w:p>
        </w:tc>
        <w:tc>
          <w:tcPr>
            <w:tcW w:w="2268" w:type="pct"/>
            <w:shd w:val="clear" w:color="auto" w:fill="auto"/>
            <w:vAlign w:val="center"/>
          </w:tcPr>
          <w:p w14:paraId="087152DD">
            <w:pPr>
              <w:spacing w:after="50" w:line="360" w:lineRule="auto"/>
              <w:ind w:right="-10"/>
              <w:rPr>
                <w:rFonts w:ascii="Calibri" w:hAnsi="Calibri" w:cs="Times New Roman"/>
                <w:sz w:val="24"/>
                <w:szCs w:val="22"/>
                <w:highlight w:val="none"/>
              </w:rPr>
            </w:pPr>
            <w:r>
              <w:rPr>
                <w:rFonts w:hint="eastAsia" w:ascii="宋体" w:hAnsi="宋体" w:eastAsia="宋体" w:cs="宋体"/>
                <w:spacing w:val="-2"/>
                <w:sz w:val="24"/>
                <w:highlight w:val="none"/>
              </w:rPr>
              <w:t>联合体磋商的</w:t>
            </w:r>
            <w:r>
              <w:rPr>
                <w:rFonts w:hint="eastAsia" w:ascii="宋体" w:hAnsi="宋体" w:eastAsia="宋体" w:cs="宋体"/>
                <w:spacing w:val="10"/>
                <w:sz w:val="24"/>
                <w:highlight w:val="none"/>
              </w:rPr>
              <w:t>详见</w:t>
            </w:r>
            <w:r>
              <w:rPr>
                <w:rFonts w:hint="eastAsia" w:ascii="宋体" w:hAnsi="宋体" w:eastAsia="宋体" w:cs="宋体"/>
                <w:sz w:val="24"/>
                <w:highlight w:val="none"/>
              </w:rPr>
              <w:t>供应商</w:t>
            </w:r>
            <w:r>
              <w:rPr>
                <w:rFonts w:hint="eastAsia" w:ascii="宋体" w:hAnsi="宋体" w:eastAsia="宋体" w:cs="宋体"/>
                <w:sz w:val="24"/>
                <w:highlight w:val="none"/>
                <w:lang w:val="zh-CN"/>
              </w:rPr>
              <w:t>须知正文第</w:t>
            </w:r>
            <w:r>
              <w:rPr>
                <w:rFonts w:hint="eastAsia" w:ascii="宋体" w:hAnsi="宋体" w:eastAsia="宋体" w:cs="宋体"/>
                <w:sz w:val="24"/>
                <w:highlight w:val="none"/>
              </w:rPr>
              <w:t>1.5，且</w:t>
            </w:r>
            <w:r>
              <w:rPr>
                <w:rFonts w:hint="eastAsia" w:ascii="宋体" w:hAnsi="宋体" w:eastAsia="宋体" w:cs="宋体"/>
                <w:spacing w:val="10"/>
                <w:sz w:val="24"/>
                <w:highlight w:val="none"/>
              </w:rPr>
              <w:t>提</w:t>
            </w:r>
            <w:r>
              <w:rPr>
                <w:rFonts w:ascii="宋体" w:hAnsi="宋体" w:eastAsia="宋体" w:cs="宋体"/>
                <w:spacing w:val="10"/>
                <w:sz w:val="24"/>
                <w:highlight w:val="none"/>
              </w:rPr>
              <w:t>供《联合协议》。</w:t>
            </w:r>
          </w:p>
        </w:tc>
        <w:tc>
          <w:tcPr>
            <w:tcW w:w="1524" w:type="pct"/>
            <w:shd w:val="clear" w:color="auto" w:fill="auto"/>
            <w:vAlign w:val="center"/>
          </w:tcPr>
          <w:p w14:paraId="5F801725">
            <w:pPr>
              <w:spacing w:after="50" w:line="360" w:lineRule="auto"/>
              <w:ind w:right="-10"/>
              <w:rPr>
                <w:rFonts w:cs="Times New Roman"/>
                <w:sz w:val="24"/>
                <w:szCs w:val="22"/>
                <w:highlight w:val="none"/>
              </w:rPr>
            </w:pPr>
            <w:r>
              <w:rPr>
                <w:rFonts w:ascii="宋体" w:hAnsi="宋体" w:eastAsia="宋体" w:cs="宋体"/>
                <w:spacing w:val="10"/>
                <w:sz w:val="24"/>
                <w:highlight w:val="none"/>
              </w:rPr>
              <w:t>《联合协议》</w:t>
            </w:r>
            <w:r>
              <w:rPr>
                <w:rFonts w:hint="eastAsia" w:ascii="宋体" w:hAnsi="宋体" w:eastAsia="宋体"/>
                <w:sz w:val="24"/>
                <w:highlight w:val="none"/>
              </w:rPr>
              <w:t>详见第六章响应文件格式。</w:t>
            </w:r>
          </w:p>
        </w:tc>
      </w:tr>
      <w:tr w14:paraId="043D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6775EE1">
            <w:pPr>
              <w:adjustRightInd w:val="0"/>
              <w:snapToGrid w:val="0"/>
              <w:spacing w:line="360" w:lineRule="auto"/>
              <w:ind w:right="-10"/>
              <w:jc w:val="center"/>
              <w:rPr>
                <w:rFonts w:eastAsia="宋体" w:cs="Times New Roman"/>
                <w:sz w:val="24"/>
                <w:szCs w:val="22"/>
                <w:highlight w:val="none"/>
              </w:rPr>
            </w:pPr>
            <w:r>
              <w:rPr>
                <w:rFonts w:hint="eastAsia" w:cs="Times New Roman" w:asciiTheme="minorEastAsia" w:hAnsiTheme="minorEastAsia"/>
                <w:sz w:val="24"/>
                <w:szCs w:val="22"/>
                <w:highlight w:val="none"/>
              </w:rPr>
              <w:t>9</w:t>
            </w:r>
          </w:p>
        </w:tc>
        <w:tc>
          <w:tcPr>
            <w:tcW w:w="796" w:type="pct"/>
            <w:vAlign w:val="center"/>
          </w:tcPr>
          <w:p w14:paraId="5D61E18A">
            <w:pPr>
              <w:adjustRightInd w:val="0"/>
              <w:snapToGrid w:val="0"/>
              <w:spacing w:line="360" w:lineRule="auto"/>
              <w:ind w:right="-10"/>
              <w:jc w:val="center"/>
              <w:rPr>
                <w:rFonts w:ascii="Calibri" w:hAnsi="Calibri" w:cs="Times New Roman"/>
                <w:sz w:val="24"/>
                <w:highlight w:val="none"/>
              </w:rPr>
            </w:pPr>
            <w:r>
              <w:rPr>
                <w:rFonts w:hint="eastAsia" w:cs="Times New Roman"/>
                <w:sz w:val="24"/>
                <w:highlight w:val="none"/>
              </w:rPr>
              <w:t>授权书</w:t>
            </w:r>
          </w:p>
        </w:tc>
        <w:tc>
          <w:tcPr>
            <w:tcW w:w="2268" w:type="pct"/>
            <w:vAlign w:val="center"/>
          </w:tcPr>
          <w:p w14:paraId="39FBF1A5">
            <w:pPr>
              <w:adjustRightInd w:val="0"/>
              <w:snapToGrid w:val="0"/>
              <w:spacing w:line="360" w:lineRule="auto"/>
              <w:ind w:right="-10"/>
              <w:jc w:val="left"/>
              <w:rPr>
                <w:rFonts w:ascii="Calibri" w:hAnsi="Calibri" w:cs="Times New Roman"/>
                <w:sz w:val="24"/>
                <w:szCs w:val="22"/>
                <w:highlight w:val="none"/>
              </w:rPr>
            </w:pPr>
            <w:r>
              <w:rPr>
                <w:rFonts w:hint="eastAsia" w:cs="Times New Roman"/>
                <w:sz w:val="24"/>
                <w:szCs w:val="22"/>
                <w:highlight w:val="none"/>
              </w:rPr>
              <w:t>符合磋商文件要求。</w:t>
            </w:r>
          </w:p>
        </w:tc>
        <w:tc>
          <w:tcPr>
            <w:tcW w:w="1524" w:type="pct"/>
            <w:vAlign w:val="center"/>
          </w:tcPr>
          <w:p w14:paraId="0323292B">
            <w:pPr>
              <w:adjustRightInd w:val="0"/>
              <w:snapToGrid w:val="0"/>
              <w:spacing w:line="360" w:lineRule="auto"/>
              <w:ind w:right="-10"/>
              <w:jc w:val="left"/>
              <w:rPr>
                <w:rFonts w:cs="Times New Roman"/>
                <w:sz w:val="24"/>
                <w:szCs w:val="22"/>
                <w:highlight w:val="none"/>
              </w:rPr>
            </w:pPr>
            <w:r>
              <w:rPr>
                <w:rFonts w:hint="eastAsia" w:ascii="宋体" w:hAnsi="宋体" w:eastAsia="宋体"/>
                <w:sz w:val="24"/>
                <w:highlight w:val="none"/>
              </w:rPr>
              <w:t>详见第六章响应文件格式。</w:t>
            </w:r>
          </w:p>
        </w:tc>
      </w:tr>
      <w:tr w14:paraId="0B23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BBDC85">
            <w:pPr>
              <w:adjustRightInd w:val="0"/>
              <w:snapToGrid w:val="0"/>
              <w:spacing w:line="360" w:lineRule="auto"/>
              <w:ind w:right="-10"/>
              <w:jc w:val="center"/>
              <w:rPr>
                <w:rFonts w:eastAsia="宋体" w:cs="Times New Roman"/>
                <w:sz w:val="24"/>
                <w:szCs w:val="22"/>
                <w:highlight w:val="none"/>
              </w:rPr>
            </w:pPr>
            <w:r>
              <w:rPr>
                <w:rFonts w:hint="eastAsia" w:cs="Times New Roman" w:asciiTheme="minorEastAsia" w:hAnsiTheme="minorEastAsia"/>
                <w:sz w:val="24"/>
                <w:szCs w:val="22"/>
                <w:highlight w:val="none"/>
              </w:rPr>
              <w:t>10</w:t>
            </w:r>
          </w:p>
        </w:tc>
        <w:tc>
          <w:tcPr>
            <w:tcW w:w="796" w:type="pct"/>
            <w:vAlign w:val="center"/>
          </w:tcPr>
          <w:p w14:paraId="4143AD10">
            <w:pPr>
              <w:adjustRightInd w:val="0"/>
              <w:snapToGrid w:val="0"/>
              <w:spacing w:line="360" w:lineRule="auto"/>
              <w:ind w:right="-10"/>
              <w:jc w:val="center"/>
              <w:rPr>
                <w:rFonts w:ascii="Calibri" w:hAnsi="Calibri" w:cs="Times New Roman"/>
                <w:sz w:val="24"/>
                <w:highlight w:val="none"/>
              </w:rPr>
            </w:pPr>
            <w:r>
              <w:rPr>
                <w:rFonts w:hint="eastAsia" w:cs="Times New Roman"/>
                <w:sz w:val="24"/>
                <w:highlight w:val="none"/>
              </w:rPr>
              <w:t>磋商响应函</w:t>
            </w:r>
          </w:p>
        </w:tc>
        <w:tc>
          <w:tcPr>
            <w:tcW w:w="2268" w:type="pct"/>
            <w:vAlign w:val="center"/>
          </w:tcPr>
          <w:p w14:paraId="14186BDF">
            <w:pPr>
              <w:adjustRightInd w:val="0"/>
              <w:snapToGrid w:val="0"/>
              <w:spacing w:line="360" w:lineRule="auto"/>
              <w:ind w:right="-10"/>
              <w:jc w:val="left"/>
              <w:rPr>
                <w:rFonts w:ascii="Calibri" w:hAnsi="Calibri" w:cs="Times New Roman"/>
                <w:sz w:val="24"/>
                <w:szCs w:val="22"/>
                <w:highlight w:val="none"/>
              </w:rPr>
            </w:pPr>
            <w:r>
              <w:rPr>
                <w:rFonts w:hint="eastAsia" w:cs="Times New Roman"/>
                <w:sz w:val="24"/>
                <w:szCs w:val="22"/>
                <w:highlight w:val="none"/>
              </w:rPr>
              <w:t>符合磋商文件要求。</w:t>
            </w:r>
          </w:p>
        </w:tc>
        <w:tc>
          <w:tcPr>
            <w:tcW w:w="1524" w:type="pct"/>
            <w:vAlign w:val="center"/>
          </w:tcPr>
          <w:p w14:paraId="273EC2E3">
            <w:pPr>
              <w:adjustRightInd w:val="0"/>
              <w:snapToGrid w:val="0"/>
              <w:spacing w:line="360" w:lineRule="auto"/>
              <w:ind w:right="-10"/>
              <w:jc w:val="left"/>
              <w:rPr>
                <w:rFonts w:cs="Times New Roman"/>
                <w:sz w:val="24"/>
                <w:szCs w:val="22"/>
                <w:highlight w:val="none"/>
              </w:rPr>
            </w:pPr>
            <w:r>
              <w:rPr>
                <w:rFonts w:hint="eastAsia" w:ascii="宋体" w:hAnsi="宋体" w:eastAsia="宋体"/>
                <w:sz w:val="24"/>
                <w:highlight w:val="none"/>
              </w:rPr>
              <w:t>详见第六章响应文件格式。</w:t>
            </w:r>
          </w:p>
        </w:tc>
      </w:tr>
      <w:tr w14:paraId="7E7D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668A0FC">
            <w:pPr>
              <w:adjustRightInd w:val="0"/>
              <w:snapToGrid w:val="0"/>
              <w:spacing w:line="360" w:lineRule="auto"/>
              <w:ind w:right="-10"/>
              <w:jc w:val="center"/>
              <w:rPr>
                <w:rFonts w:eastAsia="宋体" w:cs="Times New Roman"/>
                <w:sz w:val="24"/>
                <w:szCs w:val="22"/>
                <w:highlight w:val="none"/>
              </w:rPr>
            </w:pPr>
            <w:r>
              <w:rPr>
                <w:rFonts w:hint="eastAsia"/>
                <w:sz w:val="24"/>
                <w:highlight w:val="none"/>
              </w:rPr>
              <w:t>11</w:t>
            </w:r>
          </w:p>
        </w:tc>
        <w:tc>
          <w:tcPr>
            <w:tcW w:w="796" w:type="pct"/>
            <w:vAlign w:val="center"/>
          </w:tcPr>
          <w:p w14:paraId="042DC2A4">
            <w:pPr>
              <w:spacing w:after="50" w:line="360" w:lineRule="auto"/>
              <w:ind w:right="-10"/>
              <w:jc w:val="center"/>
              <w:rPr>
                <w:rFonts w:ascii="Calibri" w:hAnsi="Calibri" w:cs="Times New Roman"/>
                <w:sz w:val="24"/>
                <w:highlight w:val="none"/>
              </w:rPr>
            </w:pPr>
            <w:r>
              <w:rPr>
                <w:rFonts w:hint="eastAsia" w:asciiTheme="minorEastAsia" w:hAnsiTheme="minorEastAsia"/>
                <w:sz w:val="24"/>
                <w:szCs w:val="28"/>
                <w:highlight w:val="none"/>
              </w:rPr>
              <w:t>磋商报价</w:t>
            </w:r>
          </w:p>
        </w:tc>
        <w:tc>
          <w:tcPr>
            <w:tcW w:w="2268" w:type="pct"/>
            <w:vAlign w:val="center"/>
          </w:tcPr>
          <w:p w14:paraId="171E514D">
            <w:pPr>
              <w:spacing w:after="50" w:line="360" w:lineRule="auto"/>
              <w:ind w:right="-10"/>
              <w:rPr>
                <w:rFonts w:ascii="Calibri" w:hAnsi="Calibri" w:cs="Times New Roman"/>
                <w:sz w:val="24"/>
                <w:szCs w:val="22"/>
                <w:highlight w:val="none"/>
              </w:rPr>
            </w:pPr>
            <w:r>
              <w:rPr>
                <w:rFonts w:hint="eastAsia" w:asciiTheme="minorEastAsia" w:hAnsiTheme="minorEastAsia"/>
                <w:sz w:val="24"/>
                <w:szCs w:val="28"/>
                <w:highlight w:val="none"/>
              </w:rPr>
              <w:t>符合</w:t>
            </w:r>
            <w:r>
              <w:rPr>
                <w:rFonts w:hint="eastAsia" w:cs="Times New Roman"/>
                <w:sz w:val="24"/>
                <w:szCs w:val="22"/>
                <w:highlight w:val="none"/>
              </w:rPr>
              <w:t>磋商</w:t>
            </w:r>
            <w:r>
              <w:rPr>
                <w:rFonts w:hint="eastAsia" w:asciiTheme="minorEastAsia" w:hAnsiTheme="minorEastAsia"/>
                <w:sz w:val="24"/>
                <w:highlight w:val="none"/>
              </w:rPr>
              <w:t>文件要求</w:t>
            </w:r>
          </w:p>
        </w:tc>
        <w:tc>
          <w:tcPr>
            <w:tcW w:w="1524" w:type="pct"/>
            <w:vAlign w:val="center"/>
          </w:tcPr>
          <w:p w14:paraId="1F20C335">
            <w:pPr>
              <w:adjustRightInd w:val="0"/>
              <w:snapToGrid w:val="0"/>
              <w:spacing w:line="360" w:lineRule="auto"/>
              <w:ind w:right="-10"/>
              <w:jc w:val="left"/>
              <w:rPr>
                <w:rFonts w:cs="Times New Roman"/>
                <w:sz w:val="24"/>
                <w:szCs w:val="22"/>
                <w:highlight w:val="none"/>
              </w:rPr>
            </w:pPr>
            <w:r>
              <w:rPr>
                <w:rFonts w:hint="eastAsia" w:ascii="宋体" w:hAnsi="宋体" w:eastAsia="宋体"/>
                <w:sz w:val="24"/>
                <w:highlight w:val="none"/>
              </w:rPr>
              <w:t>详见第六章响应文件格式。</w:t>
            </w:r>
          </w:p>
        </w:tc>
      </w:tr>
      <w:tr w14:paraId="12EE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E20A915">
            <w:pPr>
              <w:adjustRightInd w:val="0"/>
              <w:snapToGrid w:val="0"/>
              <w:spacing w:line="360" w:lineRule="auto"/>
              <w:ind w:right="-10"/>
              <w:jc w:val="center"/>
              <w:rPr>
                <w:sz w:val="24"/>
                <w:highlight w:val="none"/>
              </w:rPr>
            </w:pPr>
            <w:r>
              <w:rPr>
                <w:rFonts w:hint="eastAsia"/>
                <w:sz w:val="24"/>
                <w:highlight w:val="none"/>
              </w:rPr>
              <w:t>12</w:t>
            </w:r>
          </w:p>
        </w:tc>
        <w:tc>
          <w:tcPr>
            <w:tcW w:w="1357" w:type="dxa"/>
            <w:vAlign w:val="center"/>
          </w:tcPr>
          <w:p w14:paraId="16C9C1DF">
            <w:pPr>
              <w:spacing w:after="50" w:line="360" w:lineRule="auto"/>
              <w:ind w:right="-10"/>
              <w:jc w:val="center"/>
              <w:rPr>
                <w:rFonts w:asciiTheme="minorEastAsia" w:hAnsiTheme="minorEastAsia"/>
                <w:sz w:val="24"/>
                <w:szCs w:val="28"/>
                <w:highlight w:val="none"/>
              </w:rPr>
            </w:pPr>
            <w:r>
              <w:rPr>
                <w:rFonts w:hint="eastAsia" w:asciiTheme="minorEastAsia" w:hAnsiTheme="minorEastAsia"/>
                <w:sz w:val="24"/>
                <w:szCs w:val="28"/>
                <w:highlight w:val="none"/>
              </w:rPr>
              <w:t>响应文件异常监测</w:t>
            </w:r>
          </w:p>
        </w:tc>
        <w:tc>
          <w:tcPr>
            <w:tcW w:w="3867" w:type="dxa"/>
            <w:vAlign w:val="center"/>
          </w:tcPr>
          <w:p w14:paraId="6D449C04">
            <w:pPr>
              <w:spacing w:after="50" w:line="360" w:lineRule="auto"/>
              <w:ind w:right="-10"/>
              <w:rPr>
                <w:rFonts w:asciiTheme="minorEastAsia" w:hAnsiTheme="minorEastAsia"/>
                <w:sz w:val="24"/>
                <w:szCs w:val="28"/>
                <w:highlight w:val="none"/>
              </w:rPr>
            </w:pPr>
            <w:r>
              <w:rPr>
                <w:rFonts w:hint="eastAsia" w:asciiTheme="minorEastAsia" w:hAnsiTheme="minorEastAsia"/>
                <w:b/>
                <w:bCs/>
                <w:sz w:val="24"/>
                <w:szCs w:val="28"/>
                <w:highlight w:val="none"/>
              </w:rPr>
              <w:t>不同投标人未出现使用相同的响应文件制作机器识别码进行响应的情形</w:t>
            </w:r>
          </w:p>
        </w:tc>
        <w:tc>
          <w:tcPr>
            <w:tcW w:w="1524" w:type="pct"/>
            <w:vAlign w:val="center"/>
          </w:tcPr>
          <w:p w14:paraId="3C200279">
            <w:pPr>
              <w:adjustRightInd w:val="0"/>
              <w:snapToGrid w:val="0"/>
              <w:spacing w:line="360" w:lineRule="auto"/>
              <w:ind w:right="-10"/>
              <w:jc w:val="left"/>
              <w:rPr>
                <w:rFonts w:ascii="宋体" w:hAnsi="宋体" w:eastAsia="宋体"/>
                <w:sz w:val="24"/>
                <w:highlight w:val="none"/>
              </w:rPr>
            </w:pPr>
          </w:p>
        </w:tc>
      </w:tr>
      <w:tr w14:paraId="76B7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4A37C7B2">
            <w:pPr>
              <w:adjustRightInd w:val="0"/>
              <w:snapToGrid w:val="0"/>
              <w:spacing w:line="360" w:lineRule="auto"/>
              <w:ind w:right="-10"/>
              <w:jc w:val="center"/>
              <w:rPr>
                <w:sz w:val="24"/>
                <w:highlight w:val="none"/>
              </w:rPr>
            </w:pPr>
            <w:r>
              <w:rPr>
                <w:rFonts w:hint="eastAsia"/>
                <w:sz w:val="24"/>
                <w:highlight w:val="none"/>
              </w:rPr>
              <w:t>13</w:t>
            </w:r>
          </w:p>
        </w:tc>
        <w:tc>
          <w:tcPr>
            <w:tcW w:w="796" w:type="pct"/>
            <w:shd w:val="clear" w:color="auto" w:fill="auto"/>
            <w:vAlign w:val="center"/>
          </w:tcPr>
          <w:p w14:paraId="077BAF24">
            <w:pPr>
              <w:spacing w:after="50" w:line="360" w:lineRule="auto"/>
              <w:ind w:right="-10"/>
              <w:jc w:val="center"/>
              <w:rPr>
                <w:rFonts w:asciiTheme="minorEastAsia" w:hAnsiTheme="minorEastAsia"/>
                <w:sz w:val="24"/>
                <w:szCs w:val="28"/>
                <w:highlight w:val="none"/>
              </w:rPr>
            </w:pPr>
            <w:r>
              <w:rPr>
                <w:rFonts w:hint="eastAsia" w:asciiTheme="minorEastAsia" w:hAnsiTheme="minorEastAsia"/>
                <w:sz w:val="24"/>
                <w:szCs w:val="28"/>
                <w:highlight w:val="none"/>
              </w:rPr>
              <w:t>其他实质性要求</w:t>
            </w:r>
          </w:p>
        </w:tc>
        <w:tc>
          <w:tcPr>
            <w:tcW w:w="2268" w:type="pct"/>
            <w:shd w:val="clear" w:color="auto" w:fill="auto"/>
            <w:vAlign w:val="center"/>
          </w:tcPr>
          <w:p w14:paraId="383A6003">
            <w:pPr>
              <w:spacing w:after="50" w:line="360" w:lineRule="auto"/>
              <w:ind w:right="-10"/>
              <w:rPr>
                <w:rFonts w:asciiTheme="minorEastAsia" w:hAnsiTheme="minorEastAsia"/>
                <w:sz w:val="24"/>
                <w:szCs w:val="28"/>
                <w:highlight w:val="none"/>
              </w:rPr>
            </w:pPr>
            <w:r>
              <w:rPr>
                <w:rFonts w:hint="eastAsia" w:asciiTheme="minorEastAsia" w:hAnsiTheme="minorEastAsia"/>
                <w:sz w:val="24"/>
                <w:szCs w:val="28"/>
                <w:highlight w:val="none"/>
              </w:rPr>
              <w:t>符合磋商文件第三章《采购需求》</w:t>
            </w:r>
          </w:p>
        </w:tc>
        <w:tc>
          <w:tcPr>
            <w:tcW w:w="1524" w:type="pct"/>
            <w:shd w:val="clear" w:color="auto" w:fill="auto"/>
            <w:vAlign w:val="center"/>
          </w:tcPr>
          <w:p w14:paraId="4822A8C8">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人员社保符合文件要求</w:t>
            </w:r>
          </w:p>
        </w:tc>
      </w:tr>
      <w:tr w14:paraId="5F39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B8D9C66">
            <w:pPr>
              <w:adjustRightInd w:val="0"/>
              <w:snapToGrid w:val="0"/>
              <w:ind w:right="-10"/>
              <w:jc w:val="left"/>
              <w:rPr>
                <w:rFonts w:ascii="Calibri" w:hAnsi="Calibri" w:cs="Times New Roman"/>
                <w:sz w:val="24"/>
                <w:szCs w:val="22"/>
                <w:highlight w:val="none"/>
              </w:rPr>
            </w:pPr>
            <w:r>
              <w:rPr>
                <w:rFonts w:hint="eastAsia" w:ascii="Calibri" w:hAnsi="Calibri" w:cs="Times New Roman"/>
                <w:sz w:val="24"/>
                <w:szCs w:val="22"/>
                <w:highlight w:val="none"/>
              </w:rPr>
              <w:t>评审指标通过标准：供应商必须通过上述全部指标。</w:t>
            </w:r>
          </w:p>
        </w:tc>
        <w:tc>
          <w:tcPr>
            <w:tcW w:w="1524" w:type="pct"/>
            <w:tcBorders>
              <w:bottom w:val="single" w:color="auto" w:sz="4" w:space="0"/>
            </w:tcBorders>
            <w:vAlign w:val="center"/>
          </w:tcPr>
          <w:p w14:paraId="44DD08B0">
            <w:pPr>
              <w:adjustRightInd w:val="0"/>
              <w:snapToGrid w:val="0"/>
              <w:ind w:right="-10"/>
              <w:jc w:val="left"/>
              <w:rPr>
                <w:rFonts w:ascii="Calibri" w:hAnsi="Calibri" w:cs="Times New Roman"/>
                <w:sz w:val="24"/>
                <w:szCs w:val="22"/>
                <w:highlight w:val="none"/>
              </w:rPr>
            </w:pPr>
          </w:p>
        </w:tc>
      </w:tr>
    </w:tbl>
    <w:p w14:paraId="4D242D39">
      <w:pPr>
        <w:spacing w:line="360" w:lineRule="auto"/>
        <w:ind w:firstLine="435"/>
        <w:rPr>
          <w:rFonts w:asciiTheme="minorEastAsia" w:hAnsiTheme="minorEastAsia"/>
          <w:sz w:val="24"/>
          <w:highlight w:val="none"/>
        </w:rPr>
      </w:pPr>
      <w:r>
        <w:rPr>
          <w:rFonts w:hint="eastAsia" w:asciiTheme="minorEastAsia" w:hAnsiTheme="minorEastAsia"/>
          <w:b/>
          <w:bCs/>
          <w:sz w:val="24"/>
          <w:highlight w:val="none"/>
        </w:rPr>
        <w:t>初审指标通过标准：</w:t>
      </w:r>
      <w:r>
        <w:rPr>
          <w:rFonts w:hint="eastAsia" w:asciiTheme="minorEastAsia" w:hAnsiTheme="minorEastAsia"/>
          <w:sz w:val="24"/>
          <w:highlight w:val="none"/>
        </w:rPr>
        <w:t>供应商必须通过初审表中的全部评审指标。</w:t>
      </w:r>
    </w:p>
    <w:p w14:paraId="3EF2BA62">
      <w:pPr>
        <w:spacing w:line="360" w:lineRule="auto"/>
        <w:ind w:firstLine="435"/>
        <w:outlineLvl w:val="2"/>
        <w:rPr>
          <w:rFonts w:asciiTheme="minorEastAsia" w:hAnsiTheme="minorEastAsia"/>
          <w:b/>
          <w:sz w:val="24"/>
          <w:highlight w:val="none"/>
        </w:rPr>
      </w:pPr>
      <w:r>
        <w:rPr>
          <w:rFonts w:hint="eastAsia" w:asciiTheme="minorEastAsia" w:hAnsiTheme="minorEastAsia"/>
          <w:b/>
          <w:sz w:val="24"/>
          <w:highlight w:val="none"/>
        </w:rPr>
        <w:t>2.2综合评分</w:t>
      </w:r>
    </w:p>
    <w:p w14:paraId="2636DF06">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.1</w:t>
      </w:r>
      <w:r>
        <w:rPr>
          <w:rFonts w:hint="eastAsia" w:asciiTheme="minorEastAsia" w:hAnsiTheme="minorEastAsia"/>
          <w:sz w:val="24"/>
          <w:highlight w:val="none"/>
        </w:rPr>
        <w:t>磋商小组按照下表对</w:t>
      </w:r>
      <w:r>
        <w:rPr>
          <w:rFonts w:hint="eastAsia"/>
          <w:sz w:val="24"/>
          <w:highlight w:val="none"/>
        </w:rPr>
        <w:t>进入综合评分的所有供应商的</w:t>
      </w:r>
      <w:r>
        <w:rPr>
          <w:rFonts w:hint="eastAsia" w:asciiTheme="minorEastAsia" w:hAnsiTheme="minorEastAsia"/>
          <w:sz w:val="24"/>
          <w:highlight w:val="none"/>
        </w:rPr>
        <w:t>响应文件进行综合评分。</w:t>
      </w:r>
    </w:p>
    <w:p w14:paraId="28A623C5">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.2</w:t>
      </w:r>
      <w:r>
        <w:rPr>
          <w:rFonts w:hint="eastAsia" w:asciiTheme="minorEastAsia" w:hAnsiTheme="minorEastAsia"/>
          <w:sz w:val="24"/>
          <w:highlight w:val="none"/>
        </w:rPr>
        <w:t>本项目综合评分满分为1</w:t>
      </w:r>
      <w:r>
        <w:rPr>
          <w:rFonts w:asciiTheme="minorEastAsia" w:hAnsiTheme="minorEastAsia"/>
          <w:sz w:val="24"/>
          <w:highlight w:val="none"/>
        </w:rPr>
        <w:t>00</w:t>
      </w:r>
      <w:r>
        <w:rPr>
          <w:rFonts w:hint="eastAsia" w:asciiTheme="minorEastAsia" w:hAnsiTheme="minorEastAsia"/>
          <w:sz w:val="24"/>
          <w:highlight w:val="none"/>
        </w:rPr>
        <w:t>分，其中：技术资信分值占总分值的权重为</w:t>
      </w:r>
      <w:r>
        <w:rPr>
          <w:rFonts w:hint="eastAsia" w:asciiTheme="minorEastAsia" w:hAnsiTheme="minorEastAsia"/>
          <w:sz w:val="24"/>
          <w:highlight w:val="none"/>
          <w:u w:val="single"/>
        </w:rPr>
        <w:t>80</w:t>
      </w:r>
      <w:r>
        <w:rPr>
          <w:rFonts w:asciiTheme="minorEastAsia" w:hAnsiTheme="minorEastAsia"/>
          <w:sz w:val="24"/>
          <w:highlight w:val="none"/>
        </w:rPr>
        <w:t>%，价格分值占总分值的权重为</w:t>
      </w:r>
      <w:r>
        <w:rPr>
          <w:rFonts w:hint="eastAsia" w:asciiTheme="minorEastAsia" w:hAnsiTheme="minorEastAsia"/>
          <w:sz w:val="24"/>
          <w:highlight w:val="none"/>
          <w:u w:val="single"/>
        </w:rPr>
        <w:t>20</w:t>
      </w:r>
      <w:r>
        <w:rPr>
          <w:rFonts w:asciiTheme="minorEastAsia" w:hAnsiTheme="minorEastAsia"/>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3ACE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04A03320">
            <w:pPr>
              <w:spacing w:line="360" w:lineRule="auto"/>
              <w:jc w:val="center"/>
              <w:rPr>
                <w:rFonts w:asciiTheme="minorEastAsia" w:hAnsiTheme="minorEastAsia"/>
                <w:b/>
                <w:bCs/>
                <w:sz w:val="24"/>
                <w:highlight w:val="none"/>
              </w:rPr>
            </w:pPr>
            <w:r>
              <w:rPr>
                <w:rFonts w:hint="eastAsia" w:asciiTheme="minorEastAsia" w:hAnsiTheme="minorEastAsia"/>
                <w:b/>
                <w:bCs/>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308B68E9">
            <w:pPr>
              <w:spacing w:line="360" w:lineRule="auto"/>
              <w:jc w:val="center"/>
              <w:rPr>
                <w:rFonts w:asciiTheme="minorEastAsia" w:hAnsiTheme="minorEastAsia"/>
                <w:b/>
                <w:bCs/>
                <w:sz w:val="24"/>
                <w:highlight w:val="none"/>
              </w:rPr>
            </w:pPr>
            <w:r>
              <w:rPr>
                <w:rFonts w:hint="eastAsia" w:asciiTheme="minorEastAsia" w:hAnsiTheme="minorEastAsia"/>
                <w:b/>
                <w:bCs/>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01CD2F08">
            <w:pPr>
              <w:spacing w:line="360" w:lineRule="auto"/>
              <w:jc w:val="center"/>
              <w:rPr>
                <w:rFonts w:asciiTheme="minorEastAsia" w:hAnsiTheme="minorEastAsia"/>
                <w:b/>
                <w:bCs/>
                <w:sz w:val="24"/>
                <w:highlight w:val="none"/>
              </w:rPr>
            </w:pPr>
            <w:r>
              <w:rPr>
                <w:rFonts w:hint="eastAsia" w:asciiTheme="minorEastAsia" w:hAnsiTheme="minorEastAsia"/>
                <w:b/>
                <w:bCs/>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7B11F172">
            <w:pPr>
              <w:spacing w:line="360" w:lineRule="auto"/>
              <w:jc w:val="center"/>
              <w:rPr>
                <w:rFonts w:asciiTheme="minorEastAsia" w:hAnsiTheme="minorEastAsia"/>
                <w:b/>
                <w:bCs/>
                <w:sz w:val="24"/>
                <w:highlight w:val="none"/>
              </w:rPr>
            </w:pPr>
            <w:r>
              <w:rPr>
                <w:rFonts w:hint="eastAsia" w:asciiTheme="minorEastAsia" w:hAnsiTheme="minorEastAsia"/>
                <w:b/>
                <w:bCs/>
                <w:sz w:val="24"/>
                <w:highlight w:val="none"/>
              </w:rPr>
              <w:t>分值范围</w:t>
            </w:r>
          </w:p>
        </w:tc>
      </w:tr>
      <w:tr w14:paraId="7E5F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13E4F6E2">
            <w:pPr>
              <w:spacing w:line="360" w:lineRule="auto"/>
              <w:jc w:val="center"/>
              <w:rPr>
                <w:rFonts w:asciiTheme="minorEastAsia" w:hAnsiTheme="minorEastAsia"/>
                <w:sz w:val="24"/>
                <w:highlight w:val="none"/>
              </w:rPr>
            </w:pPr>
            <w:r>
              <w:rPr>
                <w:rFonts w:hint="eastAsia" w:asciiTheme="minorEastAsia" w:hAnsiTheme="minorEastAsia"/>
                <w:sz w:val="24"/>
                <w:highlight w:val="none"/>
              </w:rPr>
              <w:t>技术资信分</w:t>
            </w:r>
          </w:p>
          <w:p w14:paraId="42E23836">
            <w:pPr>
              <w:spacing w:line="360" w:lineRule="auto"/>
              <w:jc w:val="center"/>
              <w:rPr>
                <w:rFonts w:asciiTheme="minorEastAsia" w:hAnsiTheme="minorEastAsia"/>
                <w:b/>
                <w:bCs/>
                <w:sz w:val="24"/>
                <w:highlight w:val="none"/>
              </w:rPr>
            </w:pPr>
            <w:r>
              <w:rPr>
                <w:rFonts w:hint="eastAsia" w:asciiTheme="minorEastAsia" w:hAnsiTheme="minorEastAsia"/>
                <w:sz w:val="24"/>
                <w:highlight w:val="none"/>
              </w:rPr>
              <w:t>（</w:t>
            </w:r>
            <w:r>
              <w:rPr>
                <w:rFonts w:hint="eastAsia" w:asciiTheme="minorEastAsia" w:hAnsiTheme="minorEastAsia"/>
                <w:sz w:val="24"/>
                <w:highlight w:val="none"/>
                <w:u w:val="single"/>
              </w:rPr>
              <w:t>80</w:t>
            </w:r>
            <w:r>
              <w:rPr>
                <w:rFonts w:hint="eastAsia" w:asciiTheme="minorEastAsia" w:hAnsiTheme="minorEastAsia"/>
                <w:sz w:val="24"/>
                <w:highlight w:val="none"/>
              </w:rPr>
              <w:t>分）</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A83CB2E">
            <w:pPr>
              <w:spacing w:line="360" w:lineRule="auto"/>
              <w:jc w:val="center"/>
              <w:rPr>
                <w:rFonts w:ascii="宋体" w:hAnsi="宋体" w:cs="宋体"/>
                <w:b/>
                <w:bCs/>
                <w:sz w:val="24"/>
                <w:highlight w:val="none"/>
              </w:rPr>
            </w:pPr>
            <w:r>
              <w:rPr>
                <w:rFonts w:hint="eastAsia" w:ascii="宋体" w:hAnsi="宋体" w:cs="宋体"/>
                <w:sz w:val="24"/>
                <w:highlight w:val="none"/>
              </w:rPr>
              <w:t>企业业绩</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16B71EE8">
            <w:pPr>
              <w:pStyle w:val="277"/>
              <w:spacing w:line="360" w:lineRule="auto"/>
              <w:rPr>
                <w:rFonts w:hint="default" w:cs="宋体"/>
                <w:spacing w:val="-9"/>
                <w:highlight w:val="none"/>
              </w:rPr>
            </w:pPr>
            <w:r>
              <w:rPr>
                <w:rFonts w:cs="宋体"/>
                <w:spacing w:val="-9"/>
                <w:highlight w:val="none"/>
              </w:rPr>
              <w:t>1、供应商自2020年1月1日以来（时间以竣工验收日期为准）,具备房屋建筑室外工程施工业绩的,每提供1个得5分,本项最高得15分。</w:t>
            </w:r>
          </w:p>
          <w:p w14:paraId="5E440E43">
            <w:pPr>
              <w:pStyle w:val="277"/>
              <w:spacing w:line="360" w:lineRule="auto"/>
              <w:rPr>
                <w:rFonts w:cs="宋体"/>
                <w:b/>
                <w:bCs/>
                <w:spacing w:val="-9"/>
                <w:highlight w:val="none"/>
              </w:rPr>
            </w:pPr>
            <w:r>
              <w:rPr>
                <w:rFonts w:cs="宋体"/>
                <w:b/>
                <w:bCs/>
                <w:spacing w:val="-9"/>
                <w:highlight w:val="none"/>
              </w:rPr>
              <w:t>备注:</w:t>
            </w:r>
          </w:p>
          <w:p w14:paraId="5C614E44">
            <w:pPr>
              <w:pStyle w:val="277"/>
              <w:spacing w:line="360" w:lineRule="auto"/>
              <w:rPr>
                <w:rFonts w:hint="eastAsia" w:cs="宋体"/>
                <w:b/>
                <w:bCs/>
                <w:spacing w:val="-9"/>
                <w:highlight w:val="none"/>
                <w:lang w:val="en-US" w:eastAsia="zh-CN"/>
              </w:rPr>
            </w:pPr>
            <w:r>
              <w:rPr>
                <w:rFonts w:hint="eastAsia" w:cs="宋体"/>
                <w:b/>
                <w:bCs/>
                <w:spacing w:val="-9"/>
                <w:highlight w:val="none"/>
                <w:lang w:val="en-US" w:eastAsia="zh-CN"/>
              </w:rPr>
              <w:t>须同时提供以下（1）、（2）两项证明材料；</w:t>
            </w:r>
          </w:p>
          <w:p w14:paraId="6E3D429D">
            <w:pPr>
              <w:pStyle w:val="277"/>
              <w:spacing w:line="360" w:lineRule="auto"/>
              <w:rPr>
                <w:rFonts w:hint="default"/>
                <w:highlight w:val="none"/>
              </w:rPr>
            </w:pPr>
            <w:r>
              <w:rPr>
                <w:rFonts w:cs="宋体"/>
                <w:b/>
                <w:bCs/>
                <w:spacing w:val="-9"/>
                <w:highlight w:val="none"/>
              </w:rPr>
              <w:t>（1）合同扫描件；</w:t>
            </w:r>
          </w:p>
          <w:p w14:paraId="3BE8E0B5">
            <w:pPr>
              <w:pStyle w:val="277"/>
              <w:spacing w:line="360" w:lineRule="auto"/>
              <w:rPr>
                <w:rFonts w:hint="default" w:cs="宋体"/>
                <w:b/>
                <w:bCs/>
                <w:spacing w:val="-9"/>
                <w:highlight w:val="none"/>
              </w:rPr>
            </w:pPr>
            <w:r>
              <w:rPr>
                <w:b/>
                <w:bCs/>
                <w:highlight w:val="none"/>
              </w:rPr>
              <w:t>（</w:t>
            </w:r>
            <w:r>
              <w:rPr>
                <w:rFonts w:cs="宋体"/>
                <w:b/>
                <w:bCs/>
                <w:spacing w:val="-9"/>
                <w:highlight w:val="none"/>
              </w:rPr>
              <w:t>2</w:t>
            </w:r>
            <w:r>
              <w:rPr>
                <w:rFonts w:hint="eastAsia" w:cs="宋体"/>
                <w:b/>
                <w:bCs/>
                <w:spacing w:val="-9"/>
                <w:highlight w:val="none"/>
                <w:lang w:eastAsia="zh-CN"/>
              </w:rPr>
              <w:t>）</w:t>
            </w:r>
            <w:r>
              <w:rPr>
                <w:rFonts w:hint="default" w:cs="宋体"/>
                <w:b/>
                <w:bCs/>
                <w:spacing w:val="-9"/>
                <w:highlight w:val="none"/>
              </w:rPr>
              <w:t>竣工验收证明文件（至少有建设单位、施工单位双方参与竣工验收并盖章），否则不予认可；</w:t>
            </w:r>
          </w:p>
          <w:p w14:paraId="18839CB6">
            <w:pPr>
              <w:pStyle w:val="277"/>
              <w:spacing w:line="360" w:lineRule="auto"/>
              <w:rPr>
                <w:rFonts w:cs="宋体"/>
                <w:b/>
                <w:bCs/>
                <w:spacing w:val="-9"/>
                <w:highlight w:val="none"/>
              </w:rPr>
            </w:pPr>
            <w:r>
              <w:rPr>
                <w:rFonts w:cs="宋体"/>
                <w:b/>
                <w:bCs/>
                <w:spacing w:val="-9"/>
                <w:highlight w:val="none"/>
              </w:rPr>
              <w:t>（</w:t>
            </w:r>
            <w:r>
              <w:rPr>
                <w:rFonts w:hint="eastAsia" w:cs="宋体"/>
                <w:b/>
                <w:bCs/>
                <w:spacing w:val="-9"/>
                <w:highlight w:val="none"/>
                <w:lang w:val="en-US" w:eastAsia="zh-CN"/>
              </w:rPr>
              <w:t>3</w:t>
            </w:r>
            <w:r>
              <w:rPr>
                <w:rFonts w:cs="宋体"/>
                <w:b/>
                <w:bCs/>
                <w:spacing w:val="-9"/>
                <w:highlight w:val="none"/>
              </w:rPr>
              <w:t>）以上涉及到的证明资料应完整或能充分反映评审因素（如时间、合同内容）</w:t>
            </w:r>
            <w:r>
              <w:rPr>
                <w:rFonts w:hint="eastAsia" w:cs="宋体"/>
                <w:b/>
                <w:bCs/>
                <w:spacing w:val="-9"/>
                <w:highlight w:val="none"/>
                <w:lang w:eastAsia="zh-CN"/>
              </w:rPr>
              <w:t>；</w:t>
            </w:r>
            <w:r>
              <w:rPr>
                <w:rFonts w:cs="宋体"/>
                <w:b/>
                <w:bCs/>
                <w:spacing w:val="-9"/>
                <w:highlight w:val="none"/>
              </w:rPr>
              <w:t>若</w:t>
            </w:r>
            <w:r>
              <w:rPr>
                <w:rFonts w:hint="eastAsia" w:cs="宋体"/>
                <w:b/>
                <w:bCs/>
                <w:spacing w:val="-9"/>
                <w:highlight w:val="none"/>
                <w:lang w:val="en-US" w:eastAsia="zh-CN"/>
              </w:rPr>
              <w:t>业绩</w:t>
            </w:r>
            <w:r>
              <w:rPr>
                <w:rFonts w:cs="宋体"/>
                <w:b/>
                <w:bCs/>
                <w:spacing w:val="-9"/>
                <w:highlight w:val="none"/>
              </w:rPr>
              <w:t>证明材料中无法体现关键评审因素的，须</w:t>
            </w:r>
            <w:r>
              <w:rPr>
                <w:rFonts w:hint="eastAsia" w:cs="宋体"/>
                <w:b/>
                <w:bCs/>
                <w:spacing w:val="-9"/>
                <w:highlight w:val="none"/>
                <w:lang w:val="en-US" w:eastAsia="zh-CN"/>
              </w:rPr>
              <w:t>补充</w:t>
            </w:r>
            <w:r>
              <w:rPr>
                <w:rFonts w:cs="宋体"/>
                <w:b/>
                <w:bCs/>
                <w:spacing w:val="-9"/>
                <w:highlight w:val="none"/>
              </w:rPr>
              <w:t>提供业主（合同甲方）证明材料，否则不得分</w:t>
            </w:r>
            <w:r>
              <w:rPr>
                <w:rFonts w:hint="eastAsia" w:cs="宋体"/>
                <w:b/>
                <w:bCs/>
                <w:spacing w:val="-9"/>
                <w:highlight w:val="none"/>
                <w:lang w:eastAsia="zh-CN"/>
              </w:rPr>
              <w:t>。</w:t>
            </w:r>
          </w:p>
          <w:p w14:paraId="12C8FD9A">
            <w:pPr>
              <w:pStyle w:val="277"/>
              <w:spacing w:line="360" w:lineRule="auto"/>
              <w:rPr>
                <w:rFonts w:hint="eastAsia" w:eastAsia="宋体" w:cs="宋体"/>
                <w:b/>
                <w:bCs/>
                <w:spacing w:val="-9"/>
                <w:highlight w:val="none"/>
                <w:lang w:eastAsia="zh-CN"/>
              </w:rPr>
            </w:pPr>
            <w:r>
              <w:rPr>
                <w:rFonts w:cs="宋体"/>
                <w:b/>
                <w:bCs/>
                <w:spacing w:val="-9"/>
                <w:highlight w:val="none"/>
              </w:rPr>
              <w:t>（</w:t>
            </w:r>
            <w:r>
              <w:rPr>
                <w:rFonts w:hint="eastAsia" w:cs="宋体"/>
                <w:b/>
                <w:bCs/>
                <w:spacing w:val="-9"/>
                <w:highlight w:val="none"/>
                <w:lang w:val="en-US" w:eastAsia="zh-CN"/>
              </w:rPr>
              <w:t>4</w:t>
            </w:r>
            <w:r>
              <w:rPr>
                <w:rFonts w:cs="宋体"/>
                <w:b/>
                <w:bCs/>
                <w:spacing w:val="-9"/>
                <w:highlight w:val="none"/>
              </w:rPr>
              <w:t>）供应商业绩与项目经理业绩可重复计分；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16862EB0">
            <w:pPr>
              <w:spacing w:line="360" w:lineRule="auto"/>
              <w:jc w:val="center"/>
              <w:rPr>
                <w:rFonts w:ascii="宋体" w:hAnsi="宋体" w:cs="宋体"/>
                <w:bCs/>
                <w:sz w:val="24"/>
                <w:highlight w:val="none"/>
              </w:rPr>
            </w:pPr>
            <w:r>
              <w:rPr>
                <w:rFonts w:hint="eastAsia" w:ascii="宋体" w:hAnsi="宋体" w:cs="宋体"/>
                <w:bCs/>
                <w:sz w:val="24"/>
                <w:highlight w:val="none"/>
              </w:rPr>
              <w:t>0-15分</w:t>
            </w:r>
          </w:p>
        </w:tc>
      </w:tr>
      <w:tr w14:paraId="2BAE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910714">
            <w:pPr>
              <w:spacing w:line="360" w:lineRule="auto"/>
              <w:jc w:val="center"/>
              <w:rPr>
                <w:rFonts w:asciiTheme="minorEastAsia" w:hAnsi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2E4C8EC6">
            <w:pPr>
              <w:spacing w:line="360" w:lineRule="auto"/>
              <w:jc w:val="center"/>
              <w:rPr>
                <w:rFonts w:ascii="宋体" w:hAnsi="宋体" w:cs="宋体"/>
                <w:sz w:val="24"/>
                <w:highlight w:val="none"/>
              </w:rPr>
            </w:pPr>
            <w:r>
              <w:rPr>
                <w:rFonts w:hint="eastAsia" w:ascii="宋体" w:hAnsi="宋体" w:cs="宋体"/>
                <w:sz w:val="24"/>
                <w:highlight w:val="none"/>
              </w:rPr>
              <w:t>项目经理业绩</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02963C75">
            <w:pPr>
              <w:pStyle w:val="277"/>
              <w:spacing w:line="360" w:lineRule="auto"/>
              <w:rPr>
                <w:rFonts w:hint="default" w:cs="宋体"/>
                <w:spacing w:val="-9"/>
                <w:highlight w:val="none"/>
              </w:rPr>
            </w:pPr>
            <w:r>
              <w:rPr>
                <w:rFonts w:cs="宋体"/>
                <w:spacing w:val="-9"/>
                <w:highlight w:val="none"/>
              </w:rPr>
              <w:t>拟派项目经理自2020年1月1日以来（时间以竣工验收日期为准）具备房屋建筑室外工程施工业绩的,每提供1个得5分,本项最高得10分。</w:t>
            </w:r>
          </w:p>
          <w:p w14:paraId="70D271D2">
            <w:pPr>
              <w:pStyle w:val="277"/>
              <w:spacing w:line="360" w:lineRule="auto"/>
              <w:rPr>
                <w:rFonts w:hint="default" w:cs="宋体"/>
                <w:spacing w:val="-9"/>
                <w:highlight w:val="none"/>
              </w:rPr>
            </w:pPr>
            <w:r>
              <w:rPr>
                <w:rFonts w:cs="宋体"/>
                <w:spacing w:val="-9"/>
                <w:highlight w:val="none"/>
              </w:rPr>
              <w:t>项目经理业绩必须是在项目经理岗位上的业绩。</w:t>
            </w:r>
          </w:p>
          <w:p w14:paraId="4CBB344C">
            <w:pPr>
              <w:pStyle w:val="277"/>
              <w:spacing w:line="360" w:lineRule="auto"/>
              <w:rPr>
                <w:rFonts w:cs="宋体"/>
                <w:b/>
                <w:bCs/>
                <w:spacing w:val="-9"/>
                <w:highlight w:val="none"/>
              </w:rPr>
            </w:pPr>
            <w:r>
              <w:rPr>
                <w:rFonts w:cs="宋体"/>
                <w:b/>
                <w:bCs/>
                <w:spacing w:val="-9"/>
                <w:highlight w:val="none"/>
              </w:rPr>
              <w:t>备注：</w:t>
            </w:r>
          </w:p>
          <w:p w14:paraId="00372274">
            <w:pPr>
              <w:pStyle w:val="277"/>
              <w:spacing w:line="360" w:lineRule="auto"/>
              <w:rPr>
                <w:rFonts w:cs="宋体"/>
                <w:b/>
                <w:bCs/>
                <w:spacing w:val="-9"/>
                <w:highlight w:val="none"/>
              </w:rPr>
            </w:pPr>
            <w:r>
              <w:rPr>
                <w:rFonts w:hint="eastAsia" w:cs="宋体"/>
                <w:b/>
                <w:bCs/>
                <w:spacing w:val="-9"/>
                <w:highlight w:val="none"/>
                <w:lang w:val="en-US" w:eastAsia="zh-CN"/>
              </w:rPr>
              <w:t>须同时提供以下（1）、（2）两项证明材料；</w:t>
            </w:r>
          </w:p>
          <w:p w14:paraId="4C7642B7">
            <w:pPr>
              <w:pStyle w:val="277"/>
              <w:spacing w:line="360" w:lineRule="auto"/>
              <w:rPr>
                <w:rFonts w:hint="default" w:cs="宋体"/>
                <w:b/>
                <w:bCs/>
                <w:spacing w:val="-9"/>
                <w:highlight w:val="none"/>
              </w:rPr>
            </w:pPr>
            <w:r>
              <w:rPr>
                <w:rFonts w:cs="宋体"/>
                <w:b/>
                <w:bCs/>
                <w:spacing w:val="-9"/>
                <w:highlight w:val="none"/>
              </w:rPr>
              <w:t>（1）合同扫描件；</w:t>
            </w:r>
          </w:p>
          <w:p w14:paraId="51F39166">
            <w:pPr>
              <w:pStyle w:val="277"/>
              <w:spacing w:line="360" w:lineRule="auto"/>
              <w:rPr>
                <w:rFonts w:hint="default" w:cs="宋体"/>
                <w:b/>
                <w:bCs/>
                <w:spacing w:val="-9"/>
                <w:highlight w:val="none"/>
              </w:rPr>
            </w:pPr>
            <w:r>
              <w:rPr>
                <w:b/>
                <w:bCs/>
                <w:highlight w:val="none"/>
              </w:rPr>
              <w:t>（</w:t>
            </w:r>
            <w:r>
              <w:rPr>
                <w:rFonts w:cs="宋体"/>
                <w:b/>
                <w:bCs/>
                <w:spacing w:val="-9"/>
                <w:highlight w:val="none"/>
              </w:rPr>
              <w:t>2）</w:t>
            </w:r>
            <w:r>
              <w:rPr>
                <w:rFonts w:hint="default" w:cs="宋体"/>
                <w:b/>
                <w:bCs/>
                <w:spacing w:val="-9"/>
                <w:highlight w:val="none"/>
              </w:rPr>
              <w:t>竣工验收证明文件（至少有建设单位、施工单位双方参与竣工验收并盖章），否则不予认可；</w:t>
            </w:r>
          </w:p>
          <w:p w14:paraId="37364F35">
            <w:pPr>
              <w:pStyle w:val="277"/>
              <w:spacing w:line="360" w:lineRule="auto"/>
              <w:rPr>
                <w:rFonts w:hint="eastAsia" w:eastAsia="宋体" w:cs="宋体"/>
                <w:b/>
                <w:bCs/>
                <w:spacing w:val="-9"/>
                <w:highlight w:val="none"/>
                <w:lang w:eastAsia="zh-CN"/>
              </w:rPr>
            </w:pPr>
            <w:r>
              <w:rPr>
                <w:rFonts w:cs="宋体"/>
                <w:b/>
                <w:bCs/>
                <w:spacing w:val="-9"/>
                <w:highlight w:val="none"/>
              </w:rPr>
              <w:t>（3）以上涉及到的证明资料应完整或能充分反映评审因素（如时间、合同内容，</w:t>
            </w:r>
            <w:r>
              <w:rPr>
                <w:rFonts w:hint="eastAsia" w:cs="宋体"/>
                <w:b/>
                <w:bCs/>
                <w:spacing w:val="-9"/>
                <w:highlight w:val="none"/>
                <w:lang w:val="en-US" w:eastAsia="zh-CN"/>
              </w:rPr>
              <w:t>项目</w:t>
            </w:r>
            <w:r>
              <w:rPr>
                <w:rFonts w:asciiTheme="minorEastAsia" w:hAnsiTheme="minorEastAsia" w:eastAsiaTheme="minorEastAsia" w:cstheme="minorEastAsia"/>
                <w:b/>
                <w:bCs/>
                <w:spacing w:val="-9"/>
                <w:highlight w:val="none"/>
              </w:rPr>
              <w:t>经理姓名</w:t>
            </w:r>
            <w:r>
              <w:rPr>
                <w:rFonts w:cs="宋体"/>
                <w:b/>
                <w:bCs/>
                <w:spacing w:val="-9"/>
                <w:highlight w:val="none"/>
              </w:rPr>
              <w:t>等）</w:t>
            </w:r>
            <w:r>
              <w:rPr>
                <w:rFonts w:hint="eastAsia" w:cs="宋体"/>
                <w:b/>
                <w:bCs/>
                <w:spacing w:val="-9"/>
                <w:highlight w:val="none"/>
                <w:lang w:eastAsia="zh-CN"/>
              </w:rPr>
              <w:t>；</w:t>
            </w:r>
            <w:r>
              <w:rPr>
                <w:rFonts w:cs="宋体"/>
                <w:b/>
                <w:bCs/>
                <w:spacing w:val="-9"/>
                <w:highlight w:val="none"/>
              </w:rPr>
              <w:t>若</w:t>
            </w:r>
            <w:r>
              <w:rPr>
                <w:rFonts w:hint="eastAsia" w:cs="宋体"/>
                <w:b/>
                <w:bCs/>
                <w:spacing w:val="-9"/>
                <w:highlight w:val="none"/>
                <w:lang w:val="en-US" w:eastAsia="zh-CN"/>
              </w:rPr>
              <w:t>业绩</w:t>
            </w:r>
            <w:r>
              <w:rPr>
                <w:rFonts w:cs="宋体"/>
                <w:b/>
                <w:bCs/>
                <w:spacing w:val="-9"/>
                <w:highlight w:val="none"/>
              </w:rPr>
              <w:t>证明材料中无法体现关键评审因素的，须</w:t>
            </w:r>
            <w:r>
              <w:rPr>
                <w:rFonts w:hint="eastAsia" w:cs="宋体"/>
                <w:b/>
                <w:bCs/>
                <w:spacing w:val="-9"/>
                <w:highlight w:val="none"/>
                <w:lang w:val="en-US" w:eastAsia="zh-CN"/>
              </w:rPr>
              <w:t>补充</w:t>
            </w:r>
            <w:r>
              <w:rPr>
                <w:rFonts w:cs="宋体"/>
                <w:b/>
                <w:bCs/>
                <w:spacing w:val="-9"/>
                <w:highlight w:val="none"/>
              </w:rPr>
              <w:t>提供业主（合同甲方）证明材料，否则不得分</w:t>
            </w:r>
            <w:r>
              <w:rPr>
                <w:rFonts w:hint="eastAsia" w:cs="宋体"/>
                <w:b/>
                <w:bCs/>
                <w:spacing w:val="-9"/>
                <w:highlight w:val="none"/>
                <w:lang w:eastAsia="zh-CN"/>
              </w:rPr>
              <w:t>；</w:t>
            </w:r>
          </w:p>
          <w:p w14:paraId="1DB64B8D">
            <w:pPr>
              <w:pStyle w:val="277"/>
              <w:spacing w:line="360" w:lineRule="auto"/>
              <w:rPr>
                <w:rFonts w:hint="default" w:cs="宋体"/>
                <w:b/>
                <w:bCs/>
                <w:spacing w:val="-9"/>
                <w:highlight w:val="none"/>
              </w:rPr>
            </w:pPr>
            <w:r>
              <w:rPr>
                <w:rFonts w:cs="宋体"/>
                <w:b/>
                <w:bCs/>
                <w:spacing w:val="-9"/>
                <w:highlight w:val="none"/>
              </w:rPr>
              <w:t>（4）供应商业绩与项目经理业绩可重复计分。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309F7765">
            <w:pPr>
              <w:spacing w:line="360" w:lineRule="auto"/>
              <w:jc w:val="center"/>
              <w:rPr>
                <w:rFonts w:ascii="宋体" w:hAnsi="宋体" w:cs="宋体"/>
                <w:bCs/>
                <w:sz w:val="24"/>
                <w:highlight w:val="none"/>
              </w:rPr>
            </w:pPr>
            <w:r>
              <w:rPr>
                <w:rFonts w:hint="eastAsia" w:ascii="宋体" w:hAnsi="宋体" w:cs="宋体"/>
                <w:bCs/>
                <w:sz w:val="24"/>
                <w:highlight w:val="none"/>
              </w:rPr>
              <w:t>0-10分</w:t>
            </w:r>
          </w:p>
        </w:tc>
      </w:tr>
      <w:tr w14:paraId="6451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4F55C9A">
            <w:pPr>
              <w:spacing w:line="360" w:lineRule="auto"/>
              <w:ind w:firstLine="435"/>
              <w:jc w:val="center"/>
              <w:rPr>
                <w:rFonts w:asciiTheme="minorEastAsia" w:hAnsiTheme="minorEastAsia"/>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4F280EC">
            <w:pPr>
              <w:spacing w:line="360" w:lineRule="auto"/>
              <w:jc w:val="center"/>
              <w:rPr>
                <w:rFonts w:asciiTheme="minorEastAsia" w:hAnsiTheme="minorEastAsia"/>
                <w:sz w:val="24"/>
                <w:highlight w:val="none"/>
              </w:rPr>
            </w:pPr>
            <w:r>
              <w:rPr>
                <w:rFonts w:hint="eastAsia" w:asciiTheme="minorEastAsia" w:hAnsiTheme="minorEastAsia"/>
                <w:sz w:val="24"/>
                <w:highlight w:val="none"/>
              </w:rPr>
              <w:t>项目经理要求</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0FE30C7F">
            <w:pPr>
              <w:spacing w:line="360" w:lineRule="auto"/>
              <w:jc w:val="left"/>
              <w:rPr>
                <w:highlight w:val="none"/>
              </w:rPr>
            </w:pPr>
            <w:r>
              <w:rPr>
                <w:rFonts w:hint="eastAsia" w:asciiTheme="minorEastAsia" w:hAnsiTheme="minorEastAsia"/>
                <w:sz w:val="24"/>
                <w:highlight w:val="none"/>
              </w:rPr>
              <w:t>拟派项目经理具有建筑工程相关专业中级及以上职称的得2分，本项满分2分。</w:t>
            </w:r>
          </w:p>
          <w:p w14:paraId="2AD584AB">
            <w:pPr>
              <w:spacing w:line="360" w:lineRule="auto"/>
              <w:jc w:val="left"/>
              <w:rPr>
                <w:rFonts w:asciiTheme="minorEastAsia" w:hAnsiTheme="minorEastAsia"/>
                <w:sz w:val="24"/>
                <w:highlight w:val="none"/>
              </w:rPr>
            </w:pPr>
            <w:r>
              <w:rPr>
                <w:rFonts w:hint="eastAsia" w:asciiTheme="minorEastAsia" w:hAnsiTheme="minorEastAsia"/>
                <w:sz w:val="24"/>
                <w:highlight w:val="none"/>
              </w:rPr>
              <w:t>注：响应文件中提供证书扫描件。</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2FC31A52">
            <w:pPr>
              <w:spacing w:line="360" w:lineRule="auto"/>
              <w:jc w:val="center"/>
              <w:rPr>
                <w:rFonts w:ascii="宋体" w:hAnsi="宋体" w:cs="宋体"/>
                <w:bCs/>
                <w:sz w:val="24"/>
                <w:highlight w:val="none"/>
              </w:rPr>
            </w:pPr>
            <w:r>
              <w:rPr>
                <w:rFonts w:hint="eastAsia" w:ascii="宋体" w:hAnsi="宋体" w:cs="宋体"/>
                <w:bCs/>
                <w:sz w:val="24"/>
                <w:highlight w:val="none"/>
              </w:rPr>
              <w:t>0-2分</w:t>
            </w:r>
          </w:p>
        </w:tc>
      </w:tr>
      <w:tr w14:paraId="52A7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36604B">
            <w:pPr>
              <w:spacing w:line="360" w:lineRule="auto"/>
              <w:ind w:firstLine="435"/>
              <w:jc w:val="center"/>
              <w:rPr>
                <w:rFonts w:asciiTheme="minorEastAsia" w:hAnsiTheme="minorEastAsia"/>
                <w:b/>
                <w:bCs/>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ED7EE47">
            <w:pPr>
              <w:spacing w:line="360" w:lineRule="auto"/>
              <w:jc w:val="left"/>
              <w:rPr>
                <w:rFonts w:asciiTheme="minorEastAsia" w:hAnsiTheme="minorEastAsia"/>
                <w:sz w:val="24"/>
                <w:highlight w:val="none"/>
              </w:rPr>
            </w:pPr>
            <w:r>
              <w:rPr>
                <w:rFonts w:asciiTheme="minorEastAsia" w:hAnsiTheme="minorEastAsia"/>
                <w:sz w:val="24"/>
                <w:highlight w:val="none"/>
              </w:rPr>
              <w:t>供应商体系认证</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6D6C208F">
            <w:pPr>
              <w:spacing w:line="360" w:lineRule="auto"/>
              <w:jc w:val="left"/>
              <w:rPr>
                <w:rFonts w:asciiTheme="minorEastAsia" w:hAnsiTheme="minorEastAsia"/>
                <w:sz w:val="24"/>
                <w:highlight w:val="none"/>
              </w:rPr>
            </w:pPr>
            <w:r>
              <w:rPr>
                <w:rFonts w:asciiTheme="minorEastAsia" w:hAnsiTheme="minorEastAsia"/>
                <w:sz w:val="24"/>
                <w:highlight w:val="none"/>
              </w:rPr>
              <w:t>供应商具有经中国国家认证认可监督管理委员会认证机构颁发的有效的：</w:t>
            </w:r>
          </w:p>
          <w:p w14:paraId="729AFF2B">
            <w:pPr>
              <w:spacing w:line="360" w:lineRule="auto"/>
              <w:jc w:val="left"/>
              <w:rPr>
                <w:rFonts w:asciiTheme="minorEastAsia" w:hAnsiTheme="minorEastAsia"/>
                <w:sz w:val="24"/>
                <w:highlight w:val="none"/>
              </w:rPr>
            </w:pPr>
            <w:r>
              <w:rPr>
                <w:rFonts w:asciiTheme="minorEastAsia" w:hAnsiTheme="minorEastAsia"/>
                <w:sz w:val="24"/>
                <w:highlight w:val="none"/>
              </w:rPr>
              <w:t>1.职业健康安全管理体系认证证书的，得</w:t>
            </w:r>
            <w:r>
              <w:rPr>
                <w:rFonts w:hint="eastAsia" w:asciiTheme="minorEastAsia" w:hAnsiTheme="minorEastAsia"/>
                <w:sz w:val="24"/>
                <w:highlight w:val="none"/>
              </w:rPr>
              <w:t>1</w:t>
            </w:r>
            <w:r>
              <w:rPr>
                <w:rFonts w:asciiTheme="minorEastAsia" w:hAnsiTheme="minorEastAsia"/>
                <w:sz w:val="24"/>
                <w:highlight w:val="none"/>
              </w:rPr>
              <w:t>分；</w:t>
            </w:r>
          </w:p>
          <w:p w14:paraId="58BA387A">
            <w:pPr>
              <w:spacing w:line="360" w:lineRule="auto"/>
              <w:jc w:val="left"/>
              <w:rPr>
                <w:rFonts w:asciiTheme="minorEastAsia" w:hAnsiTheme="minorEastAsia"/>
                <w:sz w:val="24"/>
                <w:highlight w:val="none"/>
              </w:rPr>
            </w:pPr>
            <w:r>
              <w:rPr>
                <w:rFonts w:asciiTheme="minorEastAsia" w:hAnsiTheme="minorEastAsia"/>
                <w:sz w:val="24"/>
                <w:highlight w:val="none"/>
              </w:rPr>
              <w:t>2.质量管理体系认证证书的，得</w:t>
            </w:r>
            <w:r>
              <w:rPr>
                <w:rFonts w:hint="eastAsia" w:asciiTheme="minorEastAsia" w:hAnsiTheme="minorEastAsia"/>
                <w:sz w:val="24"/>
                <w:highlight w:val="none"/>
              </w:rPr>
              <w:t>1</w:t>
            </w:r>
            <w:r>
              <w:rPr>
                <w:rFonts w:asciiTheme="minorEastAsia" w:hAnsiTheme="minorEastAsia"/>
                <w:sz w:val="24"/>
                <w:highlight w:val="none"/>
              </w:rPr>
              <w:t>分；</w:t>
            </w:r>
          </w:p>
          <w:p w14:paraId="36617D86">
            <w:pPr>
              <w:spacing w:line="360" w:lineRule="auto"/>
              <w:jc w:val="left"/>
              <w:rPr>
                <w:rFonts w:asciiTheme="minorEastAsia" w:hAnsiTheme="minorEastAsia"/>
                <w:sz w:val="24"/>
                <w:highlight w:val="none"/>
              </w:rPr>
            </w:pPr>
            <w:r>
              <w:rPr>
                <w:rFonts w:asciiTheme="minorEastAsia" w:hAnsiTheme="minorEastAsia"/>
                <w:sz w:val="24"/>
                <w:highlight w:val="none"/>
              </w:rPr>
              <w:t>3.环境管理体系认证证书的，得</w:t>
            </w:r>
            <w:r>
              <w:rPr>
                <w:rFonts w:hint="eastAsia" w:asciiTheme="minorEastAsia" w:hAnsiTheme="minorEastAsia"/>
                <w:sz w:val="24"/>
                <w:highlight w:val="none"/>
              </w:rPr>
              <w:t>1</w:t>
            </w:r>
            <w:r>
              <w:rPr>
                <w:rFonts w:asciiTheme="minorEastAsia" w:hAnsiTheme="minorEastAsia"/>
                <w:sz w:val="24"/>
                <w:highlight w:val="none"/>
              </w:rPr>
              <w:t>分。</w:t>
            </w:r>
          </w:p>
          <w:p w14:paraId="3A5D224A">
            <w:pPr>
              <w:spacing w:line="360" w:lineRule="auto"/>
              <w:jc w:val="left"/>
              <w:rPr>
                <w:rFonts w:asciiTheme="minorEastAsia" w:hAnsiTheme="minorEastAsia"/>
                <w:sz w:val="24"/>
                <w:highlight w:val="none"/>
              </w:rPr>
            </w:pPr>
            <w:r>
              <w:rPr>
                <w:rFonts w:asciiTheme="minorEastAsia" w:hAnsiTheme="minorEastAsia"/>
                <w:sz w:val="24"/>
                <w:highlight w:val="none"/>
              </w:rPr>
              <w:t>注：响应文件中提供证书扫描件，同时提供全国认证认可信息公共服务平台网站证书信息查询截图。</w:t>
            </w: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14:paraId="3A790DB7">
            <w:pPr>
              <w:spacing w:line="360" w:lineRule="auto"/>
              <w:jc w:val="center"/>
              <w:rPr>
                <w:rFonts w:asciiTheme="minorEastAsia" w:hAnsiTheme="minorEastAsia"/>
                <w:sz w:val="24"/>
                <w:highlight w:val="none"/>
              </w:rPr>
            </w:pPr>
            <w:r>
              <w:rPr>
                <w:rFonts w:asciiTheme="minorEastAsia" w:hAnsiTheme="minorEastAsia"/>
                <w:sz w:val="24"/>
                <w:highlight w:val="none"/>
              </w:rPr>
              <w:t>0-</w:t>
            </w:r>
            <w:r>
              <w:rPr>
                <w:rFonts w:hint="eastAsia" w:asciiTheme="minorEastAsia" w:hAnsiTheme="minorEastAsia"/>
                <w:sz w:val="24"/>
                <w:highlight w:val="none"/>
              </w:rPr>
              <w:t>3</w:t>
            </w:r>
            <w:r>
              <w:rPr>
                <w:rFonts w:asciiTheme="minorEastAsia" w:hAnsiTheme="minorEastAsia"/>
                <w:sz w:val="24"/>
                <w:highlight w:val="none"/>
              </w:rPr>
              <w:t>分</w:t>
            </w:r>
          </w:p>
        </w:tc>
      </w:tr>
      <w:tr w14:paraId="5188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7" w:type="pct"/>
            <w:vMerge w:val="continue"/>
            <w:tcBorders>
              <w:left w:val="single" w:color="auto" w:sz="4" w:space="0"/>
              <w:right w:val="single" w:color="auto" w:sz="4" w:space="0"/>
            </w:tcBorders>
            <w:vAlign w:val="center"/>
          </w:tcPr>
          <w:p w14:paraId="490DD76B">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74C0C29">
            <w:pPr>
              <w:spacing w:line="360" w:lineRule="auto"/>
              <w:jc w:val="center"/>
              <w:rPr>
                <w:rFonts w:asciiTheme="minorEastAsia" w:hAnsiTheme="minorEastAsia"/>
                <w:kern w:val="0"/>
                <w:sz w:val="24"/>
                <w:szCs w:val="20"/>
                <w:highlight w:val="none"/>
              </w:rPr>
            </w:pPr>
            <w:r>
              <w:rPr>
                <w:rFonts w:hint="eastAsia" w:asciiTheme="minorEastAsia" w:hAnsiTheme="minorEastAsia"/>
                <w:kern w:val="0"/>
                <w:sz w:val="24"/>
                <w:szCs w:val="20"/>
                <w:highlight w:val="none"/>
              </w:rPr>
              <w:t>施工方案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25653946">
            <w:pPr>
              <w:spacing w:line="360" w:lineRule="auto"/>
              <w:jc w:val="left"/>
              <w:rPr>
                <w:rFonts w:asciiTheme="minorEastAsia" w:hAnsiTheme="minorEastAsia"/>
                <w:kern w:val="0"/>
                <w:sz w:val="24"/>
                <w:szCs w:val="20"/>
                <w:highlight w:val="none"/>
              </w:rPr>
            </w:pPr>
            <w:r>
              <w:rPr>
                <w:rFonts w:hint="eastAsia" w:asciiTheme="minorEastAsia" w:hAnsiTheme="minorEastAsia"/>
                <w:kern w:val="0"/>
                <w:sz w:val="24"/>
                <w:szCs w:val="20"/>
                <w:highlight w:val="none"/>
                <w:lang w:val="zh-CN"/>
              </w:rPr>
              <w:t>各主要分部施工方法符合项目实际，有详尽的施工技术方案，工艺先进、方法可行，能指导具体施工并确保安全的得</w:t>
            </w:r>
            <w:r>
              <w:rPr>
                <w:rFonts w:asciiTheme="minorEastAsia" w:hAnsiTheme="minorEastAsia"/>
                <w:kern w:val="0"/>
                <w:sz w:val="24"/>
                <w:szCs w:val="20"/>
                <w:highlight w:val="none"/>
                <w:lang w:val="zh-CN"/>
              </w:rPr>
              <w:t>5</w:t>
            </w:r>
            <w:r>
              <w:rPr>
                <w:rFonts w:hint="eastAsia" w:asciiTheme="minorEastAsia" w:hAnsiTheme="minorEastAsia"/>
                <w:kern w:val="0"/>
                <w:sz w:val="24"/>
                <w:szCs w:val="20"/>
                <w:highlight w:val="none"/>
                <w:lang w:val="zh-CN"/>
              </w:rPr>
              <w:t>分；各主要分部施工方法满足基本要求，施工技术方案可行，工艺符合要求、方法基本得当，能确保安全的得</w:t>
            </w:r>
            <w:r>
              <w:rPr>
                <w:rFonts w:asciiTheme="minorEastAsia" w:hAnsiTheme="minorEastAsia"/>
                <w:kern w:val="0"/>
                <w:sz w:val="24"/>
                <w:szCs w:val="20"/>
                <w:highlight w:val="none"/>
                <w:lang w:val="zh-CN"/>
              </w:rPr>
              <w:t>3</w:t>
            </w:r>
            <w:r>
              <w:rPr>
                <w:rFonts w:hint="eastAsia" w:asciiTheme="minorEastAsia" w:hAnsiTheme="minorEastAsia"/>
                <w:kern w:val="0"/>
                <w:sz w:val="24"/>
                <w:szCs w:val="20"/>
                <w:highlight w:val="none"/>
                <w:lang w:val="zh-CN"/>
              </w:rPr>
              <w:t>分；各主要分部施工方法满足基本要求，施工技术方案有待改进，工艺落后的得</w:t>
            </w:r>
            <w:r>
              <w:rPr>
                <w:rFonts w:asciiTheme="minorEastAsia" w:hAnsiTheme="minorEastAsia"/>
                <w:kern w:val="0"/>
                <w:sz w:val="24"/>
                <w:szCs w:val="20"/>
                <w:highlight w:val="none"/>
                <w:lang w:val="zh-CN"/>
              </w:rPr>
              <w:t>1</w:t>
            </w:r>
            <w:r>
              <w:rPr>
                <w:rFonts w:hint="eastAsia" w:asciiTheme="minorEastAsia" w:hAnsiTheme="minorEastAsia"/>
                <w:kern w:val="0"/>
                <w:sz w:val="24"/>
                <w:szCs w:val="20"/>
                <w:highlight w:val="none"/>
                <w:lang w:val="zh-CN"/>
              </w:rPr>
              <w:t>分；方法不可行或未提供的不得分。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7FA3B54D">
            <w:pPr>
              <w:spacing w:line="360" w:lineRule="auto"/>
              <w:jc w:val="center"/>
              <w:rPr>
                <w:rFonts w:asciiTheme="minorEastAsia" w:hAnsiTheme="minorEastAsia"/>
                <w:kern w:val="0"/>
                <w:sz w:val="24"/>
                <w:szCs w:val="20"/>
                <w:highlight w:val="none"/>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13FB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32694DCF">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5BFF23A">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技术组织措施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4239DFC2">
            <w:pPr>
              <w:spacing w:line="360" w:lineRule="auto"/>
              <w:jc w:val="left"/>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rPr>
              <w:t>配备</w:t>
            </w:r>
            <w:r>
              <w:rPr>
                <w:rFonts w:hint="eastAsia" w:asciiTheme="minorEastAsia" w:hAnsiTheme="minorEastAsia"/>
                <w:kern w:val="0"/>
                <w:sz w:val="24"/>
                <w:szCs w:val="20"/>
                <w:highlight w:val="none"/>
                <w:lang w:val="zh-CN"/>
              </w:rPr>
              <w:t>专门的质量技术管理班子和制度，且人员配备齐全，制度健全，主要工序有质量技术保证措施和手段，自控体系完整，能有效地保证技术质量的得5分；有质量技术管理班子和制度，人员满足基本需求，主要工序有保证措施和手段，自控体系能保证技术质量的得3分；有质量技术管理班子和制度，人员相对较少，主要工序基本满足要求，自控体系有待完善的得1分；方法不可行或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0E0B3993">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20D8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49A61736">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27150058">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安全管理体系与措施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4A3B08FC">
            <w:pPr>
              <w:spacing w:line="360" w:lineRule="auto"/>
              <w:jc w:val="left"/>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项目有专门的安全管理人员和制度，且人员配备合理，制度健全，各道工序安全技术措施针对性强，符合实际且满足有关安全技术标准要求，现场</w:t>
            </w:r>
            <w:r>
              <w:rPr>
                <w:rFonts w:hint="eastAsia" w:asciiTheme="minorEastAsia" w:hAnsiTheme="minorEastAsia"/>
                <w:kern w:val="0"/>
                <w:sz w:val="24"/>
                <w:szCs w:val="20"/>
                <w:highlight w:val="none"/>
              </w:rPr>
              <w:t>安</w:t>
            </w:r>
            <w:r>
              <w:rPr>
                <w:rFonts w:hint="eastAsia" w:asciiTheme="minorEastAsia" w:hAnsiTheme="minorEastAsia"/>
                <w:kern w:val="0"/>
                <w:sz w:val="24"/>
                <w:szCs w:val="20"/>
                <w:highlight w:val="none"/>
                <w:lang w:val="zh-CN"/>
              </w:rPr>
              <w:t>防、社会治安安全措施得力的得5分；有安全管理人员和制度，人员配备满足基本需求，有相应制度，各道工序安全技术措施符合实际要求，具备现场</w:t>
            </w:r>
            <w:r>
              <w:rPr>
                <w:rFonts w:hint="eastAsia" w:asciiTheme="minorEastAsia" w:hAnsiTheme="minorEastAsia"/>
                <w:kern w:val="0"/>
                <w:sz w:val="24"/>
                <w:szCs w:val="20"/>
                <w:highlight w:val="none"/>
              </w:rPr>
              <w:t>安</w:t>
            </w:r>
            <w:r>
              <w:rPr>
                <w:rFonts w:hint="eastAsia" w:asciiTheme="minorEastAsia" w:hAnsiTheme="minorEastAsia"/>
                <w:kern w:val="0"/>
                <w:sz w:val="24"/>
                <w:szCs w:val="20"/>
                <w:highlight w:val="none"/>
                <w:lang w:val="zh-CN"/>
              </w:rPr>
              <w:t>防、社会治安安全措施的得3分；具有相应人员配备，制度较为简单，各道工序安全技术措施有待提高，现场</w:t>
            </w:r>
            <w:r>
              <w:rPr>
                <w:rFonts w:hint="eastAsia" w:asciiTheme="minorEastAsia" w:hAnsiTheme="minorEastAsia"/>
                <w:kern w:val="0"/>
                <w:sz w:val="24"/>
                <w:szCs w:val="20"/>
                <w:highlight w:val="none"/>
              </w:rPr>
              <w:t>安</w:t>
            </w:r>
            <w:r>
              <w:rPr>
                <w:rFonts w:hint="eastAsia" w:asciiTheme="minorEastAsia" w:hAnsiTheme="minorEastAsia"/>
                <w:kern w:val="0"/>
                <w:sz w:val="24"/>
                <w:szCs w:val="20"/>
                <w:highlight w:val="none"/>
                <w:lang w:val="zh-CN"/>
              </w:rPr>
              <w:t>防、社会治安安全措施满足基本需求的得1分；方法不可行或未提供的不得分。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47AD0452">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7833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3C983286">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58E6FA6">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工程进度计划与措施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61324B7C">
            <w:pPr>
              <w:spacing w:line="360" w:lineRule="auto"/>
              <w:jc w:val="left"/>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rPr>
              <w:t>供应商根据本项目的特点，通过科学管理，合理安排工期，确保所承担区域的任务按时保质完成：方案详细完善，针对性、实用性及可行性强，有利于项目顺利实施的，得5分；方案较为详细，具有一定的针对性、实用性及可行性，基本满足项目实施需要的，得3分；方案较为简单，针对性、实用性及可行性有待进一步提升的，得1分；差或未提供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0632E2A0">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0F17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6FBC2F54">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67EB9AB">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工程重难点及对应保证措施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6A84EACD">
            <w:pPr>
              <w:spacing w:line="360" w:lineRule="auto"/>
              <w:jc w:val="left"/>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rPr>
              <w:t>结合本工程特点及施工重难点，分析全面且对应保证措施安全可靠，保证齐备。方案详细完善，针对性、实用性及可行性强，有利于项目顺利实施的，得5分；方案较为详细，具有一定的针对性、实用性及可行性，基本满足项目实施需要的，得3分；方案较为简单，针对性、实用性及可行性有待进一步提升的，得1分；差或未提供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4A3F1B17">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6B02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3EE94048">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82CDF70">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rPr>
              <w:t>工程服务方案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69D7DFB5">
            <w:pPr>
              <w:spacing w:line="360" w:lineRule="auto"/>
              <w:jc w:val="left"/>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根据</w:t>
            </w:r>
            <w:r>
              <w:rPr>
                <w:rFonts w:hint="eastAsia" w:asciiTheme="minorEastAsia" w:hAnsiTheme="minorEastAsia"/>
                <w:kern w:val="0"/>
                <w:sz w:val="24"/>
                <w:szCs w:val="20"/>
                <w:highlight w:val="none"/>
              </w:rPr>
              <w:t>供应商</w:t>
            </w:r>
            <w:r>
              <w:rPr>
                <w:rFonts w:hint="eastAsia" w:asciiTheme="minorEastAsia" w:hAnsiTheme="minorEastAsia"/>
                <w:kern w:val="0"/>
                <w:sz w:val="24"/>
                <w:szCs w:val="20"/>
                <w:highlight w:val="none"/>
                <w:lang w:val="zh-CN"/>
              </w:rPr>
              <w:t>编制的服务方案进行评分优于采购需求，并且提供详细全面方案的得</w:t>
            </w:r>
            <w:r>
              <w:rPr>
                <w:rFonts w:asciiTheme="minorEastAsia" w:hAnsiTheme="minorEastAsia"/>
                <w:kern w:val="0"/>
                <w:sz w:val="24"/>
                <w:szCs w:val="20"/>
                <w:highlight w:val="none"/>
                <w:lang w:val="zh-CN"/>
              </w:rPr>
              <w:t>5</w:t>
            </w:r>
            <w:r>
              <w:rPr>
                <w:rFonts w:hint="eastAsia" w:asciiTheme="minorEastAsia" w:hAnsiTheme="minorEastAsia"/>
                <w:kern w:val="0"/>
                <w:sz w:val="24"/>
                <w:szCs w:val="20"/>
                <w:highlight w:val="none"/>
                <w:lang w:val="zh-CN"/>
              </w:rPr>
              <w:t>分；基本满足采购需求，方案详实能有效确保项目实施的得</w:t>
            </w:r>
            <w:r>
              <w:rPr>
                <w:rFonts w:asciiTheme="minorEastAsia" w:hAnsiTheme="minorEastAsia"/>
                <w:kern w:val="0"/>
                <w:sz w:val="24"/>
                <w:szCs w:val="20"/>
                <w:highlight w:val="none"/>
                <w:lang w:val="zh-CN"/>
              </w:rPr>
              <w:t>3</w:t>
            </w:r>
            <w:r>
              <w:rPr>
                <w:rFonts w:hint="eastAsia" w:asciiTheme="minorEastAsia" w:hAnsiTheme="minorEastAsia"/>
                <w:kern w:val="0"/>
                <w:sz w:val="24"/>
                <w:szCs w:val="20"/>
                <w:highlight w:val="none"/>
                <w:lang w:val="zh-CN"/>
              </w:rPr>
              <w:t>分；满足采购需求，方案简单，有待提高的得</w:t>
            </w:r>
            <w:r>
              <w:rPr>
                <w:rFonts w:asciiTheme="minorEastAsia" w:hAnsiTheme="minorEastAsia"/>
                <w:kern w:val="0"/>
                <w:sz w:val="24"/>
                <w:szCs w:val="20"/>
                <w:highlight w:val="none"/>
                <w:lang w:val="zh-CN"/>
              </w:rPr>
              <w:t>1</w:t>
            </w:r>
            <w:r>
              <w:rPr>
                <w:rFonts w:hint="eastAsia" w:asciiTheme="minorEastAsia" w:hAnsiTheme="minorEastAsia"/>
                <w:kern w:val="0"/>
                <w:sz w:val="24"/>
                <w:szCs w:val="20"/>
                <w:highlight w:val="none"/>
                <w:lang w:val="zh-CN"/>
              </w:rPr>
              <w:t>分；方法不可行或未提供的不得分。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0383F30F">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5D6F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4FBEF188">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49C6086">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劳动力安排计划</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53A8F8AA">
            <w:pPr>
              <w:spacing w:line="360" w:lineRule="auto"/>
              <w:jc w:val="left"/>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根据本项目的实际特点，各主要施工工序应有详细周密的劳动力安排计划明细，有各工种劳动力安排计划，劳动力投入经济合理，满足施工需要。方案对本项目特点和难点理解准确，方案优于本项目的采购需求，完整详细，可行性、实用性、针对性强，得5分；方案对本项目特点和难点理解基本准确，方案适合本项目的采购需求，完整详细，具有可行性、实用性和针对性，得3分；方案对本项目特点和难点理解有待提升，方案基本适合本项目采购需求，可行性、实用性、针对性有待改善，得1分；方案不可行或者未提供得0分</w:t>
            </w:r>
            <w:r>
              <w:rPr>
                <w:rFonts w:hint="eastAsia" w:asciiTheme="minorEastAsia" w:hAnsiTheme="minorEastAsia"/>
                <w:kern w:val="0"/>
                <w:sz w:val="24"/>
                <w:szCs w:val="20"/>
                <w:highlight w:val="none"/>
              </w:rPr>
              <w:t xml:space="preserve"> </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20F5D404">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2281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1B3A0EA4">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71C9846">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应急保障方案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49E79965">
            <w:pPr>
              <w:spacing w:line="360" w:lineRule="auto"/>
              <w:jc w:val="left"/>
              <w:rPr>
                <w:rFonts w:asciiTheme="minorEastAsia" w:hAnsiTheme="minorEastAsia"/>
                <w:kern w:val="0"/>
                <w:sz w:val="24"/>
                <w:szCs w:val="20"/>
                <w:highlight w:val="none"/>
              </w:rPr>
            </w:pPr>
            <w:r>
              <w:rPr>
                <w:rFonts w:hint="eastAsia" w:asciiTheme="minorEastAsia" w:hAnsiTheme="minorEastAsia"/>
                <w:kern w:val="0"/>
                <w:sz w:val="24"/>
                <w:szCs w:val="20"/>
                <w:highlight w:val="none"/>
                <w:lang w:val="zh-CN"/>
              </w:rPr>
              <w:t>根据本项目的实际特点，提供应急保障方案，包括服务能力，人员调度、响应时间、承诺内容。方案对本项目特点和难点理解准确，方案优于本项目的采购需求，完整详细，可行性、实用性、针对性强，得</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分；方案对本项目特点和难点理解基本准确，方案适合本项目的采购需求，完整详细，具有可行性、实用性和针对性，得</w:t>
            </w:r>
            <w:r>
              <w:rPr>
                <w:rFonts w:hint="eastAsia" w:asciiTheme="minorEastAsia" w:hAnsiTheme="minorEastAsia"/>
                <w:kern w:val="0"/>
                <w:sz w:val="24"/>
                <w:szCs w:val="20"/>
                <w:highlight w:val="none"/>
              </w:rPr>
              <w:t>3</w:t>
            </w:r>
            <w:r>
              <w:rPr>
                <w:rFonts w:hint="eastAsia" w:asciiTheme="minorEastAsia" w:hAnsiTheme="minorEastAsia"/>
                <w:kern w:val="0"/>
                <w:sz w:val="24"/>
                <w:szCs w:val="20"/>
                <w:highlight w:val="none"/>
                <w:lang w:val="zh-CN"/>
              </w:rPr>
              <w:t>分；方案对本项目特点和难点理解有待提升，方案基本适合本项目采购需求，可行性、实用性、针对性有待改善，得1分；方案不可行或者未提供得0分。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44674458">
            <w:pPr>
              <w:spacing w:line="360" w:lineRule="auto"/>
              <w:jc w:val="center"/>
              <w:rPr>
                <w:rFonts w:asciiTheme="minorEastAsia" w:hAnsiTheme="minorEastAsia"/>
                <w:kern w:val="0"/>
                <w:sz w:val="24"/>
                <w:szCs w:val="20"/>
                <w:highlight w:val="none"/>
                <w:lang w:val="zh-CN"/>
              </w:rPr>
            </w:pPr>
            <w:r>
              <w:rPr>
                <w:rFonts w:hint="eastAsia"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hint="eastAsia" w:asciiTheme="minorEastAsia" w:hAnsiTheme="minorEastAsia"/>
                <w:kern w:val="0"/>
                <w:sz w:val="24"/>
                <w:szCs w:val="20"/>
                <w:highlight w:val="none"/>
                <w:lang w:val="zh-CN"/>
              </w:rPr>
              <w:t>分</w:t>
            </w:r>
          </w:p>
        </w:tc>
      </w:tr>
      <w:tr w14:paraId="1CB0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4AEAC43E">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307F4D4">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环境保护管理体系与措施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171B6E29">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根据供应商从环保管理机构及制度，扬尘治理措施、噪音及扰民治理措施，能否有效保护现场及周边环境等方面考虑进行评审。</w:t>
            </w:r>
          </w:p>
          <w:p w14:paraId="51FA06B4">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（1）环境保护</w:t>
            </w:r>
            <w:r>
              <w:rPr>
                <w:rFonts w:asciiTheme="minorEastAsia" w:hAnsiTheme="minorEastAsia"/>
                <w:kern w:val="0"/>
                <w:sz w:val="24"/>
                <w:szCs w:val="20"/>
                <w:highlight w:val="none"/>
              </w:rPr>
              <w:t>措施</w:t>
            </w:r>
            <w:r>
              <w:rPr>
                <w:rFonts w:asciiTheme="minorEastAsia" w:hAnsiTheme="minorEastAsia"/>
                <w:kern w:val="0"/>
                <w:sz w:val="24"/>
                <w:szCs w:val="20"/>
                <w:highlight w:val="none"/>
                <w:lang w:val="zh-CN"/>
              </w:rPr>
              <w:t>内容全面详实、工作安排</w:t>
            </w:r>
            <w:r>
              <w:rPr>
                <w:rFonts w:asciiTheme="minorEastAsia" w:hAnsiTheme="minorEastAsia"/>
                <w:kern w:val="0"/>
                <w:sz w:val="24"/>
                <w:szCs w:val="20"/>
                <w:highlight w:val="none"/>
              </w:rPr>
              <w:t>周密</w:t>
            </w:r>
            <w:r>
              <w:rPr>
                <w:rFonts w:asciiTheme="minorEastAsia" w:hAnsiTheme="minorEastAsia"/>
                <w:kern w:val="0"/>
                <w:sz w:val="24"/>
                <w:szCs w:val="20"/>
                <w:highlight w:val="none"/>
                <w:lang w:val="zh-CN"/>
              </w:rPr>
              <w:t>，完全满足或优于</w:t>
            </w:r>
            <w:r>
              <w:rPr>
                <w:rFonts w:asciiTheme="minorEastAsia" w:hAnsiTheme="minorEastAsia"/>
                <w:kern w:val="0"/>
                <w:sz w:val="24"/>
                <w:szCs w:val="20"/>
                <w:highlight w:val="none"/>
              </w:rPr>
              <w:t>采购</w:t>
            </w:r>
            <w:r>
              <w:rPr>
                <w:rFonts w:asciiTheme="minorEastAsia" w:hAnsiTheme="minorEastAsia"/>
                <w:kern w:val="0"/>
                <w:sz w:val="24"/>
                <w:szCs w:val="20"/>
                <w:highlight w:val="none"/>
                <w:lang w:val="zh-CN"/>
              </w:rPr>
              <w:t>文件要求的，得</w:t>
            </w:r>
            <w:r>
              <w:rPr>
                <w:rFonts w:hint="eastAsia" w:asciiTheme="minorEastAsia" w:hAnsiTheme="minorEastAsia"/>
                <w:kern w:val="0"/>
                <w:sz w:val="24"/>
                <w:szCs w:val="20"/>
                <w:highlight w:val="none"/>
              </w:rPr>
              <w:t>5</w:t>
            </w:r>
            <w:r>
              <w:rPr>
                <w:rFonts w:asciiTheme="minorEastAsia" w:hAnsiTheme="minorEastAsia"/>
                <w:kern w:val="0"/>
                <w:sz w:val="24"/>
                <w:szCs w:val="20"/>
                <w:highlight w:val="none"/>
                <w:lang w:val="zh-CN"/>
              </w:rPr>
              <w:t>分；</w:t>
            </w:r>
          </w:p>
          <w:p w14:paraId="77513904">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（2）环境保护</w:t>
            </w:r>
            <w:r>
              <w:rPr>
                <w:rFonts w:asciiTheme="minorEastAsia" w:hAnsiTheme="minorEastAsia"/>
                <w:kern w:val="0"/>
                <w:sz w:val="24"/>
                <w:szCs w:val="20"/>
                <w:highlight w:val="none"/>
              </w:rPr>
              <w:t>措施</w:t>
            </w:r>
            <w:r>
              <w:rPr>
                <w:rFonts w:asciiTheme="minorEastAsia" w:hAnsiTheme="minorEastAsia"/>
                <w:kern w:val="0"/>
                <w:sz w:val="24"/>
                <w:szCs w:val="20"/>
                <w:highlight w:val="none"/>
                <w:lang w:val="zh-CN"/>
              </w:rPr>
              <w:t>较</w:t>
            </w:r>
            <w:r>
              <w:rPr>
                <w:rFonts w:asciiTheme="minorEastAsia" w:hAnsiTheme="minorEastAsia"/>
                <w:kern w:val="0"/>
                <w:sz w:val="24"/>
                <w:szCs w:val="20"/>
                <w:highlight w:val="none"/>
              </w:rPr>
              <w:t>明确</w:t>
            </w:r>
            <w:r>
              <w:rPr>
                <w:rFonts w:asciiTheme="minorEastAsia" w:hAnsiTheme="minorEastAsia"/>
                <w:kern w:val="0"/>
                <w:sz w:val="24"/>
                <w:szCs w:val="20"/>
                <w:highlight w:val="none"/>
                <w:lang w:val="zh-CN"/>
              </w:rPr>
              <w:t>、内容较全面、工作安排可行，</w:t>
            </w:r>
            <w:r>
              <w:rPr>
                <w:rFonts w:asciiTheme="minorEastAsia" w:hAnsiTheme="minorEastAsia"/>
                <w:kern w:val="0"/>
                <w:sz w:val="24"/>
                <w:szCs w:val="20"/>
                <w:highlight w:val="none"/>
              </w:rPr>
              <w:t>可以</w:t>
            </w:r>
            <w:r>
              <w:rPr>
                <w:rFonts w:asciiTheme="minorEastAsia" w:hAnsiTheme="minorEastAsia"/>
                <w:kern w:val="0"/>
                <w:sz w:val="24"/>
                <w:szCs w:val="20"/>
                <w:highlight w:val="none"/>
                <w:lang w:val="zh-CN"/>
              </w:rPr>
              <w:t>满足</w:t>
            </w:r>
            <w:r>
              <w:rPr>
                <w:rFonts w:asciiTheme="minorEastAsia" w:hAnsiTheme="minorEastAsia"/>
                <w:kern w:val="0"/>
                <w:sz w:val="24"/>
                <w:szCs w:val="20"/>
                <w:highlight w:val="none"/>
              </w:rPr>
              <w:t>采购</w:t>
            </w:r>
            <w:r>
              <w:rPr>
                <w:rFonts w:asciiTheme="minorEastAsia" w:hAnsiTheme="minorEastAsia"/>
                <w:kern w:val="0"/>
                <w:sz w:val="24"/>
                <w:szCs w:val="20"/>
                <w:highlight w:val="none"/>
                <w:lang w:val="zh-CN"/>
              </w:rPr>
              <w:t>文件要求的，得</w:t>
            </w:r>
            <w:r>
              <w:rPr>
                <w:rFonts w:hint="eastAsia" w:asciiTheme="minorEastAsia" w:hAnsiTheme="minorEastAsia"/>
                <w:kern w:val="0"/>
                <w:sz w:val="24"/>
                <w:szCs w:val="20"/>
                <w:highlight w:val="none"/>
              </w:rPr>
              <w:t>3</w:t>
            </w:r>
            <w:r>
              <w:rPr>
                <w:rFonts w:asciiTheme="minorEastAsia" w:hAnsiTheme="minorEastAsia"/>
                <w:kern w:val="0"/>
                <w:sz w:val="24"/>
                <w:szCs w:val="20"/>
                <w:highlight w:val="none"/>
                <w:lang w:val="zh-CN"/>
              </w:rPr>
              <w:t>分；</w:t>
            </w:r>
          </w:p>
          <w:p w14:paraId="5FE5F338">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（3）环境保护</w:t>
            </w:r>
            <w:r>
              <w:rPr>
                <w:rFonts w:asciiTheme="minorEastAsia" w:hAnsiTheme="minorEastAsia"/>
                <w:kern w:val="0"/>
                <w:sz w:val="24"/>
                <w:szCs w:val="20"/>
                <w:highlight w:val="none"/>
              </w:rPr>
              <w:t>措施模糊</w:t>
            </w:r>
            <w:r>
              <w:rPr>
                <w:rFonts w:asciiTheme="minorEastAsia" w:hAnsiTheme="minorEastAsia"/>
                <w:kern w:val="0"/>
                <w:sz w:val="24"/>
                <w:szCs w:val="20"/>
                <w:highlight w:val="none"/>
                <w:lang w:val="zh-CN"/>
              </w:rPr>
              <w:t>、内容基本涵盖，基本满足</w:t>
            </w:r>
            <w:r>
              <w:rPr>
                <w:rFonts w:asciiTheme="minorEastAsia" w:hAnsiTheme="minorEastAsia"/>
                <w:kern w:val="0"/>
                <w:sz w:val="24"/>
                <w:szCs w:val="20"/>
                <w:highlight w:val="none"/>
              </w:rPr>
              <w:t>采购</w:t>
            </w:r>
            <w:r>
              <w:rPr>
                <w:rFonts w:asciiTheme="minorEastAsia" w:hAnsiTheme="minorEastAsia"/>
                <w:kern w:val="0"/>
                <w:sz w:val="24"/>
                <w:szCs w:val="20"/>
                <w:highlight w:val="none"/>
                <w:lang w:val="zh-CN"/>
              </w:rPr>
              <w:t>文件要求的，得1分；</w:t>
            </w:r>
          </w:p>
          <w:p w14:paraId="2745E496">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（4）未提供不得分。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7955607C">
            <w:pPr>
              <w:spacing w:line="360" w:lineRule="auto"/>
              <w:jc w:val="center"/>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asciiTheme="minorEastAsia" w:hAnsiTheme="minorEastAsia"/>
                <w:kern w:val="0"/>
                <w:sz w:val="24"/>
                <w:szCs w:val="20"/>
                <w:highlight w:val="none"/>
                <w:lang w:val="zh-CN"/>
              </w:rPr>
              <w:t>分</w:t>
            </w:r>
          </w:p>
        </w:tc>
      </w:tr>
      <w:tr w14:paraId="053C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7" w:type="pct"/>
            <w:vMerge w:val="continue"/>
            <w:tcBorders>
              <w:left w:val="single" w:color="auto" w:sz="4" w:space="0"/>
              <w:right w:val="single" w:color="auto" w:sz="4" w:space="0"/>
            </w:tcBorders>
            <w:vAlign w:val="center"/>
          </w:tcPr>
          <w:p w14:paraId="037B8A88">
            <w:pPr>
              <w:spacing w:line="360" w:lineRule="auto"/>
              <w:jc w:val="left"/>
              <w:rPr>
                <w:rFonts w:asciiTheme="minorEastAsia" w:hAnsiTheme="minorEastAsia"/>
                <w:kern w:val="0"/>
                <w:sz w:val="24"/>
                <w:szCs w:val="20"/>
                <w:highlight w:val="none"/>
                <w:lang w:val="zh-CN"/>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C224366">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拟投入的主要施工机械、设备、材料计划</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2F45A7AA">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根据供应商从投入的施工机械、设备、材料等是否有详细计划，数量、品牌、配置是否满足项目要求，进场数量、时间安排是否满足施工需要等方面考虑进行评审。</w:t>
            </w:r>
          </w:p>
          <w:p w14:paraId="00554F5B">
            <w:pPr>
              <w:spacing w:line="360" w:lineRule="auto"/>
              <w:jc w:val="left"/>
              <w:rPr>
                <w:rFonts w:asciiTheme="minorEastAsia" w:hAnsiTheme="minorEastAsia"/>
                <w:kern w:val="0"/>
                <w:sz w:val="24"/>
                <w:szCs w:val="20"/>
                <w:highlight w:val="none"/>
              </w:rPr>
            </w:pPr>
            <w:r>
              <w:rPr>
                <w:rFonts w:asciiTheme="minorEastAsia" w:hAnsiTheme="minorEastAsia"/>
                <w:kern w:val="0"/>
                <w:sz w:val="24"/>
                <w:szCs w:val="20"/>
                <w:highlight w:val="none"/>
                <w:lang w:val="zh-CN"/>
              </w:rPr>
              <w:t>施工机械</w:t>
            </w:r>
            <w:r>
              <w:rPr>
                <w:rFonts w:asciiTheme="minorEastAsia" w:hAnsiTheme="minorEastAsia"/>
                <w:kern w:val="0"/>
                <w:sz w:val="24"/>
                <w:szCs w:val="20"/>
                <w:highlight w:val="none"/>
              </w:rPr>
              <w:t>充足，设备完好，材料进场计划完善并且具有很强的可行性的，得</w:t>
            </w:r>
            <w:r>
              <w:rPr>
                <w:rFonts w:hint="eastAsia" w:asciiTheme="minorEastAsia" w:hAnsiTheme="minorEastAsia"/>
                <w:kern w:val="0"/>
                <w:sz w:val="24"/>
                <w:szCs w:val="20"/>
                <w:highlight w:val="none"/>
              </w:rPr>
              <w:t>5</w:t>
            </w:r>
            <w:r>
              <w:rPr>
                <w:rFonts w:asciiTheme="minorEastAsia" w:hAnsiTheme="minorEastAsia"/>
                <w:kern w:val="0"/>
                <w:sz w:val="24"/>
                <w:szCs w:val="20"/>
                <w:highlight w:val="none"/>
              </w:rPr>
              <w:t>分；</w:t>
            </w:r>
          </w:p>
          <w:p w14:paraId="378B0F7A">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（2）施工机械</w:t>
            </w:r>
            <w:r>
              <w:rPr>
                <w:rFonts w:asciiTheme="minorEastAsia" w:hAnsiTheme="minorEastAsia"/>
                <w:kern w:val="0"/>
                <w:sz w:val="24"/>
                <w:szCs w:val="20"/>
                <w:highlight w:val="none"/>
              </w:rPr>
              <w:t>较充足，设备正常，材料进场计划完善性的，得</w:t>
            </w:r>
            <w:r>
              <w:rPr>
                <w:rFonts w:hint="eastAsia" w:asciiTheme="minorEastAsia" w:hAnsiTheme="minorEastAsia"/>
                <w:kern w:val="0"/>
                <w:sz w:val="24"/>
                <w:szCs w:val="20"/>
                <w:highlight w:val="none"/>
              </w:rPr>
              <w:t>3</w:t>
            </w:r>
            <w:r>
              <w:rPr>
                <w:rFonts w:asciiTheme="minorEastAsia" w:hAnsiTheme="minorEastAsia"/>
                <w:kern w:val="0"/>
                <w:sz w:val="24"/>
                <w:szCs w:val="20"/>
                <w:highlight w:val="none"/>
              </w:rPr>
              <w:t>分；</w:t>
            </w:r>
          </w:p>
          <w:p w14:paraId="2CCD2D8A">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（3）</w:t>
            </w:r>
            <w:r>
              <w:rPr>
                <w:rFonts w:asciiTheme="minorEastAsia" w:hAnsiTheme="minorEastAsia"/>
                <w:kern w:val="0"/>
                <w:sz w:val="24"/>
                <w:szCs w:val="20"/>
                <w:highlight w:val="none"/>
              </w:rPr>
              <w:t>有</w:t>
            </w:r>
            <w:r>
              <w:rPr>
                <w:rFonts w:asciiTheme="minorEastAsia" w:hAnsiTheme="minorEastAsia"/>
                <w:kern w:val="0"/>
                <w:sz w:val="24"/>
                <w:szCs w:val="20"/>
                <w:highlight w:val="none"/>
                <w:lang w:val="zh-CN"/>
              </w:rPr>
              <w:t>拟投入的主要施工机械、设备、材料计划，基本满足</w:t>
            </w:r>
            <w:r>
              <w:rPr>
                <w:rFonts w:asciiTheme="minorEastAsia" w:hAnsiTheme="minorEastAsia"/>
                <w:kern w:val="0"/>
                <w:sz w:val="24"/>
                <w:szCs w:val="20"/>
                <w:highlight w:val="none"/>
              </w:rPr>
              <w:t>采购</w:t>
            </w:r>
            <w:r>
              <w:rPr>
                <w:rFonts w:asciiTheme="minorEastAsia" w:hAnsiTheme="minorEastAsia"/>
                <w:kern w:val="0"/>
                <w:sz w:val="24"/>
                <w:szCs w:val="20"/>
                <w:highlight w:val="none"/>
                <w:lang w:val="zh-CN"/>
              </w:rPr>
              <w:t>文件的要求得1分；</w:t>
            </w:r>
          </w:p>
          <w:p w14:paraId="6B2F3DF1">
            <w:pPr>
              <w:spacing w:line="360" w:lineRule="auto"/>
              <w:jc w:val="left"/>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（4）未提供不得分。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6090279D">
            <w:pPr>
              <w:spacing w:line="360" w:lineRule="auto"/>
              <w:jc w:val="center"/>
              <w:rPr>
                <w:rFonts w:asciiTheme="minorEastAsia" w:hAnsiTheme="minorEastAsia"/>
                <w:kern w:val="0"/>
                <w:sz w:val="24"/>
                <w:szCs w:val="20"/>
                <w:highlight w:val="none"/>
                <w:lang w:val="zh-CN"/>
              </w:rPr>
            </w:pPr>
            <w:r>
              <w:rPr>
                <w:rFonts w:asciiTheme="minorEastAsia" w:hAnsiTheme="minorEastAsia"/>
                <w:kern w:val="0"/>
                <w:sz w:val="24"/>
                <w:szCs w:val="20"/>
                <w:highlight w:val="none"/>
                <w:lang w:val="zh-CN"/>
              </w:rPr>
              <w:t>0-</w:t>
            </w:r>
            <w:r>
              <w:rPr>
                <w:rFonts w:hint="eastAsia" w:asciiTheme="minorEastAsia" w:hAnsiTheme="minorEastAsia"/>
                <w:kern w:val="0"/>
                <w:sz w:val="24"/>
                <w:szCs w:val="20"/>
                <w:highlight w:val="none"/>
              </w:rPr>
              <w:t>5</w:t>
            </w:r>
            <w:r>
              <w:rPr>
                <w:rFonts w:asciiTheme="minorEastAsia" w:hAnsiTheme="minorEastAsia"/>
                <w:kern w:val="0"/>
                <w:sz w:val="24"/>
                <w:szCs w:val="20"/>
                <w:highlight w:val="none"/>
                <w:lang w:val="zh-CN"/>
              </w:rPr>
              <w:t>分</w:t>
            </w:r>
          </w:p>
        </w:tc>
      </w:tr>
      <w:tr w14:paraId="3D79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4DE453F5">
            <w:pPr>
              <w:spacing w:line="360" w:lineRule="auto"/>
              <w:jc w:val="center"/>
              <w:rPr>
                <w:rFonts w:asciiTheme="minorEastAsia" w:hAnsiTheme="minorEastAsia"/>
                <w:sz w:val="24"/>
                <w:highlight w:val="none"/>
              </w:rPr>
            </w:pPr>
            <w:r>
              <w:rPr>
                <w:rFonts w:hint="eastAsia" w:asciiTheme="minorEastAsia" w:hAnsiTheme="minorEastAsia"/>
                <w:sz w:val="24"/>
                <w:highlight w:val="none"/>
              </w:rPr>
              <w:t>价格分</w:t>
            </w:r>
          </w:p>
          <w:p w14:paraId="67FDC6E3">
            <w:pPr>
              <w:spacing w:line="360" w:lineRule="auto"/>
              <w:jc w:val="center"/>
              <w:rPr>
                <w:rFonts w:asciiTheme="minorEastAsia" w:hAnsiTheme="minorEastAsia"/>
                <w:b/>
                <w:bCs/>
                <w:sz w:val="24"/>
                <w:highlight w:val="none"/>
              </w:rPr>
            </w:pPr>
            <w:r>
              <w:rPr>
                <w:rFonts w:hint="eastAsia" w:asciiTheme="minorEastAsia" w:hAnsiTheme="minorEastAsia"/>
                <w:sz w:val="24"/>
                <w:highlight w:val="none"/>
              </w:rPr>
              <w:t>（</w:t>
            </w:r>
            <w:r>
              <w:rPr>
                <w:rFonts w:hint="eastAsia" w:asciiTheme="minorEastAsia" w:hAnsiTheme="minorEastAsia"/>
                <w:sz w:val="24"/>
                <w:highlight w:val="none"/>
                <w:u w:val="single"/>
              </w:rPr>
              <w:t>20</w:t>
            </w:r>
            <w:r>
              <w:rPr>
                <w:rFonts w:hint="eastAsia" w:asciiTheme="minorEastAsia" w:hAnsiTheme="minorEastAsia"/>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1F58DA9F">
            <w:pPr>
              <w:spacing w:line="360" w:lineRule="auto"/>
              <w:rPr>
                <w:rFonts w:asciiTheme="minorEastAsia" w:hAnsiTheme="minorEastAsia"/>
                <w:sz w:val="24"/>
                <w:highlight w:val="none"/>
              </w:rPr>
            </w:pPr>
            <w:r>
              <w:rPr>
                <w:rFonts w:hint="eastAsia" w:asciiTheme="minorEastAsia" w:hAnsiTheme="minorEastAsia"/>
                <w:sz w:val="24"/>
                <w:highlight w:val="none"/>
              </w:rPr>
              <w:t>价格分统一采用低价优先法，即满足磋商文件要求且最后报价最低的供应商的价格为磋商基准价，其价格分为满分</w:t>
            </w:r>
            <w:r>
              <w:rPr>
                <w:rFonts w:hint="eastAsia" w:asciiTheme="minorEastAsia" w:hAnsiTheme="minorEastAsia"/>
                <w:sz w:val="24"/>
                <w:highlight w:val="none"/>
                <w:u w:val="single"/>
              </w:rPr>
              <w:t>20</w:t>
            </w:r>
            <w:r>
              <w:rPr>
                <w:rFonts w:hint="eastAsia" w:asciiTheme="minorEastAsia" w:hAnsiTheme="minorEastAsia"/>
                <w:sz w:val="24"/>
                <w:highlight w:val="none"/>
              </w:rPr>
              <w:t>分。其他供应商的价格分统一按照下列公式计算：</w:t>
            </w:r>
          </w:p>
          <w:p w14:paraId="7DBB3D2E">
            <w:pPr>
              <w:spacing w:line="360" w:lineRule="auto"/>
              <w:rPr>
                <w:rFonts w:asciiTheme="minorEastAsia" w:hAnsiTheme="minorEastAsia"/>
                <w:b/>
                <w:bCs/>
                <w:sz w:val="24"/>
                <w:highlight w:val="none"/>
              </w:rPr>
            </w:pPr>
            <w:r>
              <w:rPr>
                <w:rFonts w:hint="eastAsia" w:asciiTheme="minorEastAsia" w:hAnsiTheme="minorEastAsia"/>
                <w:sz w:val="24"/>
                <w:highlight w:val="none"/>
              </w:rPr>
              <w:t>磋商报价得分＝（磋商基准价/</w:t>
            </w:r>
            <w:r>
              <w:rPr>
                <w:rFonts w:hint="eastAsia"/>
                <w:sz w:val="24"/>
                <w:highlight w:val="none"/>
              </w:rPr>
              <w:t>最后磋商</w:t>
            </w:r>
            <w:r>
              <w:rPr>
                <w:rFonts w:hint="eastAsia" w:asciiTheme="minorEastAsia" w:hAnsiTheme="minorEastAsia"/>
                <w:sz w:val="24"/>
                <w:highlight w:val="none"/>
              </w:rPr>
              <w:t>报价）×</w:t>
            </w:r>
            <w:r>
              <w:rPr>
                <w:rFonts w:hint="eastAsia" w:asciiTheme="minorEastAsia" w:hAnsiTheme="minorEastAsia"/>
                <w:sz w:val="24"/>
                <w:highlight w:val="none"/>
                <w:u w:val="single"/>
              </w:rPr>
              <w:t>20</w:t>
            </w:r>
            <w:r>
              <w:rPr>
                <w:rFonts w:hint="eastAsia" w:asciiTheme="minorEastAsia" w:hAnsiTheme="minorEastAsia"/>
                <w:sz w:val="24"/>
                <w:highlight w:val="none"/>
              </w:rPr>
              <w:t>％×100</w:t>
            </w:r>
          </w:p>
        </w:tc>
      </w:tr>
    </w:tbl>
    <w:p w14:paraId="5F36BE4D">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w:t>
      </w:r>
      <w:r>
        <w:rPr>
          <w:rFonts w:asciiTheme="minorEastAsia" w:hAnsiTheme="minorEastAsia"/>
          <w:sz w:val="24"/>
          <w:highlight w:val="none"/>
        </w:rPr>
        <w:t>.</w:t>
      </w:r>
      <w:r>
        <w:rPr>
          <w:rFonts w:hint="eastAsia" w:asciiTheme="minorEastAsia" w:hAnsiTheme="minorEastAsia"/>
          <w:sz w:val="24"/>
          <w:highlight w:val="none"/>
        </w:rPr>
        <w:t>2</w:t>
      </w:r>
      <w:r>
        <w:rPr>
          <w:rFonts w:asciiTheme="minorEastAsia" w:hAnsiTheme="minorEastAsia"/>
          <w:sz w:val="24"/>
          <w:highlight w:val="none"/>
        </w:rPr>
        <w:t>.3</w:t>
      </w:r>
      <w:r>
        <w:rPr>
          <w:rFonts w:hint="eastAsia" w:asciiTheme="minorEastAsia" w:hAnsiTheme="minorEastAsia"/>
          <w:sz w:val="24"/>
          <w:highlight w:val="none"/>
        </w:rPr>
        <w:t>分值汇总</w:t>
      </w:r>
    </w:p>
    <w:p w14:paraId="7F65EBA4">
      <w:pPr>
        <w:spacing w:line="360" w:lineRule="auto"/>
        <w:ind w:firstLine="435"/>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DF85102">
      <w:pPr>
        <w:spacing w:line="360" w:lineRule="auto"/>
        <w:ind w:firstLine="435"/>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2）将每个供应商的技术资信分加上根据上述标准计算出的价格分，即为该供应商的综合总得分。</w:t>
      </w:r>
    </w:p>
    <w:p w14:paraId="33A7F135">
      <w:pPr>
        <w:widowControl/>
        <w:jc w:val="left"/>
        <w:rPr>
          <w:rFonts w:asciiTheme="minorEastAsia" w:hAnsiTheme="minorEastAsia"/>
          <w:sz w:val="24"/>
          <w:highlight w:val="none"/>
        </w:rPr>
      </w:pPr>
      <w:r>
        <w:rPr>
          <w:rFonts w:asciiTheme="minorEastAsia" w:hAnsiTheme="minorEastAsia"/>
          <w:sz w:val="24"/>
          <w:highlight w:val="none"/>
        </w:rPr>
        <w:br w:type="page"/>
      </w:r>
    </w:p>
    <w:p w14:paraId="25851C26">
      <w:pPr>
        <w:spacing w:line="360" w:lineRule="auto"/>
        <w:jc w:val="center"/>
        <w:outlineLvl w:val="0"/>
        <w:rPr>
          <w:rFonts w:asciiTheme="minorEastAsia" w:hAnsiTheme="minorEastAsia"/>
          <w:b/>
          <w:sz w:val="28"/>
          <w:highlight w:val="none"/>
        </w:rPr>
      </w:pPr>
      <w:bookmarkStart w:id="42" w:name="_Toc31277"/>
      <w:bookmarkStart w:id="43" w:name="_Toc22734"/>
      <w:r>
        <w:rPr>
          <w:rFonts w:hint="eastAsia" w:asciiTheme="minorEastAsia" w:hAnsiTheme="minorEastAsia"/>
          <w:b/>
          <w:sz w:val="28"/>
          <w:highlight w:val="none"/>
        </w:rPr>
        <w:t xml:space="preserve">第五章  </w:t>
      </w:r>
      <w:r>
        <w:rPr>
          <w:rFonts w:asciiTheme="minorEastAsia" w:hAnsiTheme="minorEastAsia"/>
          <w:b/>
          <w:sz w:val="28"/>
          <w:highlight w:val="none"/>
        </w:rPr>
        <w:t>政府采购合同</w:t>
      </w:r>
      <w:bookmarkEnd w:id="42"/>
    </w:p>
    <w:p w14:paraId="421ACACA">
      <w:pPr>
        <w:keepNext/>
        <w:keepLines/>
        <w:snapToGrid w:val="0"/>
        <w:spacing w:before="312" w:beforeLines="100" w:after="312" w:afterLines="100" w:line="360" w:lineRule="auto"/>
        <w:jc w:val="center"/>
        <w:outlineLvl w:val="1"/>
        <w:rPr>
          <w:rFonts w:cs="宋体"/>
          <w:b/>
          <w:bCs/>
          <w:szCs w:val="21"/>
          <w:highlight w:val="none"/>
        </w:rPr>
      </w:pPr>
      <w:bookmarkStart w:id="44" w:name="_Toc130919120"/>
      <w:bookmarkStart w:id="45" w:name="_Toc28799376"/>
      <w:bookmarkStart w:id="46" w:name="_Toc9907"/>
      <w:r>
        <w:rPr>
          <w:rFonts w:hint="eastAsia" w:cs="宋体"/>
          <w:b/>
          <w:bCs/>
          <w:szCs w:val="21"/>
          <w:highlight w:val="none"/>
        </w:rPr>
        <w:t>第一节  合同协议书</w:t>
      </w:r>
      <w:bookmarkEnd w:id="44"/>
      <w:bookmarkEnd w:id="45"/>
      <w:bookmarkEnd w:id="46"/>
    </w:p>
    <w:p w14:paraId="6AC0D778">
      <w:pPr>
        <w:spacing w:line="360" w:lineRule="auto"/>
        <w:rPr>
          <w:rFonts w:cs="宋体"/>
          <w:b/>
          <w:szCs w:val="21"/>
          <w:highlight w:val="none"/>
          <w:u w:val="single"/>
        </w:rPr>
      </w:pPr>
      <w:r>
        <w:rPr>
          <w:rFonts w:hint="eastAsia" w:cs="宋体"/>
          <w:b/>
          <w:szCs w:val="21"/>
          <w:highlight w:val="none"/>
        </w:rPr>
        <w:t>发包人（全称）：</w:t>
      </w:r>
      <w:r>
        <w:rPr>
          <w:rFonts w:hint="eastAsia" w:cs="宋体"/>
          <w:b/>
          <w:szCs w:val="21"/>
          <w:highlight w:val="none"/>
          <w:u w:val="single"/>
        </w:rPr>
        <w:t>安徽省农业科学院</w:t>
      </w:r>
    </w:p>
    <w:p w14:paraId="40078C41">
      <w:pPr>
        <w:spacing w:line="360" w:lineRule="auto"/>
        <w:rPr>
          <w:rFonts w:cs="宋体"/>
          <w:b/>
          <w:szCs w:val="21"/>
          <w:highlight w:val="none"/>
          <w:u w:val="single"/>
        </w:rPr>
      </w:pPr>
      <w:r>
        <w:rPr>
          <w:rFonts w:hint="eastAsia" w:cs="宋体"/>
          <w:b/>
          <w:szCs w:val="21"/>
          <w:highlight w:val="none"/>
        </w:rPr>
        <w:t>承包人（全称）：</w:t>
      </w:r>
      <w:r>
        <w:rPr>
          <w:rFonts w:hint="eastAsia" w:cs="宋体"/>
          <w:b/>
          <w:szCs w:val="21"/>
          <w:highlight w:val="none"/>
          <w:u w:val="single"/>
        </w:rPr>
        <w:t xml:space="preserve">        </w:t>
      </w:r>
    </w:p>
    <w:p w14:paraId="1E5EC34E">
      <w:pPr>
        <w:spacing w:line="360" w:lineRule="auto"/>
        <w:rPr>
          <w:rFonts w:ascii="Times New Roman" w:hAnsi="Times New Roman" w:eastAsia="仿宋_GB2312" w:cs="Times New Roman"/>
          <w:b/>
          <w:sz w:val="30"/>
          <w:szCs w:val="30"/>
          <w:highlight w:val="none"/>
          <w:u w:val="single"/>
        </w:rPr>
      </w:pPr>
    </w:p>
    <w:p w14:paraId="74AF13C4">
      <w:pPr>
        <w:snapToGrid w:val="0"/>
        <w:spacing w:line="360" w:lineRule="auto"/>
        <w:ind w:firstLine="420" w:firstLineChars="200"/>
        <w:rPr>
          <w:rFonts w:cs="宋体"/>
          <w:szCs w:val="21"/>
          <w:highlight w:val="none"/>
        </w:rPr>
      </w:pPr>
      <w:r>
        <w:rPr>
          <w:rFonts w:hint="eastAsia" w:cs="宋体"/>
          <w:szCs w:val="21"/>
          <w:highlight w:val="none"/>
        </w:rPr>
        <w:t>根据《中华人民共和国民法典》《中华人民共和国建筑法》及有关法律规定，遵循平等、自愿、公平和诚实信用的原则，双方就</w:t>
      </w:r>
      <w:r>
        <w:rPr>
          <w:rFonts w:hint="eastAsia" w:cs="宋体"/>
          <w:szCs w:val="21"/>
          <w:highlight w:val="none"/>
          <w:u w:val="single"/>
        </w:rPr>
        <w:t xml:space="preserve"> 安徽省农业科学院院区环境提升项目  </w:t>
      </w:r>
      <w:r>
        <w:rPr>
          <w:rFonts w:hint="eastAsia" w:cs="宋体"/>
          <w:szCs w:val="21"/>
          <w:highlight w:val="none"/>
        </w:rPr>
        <w:t>工程施工及有关事项协商一致，共同达成如下协议：</w:t>
      </w:r>
    </w:p>
    <w:p w14:paraId="4E20737D">
      <w:pPr>
        <w:snapToGrid w:val="0"/>
        <w:spacing w:line="360" w:lineRule="auto"/>
        <w:ind w:firstLine="422" w:firstLineChars="200"/>
        <w:rPr>
          <w:rFonts w:cs="宋体"/>
          <w:szCs w:val="21"/>
          <w:highlight w:val="none"/>
        </w:rPr>
      </w:pPr>
      <w:r>
        <w:rPr>
          <w:rFonts w:hint="eastAsia" w:cs="宋体"/>
          <w:b/>
          <w:szCs w:val="21"/>
          <w:highlight w:val="none"/>
        </w:rPr>
        <w:t>一、工程概况</w:t>
      </w:r>
    </w:p>
    <w:p w14:paraId="5ECB04C5">
      <w:pPr>
        <w:snapToGrid w:val="0"/>
        <w:spacing w:line="360" w:lineRule="auto"/>
        <w:ind w:firstLine="411" w:firstLineChars="196"/>
        <w:rPr>
          <w:rFonts w:cs="宋体"/>
          <w:szCs w:val="21"/>
          <w:highlight w:val="none"/>
          <w:u w:val="single"/>
        </w:rPr>
      </w:pPr>
      <w:r>
        <w:rPr>
          <w:rFonts w:hint="eastAsia" w:cs="宋体"/>
          <w:bCs/>
          <w:szCs w:val="21"/>
          <w:highlight w:val="none"/>
        </w:rPr>
        <w:t>1. 工程名称</w:t>
      </w:r>
      <w:r>
        <w:rPr>
          <w:rFonts w:hint="eastAsia" w:cs="宋体"/>
          <w:szCs w:val="21"/>
          <w:highlight w:val="none"/>
        </w:rPr>
        <w:t>：</w:t>
      </w:r>
      <w:r>
        <w:rPr>
          <w:rFonts w:hint="eastAsia" w:cs="宋体"/>
          <w:szCs w:val="21"/>
          <w:highlight w:val="none"/>
          <w:u w:val="single"/>
        </w:rPr>
        <w:t xml:space="preserve">安徽省农业科学院院区环境提升项目     </w:t>
      </w:r>
      <w:r>
        <w:rPr>
          <w:rFonts w:hint="eastAsia" w:cs="宋体"/>
          <w:szCs w:val="21"/>
          <w:highlight w:val="none"/>
        </w:rPr>
        <w:t>。</w:t>
      </w:r>
    </w:p>
    <w:p w14:paraId="36A7F0DC">
      <w:pPr>
        <w:snapToGrid w:val="0"/>
        <w:spacing w:line="360" w:lineRule="auto"/>
        <w:ind w:firstLine="411" w:firstLineChars="196"/>
        <w:rPr>
          <w:rFonts w:cs="宋体"/>
          <w:bCs/>
          <w:szCs w:val="21"/>
          <w:highlight w:val="none"/>
        </w:rPr>
      </w:pPr>
      <w:r>
        <w:rPr>
          <w:rFonts w:hint="eastAsia" w:cs="宋体"/>
          <w:bCs/>
          <w:szCs w:val="21"/>
          <w:highlight w:val="none"/>
        </w:rPr>
        <w:t>2. 工程地点：</w:t>
      </w:r>
      <w:r>
        <w:rPr>
          <w:rFonts w:hint="eastAsia" w:cs="宋体"/>
          <w:szCs w:val="21"/>
          <w:highlight w:val="none"/>
          <w:u w:val="single"/>
        </w:rPr>
        <w:t>安徽省农业科学院 </w:t>
      </w:r>
      <w:r>
        <w:rPr>
          <w:rFonts w:hint="eastAsia" w:cs="宋体"/>
          <w:szCs w:val="21"/>
          <w:highlight w:val="none"/>
        </w:rPr>
        <w:t>。</w:t>
      </w:r>
    </w:p>
    <w:p w14:paraId="0CEDEADD">
      <w:pPr>
        <w:snapToGrid w:val="0"/>
        <w:spacing w:line="360" w:lineRule="auto"/>
        <w:ind w:firstLine="411" w:firstLineChars="196"/>
        <w:rPr>
          <w:rFonts w:cs="宋体"/>
          <w:bCs/>
          <w:szCs w:val="21"/>
          <w:highlight w:val="none"/>
        </w:rPr>
      </w:pPr>
      <w:r>
        <w:rPr>
          <w:rFonts w:hint="eastAsia" w:cs="宋体"/>
          <w:bCs/>
          <w:szCs w:val="21"/>
          <w:highlight w:val="none"/>
        </w:rPr>
        <w:t>3. 工程立项批准文号：</w:t>
      </w:r>
      <w:r>
        <w:rPr>
          <w:rFonts w:hint="eastAsia" w:cs="宋体"/>
          <w:szCs w:val="21"/>
          <w:highlight w:val="none"/>
          <w:u w:val="single"/>
        </w:rPr>
        <w:t xml:space="preserve">       </w:t>
      </w:r>
      <w:r>
        <w:rPr>
          <w:rFonts w:hint="eastAsia" w:cs="宋体"/>
          <w:bCs/>
          <w:szCs w:val="21"/>
          <w:highlight w:val="none"/>
        </w:rPr>
        <w:t>。</w:t>
      </w:r>
    </w:p>
    <w:p w14:paraId="19E4BCFD">
      <w:pPr>
        <w:snapToGrid w:val="0"/>
        <w:spacing w:line="360" w:lineRule="auto"/>
        <w:ind w:firstLine="411" w:firstLineChars="196"/>
        <w:rPr>
          <w:rFonts w:cs="宋体"/>
          <w:bCs/>
          <w:szCs w:val="21"/>
          <w:highlight w:val="none"/>
        </w:rPr>
      </w:pPr>
      <w:r>
        <w:rPr>
          <w:rFonts w:hint="eastAsia" w:cs="宋体"/>
          <w:bCs/>
          <w:szCs w:val="21"/>
          <w:highlight w:val="none"/>
        </w:rPr>
        <w:t>4. 资金来源：</w:t>
      </w:r>
      <w:r>
        <w:rPr>
          <w:rFonts w:hint="eastAsia" w:cs="宋体"/>
          <w:szCs w:val="21"/>
          <w:highlight w:val="none"/>
          <w:u w:val="single"/>
        </w:rPr>
        <w:t xml:space="preserve">财政资金   </w:t>
      </w:r>
      <w:r>
        <w:rPr>
          <w:rFonts w:hint="eastAsia" w:cs="宋体"/>
          <w:bCs/>
          <w:szCs w:val="21"/>
          <w:highlight w:val="none"/>
        </w:rPr>
        <w:t>。</w:t>
      </w:r>
    </w:p>
    <w:p w14:paraId="15009CE4">
      <w:pPr>
        <w:snapToGrid w:val="0"/>
        <w:spacing w:line="360" w:lineRule="auto"/>
        <w:ind w:firstLine="411" w:firstLineChars="196"/>
        <w:rPr>
          <w:rFonts w:cs="宋体"/>
          <w:bCs/>
          <w:szCs w:val="21"/>
          <w:highlight w:val="none"/>
        </w:rPr>
      </w:pPr>
      <w:r>
        <w:rPr>
          <w:rFonts w:hint="eastAsia" w:cs="宋体"/>
          <w:bCs/>
          <w:szCs w:val="21"/>
          <w:highlight w:val="none"/>
        </w:rPr>
        <w:t>5. 工程内容：</w:t>
      </w:r>
      <w:r>
        <w:rPr>
          <w:rFonts w:hint="eastAsia" w:cs="宋体"/>
          <w:bCs/>
          <w:szCs w:val="21"/>
          <w:highlight w:val="none"/>
          <w:u w:val="single"/>
        </w:rPr>
        <w:t>安徽省农业科学院院区环境提升项目，具体内容详见采购需求、清单及图纸</w:t>
      </w:r>
      <w:r>
        <w:rPr>
          <w:rFonts w:hint="eastAsia" w:cs="宋体"/>
          <w:bCs/>
          <w:szCs w:val="21"/>
          <w:highlight w:val="none"/>
        </w:rPr>
        <w:t>。</w:t>
      </w:r>
    </w:p>
    <w:p w14:paraId="244D797C">
      <w:pPr>
        <w:snapToGrid w:val="0"/>
        <w:spacing w:line="360" w:lineRule="auto"/>
        <w:ind w:firstLine="411" w:firstLineChars="196"/>
        <w:rPr>
          <w:rFonts w:cs="宋体"/>
          <w:bCs/>
          <w:szCs w:val="21"/>
          <w:highlight w:val="none"/>
        </w:rPr>
      </w:pPr>
      <w:r>
        <w:rPr>
          <w:rFonts w:hint="eastAsia" w:cs="宋体"/>
          <w:szCs w:val="21"/>
          <w:highlight w:val="none"/>
        </w:rPr>
        <w:t>群体工程应附《承包人承揽工程项目一览表》（附件1）。</w:t>
      </w:r>
    </w:p>
    <w:p w14:paraId="1F2D3758">
      <w:pPr>
        <w:snapToGrid w:val="0"/>
        <w:spacing w:line="360" w:lineRule="auto"/>
        <w:ind w:firstLine="411" w:firstLineChars="196"/>
        <w:rPr>
          <w:rFonts w:cs="宋体"/>
          <w:bCs/>
          <w:szCs w:val="21"/>
          <w:highlight w:val="none"/>
        </w:rPr>
      </w:pPr>
      <w:r>
        <w:rPr>
          <w:rFonts w:hint="eastAsia" w:cs="宋体"/>
          <w:bCs/>
          <w:szCs w:val="21"/>
          <w:highlight w:val="none"/>
        </w:rPr>
        <w:t>6. 工程承包范围：</w:t>
      </w:r>
    </w:p>
    <w:p w14:paraId="7E63026A">
      <w:pPr>
        <w:snapToGrid w:val="0"/>
        <w:spacing w:line="360" w:lineRule="auto"/>
        <w:ind w:firstLine="420" w:firstLineChars="200"/>
        <w:rPr>
          <w:rFonts w:cs="宋体"/>
          <w:szCs w:val="21"/>
          <w:highlight w:val="none"/>
        </w:rPr>
      </w:pPr>
      <w:r>
        <w:rPr>
          <w:rFonts w:hint="eastAsia" w:cs="宋体"/>
          <w:szCs w:val="21"/>
          <w:highlight w:val="none"/>
          <w:u w:val="single"/>
        </w:rPr>
        <w:t>安徽省农业科学院院区环境提升项目，具体内容详见采购需求、清单及图纸</w:t>
      </w:r>
      <w:r>
        <w:rPr>
          <w:rFonts w:hint="eastAsia" w:cs="宋体"/>
          <w:szCs w:val="21"/>
          <w:highlight w:val="none"/>
        </w:rPr>
        <w:t>。</w:t>
      </w:r>
    </w:p>
    <w:p w14:paraId="3B4F06DD">
      <w:pPr>
        <w:snapToGrid w:val="0"/>
        <w:spacing w:line="360" w:lineRule="auto"/>
        <w:ind w:firstLine="422" w:firstLineChars="200"/>
        <w:rPr>
          <w:rFonts w:cs="宋体"/>
          <w:b/>
          <w:szCs w:val="21"/>
          <w:highlight w:val="none"/>
        </w:rPr>
      </w:pPr>
      <w:bookmarkStart w:id="47" w:name="_Toc351203482"/>
      <w:r>
        <w:rPr>
          <w:rFonts w:hint="eastAsia" w:cs="宋体"/>
          <w:b/>
          <w:szCs w:val="21"/>
          <w:highlight w:val="none"/>
        </w:rPr>
        <w:t>二、合同工期</w:t>
      </w:r>
      <w:bookmarkEnd w:id="47"/>
    </w:p>
    <w:p w14:paraId="1C184421">
      <w:pPr>
        <w:snapToGrid w:val="0"/>
        <w:spacing w:line="360" w:lineRule="auto"/>
        <w:ind w:firstLine="459"/>
        <w:rPr>
          <w:rFonts w:cs="宋体"/>
          <w:szCs w:val="21"/>
          <w:highlight w:val="none"/>
        </w:rPr>
      </w:pPr>
      <w:r>
        <w:rPr>
          <w:rFonts w:hint="eastAsia" w:cs="宋体"/>
          <w:szCs w:val="21"/>
          <w:highlight w:val="none"/>
        </w:rPr>
        <w:t>计划开工日期：</w:t>
      </w:r>
      <w:r>
        <w:rPr>
          <w:rFonts w:hint="eastAsia" w:cs="宋体"/>
          <w:szCs w:val="21"/>
          <w:highlight w:val="none"/>
          <w:u w:val="single"/>
        </w:rPr>
        <w:t></w:t>
      </w:r>
      <w:r>
        <w:rPr>
          <w:rFonts w:hint="eastAsia" w:cs="宋体"/>
          <w:szCs w:val="21"/>
          <w:highlight w:val="none"/>
        </w:rPr>
        <w:t>年</w:t>
      </w:r>
      <w:r>
        <w:rPr>
          <w:rFonts w:hint="eastAsia" w:cs="宋体"/>
          <w:szCs w:val="21"/>
          <w:highlight w:val="none"/>
          <w:u w:val="single"/>
        </w:rPr>
        <w:t></w:t>
      </w:r>
      <w:r>
        <w:rPr>
          <w:rFonts w:hint="eastAsia" w:cs="宋体"/>
          <w:szCs w:val="21"/>
          <w:highlight w:val="none"/>
        </w:rPr>
        <w:t>月</w:t>
      </w:r>
      <w:r>
        <w:rPr>
          <w:rFonts w:hint="eastAsia" w:cs="宋体"/>
          <w:szCs w:val="21"/>
          <w:highlight w:val="none"/>
          <w:u w:val="single"/>
        </w:rPr>
        <w:t></w:t>
      </w:r>
      <w:r>
        <w:rPr>
          <w:rFonts w:hint="eastAsia" w:cs="宋体"/>
          <w:szCs w:val="21"/>
          <w:highlight w:val="none"/>
        </w:rPr>
        <w:t>日。</w:t>
      </w:r>
    </w:p>
    <w:p w14:paraId="0DCB3C0B">
      <w:pPr>
        <w:snapToGrid w:val="0"/>
        <w:spacing w:line="360" w:lineRule="auto"/>
        <w:ind w:firstLine="459"/>
        <w:rPr>
          <w:rFonts w:cs="宋体"/>
          <w:szCs w:val="21"/>
          <w:highlight w:val="none"/>
        </w:rPr>
      </w:pPr>
      <w:r>
        <w:rPr>
          <w:rFonts w:hint="eastAsia" w:cs="宋体"/>
          <w:szCs w:val="21"/>
          <w:highlight w:val="none"/>
        </w:rPr>
        <w:t>计划竣工日期：</w:t>
      </w:r>
      <w:r>
        <w:rPr>
          <w:rFonts w:hint="eastAsia" w:cs="宋体"/>
          <w:szCs w:val="21"/>
          <w:highlight w:val="none"/>
          <w:u w:val="single"/>
        </w:rPr>
        <w:t></w:t>
      </w:r>
      <w:r>
        <w:rPr>
          <w:rFonts w:hint="eastAsia" w:cs="宋体"/>
          <w:szCs w:val="21"/>
          <w:highlight w:val="none"/>
        </w:rPr>
        <w:t>年</w:t>
      </w:r>
      <w:r>
        <w:rPr>
          <w:rFonts w:hint="eastAsia" w:cs="宋体"/>
          <w:szCs w:val="21"/>
          <w:highlight w:val="none"/>
          <w:u w:val="single"/>
        </w:rPr>
        <w:t></w:t>
      </w:r>
      <w:r>
        <w:rPr>
          <w:rFonts w:hint="eastAsia" w:cs="宋体"/>
          <w:szCs w:val="21"/>
          <w:highlight w:val="none"/>
        </w:rPr>
        <w:t>月</w:t>
      </w:r>
      <w:r>
        <w:rPr>
          <w:rFonts w:hint="eastAsia" w:cs="宋体"/>
          <w:szCs w:val="21"/>
          <w:highlight w:val="none"/>
          <w:u w:val="single"/>
        </w:rPr>
        <w:t></w:t>
      </w:r>
      <w:r>
        <w:rPr>
          <w:rFonts w:hint="eastAsia" w:cs="宋体"/>
          <w:szCs w:val="21"/>
          <w:highlight w:val="none"/>
        </w:rPr>
        <w:t>日。</w:t>
      </w:r>
    </w:p>
    <w:p w14:paraId="1FB06E33">
      <w:pPr>
        <w:snapToGrid w:val="0"/>
        <w:spacing w:line="360" w:lineRule="auto"/>
        <w:ind w:firstLine="459"/>
        <w:rPr>
          <w:rFonts w:cs="宋体"/>
          <w:szCs w:val="21"/>
          <w:highlight w:val="none"/>
        </w:rPr>
      </w:pPr>
      <w:r>
        <w:rPr>
          <w:rFonts w:hint="eastAsia" w:cs="宋体"/>
          <w:szCs w:val="21"/>
          <w:highlight w:val="none"/>
        </w:rPr>
        <w:t>工期总日历天数：</w:t>
      </w:r>
      <w:r>
        <w:rPr>
          <w:rFonts w:hint="eastAsia" w:cs="宋体"/>
          <w:szCs w:val="21"/>
          <w:highlight w:val="none"/>
          <w:u w:val="single"/>
        </w:rPr>
        <w:t></w:t>
      </w:r>
      <w:r>
        <w:rPr>
          <w:rFonts w:hint="eastAsia" w:cs="宋体"/>
          <w:szCs w:val="21"/>
          <w:highlight w:val="none"/>
        </w:rPr>
        <w:t>天。工期总日历天数与根据前述计划开竣工日期计算的工期天数不一致的，以工期总日历天数为准。</w:t>
      </w:r>
    </w:p>
    <w:p w14:paraId="32E8E671">
      <w:pPr>
        <w:snapToGrid w:val="0"/>
        <w:spacing w:line="360" w:lineRule="auto"/>
        <w:ind w:firstLine="422" w:firstLineChars="200"/>
        <w:rPr>
          <w:rFonts w:cs="宋体"/>
          <w:b/>
          <w:szCs w:val="21"/>
          <w:highlight w:val="none"/>
        </w:rPr>
      </w:pPr>
      <w:bookmarkStart w:id="48" w:name="_Toc351203483"/>
      <w:r>
        <w:rPr>
          <w:rFonts w:hint="eastAsia" w:cs="宋体"/>
          <w:b/>
          <w:szCs w:val="21"/>
          <w:highlight w:val="none"/>
        </w:rPr>
        <w:t>三、质量标准</w:t>
      </w:r>
      <w:bookmarkEnd w:id="48"/>
    </w:p>
    <w:p w14:paraId="1ACC8FA4">
      <w:pPr>
        <w:snapToGrid w:val="0"/>
        <w:spacing w:line="360" w:lineRule="auto"/>
        <w:ind w:firstLine="459"/>
        <w:rPr>
          <w:rFonts w:cs="宋体"/>
          <w:szCs w:val="21"/>
          <w:highlight w:val="none"/>
        </w:rPr>
      </w:pPr>
      <w:r>
        <w:rPr>
          <w:rFonts w:hint="eastAsia" w:cs="宋体"/>
          <w:szCs w:val="21"/>
          <w:highlight w:val="none"/>
        </w:rPr>
        <w:t>工程质量符合</w:t>
      </w:r>
      <w:r>
        <w:rPr>
          <w:rFonts w:hint="eastAsia" w:cs="宋体"/>
          <w:szCs w:val="21"/>
          <w:highlight w:val="none"/>
          <w:u w:val="single"/>
        </w:rPr>
        <w:t xml:space="preserve"> 合格 </w:t>
      </w:r>
      <w:r>
        <w:rPr>
          <w:rFonts w:hint="eastAsia" w:cs="宋体"/>
          <w:szCs w:val="21"/>
          <w:highlight w:val="none"/>
        </w:rPr>
        <w:t>标准。</w:t>
      </w:r>
    </w:p>
    <w:p w14:paraId="3042A97D">
      <w:pPr>
        <w:snapToGrid w:val="0"/>
        <w:spacing w:line="360" w:lineRule="auto"/>
        <w:ind w:firstLine="422" w:firstLineChars="200"/>
        <w:rPr>
          <w:rFonts w:cs="宋体"/>
          <w:b/>
          <w:szCs w:val="21"/>
          <w:highlight w:val="none"/>
        </w:rPr>
      </w:pPr>
      <w:bookmarkStart w:id="49" w:name="_Toc351203484"/>
      <w:r>
        <w:rPr>
          <w:rFonts w:hint="eastAsia" w:cs="宋体"/>
          <w:b/>
          <w:szCs w:val="21"/>
          <w:highlight w:val="none"/>
        </w:rPr>
        <w:t>四、签约合同价与合同价格形式</w:t>
      </w:r>
      <w:bookmarkEnd w:id="49"/>
    </w:p>
    <w:p w14:paraId="456F3587">
      <w:pPr>
        <w:snapToGrid w:val="0"/>
        <w:spacing w:line="360" w:lineRule="auto"/>
        <w:ind w:firstLine="420" w:firstLineChars="200"/>
        <w:rPr>
          <w:rFonts w:cs="宋体"/>
          <w:szCs w:val="21"/>
          <w:highlight w:val="none"/>
        </w:rPr>
      </w:pPr>
      <w:r>
        <w:rPr>
          <w:rFonts w:hint="eastAsia" w:cs="宋体"/>
          <w:szCs w:val="21"/>
          <w:highlight w:val="none"/>
        </w:rPr>
        <w:t>1. 签约合同价为：</w:t>
      </w:r>
    </w:p>
    <w:p w14:paraId="6AF544DB">
      <w:pPr>
        <w:snapToGrid w:val="0"/>
        <w:spacing w:line="360" w:lineRule="auto"/>
        <w:ind w:firstLine="525" w:firstLineChars="250"/>
        <w:rPr>
          <w:rFonts w:cs="宋体"/>
          <w:szCs w:val="21"/>
          <w:highlight w:val="none"/>
        </w:rPr>
      </w:pPr>
      <w:r>
        <w:rPr>
          <w:rFonts w:hint="eastAsia" w:cs="宋体"/>
          <w:szCs w:val="21"/>
          <w:highlight w:val="none"/>
        </w:rPr>
        <w:t>人民币（大写）</w:t>
      </w:r>
      <w:r>
        <w:rPr>
          <w:rFonts w:hint="eastAsia" w:cs="宋体"/>
          <w:szCs w:val="21"/>
          <w:highlight w:val="none"/>
          <w:u w:val="single"/>
        </w:rPr>
        <w:t xml:space="preserve">                 （</w:t>
      </w:r>
      <w:r>
        <w:rPr>
          <w:rFonts w:hint="eastAsia" w:cs="宋体"/>
          <w:szCs w:val="21"/>
          <w:highlight w:val="none"/>
        </w:rPr>
        <w:t>¥</w:t>
      </w:r>
      <w:r>
        <w:rPr>
          <w:rFonts w:hint="eastAsia" w:cs="宋体"/>
          <w:szCs w:val="21"/>
          <w:highlight w:val="none"/>
          <w:u w:val="single"/>
        </w:rPr>
        <w:t xml:space="preserve">            </w:t>
      </w:r>
      <w:r>
        <w:rPr>
          <w:rFonts w:hint="eastAsia" w:cs="宋体"/>
          <w:szCs w:val="21"/>
          <w:highlight w:val="none"/>
        </w:rPr>
        <w:t>元）；</w:t>
      </w:r>
    </w:p>
    <w:p w14:paraId="4A2FDFBE">
      <w:pPr>
        <w:snapToGrid w:val="0"/>
        <w:spacing w:line="360" w:lineRule="auto"/>
        <w:ind w:firstLine="420" w:firstLineChars="200"/>
        <w:rPr>
          <w:rFonts w:cs="宋体"/>
          <w:szCs w:val="21"/>
          <w:highlight w:val="none"/>
        </w:rPr>
      </w:pPr>
      <w:r>
        <w:rPr>
          <w:rFonts w:hint="eastAsia" w:cs="宋体"/>
          <w:szCs w:val="21"/>
          <w:highlight w:val="none"/>
        </w:rPr>
        <w:t>其中：</w:t>
      </w:r>
    </w:p>
    <w:p w14:paraId="5FB63D60">
      <w:pPr>
        <w:snapToGrid w:val="0"/>
        <w:spacing w:line="360" w:lineRule="auto"/>
        <w:ind w:firstLine="420" w:firstLineChars="200"/>
        <w:rPr>
          <w:rFonts w:cs="宋体"/>
          <w:szCs w:val="21"/>
          <w:highlight w:val="none"/>
        </w:rPr>
      </w:pPr>
      <w:r>
        <w:rPr>
          <w:rFonts w:hint="eastAsia" w:cs="宋体"/>
          <w:szCs w:val="21"/>
          <w:highlight w:val="none"/>
        </w:rPr>
        <w:t>（1）安全文明施工费：</w:t>
      </w:r>
    </w:p>
    <w:p w14:paraId="0B96E011">
      <w:pPr>
        <w:snapToGrid w:val="0"/>
        <w:spacing w:line="360" w:lineRule="auto"/>
        <w:ind w:firstLine="945" w:firstLineChars="450"/>
        <w:rPr>
          <w:rFonts w:cs="宋体"/>
          <w:szCs w:val="21"/>
          <w:highlight w:val="none"/>
        </w:rPr>
      </w:pPr>
      <w:r>
        <w:rPr>
          <w:rFonts w:hint="eastAsia" w:cs="宋体"/>
          <w:szCs w:val="21"/>
          <w:highlight w:val="none"/>
        </w:rPr>
        <w:t>人民币（大写）</w:t>
      </w:r>
      <w:r>
        <w:rPr>
          <w:rFonts w:hint="eastAsia" w:cs="宋体"/>
          <w:szCs w:val="21"/>
          <w:highlight w:val="none"/>
          <w:u w:val="single"/>
        </w:rPr>
        <w:t xml:space="preserve">              </w:t>
      </w:r>
      <w:r>
        <w:rPr>
          <w:rFonts w:hint="eastAsia" w:cs="宋体"/>
          <w:szCs w:val="21"/>
          <w:highlight w:val="none"/>
        </w:rPr>
        <w:t xml:space="preserve"> （¥</w:t>
      </w:r>
      <w:r>
        <w:rPr>
          <w:rFonts w:hint="eastAsia" w:cs="宋体"/>
          <w:szCs w:val="21"/>
          <w:highlight w:val="none"/>
          <w:u w:val="single"/>
        </w:rPr>
        <w:t xml:space="preserve">          </w:t>
      </w:r>
      <w:r>
        <w:rPr>
          <w:rFonts w:hint="eastAsia" w:cs="宋体"/>
          <w:szCs w:val="21"/>
          <w:highlight w:val="none"/>
        </w:rPr>
        <w:t>元）；</w:t>
      </w:r>
    </w:p>
    <w:p w14:paraId="0E0E1776">
      <w:pPr>
        <w:snapToGrid w:val="0"/>
        <w:spacing w:line="360" w:lineRule="auto"/>
        <w:ind w:firstLine="420" w:firstLineChars="200"/>
        <w:rPr>
          <w:rFonts w:cs="宋体"/>
          <w:szCs w:val="21"/>
          <w:highlight w:val="none"/>
        </w:rPr>
      </w:pPr>
      <w:r>
        <w:rPr>
          <w:rFonts w:hint="eastAsia" w:cs="宋体"/>
          <w:szCs w:val="21"/>
          <w:highlight w:val="none"/>
        </w:rPr>
        <w:t>（2）材料和工程设备暂估价金额：</w:t>
      </w:r>
    </w:p>
    <w:p w14:paraId="07B9EF6C">
      <w:pPr>
        <w:snapToGrid w:val="0"/>
        <w:spacing w:line="360" w:lineRule="auto"/>
        <w:ind w:firstLine="945" w:firstLineChars="450"/>
        <w:rPr>
          <w:rFonts w:cs="宋体"/>
          <w:szCs w:val="21"/>
          <w:highlight w:val="none"/>
        </w:rPr>
      </w:pPr>
      <w:r>
        <w:rPr>
          <w:rFonts w:hint="eastAsia" w:cs="宋体"/>
          <w:szCs w:val="21"/>
          <w:highlight w:val="none"/>
        </w:rPr>
        <w:t>人民币（大写）</w:t>
      </w:r>
      <w:r>
        <w:rPr>
          <w:rFonts w:hint="eastAsia" w:cs="宋体"/>
          <w:szCs w:val="21"/>
          <w:highlight w:val="none"/>
          <w:u w:val="single"/>
        </w:rPr>
        <w:t xml:space="preserve">              </w:t>
      </w:r>
      <w:r>
        <w:rPr>
          <w:rFonts w:hint="eastAsia" w:cs="宋体"/>
          <w:szCs w:val="21"/>
          <w:highlight w:val="none"/>
        </w:rPr>
        <w:t xml:space="preserve"> （¥</w:t>
      </w:r>
      <w:r>
        <w:rPr>
          <w:rFonts w:hint="eastAsia" w:cs="宋体"/>
          <w:szCs w:val="21"/>
          <w:highlight w:val="none"/>
          <w:u w:val="single"/>
        </w:rPr>
        <w:t xml:space="preserve">          </w:t>
      </w:r>
      <w:r>
        <w:rPr>
          <w:rFonts w:hint="eastAsia" w:cs="宋体"/>
          <w:szCs w:val="21"/>
          <w:highlight w:val="none"/>
        </w:rPr>
        <w:t>元）；</w:t>
      </w:r>
    </w:p>
    <w:p w14:paraId="2C0F9850">
      <w:pPr>
        <w:snapToGrid w:val="0"/>
        <w:spacing w:line="360" w:lineRule="auto"/>
        <w:ind w:firstLine="420" w:firstLineChars="200"/>
        <w:rPr>
          <w:rFonts w:cs="宋体"/>
          <w:szCs w:val="21"/>
          <w:highlight w:val="none"/>
        </w:rPr>
      </w:pPr>
      <w:r>
        <w:rPr>
          <w:rFonts w:hint="eastAsia" w:cs="宋体"/>
          <w:szCs w:val="21"/>
          <w:highlight w:val="none"/>
        </w:rPr>
        <w:t>（3）专业工程暂估价金额：</w:t>
      </w:r>
    </w:p>
    <w:p w14:paraId="770034A2">
      <w:pPr>
        <w:snapToGrid w:val="0"/>
        <w:spacing w:line="360" w:lineRule="auto"/>
        <w:ind w:firstLine="945" w:firstLineChars="450"/>
        <w:rPr>
          <w:rFonts w:cs="宋体"/>
          <w:szCs w:val="21"/>
          <w:highlight w:val="none"/>
        </w:rPr>
      </w:pPr>
      <w:r>
        <w:rPr>
          <w:rFonts w:hint="eastAsia" w:cs="宋体"/>
          <w:szCs w:val="21"/>
          <w:highlight w:val="none"/>
        </w:rPr>
        <w:t>人民币（大写）</w:t>
      </w:r>
      <w:r>
        <w:rPr>
          <w:rFonts w:hint="eastAsia" w:cs="宋体"/>
          <w:szCs w:val="21"/>
          <w:highlight w:val="none"/>
          <w:u w:val="single"/>
        </w:rPr>
        <w:t xml:space="preserve">              </w:t>
      </w:r>
      <w:r>
        <w:rPr>
          <w:rFonts w:hint="eastAsia" w:cs="宋体"/>
          <w:szCs w:val="21"/>
          <w:highlight w:val="none"/>
        </w:rPr>
        <w:t xml:space="preserve"> （¥</w:t>
      </w:r>
      <w:r>
        <w:rPr>
          <w:rFonts w:hint="eastAsia" w:cs="宋体"/>
          <w:szCs w:val="21"/>
          <w:highlight w:val="none"/>
          <w:u w:val="single"/>
        </w:rPr>
        <w:t xml:space="preserve">          </w:t>
      </w:r>
      <w:r>
        <w:rPr>
          <w:rFonts w:hint="eastAsia" w:cs="宋体"/>
          <w:szCs w:val="21"/>
          <w:highlight w:val="none"/>
        </w:rPr>
        <w:t>元）；</w:t>
      </w:r>
    </w:p>
    <w:p w14:paraId="44B5C47D">
      <w:pPr>
        <w:snapToGrid w:val="0"/>
        <w:spacing w:line="360" w:lineRule="auto"/>
        <w:ind w:firstLine="420" w:firstLineChars="200"/>
        <w:rPr>
          <w:rFonts w:cs="宋体"/>
          <w:szCs w:val="21"/>
          <w:highlight w:val="none"/>
        </w:rPr>
      </w:pPr>
      <w:r>
        <w:rPr>
          <w:rFonts w:hint="eastAsia" w:cs="宋体"/>
          <w:szCs w:val="21"/>
          <w:highlight w:val="none"/>
        </w:rPr>
        <w:t>（4）暂列金额：</w:t>
      </w:r>
    </w:p>
    <w:p w14:paraId="0107BCD3">
      <w:pPr>
        <w:snapToGrid w:val="0"/>
        <w:spacing w:line="360" w:lineRule="auto"/>
        <w:ind w:firstLine="945" w:firstLineChars="450"/>
        <w:rPr>
          <w:rFonts w:cs="宋体"/>
          <w:szCs w:val="21"/>
          <w:highlight w:val="none"/>
        </w:rPr>
      </w:pPr>
      <w:r>
        <w:rPr>
          <w:rFonts w:hint="eastAsia" w:cs="宋体"/>
          <w:szCs w:val="21"/>
          <w:highlight w:val="none"/>
        </w:rPr>
        <w:t>人民币（大写）</w:t>
      </w:r>
      <w:r>
        <w:rPr>
          <w:rFonts w:hint="eastAsia" w:cs="宋体"/>
          <w:szCs w:val="21"/>
          <w:highlight w:val="none"/>
          <w:u w:val="single"/>
        </w:rPr>
        <w:t xml:space="preserve">              </w:t>
      </w:r>
      <w:r>
        <w:rPr>
          <w:rFonts w:hint="eastAsia" w:cs="宋体"/>
          <w:szCs w:val="21"/>
          <w:highlight w:val="none"/>
        </w:rPr>
        <w:t xml:space="preserve"> （¥</w:t>
      </w:r>
      <w:r>
        <w:rPr>
          <w:rFonts w:hint="eastAsia" w:cs="宋体"/>
          <w:szCs w:val="21"/>
          <w:highlight w:val="none"/>
          <w:u w:val="single"/>
        </w:rPr>
        <w:t xml:space="preserve">          </w:t>
      </w:r>
      <w:r>
        <w:rPr>
          <w:rFonts w:hint="eastAsia" w:cs="宋体"/>
          <w:szCs w:val="21"/>
          <w:highlight w:val="none"/>
        </w:rPr>
        <w:t>元）。</w:t>
      </w:r>
    </w:p>
    <w:p w14:paraId="1F09DE4B">
      <w:pPr>
        <w:snapToGrid w:val="0"/>
        <w:spacing w:line="360" w:lineRule="auto"/>
        <w:ind w:firstLine="420" w:firstLineChars="200"/>
        <w:rPr>
          <w:rFonts w:cs="宋体"/>
          <w:szCs w:val="21"/>
          <w:highlight w:val="none"/>
        </w:rPr>
      </w:pPr>
      <w:r>
        <w:rPr>
          <w:rFonts w:hint="eastAsia" w:cs="宋体"/>
          <w:szCs w:val="21"/>
          <w:highlight w:val="none"/>
        </w:rPr>
        <w:t>2. 合同价格形式：</w:t>
      </w:r>
      <w:r>
        <w:rPr>
          <w:rFonts w:hint="eastAsia" w:cs="宋体"/>
          <w:szCs w:val="21"/>
          <w:highlight w:val="none"/>
          <w:u w:val="single"/>
        </w:rPr>
        <w:t xml:space="preserve">    </w:t>
      </w:r>
      <w:r>
        <w:rPr>
          <w:rFonts w:hint="eastAsia" w:cs="宋体"/>
          <w:szCs w:val="21"/>
          <w:highlight w:val="none"/>
        </w:rPr>
        <w:t>。</w:t>
      </w:r>
    </w:p>
    <w:p w14:paraId="41CA1DC6">
      <w:pPr>
        <w:snapToGrid w:val="0"/>
        <w:spacing w:line="360" w:lineRule="auto"/>
        <w:ind w:firstLine="422" w:firstLineChars="200"/>
        <w:rPr>
          <w:rFonts w:cs="宋体"/>
          <w:b/>
          <w:szCs w:val="21"/>
          <w:highlight w:val="none"/>
        </w:rPr>
      </w:pPr>
      <w:bookmarkStart w:id="50" w:name="_Toc351203485"/>
      <w:r>
        <w:rPr>
          <w:rFonts w:hint="eastAsia" w:cs="宋体"/>
          <w:b/>
          <w:szCs w:val="21"/>
          <w:highlight w:val="none"/>
        </w:rPr>
        <w:t>五、</w:t>
      </w:r>
      <w:bookmarkEnd w:id="50"/>
      <w:r>
        <w:rPr>
          <w:rFonts w:hint="eastAsia" w:cs="宋体"/>
          <w:b/>
          <w:szCs w:val="21"/>
          <w:highlight w:val="none"/>
        </w:rPr>
        <w:t>项目经理</w:t>
      </w:r>
    </w:p>
    <w:p w14:paraId="7B25A61B">
      <w:pPr>
        <w:snapToGrid w:val="0"/>
        <w:spacing w:line="360" w:lineRule="auto"/>
        <w:ind w:firstLine="420" w:firstLineChars="200"/>
        <w:rPr>
          <w:rFonts w:cs="宋体"/>
          <w:szCs w:val="21"/>
          <w:highlight w:val="none"/>
        </w:rPr>
      </w:pPr>
      <w:r>
        <w:rPr>
          <w:rFonts w:hint="eastAsia" w:cs="宋体"/>
          <w:szCs w:val="21"/>
          <w:highlight w:val="none"/>
        </w:rPr>
        <w:t>承包人项目经理：</w:t>
      </w:r>
      <w:r>
        <w:rPr>
          <w:rFonts w:hint="eastAsia" w:cs="宋体"/>
          <w:szCs w:val="21"/>
          <w:highlight w:val="none"/>
          <w:u w:val="single"/>
        </w:rPr>
        <w:t>                     </w:t>
      </w:r>
      <w:r>
        <w:rPr>
          <w:rFonts w:hint="eastAsia" w:cs="宋体"/>
          <w:szCs w:val="21"/>
          <w:highlight w:val="none"/>
        </w:rPr>
        <w:t>。</w:t>
      </w:r>
    </w:p>
    <w:p w14:paraId="18C59039">
      <w:pPr>
        <w:snapToGrid w:val="0"/>
        <w:spacing w:line="360" w:lineRule="auto"/>
        <w:ind w:firstLine="422" w:firstLineChars="200"/>
        <w:rPr>
          <w:rFonts w:cs="宋体"/>
          <w:b/>
          <w:szCs w:val="21"/>
          <w:highlight w:val="none"/>
        </w:rPr>
      </w:pPr>
      <w:bookmarkStart w:id="51" w:name="_Toc351203486"/>
      <w:r>
        <w:rPr>
          <w:rFonts w:hint="eastAsia" w:cs="宋体"/>
          <w:b/>
          <w:szCs w:val="21"/>
          <w:highlight w:val="none"/>
        </w:rPr>
        <w:t>六、合同文件构成</w:t>
      </w:r>
      <w:bookmarkEnd w:id="51"/>
    </w:p>
    <w:p w14:paraId="37C55EF0">
      <w:pPr>
        <w:snapToGrid w:val="0"/>
        <w:spacing w:line="360" w:lineRule="auto"/>
        <w:ind w:firstLine="420" w:firstLineChars="200"/>
        <w:rPr>
          <w:rFonts w:cs="宋体"/>
          <w:bCs/>
          <w:szCs w:val="21"/>
          <w:highlight w:val="none"/>
        </w:rPr>
      </w:pPr>
      <w:r>
        <w:rPr>
          <w:rFonts w:hint="eastAsia" w:cs="宋体"/>
          <w:bCs/>
          <w:szCs w:val="21"/>
          <w:highlight w:val="none"/>
        </w:rPr>
        <w:t>本协议书与下列文件一起构成合同文件：</w:t>
      </w:r>
    </w:p>
    <w:p w14:paraId="2B8CC3CC">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（1）中标通知书（如果有）；</w:t>
      </w:r>
    </w:p>
    <w:p w14:paraId="70D575BB">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 xml:space="preserve">（2）投标函及其附录（如果有）； </w:t>
      </w:r>
    </w:p>
    <w:p w14:paraId="3C281145">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（3）专用合同条款及其附件；</w:t>
      </w:r>
    </w:p>
    <w:p w14:paraId="23C3DC87">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（4）通用合同条款；</w:t>
      </w:r>
    </w:p>
    <w:p w14:paraId="2D66DAF9">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（5）技术标准和要求；</w:t>
      </w:r>
    </w:p>
    <w:p w14:paraId="15BECC34">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（6）图纸；</w:t>
      </w:r>
    </w:p>
    <w:p w14:paraId="296F6F90">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（7）已标价工程量清单或预算书；</w:t>
      </w:r>
    </w:p>
    <w:p w14:paraId="19E70DB8">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（8）其他合同文件。</w:t>
      </w:r>
    </w:p>
    <w:p w14:paraId="42B77BFF">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在合同订立及履行过程中形成的与合同有关的文件均构成合同文件组成部分。</w:t>
      </w:r>
    </w:p>
    <w:p w14:paraId="6C29EE4E">
      <w:pPr>
        <w:autoSpaceDE w:val="0"/>
        <w:autoSpaceDN w:val="0"/>
        <w:adjustRightInd w:val="0"/>
        <w:snapToGrid w:val="0"/>
        <w:spacing w:line="360" w:lineRule="auto"/>
        <w:ind w:firstLine="420" w:firstLineChars="200"/>
        <w:jc w:val="left"/>
        <w:rPr>
          <w:rFonts w:cs="宋体"/>
          <w:szCs w:val="21"/>
          <w:highlight w:val="none"/>
        </w:rPr>
      </w:pPr>
      <w:r>
        <w:rPr>
          <w:rFonts w:hint="eastAsia"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02DA8B56">
      <w:pPr>
        <w:snapToGrid w:val="0"/>
        <w:spacing w:line="360" w:lineRule="auto"/>
        <w:ind w:firstLine="422" w:firstLineChars="200"/>
        <w:rPr>
          <w:rFonts w:cs="宋体"/>
          <w:b/>
          <w:szCs w:val="21"/>
          <w:highlight w:val="none"/>
        </w:rPr>
      </w:pPr>
      <w:bookmarkStart w:id="52" w:name="_Toc351203487"/>
      <w:r>
        <w:rPr>
          <w:rFonts w:hint="eastAsia" w:cs="宋体"/>
          <w:b/>
          <w:szCs w:val="21"/>
          <w:highlight w:val="none"/>
        </w:rPr>
        <w:t>七、承诺</w:t>
      </w:r>
      <w:bookmarkEnd w:id="52"/>
    </w:p>
    <w:p w14:paraId="3BADE6DF">
      <w:pPr>
        <w:snapToGrid w:val="0"/>
        <w:spacing w:line="360" w:lineRule="auto"/>
        <w:ind w:firstLine="420" w:firstLineChars="200"/>
        <w:rPr>
          <w:rFonts w:cs="宋体"/>
          <w:bCs/>
          <w:szCs w:val="21"/>
          <w:highlight w:val="none"/>
        </w:rPr>
      </w:pPr>
      <w:r>
        <w:rPr>
          <w:rFonts w:hint="eastAsia" w:cs="宋体"/>
          <w:bCs/>
          <w:szCs w:val="21"/>
          <w:highlight w:val="none"/>
        </w:rPr>
        <w:t>1. 发包人承诺按照法律规定履行项目审批手续、筹集工程建设资金并按照合同约定的期限和方式支付合同价款。</w:t>
      </w:r>
    </w:p>
    <w:p w14:paraId="66B7FE27">
      <w:pPr>
        <w:snapToGrid w:val="0"/>
        <w:spacing w:line="360" w:lineRule="auto"/>
        <w:ind w:firstLine="420" w:firstLineChars="200"/>
        <w:rPr>
          <w:rFonts w:cs="宋体"/>
          <w:bCs/>
          <w:szCs w:val="21"/>
          <w:highlight w:val="none"/>
        </w:rPr>
      </w:pPr>
      <w:r>
        <w:rPr>
          <w:rFonts w:hint="eastAsia" w:cs="宋体"/>
          <w:bCs/>
          <w:szCs w:val="21"/>
          <w:highlight w:val="none"/>
        </w:rPr>
        <w:t>2. 承包人承诺按照法律规定及合同约定组织完成工程施工，确保工程质量和安全，不进行转包及违法分包，并在缺陷责任期及保修期内承担相应的工程维修责任。</w:t>
      </w:r>
    </w:p>
    <w:p w14:paraId="716A099E">
      <w:pPr>
        <w:snapToGrid w:val="0"/>
        <w:spacing w:line="360" w:lineRule="auto"/>
        <w:ind w:firstLine="420" w:firstLineChars="200"/>
        <w:rPr>
          <w:rFonts w:cs="宋体"/>
          <w:bCs/>
          <w:szCs w:val="21"/>
          <w:highlight w:val="none"/>
        </w:rPr>
      </w:pPr>
      <w:r>
        <w:rPr>
          <w:rFonts w:hint="eastAsia" w:cs="宋体"/>
          <w:bCs/>
          <w:szCs w:val="21"/>
          <w:highlight w:val="none"/>
        </w:rPr>
        <w:t>3. 发包人和承包人通过招投标形式签订合同的，双方理解并承诺不再就同一工程另行签订与合同实质性内容相背离的协议。</w:t>
      </w:r>
    </w:p>
    <w:p w14:paraId="38EA8995">
      <w:pPr>
        <w:snapToGrid w:val="0"/>
        <w:spacing w:line="360" w:lineRule="auto"/>
        <w:ind w:firstLine="422" w:firstLineChars="200"/>
        <w:rPr>
          <w:rFonts w:cs="宋体"/>
          <w:b/>
          <w:szCs w:val="21"/>
          <w:highlight w:val="none"/>
        </w:rPr>
      </w:pPr>
      <w:bookmarkStart w:id="53" w:name="_Toc351203488"/>
      <w:r>
        <w:rPr>
          <w:rFonts w:hint="eastAsia" w:cs="宋体"/>
          <w:b/>
          <w:szCs w:val="21"/>
          <w:highlight w:val="none"/>
        </w:rPr>
        <w:t>八、词语含义</w:t>
      </w:r>
      <w:bookmarkEnd w:id="53"/>
    </w:p>
    <w:p w14:paraId="6CA14502">
      <w:pPr>
        <w:snapToGrid w:val="0"/>
        <w:spacing w:line="360" w:lineRule="auto"/>
        <w:ind w:firstLine="420" w:firstLineChars="200"/>
        <w:rPr>
          <w:rFonts w:cs="宋体"/>
          <w:bCs/>
          <w:szCs w:val="21"/>
          <w:highlight w:val="none"/>
        </w:rPr>
      </w:pPr>
      <w:r>
        <w:rPr>
          <w:rFonts w:hint="eastAsia" w:cs="宋体"/>
          <w:bCs/>
          <w:szCs w:val="21"/>
          <w:highlight w:val="none"/>
        </w:rPr>
        <w:t>本协议书中词语含义与第二部分通用合同条款中赋予的含义相同。</w:t>
      </w:r>
    </w:p>
    <w:p w14:paraId="760F4C24">
      <w:pPr>
        <w:snapToGrid w:val="0"/>
        <w:spacing w:line="360" w:lineRule="auto"/>
        <w:ind w:firstLine="422" w:firstLineChars="200"/>
        <w:rPr>
          <w:rFonts w:cs="宋体"/>
          <w:b/>
          <w:szCs w:val="21"/>
          <w:highlight w:val="none"/>
        </w:rPr>
      </w:pPr>
      <w:bookmarkStart w:id="54" w:name="_Toc351203489"/>
      <w:r>
        <w:rPr>
          <w:rFonts w:hint="eastAsia" w:cs="宋体"/>
          <w:b/>
          <w:szCs w:val="21"/>
          <w:highlight w:val="none"/>
        </w:rPr>
        <w:t>九、签订时间</w:t>
      </w:r>
      <w:bookmarkEnd w:id="54"/>
    </w:p>
    <w:p w14:paraId="5C360F32">
      <w:pPr>
        <w:snapToGrid w:val="0"/>
        <w:spacing w:line="360" w:lineRule="auto"/>
        <w:ind w:firstLine="420" w:firstLineChars="200"/>
        <w:rPr>
          <w:rFonts w:cs="宋体"/>
          <w:bCs/>
          <w:szCs w:val="21"/>
          <w:highlight w:val="none"/>
        </w:rPr>
      </w:pPr>
      <w:r>
        <w:rPr>
          <w:rFonts w:hint="eastAsia" w:cs="宋体"/>
          <w:bCs/>
          <w:szCs w:val="21"/>
          <w:highlight w:val="none"/>
        </w:rPr>
        <w:t>本合同于</w:t>
      </w:r>
      <w:r>
        <w:rPr>
          <w:rFonts w:hint="eastAsia" w:cs="宋体"/>
          <w:bCs/>
          <w:szCs w:val="21"/>
          <w:highlight w:val="none"/>
          <w:u w:val="single"/>
        </w:rPr>
        <w:t xml:space="preserve">         </w:t>
      </w:r>
      <w:r>
        <w:rPr>
          <w:rFonts w:hint="eastAsia" w:cs="宋体"/>
          <w:bCs/>
          <w:szCs w:val="21"/>
          <w:highlight w:val="none"/>
        </w:rPr>
        <w:t>年</w:t>
      </w:r>
      <w:r>
        <w:rPr>
          <w:rFonts w:hint="eastAsia" w:cs="宋体"/>
          <w:bCs/>
          <w:szCs w:val="21"/>
          <w:highlight w:val="none"/>
          <w:u w:val="single"/>
        </w:rPr>
        <w:t xml:space="preserve">    </w:t>
      </w:r>
      <w:r>
        <w:rPr>
          <w:rFonts w:hint="eastAsia" w:cs="宋体"/>
          <w:bCs/>
          <w:szCs w:val="21"/>
          <w:highlight w:val="none"/>
        </w:rPr>
        <w:t>月</w:t>
      </w:r>
      <w:r>
        <w:rPr>
          <w:rFonts w:hint="eastAsia" w:cs="宋体"/>
          <w:bCs/>
          <w:szCs w:val="21"/>
          <w:highlight w:val="none"/>
          <w:u w:val="single"/>
        </w:rPr>
        <w:t xml:space="preserve">    </w:t>
      </w:r>
      <w:r>
        <w:rPr>
          <w:rFonts w:hint="eastAsia" w:cs="宋体"/>
          <w:bCs/>
          <w:szCs w:val="21"/>
          <w:highlight w:val="none"/>
        </w:rPr>
        <w:t>日签订。</w:t>
      </w:r>
    </w:p>
    <w:p w14:paraId="0910B93D">
      <w:pPr>
        <w:snapToGrid w:val="0"/>
        <w:spacing w:line="360" w:lineRule="auto"/>
        <w:ind w:firstLine="422" w:firstLineChars="200"/>
        <w:rPr>
          <w:rFonts w:cs="宋体"/>
          <w:b/>
          <w:szCs w:val="21"/>
          <w:highlight w:val="none"/>
        </w:rPr>
      </w:pPr>
      <w:bookmarkStart w:id="55" w:name="_Toc351203490"/>
      <w:r>
        <w:rPr>
          <w:rFonts w:hint="eastAsia" w:cs="宋体"/>
          <w:b/>
          <w:szCs w:val="21"/>
          <w:highlight w:val="none"/>
        </w:rPr>
        <w:t>十、签订地点</w:t>
      </w:r>
      <w:bookmarkEnd w:id="55"/>
    </w:p>
    <w:p w14:paraId="0C8C8366">
      <w:pPr>
        <w:snapToGrid w:val="0"/>
        <w:spacing w:line="360" w:lineRule="auto"/>
        <w:ind w:firstLine="420" w:firstLineChars="200"/>
        <w:rPr>
          <w:rFonts w:cs="宋体"/>
          <w:bCs/>
          <w:szCs w:val="21"/>
          <w:highlight w:val="none"/>
        </w:rPr>
      </w:pPr>
      <w:r>
        <w:rPr>
          <w:rFonts w:hint="eastAsia" w:cs="宋体"/>
          <w:bCs/>
          <w:szCs w:val="21"/>
          <w:highlight w:val="none"/>
        </w:rPr>
        <w:t>本合同在</w:t>
      </w:r>
      <w:r>
        <w:rPr>
          <w:rFonts w:hint="eastAsia" w:cs="宋体"/>
          <w:bCs/>
          <w:szCs w:val="21"/>
          <w:highlight w:val="none"/>
          <w:u w:val="single"/>
        </w:rPr>
        <w:t xml:space="preserve"> 合肥市  </w:t>
      </w:r>
      <w:r>
        <w:rPr>
          <w:rFonts w:hint="eastAsia" w:cs="宋体"/>
          <w:bCs/>
          <w:szCs w:val="21"/>
          <w:highlight w:val="none"/>
        </w:rPr>
        <w:t>签订。</w:t>
      </w:r>
    </w:p>
    <w:p w14:paraId="11A97D53">
      <w:pPr>
        <w:snapToGrid w:val="0"/>
        <w:spacing w:line="360" w:lineRule="auto"/>
        <w:ind w:firstLine="422" w:firstLineChars="200"/>
        <w:rPr>
          <w:rFonts w:cs="宋体"/>
          <w:b/>
          <w:szCs w:val="21"/>
          <w:highlight w:val="none"/>
        </w:rPr>
      </w:pPr>
      <w:bookmarkStart w:id="56" w:name="_Toc351203491"/>
      <w:r>
        <w:rPr>
          <w:rFonts w:hint="eastAsia" w:cs="宋体"/>
          <w:b/>
          <w:szCs w:val="21"/>
          <w:highlight w:val="none"/>
        </w:rPr>
        <w:t>十一、补充协议</w:t>
      </w:r>
      <w:bookmarkEnd w:id="56"/>
    </w:p>
    <w:p w14:paraId="23BAB025">
      <w:pPr>
        <w:snapToGrid w:val="0"/>
        <w:spacing w:line="360" w:lineRule="auto"/>
        <w:ind w:firstLine="420" w:firstLineChars="200"/>
        <w:rPr>
          <w:rFonts w:cs="宋体"/>
          <w:b/>
          <w:bCs/>
          <w:szCs w:val="21"/>
          <w:highlight w:val="none"/>
        </w:rPr>
      </w:pPr>
      <w:r>
        <w:rPr>
          <w:rFonts w:hint="eastAsia" w:cs="宋体"/>
          <w:bCs/>
          <w:szCs w:val="21"/>
          <w:highlight w:val="none"/>
        </w:rPr>
        <w:t>合同未尽事宜，合同当事人另行签订补充协议，补充协议是合同的组成部分。</w:t>
      </w:r>
    </w:p>
    <w:p w14:paraId="5328F708">
      <w:pPr>
        <w:snapToGrid w:val="0"/>
        <w:spacing w:line="360" w:lineRule="auto"/>
        <w:ind w:firstLine="422" w:firstLineChars="200"/>
        <w:rPr>
          <w:rFonts w:cs="宋体"/>
          <w:b/>
          <w:szCs w:val="21"/>
          <w:highlight w:val="none"/>
        </w:rPr>
      </w:pPr>
      <w:bookmarkStart w:id="57" w:name="_Toc351203492"/>
      <w:r>
        <w:rPr>
          <w:rFonts w:hint="eastAsia" w:cs="宋体"/>
          <w:b/>
          <w:szCs w:val="21"/>
          <w:highlight w:val="none"/>
        </w:rPr>
        <w:t>十二、合同生效</w:t>
      </w:r>
      <w:bookmarkEnd w:id="57"/>
    </w:p>
    <w:p w14:paraId="36FD9962">
      <w:pPr>
        <w:snapToGrid w:val="0"/>
        <w:spacing w:line="360" w:lineRule="auto"/>
        <w:ind w:firstLine="420" w:firstLineChars="200"/>
        <w:rPr>
          <w:rFonts w:cs="宋体"/>
          <w:bCs/>
          <w:szCs w:val="21"/>
          <w:highlight w:val="none"/>
        </w:rPr>
      </w:pPr>
      <w:r>
        <w:rPr>
          <w:rFonts w:hint="eastAsia" w:cs="宋体"/>
          <w:bCs/>
          <w:szCs w:val="21"/>
          <w:highlight w:val="none"/>
        </w:rPr>
        <w:t>本合同自</w:t>
      </w:r>
      <w:r>
        <w:rPr>
          <w:rFonts w:hint="eastAsia" w:cs="宋体"/>
          <w:bCs/>
          <w:szCs w:val="21"/>
          <w:highlight w:val="none"/>
          <w:u w:val="single"/>
        </w:rPr>
        <w:t xml:space="preserve">   承包人缴纳履约担保，双方签字并盖章后   </w:t>
      </w:r>
      <w:r>
        <w:rPr>
          <w:rFonts w:hint="eastAsia" w:cs="宋体"/>
          <w:bCs/>
          <w:szCs w:val="21"/>
          <w:highlight w:val="none"/>
        </w:rPr>
        <w:t>生效。</w:t>
      </w:r>
    </w:p>
    <w:p w14:paraId="39E71082">
      <w:pPr>
        <w:snapToGrid w:val="0"/>
        <w:spacing w:line="360" w:lineRule="auto"/>
        <w:ind w:firstLine="422" w:firstLineChars="200"/>
        <w:rPr>
          <w:rFonts w:cs="宋体"/>
          <w:b/>
          <w:szCs w:val="21"/>
          <w:highlight w:val="none"/>
        </w:rPr>
      </w:pPr>
      <w:bookmarkStart w:id="58" w:name="_Toc351203493"/>
      <w:r>
        <w:rPr>
          <w:rFonts w:hint="eastAsia" w:cs="宋体"/>
          <w:b/>
          <w:szCs w:val="21"/>
          <w:highlight w:val="none"/>
        </w:rPr>
        <w:t>十三、合同份数</w:t>
      </w:r>
      <w:bookmarkEnd w:id="58"/>
    </w:p>
    <w:p w14:paraId="134A6112">
      <w:pPr>
        <w:snapToGrid w:val="0"/>
        <w:spacing w:line="360" w:lineRule="auto"/>
        <w:ind w:firstLine="420" w:firstLineChars="200"/>
        <w:rPr>
          <w:rFonts w:cs="宋体"/>
          <w:bCs/>
          <w:szCs w:val="21"/>
          <w:highlight w:val="none"/>
        </w:rPr>
      </w:pPr>
      <w:r>
        <w:rPr>
          <w:rFonts w:hint="eastAsia" w:cs="宋体"/>
          <w:bCs/>
          <w:szCs w:val="21"/>
          <w:highlight w:val="none"/>
        </w:rPr>
        <w:t>本合同一式</w:t>
      </w:r>
      <w:r>
        <w:rPr>
          <w:rFonts w:hint="eastAsia" w:cs="宋体"/>
          <w:bCs/>
          <w:szCs w:val="21"/>
          <w:highlight w:val="none"/>
          <w:u w:val="single"/>
        </w:rPr>
        <w:t xml:space="preserve">    </w:t>
      </w:r>
      <w:r>
        <w:rPr>
          <w:rFonts w:hint="eastAsia" w:cs="宋体"/>
          <w:bCs/>
          <w:szCs w:val="21"/>
          <w:highlight w:val="none"/>
        </w:rPr>
        <w:t>份，均具有同等法律效力，发包人执</w:t>
      </w:r>
      <w:r>
        <w:rPr>
          <w:rFonts w:hint="eastAsia" w:cs="宋体"/>
          <w:bCs/>
          <w:szCs w:val="21"/>
          <w:highlight w:val="none"/>
          <w:u w:val="single"/>
        </w:rPr>
        <w:t xml:space="preserve">    </w:t>
      </w:r>
      <w:r>
        <w:rPr>
          <w:rFonts w:hint="eastAsia" w:cs="宋体"/>
          <w:bCs/>
          <w:szCs w:val="21"/>
          <w:highlight w:val="none"/>
        </w:rPr>
        <w:t>份，承包人执</w:t>
      </w:r>
      <w:r>
        <w:rPr>
          <w:rFonts w:hint="eastAsia" w:cs="宋体"/>
          <w:bCs/>
          <w:szCs w:val="21"/>
          <w:highlight w:val="none"/>
          <w:u w:val="single"/>
        </w:rPr>
        <w:t xml:space="preserve">    </w:t>
      </w:r>
      <w:r>
        <w:rPr>
          <w:rFonts w:hint="eastAsia" w:cs="宋体"/>
          <w:bCs/>
          <w:szCs w:val="21"/>
          <w:highlight w:val="none"/>
        </w:rPr>
        <w:t>份。</w:t>
      </w:r>
    </w:p>
    <w:p w14:paraId="4863E7FF">
      <w:pPr>
        <w:snapToGrid w:val="0"/>
        <w:spacing w:line="360" w:lineRule="auto"/>
        <w:rPr>
          <w:rFonts w:cs="宋体"/>
          <w:bCs/>
          <w:szCs w:val="21"/>
          <w:highlight w:val="none"/>
        </w:rPr>
      </w:pPr>
    </w:p>
    <w:p w14:paraId="5093CC5A">
      <w:pPr>
        <w:snapToGrid w:val="0"/>
        <w:spacing w:line="360" w:lineRule="auto"/>
        <w:rPr>
          <w:rFonts w:cs="宋体"/>
          <w:szCs w:val="21"/>
          <w:highlight w:val="none"/>
        </w:rPr>
      </w:pPr>
      <w:r>
        <w:rPr>
          <w:rFonts w:hint="eastAsia" w:cs="宋体"/>
          <w:szCs w:val="21"/>
          <w:highlight w:val="none"/>
        </w:rPr>
        <w:t>发包人：</w:t>
      </w:r>
      <w:r>
        <w:rPr>
          <w:rFonts w:hint="eastAsia" w:cs="宋体"/>
          <w:szCs w:val="21"/>
          <w:highlight w:val="none"/>
          <w:u w:val="single"/>
        </w:rPr>
        <w:t>      （</w:t>
      </w:r>
      <w:r>
        <w:rPr>
          <w:rFonts w:hint="eastAsia" w:cs="宋体"/>
          <w:szCs w:val="21"/>
          <w:highlight w:val="none"/>
        </w:rPr>
        <w:t>公章）                 承包人：</w:t>
      </w:r>
      <w:r>
        <w:rPr>
          <w:rFonts w:hint="eastAsia" w:cs="宋体"/>
          <w:szCs w:val="21"/>
          <w:highlight w:val="none"/>
          <w:u w:val="single"/>
        </w:rPr>
        <w:t>        （</w:t>
      </w:r>
      <w:r>
        <w:rPr>
          <w:rFonts w:hint="eastAsia" w:cs="宋体"/>
          <w:szCs w:val="21"/>
          <w:highlight w:val="none"/>
        </w:rPr>
        <w:t>公章）</w:t>
      </w:r>
    </w:p>
    <w:p w14:paraId="39180A7A">
      <w:pPr>
        <w:snapToGrid w:val="0"/>
        <w:spacing w:line="360" w:lineRule="auto"/>
        <w:rPr>
          <w:rFonts w:cs="宋体"/>
          <w:szCs w:val="21"/>
          <w:highlight w:val="none"/>
        </w:rPr>
      </w:pPr>
      <w:r>
        <w:rPr>
          <w:rFonts w:hint="eastAsia" w:cs="宋体"/>
          <w:szCs w:val="21"/>
          <w:highlight w:val="none"/>
        </w:rPr>
        <w:t>法定代表人或其委托代理人：                 法定代表人或其委托代理人：</w:t>
      </w:r>
    </w:p>
    <w:p w14:paraId="7E2DBAF9">
      <w:pPr>
        <w:snapToGrid w:val="0"/>
        <w:spacing w:line="360" w:lineRule="auto"/>
        <w:rPr>
          <w:rFonts w:cs="宋体"/>
          <w:szCs w:val="21"/>
          <w:highlight w:val="none"/>
        </w:rPr>
      </w:pPr>
      <w:r>
        <w:rPr>
          <w:rFonts w:hint="eastAsia" w:cs="宋体"/>
          <w:szCs w:val="21"/>
          <w:highlight w:val="none"/>
        </w:rPr>
        <w:t>（签字）</w:t>
      </w:r>
      <w:r>
        <w:rPr>
          <w:rFonts w:hint="eastAsia" w:cs="宋体"/>
          <w:szCs w:val="21"/>
          <w:highlight w:val="none"/>
          <w:u w:val="single"/>
        </w:rPr>
        <w:t xml:space="preserve">                    </w:t>
      </w:r>
      <w:r>
        <w:rPr>
          <w:rFonts w:hint="eastAsia" w:cs="宋体"/>
          <w:szCs w:val="21"/>
          <w:highlight w:val="none"/>
        </w:rPr>
        <w:t xml:space="preserve">              （签字）</w:t>
      </w:r>
      <w:r>
        <w:rPr>
          <w:rFonts w:hint="eastAsia" w:cs="宋体"/>
          <w:szCs w:val="21"/>
          <w:highlight w:val="none"/>
          <w:u w:val="single"/>
        </w:rPr>
        <w:t xml:space="preserve">                   </w:t>
      </w:r>
    </w:p>
    <w:p w14:paraId="4965E41C">
      <w:pPr>
        <w:tabs>
          <w:tab w:val="left" w:pos="4410"/>
        </w:tabs>
        <w:snapToGrid w:val="0"/>
        <w:spacing w:line="360" w:lineRule="auto"/>
        <w:rPr>
          <w:rFonts w:cs="宋体"/>
          <w:szCs w:val="21"/>
          <w:highlight w:val="none"/>
        </w:rPr>
      </w:pPr>
      <w:r>
        <w:rPr>
          <w:rFonts w:hint="eastAsia" w:cs="宋体"/>
          <w:szCs w:val="21"/>
          <w:highlight w:val="none"/>
        </w:rPr>
        <w:t>组织机构代码：</w:t>
      </w:r>
      <w:r>
        <w:rPr>
          <w:rFonts w:hint="eastAsia" w:cs="宋体"/>
          <w:szCs w:val="21"/>
          <w:highlight w:val="none"/>
          <w:u w:val="single"/>
        </w:rPr>
        <w:t xml:space="preserve">       </w:t>
      </w:r>
      <w:r>
        <w:rPr>
          <w:rFonts w:hint="eastAsia" w:cs="宋体"/>
          <w:szCs w:val="21"/>
          <w:highlight w:val="none"/>
        </w:rPr>
        <w:t xml:space="preserve">                组织机构代码：</w:t>
      </w:r>
      <w:r>
        <w:rPr>
          <w:rFonts w:hint="eastAsia" w:cs="宋体"/>
          <w:szCs w:val="21"/>
          <w:highlight w:val="none"/>
          <w:u w:val="single"/>
        </w:rPr>
        <w:t xml:space="preserve">        </w:t>
      </w:r>
    </w:p>
    <w:p w14:paraId="63687EA6">
      <w:pPr>
        <w:snapToGrid w:val="0"/>
        <w:spacing w:line="360" w:lineRule="auto"/>
        <w:rPr>
          <w:rFonts w:cs="宋体"/>
          <w:szCs w:val="21"/>
          <w:highlight w:val="none"/>
        </w:rPr>
      </w:pPr>
      <w:r>
        <w:rPr>
          <w:rFonts w:hint="eastAsia" w:cs="宋体"/>
          <w:szCs w:val="21"/>
          <w:highlight w:val="none"/>
        </w:rPr>
        <w:t>地  址：</w:t>
      </w:r>
      <w:r>
        <w:rPr>
          <w:rFonts w:hint="eastAsia" w:cs="宋体"/>
          <w:szCs w:val="21"/>
          <w:highlight w:val="none"/>
          <w:u w:val="single"/>
        </w:rPr>
        <w:t xml:space="preserve">     </w:t>
      </w:r>
      <w:r>
        <w:rPr>
          <w:rFonts w:hint="eastAsia" w:cs="宋体"/>
          <w:szCs w:val="21"/>
          <w:highlight w:val="none"/>
        </w:rPr>
        <w:t xml:space="preserve">                地  址：</w:t>
      </w:r>
      <w:r>
        <w:rPr>
          <w:rFonts w:hint="eastAsia" w:cs="宋体"/>
          <w:szCs w:val="21"/>
          <w:highlight w:val="none"/>
          <w:u w:val="single"/>
        </w:rPr>
        <w:t xml:space="preserve">     </w:t>
      </w:r>
    </w:p>
    <w:p w14:paraId="3D3E26B1">
      <w:pPr>
        <w:snapToGrid w:val="0"/>
        <w:spacing w:line="360" w:lineRule="auto"/>
        <w:rPr>
          <w:rFonts w:cs="宋体"/>
          <w:szCs w:val="21"/>
          <w:highlight w:val="none"/>
        </w:rPr>
      </w:pPr>
      <w:r>
        <w:rPr>
          <w:rFonts w:hint="eastAsia" w:cs="宋体"/>
          <w:szCs w:val="21"/>
          <w:highlight w:val="none"/>
        </w:rPr>
        <w:t>邮政编码：</w:t>
      </w:r>
      <w:r>
        <w:rPr>
          <w:rFonts w:hint="eastAsia" w:cs="宋体"/>
          <w:szCs w:val="21"/>
          <w:highlight w:val="none"/>
          <w:u w:val="single"/>
        </w:rPr>
        <w:t xml:space="preserve">      </w:t>
      </w:r>
      <w:r>
        <w:rPr>
          <w:rFonts w:hint="eastAsia" w:cs="宋体"/>
          <w:szCs w:val="21"/>
          <w:highlight w:val="none"/>
        </w:rPr>
        <w:t xml:space="preserve">               邮政编码：</w:t>
      </w:r>
      <w:r>
        <w:rPr>
          <w:rFonts w:hint="eastAsia" w:cs="宋体"/>
          <w:szCs w:val="21"/>
          <w:highlight w:val="none"/>
          <w:u w:val="single"/>
        </w:rPr>
        <w:t xml:space="preserve"> </w:t>
      </w:r>
    </w:p>
    <w:p w14:paraId="65E26CAA">
      <w:pPr>
        <w:snapToGrid w:val="0"/>
        <w:spacing w:line="360" w:lineRule="auto"/>
        <w:rPr>
          <w:rFonts w:cs="宋体"/>
          <w:szCs w:val="21"/>
          <w:highlight w:val="none"/>
        </w:rPr>
      </w:pPr>
      <w:r>
        <w:rPr>
          <w:rFonts w:hint="eastAsia" w:cs="宋体"/>
          <w:szCs w:val="21"/>
          <w:highlight w:val="none"/>
        </w:rPr>
        <w:t>法定代表人：</w:t>
      </w:r>
      <w:r>
        <w:rPr>
          <w:rFonts w:hint="eastAsia" w:cs="宋体"/>
          <w:szCs w:val="21"/>
          <w:highlight w:val="none"/>
          <w:u w:val="single"/>
        </w:rPr>
        <w:t xml:space="preserve">           </w:t>
      </w:r>
      <w:r>
        <w:rPr>
          <w:rFonts w:hint="eastAsia" w:cs="宋体"/>
          <w:szCs w:val="21"/>
          <w:highlight w:val="none"/>
        </w:rPr>
        <w:t xml:space="preserve">                法定代表人：</w:t>
      </w:r>
      <w:r>
        <w:rPr>
          <w:rFonts w:hint="eastAsia" w:cs="宋体"/>
          <w:szCs w:val="21"/>
          <w:highlight w:val="none"/>
          <w:u w:val="single"/>
        </w:rPr>
        <w:t xml:space="preserve">          </w:t>
      </w:r>
    </w:p>
    <w:p w14:paraId="507E5A0C">
      <w:pPr>
        <w:snapToGrid w:val="0"/>
        <w:spacing w:line="360" w:lineRule="auto"/>
        <w:rPr>
          <w:rFonts w:cs="宋体"/>
          <w:szCs w:val="21"/>
          <w:highlight w:val="none"/>
        </w:rPr>
      </w:pPr>
      <w:r>
        <w:rPr>
          <w:rFonts w:hint="eastAsia" w:cs="宋体"/>
          <w:szCs w:val="21"/>
          <w:highlight w:val="none"/>
        </w:rPr>
        <w:t>委托代理人：</w:t>
      </w:r>
      <w:r>
        <w:rPr>
          <w:rFonts w:hint="eastAsia" w:cs="宋体"/>
          <w:szCs w:val="21"/>
          <w:highlight w:val="none"/>
          <w:u w:val="single"/>
        </w:rPr>
        <w:t xml:space="preserve">           </w:t>
      </w:r>
      <w:r>
        <w:rPr>
          <w:rFonts w:hint="eastAsia" w:cs="宋体"/>
          <w:szCs w:val="21"/>
          <w:highlight w:val="none"/>
        </w:rPr>
        <w:t xml:space="preserve">                委托代理人：</w:t>
      </w:r>
      <w:r>
        <w:rPr>
          <w:rFonts w:hint="eastAsia" w:cs="宋体"/>
          <w:szCs w:val="21"/>
          <w:highlight w:val="none"/>
          <w:u w:val="single"/>
        </w:rPr>
        <w:t xml:space="preserve">          </w:t>
      </w:r>
    </w:p>
    <w:p w14:paraId="05F78C37">
      <w:pPr>
        <w:snapToGrid w:val="0"/>
        <w:spacing w:line="360" w:lineRule="auto"/>
        <w:rPr>
          <w:rFonts w:cs="宋体"/>
          <w:szCs w:val="21"/>
          <w:highlight w:val="none"/>
        </w:rPr>
      </w:pPr>
      <w:r>
        <w:rPr>
          <w:rFonts w:hint="eastAsia" w:cs="宋体"/>
          <w:szCs w:val="21"/>
          <w:highlight w:val="none"/>
        </w:rPr>
        <w:t>电  话：</w:t>
      </w:r>
      <w:r>
        <w:rPr>
          <w:rFonts w:hint="eastAsia" w:cs="宋体"/>
          <w:szCs w:val="21"/>
          <w:highlight w:val="none"/>
          <w:u w:val="single"/>
        </w:rPr>
        <w:t xml:space="preserve">   </w:t>
      </w:r>
      <w:r>
        <w:rPr>
          <w:rFonts w:hint="eastAsia" w:cs="宋体"/>
          <w:szCs w:val="21"/>
          <w:highlight w:val="none"/>
        </w:rPr>
        <w:t xml:space="preserve">                电  话：</w:t>
      </w:r>
      <w:r>
        <w:rPr>
          <w:rFonts w:hint="eastAsia" w:cs="宋体"/>
          <w:szCs w:val="21"/>
          <w:highlight w:val="none"/>
          <w:u w:val="single"/>
        </w:rPr>
        <w:t xml:space="preserve">  </w:t>
      </w:r>
    </w:p>
    <w:p w14:paraId="33B858D5">
      <w:pPr>
        <w:snapToGrid w:val="0"/>
        <w:spacing w:line="360" w:lineRule="auto"/>
        <w:rPr>
          <w:rFonts w:cs="宋体"/>
          <w:szCs w:val="21"/>
          <w:highlight w:val="none"/>
        </w:rPr>
      </w:pPr>
      <w:r>
        <w:rPr>
          <w:rFonts w:hint="eastAsia" w:cs="宋体"/>
          <w:szCs w:val="21"/>
          <w:highlight w:val="none"/>
        </w:rPr>
        <w:t>传  真：</w:t>
      </w:r>
      <w:r>
        <w:rPr>
          <w:rFonts w:hint="eastAsia" w:cs="宋体"/>
          <w:szCs w:val="21"/>
          <w:highlight w:val="none"/>
          <w:u w:val="single"/>
        </w:rPr>
        <w:t xml:space="preserve">   </w:t>
      </w:r>
      <w:r>
        <w:rPr>
          <w:rFonts w:hint="eastAsia" w:cs="宋体"/>
          <w:szCs w:val="21"/>
          <w:highlight w:val="none"/>
        </w:rPr>
        <w:t xml:space="preserve">                传  真：</w:t>
      </w:r>
      <w:r>
        <w:rPr>
          <w:rFonts w:hint="eastAsia" w:cs="宋体"/>
          <w:szCs w:val="21"/>
          <w:highlight w:val="none"/>
          <w:u w:val="single"/>
        </w:rPr>
        <w:t>  </w:t>
      </w:r>
    </w:p>
    <w:p w14:paraId="720F4912">
      <w:pPr>
        <w:snapToGrid w:val="0"/>
        <w:spacing w:line="360" w:lineRule="auto"/>
        <w:rPr>
          <w:rFonts w:cs="宋体"/>
          <w:szCs w:val="21"/>
          <w:highlight w:val="none"/>
        </w:rPr>
      </w:pPr>
      <w:r>
        <w:rPr>
          <w:rFonts w:hint="eastAsia" w:cs="宋体"/>
          <w:szCs w:val="21"/>
          <w:highlight w:val="none"/>
        </w:rPr>
        <w:t>电子信箱：</w:t>
      </w:r>
      <w:r>
        <w:rPr>
          <w:rFonts w:hint="eastAsia" w:cs="宋体"/>
          <w:szCs w:val="21"/>
          <w:highlight w:val="none"/>
          <w:u w:val="single"/>
        </w:rPr>
        <w:t xml:space="preserve">                 </w:t>
      </w:r>
      <w:r>
        <w:rPr>
          <w:rFonts w:hint="eastAsia" w:cs="宋体"/>
          <w:szCs w:val="21"/>
          <w:highlight w:val="none"/>
        </w:rPr>
        <w:t xml:space="preserve">                电子信箱：</w:t>
      </w:r>
      <w:r>
        <w:rPr>
          <w:rFonts w:hint="eastAsia" w:cs="宋体"/>
          <w:szCs w:val="21"/>
          <w:highlight w:val="none"/>
          <w:u w:val="single"/>
        </w:rPr>
        <w:t></w:t>
      </w:r>
    </w:p>
    <w:p w14:paraId="5A77A08F">
      <w:pPr>
        <w:snapToGrid w:val="0"/>
        <w:spacing w:line="360" w:lineRule="auto"/>
        <w:rPr>
          <w:rFonts w:cs="宋体"/>
          <w:szCs w:val="21"/>
          <w:highlight w:val="none"/>
        </w:rPr>
      </w:pPr>
      <w:r>
        <w:rPr>
          <w:rFonts w:hint="eastAsia" w:cs="宋体"/>
          <w:szCs w:val="21"/>
          <w:highlight w:val="none"/>
        </w:rPr>
        <w:t>开户银行：</w:t>
      </w:r>
      <w:r>
        <w:rPr>
          <w:rFonts w:hint="eastAsia" w:cs="宋体"/>
          <w:szCs w:val="21"/>
          <w:highlight w:val="none"/>
          <w:u w:val="single"/>
        </w:rPr>
        <w:t xml:space="preserve">   </w:t>
      </w:r>
      <w:r>
        <w:rPr>
          <w:rFonts w:hint="eastAsia" w:cs="宋体"/>
          <w:szCs w:val="21"/>
          <w:highlight w:val="none"/>
        </w:rPr>
        <w:t xml:space="preserve">                开户银行：</w:t>
      </w:r>
      <w:r>
        <w:rPr>
          <w:rFonts w:hint="eastAsia" w:cs="宋体"/>
          <w:szCs w:val="21"/>
          <w:highlight w:val="none"/>
          <w:u w:val="single"/>
        </w:rPr>
        <w:t></w:t>
      </w:r>
    </w:p>
    <w:p w14:paraId="25503F98">
      <w:pPr>
        <w:snapToGrid w:val="0"/>
        <w:spacing w:line="360" w:lineRule="auto"/>
        <w:rPr>
          <w:rFonts w:cs="宋体"/>
          <w:szCs w:val="21"/>
          <w:highlight w:val="none"/>
        </w:rPr>
      </w:pPr>
      <w:r>
        <w:rPr>
          <w:rFonts w:hint="eastAsia" w:cs="宋体"/>
          <w:szCs w:val="21"/>
          <w:highlight w:val="none"/>
        </w:rPr>
        <w:t>账  号：</w:t>
      </w:r>
      <w:r>
        <w:rPr>
          <w:rFonts w:hint="eastAsia" w:cs="宋体"/>
          <w:szCs w:val="21"/>
          <w:highlight w:val="none"/>
          <w:u w:val="single"/>
        </w:rPr>
        <w:t xml:space="preserve">       </w:t>
      </w:r>
      <w:r>
        <w:rPr>
          <w:rFonts w:hint="eastAsia" w:cs="宋体"/>
          <w:szCs w:val="21"/>
          <w:highlight w:val="none"/>
        </w:rPr>
        <w:t xml:space="preserve">                账  号：</w:t>
      </w:r>
      <w:r>
        <w:rPr>
          <w:rFonts w:hint="eastAsia" w:cs="宋体"/>
          <w:szCs w:val="21"/>
          <w:highlight w:val="none"/>
          <w:u w:val="single"/>
        </w:rPr>
        <w:t xml:space="preserve">   </w:t>
      </w:r>
    </w:p>
    <w:p w14:paraId="503F491C">
      <w:pPr>
        <w:keepNext/>
        <w:keepLines/>
        <w:snapToGrid w:val="0"/>
        <w:spacing w:before="312" w:beforeLines="100" w:after="312" w:afterLines="100" w:line="360" w:lineRule="auto"/>
        <w:jc w:val="center"/>
        <w:outlineLvl w:val="1"/>
        <w:rPr>
          <w:rFonts w:cs="宋体"/>
          <w:bCs/>
          <w:szCs w:val="21"/>
          <w:highlight w:val="none"/>
        </w:rPr>
      </w:pPr>
      <w:r>
        <w:rPr>
          <w:rFonts w:hint="eastAsia" w:cs="宋体"/>
          <w:b/>
          <w:bCs/>
          <w:szCs w:val="21"/>
          <w:highlight w:val="none"/>
        </w:rPr>
        <w:br w:type="page"/>
      </w:r>
      <w:bookmarkStart w:id="59" w:name="_Toc30550"/>
      <w:bookmarkStart w:id="60" w:name="_Toc130919121"/>
      <w:bookmarkStart w:id="61" w:name="_Toc28799377"/>
      <w:r>
        <w:rPr>
          <w:rFonts w:hint="eastAsia" w:ascii="等线" w:hAnsi="等线" w:eastAsia="等线" w:cs="@仿宋_GB2312"/>
          <w:b/>
          <w:sz w:val="24"/>
          <w:highlight w:val="none"/>
        </w:rPr>
        <w:t>第二节  通用合同条款</w:t>
      </w:r>
      <w:bookmarkEnd w:id="59"/>
      <w:bookmarkEnd w:id="60"/>
      <w:bookmarkEnd w:id="61"/>
    </w:p>
    <w:p w14:paraId="042CF470">
      <w:pPr>
        <w:spacing w:line="360" w:lineRule="auto"/>
        <w:ind w:firstLine="420" w:firstLineChars="200"/>
        <w:rPr>
          <w:rFonts w:ascii="宋体" w:hAnsi="宋体" w:cs="宋体"/>
          <w:szCs w:val="21"/>
          <w:highlight w:val="none"/>
        </w:rPr>
      </w:pPr>
      <w:r>
        <w:rPr>
          <w:rFonts w:hint="eastAsia" w:ascii="宋体" w:hAnsi="宋体" w:cs="宋体"/>
          <w:szCs w:val="21"/>
          <w:highlight w:val="none"/>
        </w:rPr>
        <w:t>采用《建设工程施工合同（示范文本）》（GF-2017-0201）中通用合同条款。上述资料由承包人自行准备。</w:t>
      </w:r>
    </w:p>
    <w:p w14:paraId="7BD5D176">
      <w:pPr>
        <w:keepNext/>
        <w:keepLines/>
        <w:snapToGrid w:val="0"/>
        <w:spacing w:before="312" w:beforeLines="100" w:after="312" w:afterLines="100" w:line="360" w:lineRule="auto"/>
        <w:jc w:val="center"/>
        <w:outlineLvl w:val="1"/>
        <w:rPr>
          <w:rFonts w:cs="宋体"/>
          <w:bCs/>
          <w:szCs w:val="21"/>
          <w:highlight w:val="none"/>
        </w:rPr>
      </w:pPr>
      <w:r>
        <w:rPr>
          <w:rFonts w:hint="eastAsia" w:cs="宋体"/>
          <w:b/>
          <w:bCs/>
          <w:szCs w:val="21"/>
          <w:highlight w:val="none"/>
        </w:rPr>
        <w:br w:type="page"/>
      </w:r>
      <w:bookmarkStart w:id="62" w:name="_Toc28799378"/>
      <w:bookmarkStart w:id="63" w:name="_Toc31931"/>
      <w:bookmarkStart w:id="64" w:name="_Toc130919122"/>
      <w:r>
        <w:rPr>
          <w:rFonts w:hint="eastAsia" w:ascii="等线" w:hAnsi="等线" w:eastAsia="等线" w:cs="@仿宋_GB2312"/>
          <w:b/>
          <w:sz w:val="24"/>
          <w:highlight w:val="none"/>
        </w:rPr>
        <w:t>第三节  专用合同条款</w:t>
      </w:r>
      <w:bookmarkEnd w:id="62"/>
      <w:bookmarkEnd w:id="63"/>
      <w:bookmarkEnd w:id="64"/>
    </w:p>
    <w:p w14:paraId="159B10C8">
      <w:pPr>
        <w:snapToGrid w:val="0"/>
        <w:spacing w:before="312" w:beforeLines="100" w:after="312" w:afterLines="100" w:line="360" w:lineRule="auto"/>
        <w:jc w:val="center"/>
        <w:outlineLvl w:val="2"/>
        <w:rPr>
          <w:rFonts w:cs="宋体"/>
          <w:szCs w:val="21"/>
          <w:highlight w:val="none"/>
        </w:rPr>
      </w:pPr>
      <w:bookmarkStart w:id="65" w:name="_Toc351203633"/>
      <w:r>
        <w:rPr>
          <w:rFonts w:hint="eastAsia" w:cs="宋体"/>
          <w:szCs w:val="21"/>
          <w:highlight w:val="none"/>
        </w:rPr>
        <w:t>专用合同条款数据表</w:t>
      </w:r>
    </w:p>
    <w:p w14:paraId="4A0A464D">
      <w:pPr>
        <w:pStyle w:val="20"/>
        <w:snapToGrid w:val="0"/>
        <w:spacing w:line="360" w:lineRule="auto"/>
        <w:ind w:firstLine="480"/>
        <w:rPr>
          <w:rFonts w:ascii="宋体" w:hAnsi="宋体" w:cs="宋体"/>
          <w:szCs w:val="21"/>
          <w:highlight w:val="none"/>
        </w:rPr>
      </w:pPr>
      <w:r>
        <w:rPr>
          <w:rFonts w:hint="eastAsia" w:ascii="宋体" w:hAnsi="宋体" w:cs="宋体"/>
          <w:szCs w:val="21"/>
          <w:highlight w:val="none"/>
        </w:rPr>
        <w:t>说明：本数据表是项目专用合同条款中适用于本招标项目的信息和数据的归纳与提示，是项目专用合同条款的组成部分。</w:t>
      </w:r>
    </w:p>
    <w:tbl>
      <w:tblPr>
        <w:tblStyle w:val="5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141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629" w:type="dxa"/>
            <w:vAlign w:val="center"/>
          </w:tcPr>
          <w:p w14:paraId="6904AE15">
            <w:pPr>
              <w:snapToGrid w:val="0"/>
              <w:spacing w:before="100" w:beforeAutospacing="1" w:line="360" w:lineRule="auto"/>
              <w:ind w:left="-105" w:leftChars="-50" w:right="-105" w:rightChars="-50"/>
              <w:jc w:val="center"/>
              <w:rPr>
                <w:rFonts w:cs="宋体"/>
                <w:b/>
                <w:szCs w:val="21"/>
                <w:highlight w:val="none"/>
              </w:rPr>
            </w:pPr>
            <w:r>
              <w:rPr>
                <w:rFonts w:hint="eastAsia" w:cs="宋体"/>
                <w:b/>
                <w:szCs w:val="21"/>
                <w:highlight w:val="none"/>
              </w:rPr>
              <w:t>序号</w:t>
            </w:r>
          </w:p>
        </w:tc>
        <w:tc>
          <w:tcPr>
            <w:tcW w:w="1111" w:type="dxa"/>
            <w:vAlign w:val="center"/>
          </w:tcPr>
          <w:p w14:paraId="114206D2">
            <w:pPr>
              <w:snapToGrid w:val="0"/>
              <w:spacing w:line="360" w:lineRule="auto"/>
              <w:ind w:left="-105" w:leftChars="-50" w:right="-105" w:rightChars="-50"/>
              <w:jc w:val="center"/>
              <w:rPr>
                <w:rFonts w:cs="宋体"/>
                <w:b/>
                <w:szCs w:val="21"/>
                <w:highlight w:val="none"/>
              </w:rPr>
            </w:pPr>
            <w:r>
              <w:rPr>
                <w:rFonts w:hint="eastAsia" w:cs="宋体"/>
                <w:b/>
                <w:szCs w:val="21"/>
                <w:highlight w:val="none"/>
              </w:rPr>
              <w:t>条目号</w:t>
            </w:r>
          </w:p>
        </w:tc>
        <w:tc>
          <w:tcPr>
            <w:tcW w:w="7304" w:type="dxa"/>
            <w:vAlign w:val="center"/>
          </w:tcPr>
          <w:p w14:paraId="3AAF4EA8">
            <w:pPr>
              <w:snapToGrid w:val="0"/>
              <w:spacing w:line="360" w:lineRule="auto"/>
              <w:jc w:val="center"/>
              <w:rPr>
                <w:rFonts w:cs="宋体"/>
                <w:b/>
                <w:szCs w:val="21"/>
                <w:highlight w:val="none"/>
              </w:rPr>
            </w:pPr>
            <w:r>
              <w:rPr>
                <w:rFonts w:hint="eastAsia" w:cs="宋体"/>
                <w:b/>
                <w:szCs w:val="21"/>
                <w:highlight w:val="none"/>
              </w:rPr>
              <w:t>信息或数据</w:t>
            </w:r>
          </w:p>
        </w:tc>
      </w:tr>
      <w:tr w14:paraId="5171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0184E063">
            <w:pPr>
              <w:numPr>
                <w:ilvl w:val="0"/>
                <w:numId w:val="5"/>
              </w:numPr>
              <w:snapToGrid w:val="0"/>
              <w:spacing w:line="360" w:lineRule="auto"/>
              <w:jc w:val="center"/>
              <w:rPr>
                <w:rFonts w:cs="宋体"/>
                <w:bCs/>
                <w:szCs w:val="21"/>
                <w:highlight w:val="none"/>
              </w:rPr>
            </w:pPr>
          </w:p>
        </w:tc>
        <w:tc>
          <w:tcPr>
            <w:tcW w:w="1111" w:type="dxa"/>
            <w:vAlign w:val="center"/>
          </w:tcPr>
          <w:p w14:paraId="06A7CC7C">
            <w:pPr>
              <w:snapToGrid w:val="0"/>
              <w:spacing w:line="360" w:lineRule="auto"/>
              <w:jc w:val="center"/>
              <w:rPr>
                <w:rFonts w:cs="宋体"/>
                <w:bCs/>
                <w:szCs w:val="21"/>
                <w:highlight w:val="none"/>
              </w:rPr>
            </w:pPr>
            <w:r>
              <w:rPr>
                <w:rFonts w:hint="eastAsia" w:cs="宋体"/>
                <w:bCs/>
                <w:szCs w:val="21"/>
                <w:highlight w:val="none"/>
              </w:rPr>
              <w:t>2.5</w:t>
            </w:r>
          </w:p>
        </w:tc>
        <w:tc>
          <w:tcPr>
            <w:tcW w:w="7304" w:type="dxa"/>
            <w:vAlign w:val="center"/>
          </w:tcPr>
          <w:p w14:paraId="7D1B9767">
            <w:pPr>
              <w:snapToGrid w:val="0"/>
              <w:spacing w:line="360" w:lineRule="auto"/>
              <w:rPr>
                <w:rFonts w:cs="宋体"/>
                <w:bCs/>
                <w:szCs w:val="21"/>
                <w:highlight w:val="none"/>
                <w:u w:val="single"/>
              </w:rPr>
            </w:pPr>
            <w:r>
              <w:rPr>
                <w:rFonts w:hint="eastAsia" w:cs="宋体"/>
                <w:bCs/>
                <w:szCs w:val="21"/>
                <w:highlight w:val="none"/>
              </w:rPr>
              <w:t>发包人提供资金来源证明的期限要求：</w:t>
            </w:r>
            <w:r>
              <w:rPr>
                <w:highlight w:val="none"/>
                <w:u w:val="single"/>
              </w:rPr>
              <w:t>不适用</w:t>
            </w:r>
            <w:r>
              <w:rPr>
                <w:rFonts w:hint="eastAsia" w:cs="宋体"/>
                <w:bCs/>
                <w:szCs w:val="21"/>
                <w:highlight w:val="none"/>
                <w:u w:val="single"/>
              </w:rPr>
              <w:t>。</w:t>
            </w:r>
          </w:p>
          <w:p w14:paraId="32F18C15">
            <w:pPr>
              <w:snapToGrid w:val="0"/>
              <w:spacing w:line="360" w:lineRule="auto"/>
              <w:rPr>
                <w:rFonts w:cs="宋体"/>
                <w:bCs/>
                <w:szCs w:val="21"/>
                <w:highlight w:val="none"/>
              </w:rPr>
            </w:pPr>
            <w:r>
              <w:rPr>
                <w:rFonts w:hint="eastAsia" w:cs="宋体"/>
                <w:bCs/>
                <w:szCs w:val="21"/>
                <w:highlight w:val="none"/>
              </w:rPr>
              <w:t>发包人是否提供支付担保：</w:t>
            </w:r>
            <w:r>
              <w:rPr>
                <w:rFonts w:hint="eastAsia" w:cs="宋体"/>
                <w:bCs/>
                <w:szCs w:val="21"/>
                <w:highlight w:val="none"/>
                <w:u w:val="single"/>
              </w:rPr>
              <w:t xml:space="preserve"> </w:t>
            </w:r>
            <w:r>
              <w:rPr>
                <w:highlight w:val="none"/>
                <w:u w:val="single"/>
              </w:rPr>
              <w:t>不适用</w:t>
            </w:r>
            <w:r>
              <w:rPr>
                <w:rFonts w:hint="eastAsia" w:cs="宋体"/>
                <w:bCs/>
                <w:szCs w:val="21"/>
                <w:highlight w:val="none"/>
                <w:u w:val="single"/>
              </w:rPr>
              <w:t>。</w:t>
            </w:r>
          </w:p>
          <w:p w14:paraId="6B4C873E">
            <w:pPr>
              <w:snapToGrid w:val="0"/>
              <w:spacing w:line="360" w:lineRule="auto"/>
              <w:rPr>
                <w:rFonts w:cs="宋体"/>
                <w:bCs/>
                <w:szCs w:val="21"/>
                <w:highlight w:val="none"/>
                <w:u w:val="single"/>
              </w:rPr>
            </w:pPr>
            <w:r>
              <w:rPr>
                <w:rFonts w:hint="eastAsia" w:cs="宋体"/>
                <w:bCs/>
                <w:szCs w:val="21"/>
                <w:highlight w:val="none"/>
              </w:rPr>
              <w:t>发包人提供支付担保的形式：</w:t>
            </w:r>
            <w:r>
              <w:rPr>
                <w:rFonts w:hint="eastAsia" w:cs="宋体"/>
                <w:bCs/>
                <w:szCs w:val="21"/>
                <w:highlight w:val="none"/>
                <w:u w:val="single"/>
              </w:rPr>
              <w:t xml:space="preserve"> </w:t>
            </w:r>
            <w:r>
              <w:rPr>
                <w:highlight w:val="none"/>
                <w:u w:val="single"/>
              </w:rPr>
              <w:t>不适用</w:t>
            </w:r>
            <w:r>
              <w:rPr>
                <w:rFonts w:hint="eastAsia" w:cs="宋体"/>
                <w:bCs/>
                <w:szCs w:val="21"/>
                <w:highlight w:val="none"/>
                <w:u w:val="single"/>
              </w:rPr>
              <w:t>。</w:t>
            </w:r>
          </w:p>
        </w:tc>
      </w:tr>
      <w:tr w14:paraId="31A4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57F14C6C">
            <w:pPr>
              <w:numPr>
                <w:ilvl w:val="0"/>
                <w:numId w:val="5"/>
              </w:numPr>
              <w:snapToGrid w:val="0"/>
              <w:spacing w:line="360" w:lineRule="auto"/>
              <w:jc w:val="center"/>
              <w:rPr>
                <w:rFonts w:cs="宋体"/>
                <w:bCs/>
                <w:szCs w:val="21"/>
                <w:highlight w:val="none"/>
              </w:rPr>
            </w:pPr>
          </w:p>
        </w:tc>
        <w:tc>
          <w:tcPr>
            <w:tcW w:w="1111" w:type="dxa"/>
            <w:vAlign w:val="center"/>
          </w:tcPr>
          <w:p w14:paraId="4E287777">
            <w:pPr>
              <w:snapToGrid w:val="0"/>
              <w:spacing w:line="360" w:lineRule="auto"/>
              <w:jc w:val="center"/>
              <w:rPr>
                <w:rFonts w:cs="宋体"/>
                <w:bCs/>
                <w:szCs w:val="21"/>
                <w:highlight w:val="none"/>
              </w:rPr>
            </w:pPr>
            <w:r>
              <w:rPr>
                <w:rFonts w:hint="eastAsia" w:cs="宋体"/>
                <w:bCs/>
                <w:szCs w:val="21"/>
                <w:highlight w:val="none"/>
              </w:rPr>
              <w:t>3.2.1</w:t>
            </w:r>
          </w:p>
        </w:tc>
        <w:tc>
          <w:tcPr>
            <w:tcW w:w="7304" w:type="dxa"/>
            <w:vAlign w:val="center"/>
          </w:tcPr>
          <w:p w14:paraId="7E49927A">
            <w:pPr>
              <w:snapToGrid w:val="0"/>
              <w:spacing w:line="360" w:lineRule="auto"/>
              <w:rPr>
                <w:rFonts w:cs="宋体"/>
                <w:bCs/>
                <w:szCs w:val="21"/>
                <w:highlight w:val="none"/>
              </w:rPr>
            </w:pPr>
            <w:r>
              <w:rPr>
                <w:rFonts w:hint="eastAsia" w:cs="宋体"/>
                <w:bCs/>
                <w:szCs w:val="21"/>
                <w:highlight w:val="none"/>
              </w:rPr>
              <w:t>项目经理</w:t>
            </w:r>
          </w:p>
          <w:p w14:paraId="674B9227">
            <w:pPr>
              <w:snapToGrid w:val="0"/>
              <w:spacing w:line="360" w:lineRule="auto"/>
              <w:rPr>
                <w:rFonts w:cs="宋体"/>
                <w:bCs/>
                <w:szCs w:val="21"/>
                <w:highlight w:val="none"/>
              </w:rPr>
            </w:pPr>
            <w:r>
              <w:rPr>
                <w:rFonts w:hint="eastAsia" w:cs="宋体"/>
                <w:bCs/>
                <w:szCs w:val="21"/>
                <w:highlight w:val="none"/>
              </w:rPr>
              <w:t>姓    名：</w:t>
            </w:r>
            <w:r>
              <w:rPr>
                <w:rFonts w:hint="eastAsia" w:cs="宋体"/>
                <w:bCs/>
                <w:szCs w:val="21"/>
                <w:highlight w:val="none"/>
                <w:u w:val="single"/>
              </w:rPr>
              <w:t xml:space="preserve">          </w:t>
            </w:r>
          </w:p>
          <w:p w14:paraId="4C9AA767">
            <w:pPr>
              <w:snapToGrid w:val="0"/>
              <w:spacing w:line="360" w:lineRule="auto"/>
              <w:rPr>
                <w:rFonts w:cs="宋体"/>
                <w:bCs/>
                <w:szCs w:val="21"/>
                <w:highlight w:val="none"/>
              </w:rPr>
            </w:pPr>
            <w:r>
              <w:rPr>
                <w:rFonts w:hint="eastAsia" w:cs="宋体"/>
                <w:bCs/>
                <w:szCs w:val="21"/>
                <w:highlight w:val="none"/>
              </w:rPr>
              <w:t>身份证号：</w:t>
            </w:r>
            <w:r>
              <w:rPr>
                <w:rFonts w:hint="eastAsia" w:cs="宋体"/>
                <w:bCs/>
                <w:szCs w:val="21"/>
                <w:highlight w:val="none"/>
                <w:u w:val="single"/>
              </w:rPr>
              <w:t xml:space="preserve">          </w:t>
            </w:r>
          </w:p>
          <w:p w14:paraId="59AFFF0E">
            <w:pPr>
              <w:snapToGrid w:val="0"/>
              <w:spacing w:line="360" w:lineRule="auto"/>
              <w:rPr>
                <w:rFonts w:cs="宋体"/>
                <w:bCs/>
                <w:szCs w:val="21"/>
                <w:highlight w:val="none"/>
              </w:rPr>
            </w:pPr>
            <w:r>
              <w:rPr>
                <w:rFonts w:hint="eastAsia" w:cs="宋体"/>
                <w:bCs/>
                <w:szCs w:val="21"/>
                <w:highlight w:val="none"/>
              </w:rPr>
              <w:t>建造师执业资格等级：</w:t>
            </w:r>
            <w:r>
              <w:rPr>
                <w:rFonts w:hint="eastAsia" w:cs="宋体"/>
                <w:bCs/>
                <w:szCs w:val="21"/>
                <w:highlight w:val="none"/>
                <w:u w:val="single"/>
              </w:rPr>
              <w:t xml:space="preserve">          </w:t>
            </w:r>
          </w:p>
          <w:p w14:paraId="2BD311FC">
            <w:pPr>
              <w:snapToGrid w:val="0"/>
              <w:spacing w:line="360" w:lineRule="auto"/>
              <w:rPr>
                <w:rFonts w:cs="宋体"/>
                <w:bCs/>
                <w:szCs w:val="21"/>
                <w:highlight w:val="none"/>
              </w:rPr>
            </w:pPr>
            <w:r>
              <w:rPr>
                <w:rFonts w:hint="eastAsia" w:cs="宋体"/>
                <w:bCs/>
                <w:szCs w:val="21"/>
                <w:highlight w:val="none"/>
              </w:rPr>
              <w:t>建造师注册证书号：</w:t>
            </w:r>
            <w:r>
              <w:rPr>
                <w:rFonts w:hint="eastAsia" w:cs="宋体"/>
                <w:bCs/>
                <w:szCs w:val="21"/>
                <w:highlight w:val="none"/>
                <w:u w:val="single"/>
              </w:rPr>
              <w:t xml:space="preserve">            </w:t>
            </w:r>
          </w:p>
          <w:p w14:paraId="6B56D4E5">
            <w:pPr>
              <w:snapToGrid w:val="0"/>
              <w:spacing w:line="360" w:lineRule="auto"/>
              <w:rPr>
                <w:rFonts w:cs="宋体"/>
                <w:bCs/>
                <w:szCs w:val="21"/>
                <w:highlight w:val="none"/>
                <w:u w:val="single"/>
              </w:rPr>
            </w:pPr>
            <w:r>
              <w:rPr>
                <w:rFonts w:hint="eastAsia" w:cs="宋体"/>
                <w:bCs/>
                <w:szCs w:val="21"/>
                <w:highlight w:val="none"/>
              </w:rPr>
              <w:t>承包人对项目经理的授权范围如下：</w:t>
            </w:r>
            <w:r>
              <w:rPr>
                <w:rFonts w:hint="eastAsia" w:cs="宋体"/>
                <w:bCs/>
                <w:szCs w:val="21"/>
                <w:highlight w:val="none"/>
                <w:u w:val="single"/>
              </w:rPr>
              <w:t xml:space="preserve">            </w:t>
            </w:r>
          </w:p>
          <w:p w14:paraId="6F4FAFFA">
            <w:pPr>
              <w:snapToGrid w:val="0"/>
              <w:spacing w:line="360" w:lineRule="auto"/>
              <w:rPr>
                <w:rFonts w:cs="宋体"/>
                <w:bCs/>
                <w:szCs w:val="21"/>
                <w:highlight w:val="none"/>
              </w:rPr>
            </w:pPr>
            <w:r>
              <w:rPr>
                <w:rFonts w:hint="eastAsia" w:cs="宋体"/>
                <w:bCs/>
                <w:szCs w:val="21"/>
                <w:highlight w:val="none"/>
              </w:rPr>
              <w:t>承包人项目经理每月在施工现场的时间：驻场时间每月不少于</w:t>
            </w:r>
            <w:r>
              <w:rPr>
                <w:rFonts w:hint="eastAsia" w:cs="宋体"/>
                <w:bCs/>
                <w:szCs w:val="21"/>
                <w:highlight w:val="none"/>
                <w:u w:val="single"/>
              </w:rPr>
              <w:t xml:space="preserve"> 22 </w:t>
            </w:r>
            <w:r>
              <w:rPr>
                <w:rFonts w:hint="eastAsia" w:cs="宋体"/>
                <w:bCs/>
                <w:szCs w:val="21"/>
                <w:highlight w:val="none"/>
              </w:rPr>
              <w:t>天，每天在岗工作时间不得少于</w:t>
            </w:r>
            <w:r>
              <w:rPr>
                <w:rFonts w:hint="eastAsia" w:cs="宋体"/>
                <w:bCs/>
                <w:szCs w:val="21"/>
                <w:highlight w:val="none"/>
                <w:u w:val="single"/>
              </w:rPr>
              <w:t xml:space="preserve"> 8 </w:t>
            </w:r>
            <w:r>
              <w:rPr>
                <w:rFonts w:hint="eastAsia" w:cs="宋体"/>
                <w:bCs/>
                <w:szCs w:val="21"/>
                <w:highlight w:val="none"/>
              </w:rPr>
              <w:t>小时。</w:t>
            </w:r>
          </w:p>
        </w:tc>
      </w:tr>
      <w:tr w14:paraId="6385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0794E181">
            <w:pPr>
              <w:numPr>
                <w:ilvl w:val="0"/>
                <w:numId w:val="5"/>
              </w:numPr>
              <w:snapToGrid w:val="0"/>
              <w:spacing w:line="360" w:lineRule="auto"/>
              <w:jc w:val="center"/>
              <w:rPr>
                <w:rFonts w:cs="宋体"/>
                <w:bCs/>
                <w:szCs w:val="21"/>
                <w:highlight w:val="none"/>
              </w:rPr>
            </w:pPr>
          </w:p>
        </w:tc>
        <w:tc>
          <w:tcPr>
            <w:tcW w:w="1111" w:type="dxa"/>
            <w:vAlign w:val="center"/>
          </w:tcPr>
          <w:p w14:paraId="4F68F245">
            <w:pPr>
              <w:snapToGrid w:val="0"/>
              <w:spacing w:line="360" w:lineRule="auto"/>
              <w:jc w:val="center"/>
              <w:rPr>
                <w:rFonts w:cs="宋体"/>
                <w:bCs/>
                <w:szCs w:val="21"/>
                <w:highlight w:val="none"/>
              </w:rPr>
            </w:pPr>
            <w:r>
              <w:rPr>
                <w:rFonts w:hint="eastAsia" w:cs="宋体"/>
                <w:bCs/>
                <w:szCs w:val="21"/>
                <w:highlight w:val="none"/>
              </w:rPr>
              <w:t>3.7</w:t>
            </w:r>
          </w:p>
        </w:tc>
        <w:tc>
          <w:tcPr>
            <w:tcW w:w="7304" w:type="dxa"/>
            <w:vAlign w:val="center"/>
          </w:tcPr>
          <w:p w14:paraId="78A35061">
            <w:pPr>
              <w:snapToGrid w:val="0"/>
              <w:spacing w:line="360" w:lineRule="auto"/>
              <w:rPr>
                <w:rFonts w:cs="宋体"/>
                <w:bCs/>
                <w:szCs w:val="21"/>
                <w:highlight w:val="none"/>
              </w:rPr>
            </w:pPr>
            <w:r>
              <w:rPr>
                <w:rFonts w:hint="eastAsia" w:cs="宋体"/>
                <w:bCs/>
                <w:szCs w:val="21"/>
                <w:highlight w:val="none"/>
              </w:rPr>
              <w:t>承包人是否提供履约保证金：</w:t>
            </w:r>
            <w:r>
              <w:rPr>
                <w:rFonts w:hint="eastAsia" w:cs="宋体"/>
                <w:bCs/>
                <w:szCs w:val="21"/>
                <w:highlight w:val="none"/>
                <w:u w:val="single"/>
              </w:rPr>
              <w:t xml:space="preserve"> 提供 </w:t>
            </w:r>
            <w:r>
              <w:rPr>
                <w:rFonts w:hint="eastAsia" w:cs="宋体"/>
                <w:bCs/>
                <w:szCs w:val="21"/>
                <w:highlight w:val="none"/>
              </w:rPr>
              <w:t>。</w:t>
            </w:r>
          </w:p>
          <w:p w14:paraId="7B071F2A">
            <w:pPr>
              <w:snapToGrid w:val="0"/>
              <w:spacing w:line="360" w:lineRule="auto"/>
              <w:rPr>
                <w:rFonts w:cs="宋体"/>
                <w:bCs/>
                <w:szCs w:val="21"/>
                <w:highlight w:val="none"/>
              </w:rPr>
            </w:pPr>
            <w:r>
              <w:rPr>
                <w:rFonts w:hint="eastAsia" w:cs="宋体"/>
                <w:bCs/>
                <w:szCs w:val="21"/>
                <w:highlight w:val="none"/>
              </w:rPr>
              <w:t>承包人提供履约保证金的形式：</w:t>
            </w:r>
            <w:r>
              <w:rPr>
                <w:rFonts w:hint="eastAsia" w:cs="宋体"/>
                <w:bCs/>
                <w:szCs w:val="21"/>
                <w:highlight w:val="none"/>
                <w:u w:val="single"/>
              </w:rPr>
              <w:t xml:space="preserve"> 转账/电汇/支票/汇票/银行保函/担保机构担保/保证保险 </w:t>
            </w:r>
            <w:r>
              <w:rPr>
                <w:rFonts w:hint="eastAsia" w:cs="宋体"/>
                <w:bCs/>
                <w:szCs w:val="21"/>
                <w:highlight w:val="none"/>
              </w:rPr>
              <w:t>。</w:t>
            </w:r>
          </w:p>
          <w:p w14:paraId="1050599B">
            <w:pPr>
              <w:snapToGrid w:val="0"/>
              <w:spacing w:line="360" w:lineRule="auto"/>
              <w:rPr>
                <w:rFonts w:cs="宋体"/>
                <w:bCs/>
                <w:szCs w:val="21"/>
                <w:highlight w:val="none"/>
              </w:rPr>
            </w:pPr>
            <w:r>
              <w:rPr>
                <w:rFonts w:hint="eastAsia" w:cs="宋体"/>
                <w:bCs/>
                <w:szCs w:val="21"/>
                <w:highlight w:val="none"/>
              </w:rPr>
              <w:t>履约保证金的金额：成交合同金额的</w:t>
            </w:r>
            <w:r>
              <w:rPr>
                <w:rFonts w:hint="eastAsia" w:cs="宋体"/>
                <w:bCs/>
                <w:szCs w:val="21"/>
                <w:highlight w:val="none"/>
                <w:u w:val="single"/>
              </w:rPr>
              <w:t xml:space="preserve"> 2.5 </w:t>
            </w:r>
            <w:r>
              <w:rPr>
                <w:rFonts w:hint="eastAsia" w:cs="宋体"/>
                <w:bCs/>
                <w:szCs w:val="21"/>
                <w:highlight w:val="none"/>
              </w:rPr>
              <w:t>%。</w:t>
            </w:r>
          </w:p>
          <w:p w14:paraId="5B57900B">
            <w:pPr>
              <w:snapToGrid w:val="0"/>
              <w:spacing w:line="360" w:lineRule="auto"/>
              <w:rPr>
                <w:rFonts w:cs="宋体"/>
                <w:bCs/>
                <w:szCs w:val="21"/>
                <w:highlight w:val="none"/>
              </w:rPr>
            </w:pPr>
            <w:r>
              <w:rPr>
                <w:rFonts w:hint="eastAsia" w:cs="宋体"/>
                <w:bCs/>
                <w:szCs w:val="21"/>
                <w:highlight w:val="none"/>
              </w:rPr>
              <w:t>履约保证金提交期限的要求：签订合同前。</w:t>
            </w:r>
          </w:p>
          <w:p w14:paraId="2885FA34">
            <w:pPr>
              <w:snapToGrid w:val="0"/>
              <w:spacing w:line="360" w:lineRule="auto"/>
              <w:rPr>
                <w:rFonts w:cs="宋体"/>
                <w:bCs/>
                <w:szCs w:val="21"/>
                <w:highlight w:val="none"/>
              </w:rPr>
            </w:pPr>
            <w:r>
              <w:rPr>
                <w:rFonts w:hint="eastAsia" w:cs="宋体"/>
                <w:bCs/>
                <w:szCs w:val="21"/>
                <w:highlight w:val="none"/>
              </w:rPr>
              <w:t>履约保证金退还时限：</w:t>
            </w:r>
            <w:r>
              <w:rPr>
                <w:rFonts w:hint="eastAsia" w:cs="宋体"/>
                <w:bCs/>
                <w:szCs w:val="21"/>
                <w:highlight w:val="none"/>
                <w:u w:val="single"/>
              </w:rPr>
              <w:t xml:space="preserve"> 工程验收合格后退还</w:t>
            </w:r>
            <w:r>
              <w:rPr>
                <w:rFonts w:hint="eastAsia" w:cs="宋体"/>
                <w:bCs/>
                <w:szCs w:val="21"/>
                <w:highlight w:val="none"/>
              </w:rPr>
              <w:t>。</w:t>
            </w:r>
          </w:p>
        </w:tc>
      </w:tr>
      <w:tr w14:paraId="3F09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3808BAF6">
            <w:pPr>
              <w:numPr>
                <w:ilvl w:val="0"/>
                <w:numId w:val="5"/>
              </w:numPr>
              <w:snapToGrid w:val="0"/>
              <w:spacing w:line="360" w:lineRule="auto"/>
              <w:jc w:val="center"/>
              <w:rPr>
                <w:rFonts w:cs="宋体"/>
                <w:bCs/>
                <w:szCs w:val="21"/>
                <w:highlight w:val="none"/>
              </w:rPr>
            </w:pPr>
          </w:p>
        </w:tc>
        <w:tc>
          <w:tcPr>
            <w:tcW w:w="1111" w:type="dxa"/>
            <w:vAlign w:val="center"/>
          </w:tcPr>
          <w:p w14:paraId="5AB850F2">
            <w:pPr>
              <w:snapToGrid w:val="0"/>
              <w:spacing w:line="360" w:lineRule="auto"/>
              <w:jc w:val="center"/>
              <w:rPr>
                <w:rFonts w:cs="宋体"/>
                <w:bCs/>
                <w:szCs w:val="21"/>
                <w:highlight w:val="none"/>
              </w:rPr>
            </w:pPr>
            <w:r>
              <w:rPr>
                <w:rFonts w:hint="eastAsia" w:cs="宋体"/>
                <w:bCs/>
                <w:szCs w:val="21"/>
                <w:highlight w:val="none"/>
              </w:rPr>
              <w:t>5.1.1</w:t>
            </w:r>
          </w:p>
        </w:tc>
        <w:tc>
          <w:tcPr>
            <w:tcW w:w="7304" w:type="dxa"/>
            <w:vAlign w:val="center"/>
          </w:tcPr>
          <w:p w14:paraId="5A2D4F34">
            <w:pPr>
              <w:snapToGrid w:val="0"/>
              <w:spacing w:line="360" w:lineRule="auto"/>
              <w:rPr>
                <w:rFonts w:cs="宋体"/>
                <w:bCs/>
                <w:szCs w:val="21"/>
                <w:highlight w:val="none"/>
              </w:rPr>
            </w:pPr>
            <w:r>
              <w:rPr>
                <w:rFonts w:hint="eastAsia" w:cs="宋体"/>
                <w:bCs/>
                <w:szCs w:val="21"/>
                <w:highlight w:val="none"/>
              </w:rPr>
              <w:t>5.1.1 特殊质量标准和要求：</w:t>
            </w:r>
            <w:r>
              <w:rPr>
                <w:rFonts w:hint="eastAsia" w:cs="宋体"/>
                <w:bCs/>
                <w:szCs w:val="21"/>
                <w:highlight w:val="none"/>
                <w:u w:val="single"/>
              </w:rPr>
              <w:t>如有，另行约定</w:t>
            </w:r>
            <w:r>
              <w:rPr>
                <w:rFonts w:hint="eastAsia" w:cs="宋体"/>
                <w:bCs/>
                <w:szCs w:val="21"/>
                <w:highlight w:val="none"/>
              </w:rPr>
              <w:t>。</w:t>
            </w:r>
          </w:p>
          <w:p w14:paraId="62DA2C33">
            <w:pPr>
              <w:snapToGrid w:val="0"/>
              <w:spacing w:line="360" w:lineRule="auto"/>
              <w:rPr>
                <w:rFonts w:cs="宋体"/>
                <w:bCs/>
                <w:szCs w:val="21"/>
                <w:highlight w:val="none"/>
              </w:rPr>
            </w:pPr>
            <w:r>
              <w:rPr>
                <w:rFonts w:hint="eastAsia" w:cs="宋体"/>
                <w:bCs/>
                <w:szCs w:val="21"/>
                <w:highlight w:val="none"/>
              </w:rPr>
              <w:t>关于工程奖项的约定：</w:t>
            </w:r>
            <w:r>
              <w:rPr>
                <w:rFonts w:hint="eastAsia" w:cs="宋体"/>
                <w:bCs/>
                <w:szCs w:val="21"/>
                <w:highlight w:val="none"/>
                <w:u w:val="single"/>
              </w:rPr>
              <w:t xml:space="preserve">                  /                 </w:t>
            </w:r>
            <w:r>
              <w:rPr>
                <w:rFonts w:hint="eastAsia" w:cs="宋体"/>
                <w:bCs/>
                <w:szCs w:val="21"/>
                <w:highlight w:val="none"/>
              </w:rPr>
              <w:t>。</w:t>
            </w:r>
          </w:p>
          <w:p w14:paraId="143956DF">
            <w:pPr>
              <w:snapToGrid w:val="0"/>
              <w:spacing w:line="360" w:lineRule="auto"/>
              <w:rPr>
                <w:rFonts w:cs="宋体"/>
                <w:bCs/>
                <w:szCs w:val="21"/>
                <w:highlight w:val="none"/>
              </w:rPr>
            </w:pPr>
            <w:r>
              <w:rPr>
                <w:rFonts w:hint="eastAsia" w:cs="宋体"/>
                <w:bCs/>
                <w:szCs w:val="21"/>
                <w:highlight w:val="none"/>
              </w:rPr>
              <w:t>关于建造要求：</w:t>
            </w:r>
          </w:p>
          <w:p w14:paraId="0CCDE86F">
            <w:pPr>
              <w:snapToGrid w:val="0"/>
              <w:spacing w:line="360" w:lineRule="auto"/>
              <w:rPr>
                <w:rFonts w:cs="宋体"/>
                <w:bCs/>
                <w:szCs w:val="21"/>
                <w:highlight w:val="none"/>
              </w:rPr>
            </w:pPr>
            <w:r>
              <w:rPr>
                <w:rFonts w:hint="eastAsia" w:cs="宋体"/>
                <w:bCs/>
                <w:szCs w:val="21"/>
                <w:highlight w:val="none"/>
              </w:rPr>
              <w:t>（1）绿色建筑等级要求：</w:t>
            </w:r>
            <w:r>
              <w:rPr>
                <w:rFonts w:hint="eastAsia" w:cs="宋体"/>
                <w:bCs/>
                <w:szCs w:val="21"/>
                <w:highlight w:val="none"/>
                <w:u w:val="single"/>
              </w:rPr>
              <w:t xml:space="preserve">              /               </w:t>
            </w:r>
            <w:r>
              <w:rPr>
                <w:rFonts w:hint="eastAsia" w:cs="宋体"/>
                <w:bCs/>
                <w:szCs w:val="21"/>
                <w:highlight w:val="none"/>
              </w:rPr>
              <w:t>；</w:t>
            </w:r>
          </w:p>
          <w:p w14:paraId="56D5FB3E">
            <w:pPr>
              <w:snapToGrid w:val="0"/>
              <w:spacing w:line="360" w:lineRule="auto"/>
              <w:rPr>
                <w:rFonts w:cs="宋体"/>
                <w:bCs/>
                <w:szCs w:val="21"/>
                <w:highlight w:val="none"/>
              </w:rPr>
            </w:pPr>
            <w:r>
              <w:rPr>
                <w:rFonts w:hint="eastAsia" w:cs="宋体"/>
                <w:bCs/>
                <w:szCs w:val="21"/>
                <w:highlight w:val="none"/>
              </w:rPr>
              <w:t>（2）智慧工地管理要求：</w:t>
            </w:r>
            <w:r>
              <w:rPr>
                <w:rFonts w:hint="eastAsia" w:cs="宋体"/>
                <w:bCs/>
                <w:szCs w:val="21"/>
                <w:highlight w:val="none"/>
                <w:u w:val="single"/>
              </w:rPr>
              <w:t xml:space="preserve">              /               </w:t>
            </w:r>
            <w:r>
              <w:rPr>
                <w:rFonts w:hint="eastAsia" w:cs="宋体"/>
                <w:bCs/>
                <w:szCs w:val="21"/>
                <w:highlight w:val="none"/>
              </w:rPr>
              <w:t>；</w:t>
            </w:r>
          </w:p>
          <w:p w14:paraId="4371481E">
            <w:pPr>
              <w:snapToGrid w:val="0"/>
              <w:spacing w:line="360" w:lineRule="auto"/>
              <w:rPr>
                <w:rFonts w:cs="宋体"/>
                <w:bCs/>
                <w:szCs w:val="21"/>
                <w:highlight w:val="none"/>
              </w:rPr>
            </w:pPr>
            <w:r>
              <w:rPr>
                <w:rFonts w:hint="eastAsia" w:cs="宋体"/>
                <w:bCs/>
                <w:szCs w:val="21"/>
                <w:highlight w:val="none"/>
              </w:rPr>
              <w:t>（3）建筑垃圾减量化目标：</w:t>
            </w:r>
            <w:r>
              <w:rPr>
                <w:rFonts w:hint="eastAsia" w:cs="宋体"/>
                <w:bCs/>
                <w:szCs w:val="21"/>
                <w:highlight w:val="none"/>
                <w:u w:val="single"/>
              </w:rPr>
              <w:t xml:space="preserve">            /               </w:t>
            </w:r>
            <w:r>
              <w:rPr>
                <w:rFonts w:hint="eastAsia" w:cs="宋体"/>
                <w:bCs/>
                <w:szCs w:val="21"/>
                <w:highlight w:val="none"/>
              </w:rPr>
              <w:t>；</w:t>
            </w:r>
          </w:p>
          <w:p w14:paraId="47DA7FAB">
            <w:pPr>
              <w:snapToGrid w:val="0"/>
              <w:spacing w:line="360" w:lineRule="auto"/>
              <w:rPr>
                <w:rFonts w:cs="宋体"/>
                <w:bCs/>
                <w:szCs w:val="21"/>
                <w:highlight w:val="none"/>
              </w:rPr>
            </w:pPr>
            <w:r>
              <w:rPr>
                <w:rFonts w:hint="eastAsia" w:cs="宋体"/>
                <w:bCs/>
                <w:szCs w:val="21"/>
                <w:highlight w:val="none"/>
              </w:rPr>
              <w:t>（4）装配式建筑装配率要求：</w:t>
            </w:r>
            <w:r>
              <w:rPr>
                <w:rFonts w:hint="eastAsia" w:cs="宋体"/>
                <w:bCs/>
                <w:szCs w:val="21"/>
                <w:highlight w:val="none"/>
                <w:u w:val="single"/>
              </w:rPr>
              <w:t xml:space="preserve">           /              </w:t>
            </w:r>
            <w:r>
              <w:rPr>
                <w:rFonts w:hint="eastAsia" w:cs="宋体"/>
                <w:bCs/>
                <w:szCs w:val="21"/>
                <w:highlight w:val="none"/>
              </w:rPr>
              <w:t>；</w:t>
            </w:r>
          </w:p>
        </w:tc>
      </w:tr>
      <w:tr w14:paraId="7E9B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661287BF">
            <w:pPr>
              <w:numPr>
                <w:ilvl w:val="0"/>
                <w:numId w:val="5"/>
              </w:numPr>
              <w:snapToGrid w:val="0"/>
              <w:spacing w:line="360" w:lineRule="auto"/>
              <w:jc w:val="center"/>
              <w:rPr>
                <w:rFonts w:cs="宋体"/>
                <w:bCs/>
                <w:szCs w:val="21"/>
                <w:highlight w:val="none"/>
              </w:rPr>
            </w:pPr>
          </w:p>
        </w:tc>
        <w:tc>
          <w:tcPr>
            <w:tcW w:w="1111" w:type="dxa"/>
            <w:vAlign w:val="center"/>
          </w:tcPr>
          <w:p w14:paraId="66C20F81">
            <w:pPr>
              <w:snapToGrid w:val="0"/>
              <w:spacing w:line="360" w:lineRule="auto"/>
              <w:jc w:val="center"/>
              <w:rPr>
                <w:rFonts w:cs="宋体"/>
                <w:bCs/>
                <w:szCs w:val="21"/>
                <w:highlight w:val="none"/>
              </w:rPr>
            </w:pPr>
            <w:r>
              <w:rPr>
                <w:rFonts w:hint="eastAsia" w:cs="宋体"/>
                <w:bCs/>
                <w:szCs w:val="21"/>
                <w:highlight w:val="none"/>
              </w:rPr>
              <w:t>7.5.2</w:t>
            </w:r>
          </w:p>
        </w:tc>
        <w:tc>
          <w:tcPr>
            <w:tcW w:w="7304" w:type="dxa"/>
            <w:tcBorders>
              <w:bottom w:val="single" w:color="auto" w:sz="4" w:space="0"/>
            </w:tcBorders>
            <w:vAlign w:val="center"/>
          </w:tcPr>
          <w:p w14:paraId="1CB5496A">
            <w:pPr>
              <w:wordWrap w:val="0"/>
              <w:adjustRightInd w:val="0"/>
              <w:spacing w:line="360" w:lineRule="auto"/>
              <w:ind w:firstLine="420" w:firstLineChars="200"/>
              <w:rPr>
                <w:szCs w:val="21"/>
                <w:highlight w:val="none"/>
                <w:u w:val="single"/>
              </w:rPr>
            </w:pPr>
            <w:r>
              <w:rPr>
                <w:rFonts w:hint="eastAsia" w:cs="宋体"/>
                <w:bCs/>
                <w:szCs w:val="21"/>
                <w:highlight w:val="none"/>
              </w:rPr>
              <w:t>因承包人原因造成工期延误，逾期竣工违约金的计算方法为：</w:t>
            </w:r>
            <w:r>
              <w:rPr>
                <w:rFonts w:hint="eastAsia" w:cs="宋体"/>
                <w:bCs/>
                <w:szCs w:val="21"/>
                <w:highlight w:val="none"/>
                <w:u w:val="single"/>
              </w:rPr>
              <w:t xml:space="preserve"> </w:t>
            </w:r>
            <w:r>
              <w:rPr>
                <w:szCs w:val="21"/>
                <w:highlight w:val="none"/>
                <w:u w:val="single"/>
              </w:rPr>
              <w:t>（1）合同工期每延误一天，处以1000元/天的违约金。误期时间为合同约定竣工时间起到实际竣工日期之间的天数（不足一天的按一天计算）扣除工程师及发包人代表同意的非承包人责任引起的顺延天数。</w:t>
            </w:r>
          </w:p>
          <w:p w14:paraId="6F502E5C">
            <w:pPr>
              <w:wordWrap w:val="0"/>
              <w:adjustRightInd w:val="0"/>
              <w:spacing w:line="360" w:lineRule="auto"/>
              <w:ind w:firstLine="420" w:firstLineChars="200"/>
              <w:rPr>
                <w:szCs w:val="21"/>
                <w:highlight w:val="none"/>
                <w:u w:val="single"/>
              </w:rPr>
            </w:pPr>
            <w:r>
              <w:rPr>
                <w:szCs w:val="21"/>
                <w:highlight w:val="none"/>
                <w:u w:val="single"/>
              </w:rPr>
              <w:t>（2）承包人应根据总工期严格制定各节点工期、月进度计划、周进度计划，如不能按时完成经工程师审核的周进度计划的，处以200元/次的违约金。当月如能完成月进度计划的，当月周进度违约金返还。不能完成月进度计划的，处以500元/次的违约金。累计两次无法完成经工程师审核的月进度计划的，发包人可要求更换主要项目管理人员，并处以1000元/次的违约金。如承包人能在合同要求的工期内完成全部合同内容，此违约金完工时返还。</w:t>
            </w:r>
          </w:p>
          <w:p w14:paraId="4E82FE1B">
            <w:pPr>
              <w:snapToGrid w:val="0"/>
              <w:spacing w:line="360" w:lineRule="auto"/>
              <w:rPr>
                <w:rFonts w:cs="宋体"/>
                <w:bCs/>
                <w:szCs w:val="21"/>
                <w:highlight w:val="none"/>
              </w:rPr>
            </w:pPr>
            <w:r>
              <w:rPr>
                <w:szCs w:val="21"/>
                <w:highlight w:val="none"/>
                <w:u w:val="single"/>
              </w:rPr>
              <w:t>（3）承包人应加强对分包人的分包工程进度管理，承包人在制定周、月、季度工作进度计划时，应组织所有参建分包人讨论并协调后确定项目进度计划，各分包人无法按时完成计划的，承包人和分包人共同承担进度延误责任，并按上述第（2）条处理</w:t>
            </w:r>
            <w:r>
              <w:rPr>
                <w:rFonts w:hint="eastAsia" w:cs="宋体"/>
                <w:bCs/>
                <w:szCs w:val="21"/>
                <w:highlight w:val="none"/>
              </w:rPr>
              <w:t>。</w:t>
            </w:r>
          </w:p>
          <w:p w14:paraId="294E6BDB">
            <w:pPr>
              <w:snapToGrid w:val="0"/>
              <w:spacing w:line="360" w:lineRule="auto"/>
              <w:rPr>
                <w:rFonts w:cs="宋体"/>
                <w:bCs/>
                <w:szCs w:val="21"/>
                <w:highlight w:val="none"/>
              </w:rPr>
            </w:pPr>
            <w:r>
              <w:rPr>
                <w:rFonts w:hint="eastAsia" w:cs="宋体"/>
                <w:bCs/>
                <w:szCs w:val="21"/>
                <w:highlight w:val="none"/>
              </w:rPr>
              <w:t>因承包人原因造成工期延误，逾期竣工违约金的上限：</w:t>
            </w:r>
            <w:r>
              <w:rPr>
                <w:rFonts w:hint="eastAsia" w:cs="宋体"/>
                <w:bCs/>
                <w:szCs w:val="21"/>
                <w:highlight w:val="none"/>
                <w:u w:val="single"/>
              </w:rPr>
              <w:t xml:space="preserve"> 违约金最高限额为合同价款的3%</w:t>
            </w:r>
            <w:r>
              <w:rPr>
                <w:rFonts w:hint="eastAsia" w:cs="宋体"/>
                <w:bCs/>
                <w:szCs w:val="21"/>
                <w:highlight w:val="none"/>
              </w:rPr>
              <w:t>。</w:t>
            </w:r>
          </w:p>
        </w:tc>
      </w:tr>
      <w:tr w14:paraId="5137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54D79EC8">
            <w:pPr>
              <w:numPr>
                <w:ilvl w:val="0"/>
                <w:numId w:val="5"/>
              </w:numPr>
              <w:snapToGrid w:val="0"/>
              <w:spacing w:line="360" w:lineRule="auto"/>
              <w:jc w:val="center"/>
              <w:rPr>
                <w:rFonts w:cs="宋体"/>
                <w:bCs/>
                <w:szCs w:val="21"/>
                <w:highlight w:val="none"/>
              </w:rPr>
            </w:pPr>
          </w:p>
        </w:tc>
        <w:tc>
          <w:tcPr>
            <w:tcW w:w="1111" w:type="dxa"/>
            <w:vAlign w:val="center"/>
          </w:tcPr>
          <w:p w14:paraId="359B9A2B">
            <w:pPr>
              <w:snapToGrid w:val="0"/>
              <w:spacing w:line="360" w:lineRule="auto"/>
              <w:jc w:val="center"/>
              <w:rPr>
                <w:rFonts w:cs="宋体"/>
                <w:bCs/>
                <w:szCs w:val="21"/>
                <w:highlight w:val="none"/>
              </w:rPr>
            </w:pPr>
            <w:r>
              <w:rPr>
                <w:rFonts w:hint="eastAsia" w:cs="宋体"/>
                <w:bCs/>
                <w:szCs w:val="21"/>
                <w:highlight w:val="none"/>
              </w:rPr>
              <w:t>7.9.2</w:t>
            </w:r>
          </w:p>
        </w:tc>
        <w:tc>
          <w:tcPr>
            <w:tcW w:w="7304" w:type="dxa"/>
            <w:tcBorders>
              <w:bottom w:val="single" w:color="auto" w:sz="4" w:space="0"/>
            </w:tcBorders>
            <w:vAlign w:val="center"/>
          </w:tcPr>
          <w:p w14:paraId="343D9E12">
            <w:pPr>
              <w:snapToGrid w:val="0"/>
              <w:spacing w:line="360" w:lineRule="auto"/>
              <w:rPr>
                <w:rFonts w:cs="宋体"/>
                <w:bCs/>
                <w:szCs w:val="21"/>
                <w:highlight w:val="none"/>
              </w:rPr>
            </w:pPr>
            <w:r>
              <w:rPr>
                <w:rFonts w:hint="eastAsia" w:cs="宋体"/>
                <w:szCs w:val="21"/>
                <w:highlight w:val="none"/>
              </w:rPr>
              <w:t>提前竣工的奖励：</w:t>
            </w:r>
            <w:r>
              <w:rPr>
                <w:rFonts w:hint="eastAsia" w:cs="宋体"/>
                <w:szCs w:val="21"/>
                <w:highlight w:val="none"/>
                <w:u w:val="single"/>
              </w:rPr>
              <w:t xml:space="preserve">               /                 </w:t>
            </w:r>
            <w:r>
              <w:rPr>
                <w:rFonts w:hint="eastAsia" w:cs="宋体"/>
                <w:szCs w:val="21"/>
                <w:highlight w:val="none"/>
              </w:rPr>
              <w:t>。</w:t>
            </w:r>
          </w:p>
        </w:tc>
      </w:tr>
      <w:tr w14:paraId="04DB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0C4F51CD">
            <w:pPr>
              <w:numPr>
                <w:ilvl w:val="0"/>
                <w:numId w:val="5"/>
              </w:numPr>
              <w:snapToGrid w:val="0"/>
              <w:spacing w:line="360" w:lineRule="auto"/>
              <w:jc w:val="center"/>
              <w:rPr>
                <w:rFonts w:cs="宋体"/>
                <w:bCs/>
                <w:szCs w:val="21"/>
                <w:highlight w:val="none"/>
              </w:rPr>
            </w:pPr>
          </w:p>
        </w:tc>
        <w:tc>
          <w:tcPr>
            <w:tcW w:w="1111" w:type="dxa"/>
            <w:vAlign w:val="center"/>
          </w:tcPr>
          <w:p w14:paraId="6535F071">
            <w:pPr>
              <w:snapToGrid w:val="0"/>
              <w:spacing w:line="360" w:lineRule="auto"/>
              <w:jc w:val="center"/>
              <w:rPr>
                <w:rFonts w:cs="宋体"/>
                <w:bCs/>
                <w:szCs w:val="21"/>
                <w:highlight w:val="none"/>
              </w:rPr>
            </w:pPr>
            <w:r>
              <w:rPr>
                <w:rFonts w:hint="eastAsia" w:cs="宋体"/>
                <w:bCs/>
                <w:szCs w:val="21"/>
                <w:highlight w:val="none"/>
              </w:rPr>
              <w:t>11.1</w:t>
            </w:r>
          </w:p>
        </w:tc>
        <w:tc>
          <w:tcPr>
            <w:tcW w:w="7304" w:type="dxa"/>
            <w:tcBorders>
              <w:bottom w:val="single" w:color="auto" w:sz="4" w:space="0"/>
            </w:tcBorders>
            <w:vAlign w:val="center"/>
          </w:tcPr>
          <w:p w14:paraId="0236CEA0">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市场价格波动是否调整合同价格的约定：</w:t>
            </w:r>
            <w:r>
              <w:rPr>
                <w:rFonts w:hint="eastAsia" w:cs="宋体"/>
                <w:bCs/>
                <w:sz w:val="21"/>
                <w:szCs w:val="21"/>
                <w:highlight w:val="none"/>
                <w:u w:val="single"/>
              </w:rPr>
              <w:t xml:space="preserve"> 否 </w:t>
            </w:r>
            <w:r>
              <w:rPr>
                <w:rFonts w:hint="eastAsia" w:cs="宋体"/>
                <w:bCs/>
                <w:sz w:val="21"/>
                <w:szCs w:val="21"/>
                <w:highlight w:val="none"/>
              </w:rPr>
              <w:t>。</w:t>
            </w:r>
          </w:p>
        </w:tc>
      </w:tr>
      <w:tr w14:paraId="28D0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23C120A1">
            <w:pPr>
              <w:numPr>
                <w:ilvl w:val="0"/>
                <w:numId w:val="5"/>
              </w:numPr>
              <w:snapToGrid w:val="0"/>
              <w:spacing w:line="360" w:lineRule="auto"/>
              <w:jc w:val="center"/>
              <w:rPr>
                <w:rFonts w:cs="宋体"/>
                <w:bCs/>
                <w:szCs w:val="21"/>
                <w:highlight w:val="none"/>
              </w:rPr>
            </w:pPr>
          </w:p>
        </w:tc>
        <w:tc>
          <w:tcPr>
            <w:tcW w:w="1111" w:type="dxa"/>
            <w:vAlign w:val="center"/>
          </w:tcPr>
          <w:p w14:paraId="08F250B8">
            <w:pPr>
              <w:snapToGrid w:val="0"/>
              <w:spacing w:line="360" w:lineRule="auto"/>
              <w:jc w:val="center"/>
              <w:rPr>
                <w:rFonts w:cs="宋体"/>
                <w:bCs/>
                <w:szCs w:val="21"/>
                <w:highlight w:val="none"/>
              </w:rPr>
            </w:pPr>
            <w:r>
              <w:rPr>
                <w:rFonts w:hint="eastAsia" w:cs="宋体"/>
                <w:bCs/>
                <w:szCs w:val="21"/>
                <w:highlight w:val="none"/>
              </w:rPr>
              <w:t>12.1</w:t>
            </w:r>
          </w:p>
        </w:tc>
        <w:tc>
          <w:tcPr>
            <w:tcW w:w="7304" w:type="dxa"/>
            <w:tcBorders>
              <w:bottom w:val="single" w:color="auto" w:sz="4" w:space="0"/>
            </w:tcBorders>
            <w:vAlign w:val="center"/>
          </w:tcPr>
          <w:p w14:paraId="6631F4E6">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合同价格形式</w:t>
            </w:r>
          </w:p>
          <w:p w14:paraId="7985C1D0">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(1)单价合同。</w:t>
            </w:r>
          </w:p>
          <w:p w14:paraId="019E3BD6">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综合单价包含的风险范围：</w:t>
            </w:r>
            <w:r>
              <w:rPr>
                <w:rFonts w:hint="eastAsia" w:cs="宋体"/>
                <w:bCs/>
                <w:sz w:val="21"/>
                <w:szCs w:val="21"/>
                <w:highlight w:val="none"/>
                <w:u w:val="single"/>
              </w:rPr>
              <w:t xml:space="preserve">          /                    </w:t>
            </w:r>
            <w:r>
              <w:rPr>
                <w:rFonts w:hint="eastAsia" w:cs="宋体"/>
                <w:bCs/>
                <w:sz w:val="21"/>
                <w:szCs w:val="21"/>
                <w:highlight w:val="none"/>
              </w:rPr>
              <w:t>。</w:t>
            </w:r>
          </w:p>
          <w:p w14:paraId="6C6717B0">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风险费用的计算方法：</w:t>
            </w:r>
            <w:r>
              <w:rPr>
                <w:rFonts w:hint="eastAsia" w:cs="宋体"/>
                <w:bCs/>
                <w:sz w:val="21"/>
                <w:szCs w:val="21"/>
                <w:highlight w:val="none"/>
                <w:u w:val="single"/>
              </w:rPr>
              <w:t xml:space="preserve">              /                    </w:t>
            </w:r>
            <w:r>
              <w:rPr>
                <w:rFonts w:hint="eastAsia" w:cs="宋体"/>
                <w:bCs/>
                <w:sz w:val="21"/>
                <w:szCs w:val="21"/>
                <w:highlight w:val="none"/>
              </w:rPr>
              <w:t>。</w:t>
            </w:r>
          </w:p>
          <w:p w14:paraId="576AA43F">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风险范围以外合同价格的调整方法：</w:t>
            </w:r>
            <w:r>
              <w:rPr>
                <w:rFonts w:hint="eastAsia" w:cs="宋体"/>
                <w:bCs/>
                <w:sz w:val="21"/>
                <w:szCs w:val="21"/>
                <w:highlight w:val="none"/>
                <w:u w:val="single"/>
              </w:rPr>
              <w:t xml:space="preserve">     /                 </w:t>
            </w:r>
            <w:r>
              <w:rPr>
                <w:rFonts w:hint="eastAsia" w:cs="宋体"/>
                <w:bCs/>
                <w:sz w:val="21"/>
                <w:szCs w:val="21"/>
                <w:highlight w:val="none"/>
              </w:rPr>
              <w:t>。</w:t>
            </w:r>
          </w:p>
          <w:p w14:paraId="14AF14D1">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(2)总价合同。</w:t>
            </w:r>
          </w:p>
          <w:p w14:paraId="32F77838">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总价包含的风险范围包括但不限于以下：</w:t>
            </w:r>
            <w:r>
              <w:rPr>
                <w:rFonts w:hint="eastAsia" w:cs="宋体"/>
                <w:bCs/>
                <w:sz w:val="21"/>
                <w:szCs w:val="21"/>
                <w:highlight w:val="none"/>
                <w:u w:val="single"/>
              </w:rPr>
              <w:t>总价在合同履行期不因劳务、材料、机械等成本的价格变动而作调整；施工机械使用费涨跌的风险；材料价格的涨跌；因天气、地形、地质等自然条件的变化，采取的临时措施；特殊措施及可调因素以外的其他因素；采购文件规定的其他风险。</w:t>
            </w:r>
          </w:p>
          <w:p w14:paraId="6F82AC82">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风险费用的计算方法：</w:t>
            </w:r>
            <w:r>
              <w:rPr>
                <w:rFonts w:hint="eastAsia" w:cs="宋体"/>
                <w:bCs/>
                <w:sz w:val="21"/>
                <w:szCs w:val="21"/>
                <w:highlight w:val="none"/>
                <w:u w:val="single"/>
              </w:rPr>
              <w:t xml:space="preserve"> 已包含在合同价格中，不再另行支付 </w:t>
            </w:r>
            <w:r>
              <w:rPr>
                <w:rFonts w:hint="eastAsia" w:cs="宋体"/>
                <w:bCs/>
                <w:sz w:val="21"/>
                <w:szCs w:val="21"/>
                <w:highlight w:val="none"/>
              </w:rPr>
              <w:t>。</w:t>
            </w:r>
          </w:p>
          <w:p w14:paraId="77DF6C8A">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风险范围以外合同价格的调整方法：</w:t>
            </w:r>
            <w:r>
              <w:rPr>
                <w:rFonts w:hint="eastAsia" w:cs="宋体"/>
                <w:bCs/>
                <w:sz w:val="21"/>
                <w:szCs w:val="21"/>
                <w:highlight w:val="none"/>
                <w:u w:val="single"/>
              </w:rPr>
              <w:t xml:space="preserve"> 变更估价按合同专用条款第10.4.1项约定调整，国家法律法规发生变化的按通用条款11.2执行</w:t>
            </w:r>
            <w:r>
              <w:rPr>
                <w:rFonts w:hint="eastAsia" w:cs="宋体"/>
                <w:bCs/>
                <w:sz w:val="21"/>
                <w:szCs w:val="21"/>
                <w:highlight w:val="none"/>
              </w:rPr>
              <w:t>。</w:t>
            </w:r>
          </w:p>
          <w:p w14:paraId="293F1774">
            <w:pPr>
              <w:pStyle w:val="32"/>
              <w:tabs>
                <w:tab w:val="clear" w:pos="4153"/>
                <w:tab w:val="clear" w:pos="8306"/>
              </w:tabs>
              <w:spacing w:line="360" w:lineRule="auto"/>
              <w:rPr>
                <w:rFonts w:cs="宋体"/>
                <w:bCs/>
                <w:sz w:val="21"/>
                <w:szCs w:val="21"/>
                <w:highlight w:val="none"/>
              </w:rPr>
            </w:pPr>
            <w:r>
              <w:rPr>
                <w:rFonts w:hint="eastAsia" w:cs="宋体"/>
                <w:bCs/>
                <w:sz w:val="21"/>
                <w:szCs w:val="21"/>
                <w:highlight w:val="none"/>
              </w:rPr>
              <w:t>（3）其他价格方式：</w:t>
            </w:r>
            <w:r>
              <w:rPr>
                <w:rFonts w:hint="eastAsia" w:cs="宋体"/>
                <w:bCs/>
                <w:sz w:val="21"/>
                <w:szCs w:val="21"/>
                <w:highlight w:val="none"/>
                <w:u w:val="single"/>
              </w:rPr>
              <w:t xml:space="preserve">                  /                   </w:t>
            </w:r>
            <w:r>
              <w:rPr>
                <w:rFonts w:hint="eastAsia" w:cs="宋体"/>
                <w:bCs/>
                <w:sz w:val="21"/>
                <w:szCs w:val="21"/>
                <w:highlight w:val="none"/>
              </w:rPr>
              <w:t>。</w:t>
            </w:r>
          </w:p>
        </w:tc>
      </w:tr>
      <w:tr w14:paraId="21EA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7D0FACBF">
            <w:pPr>
              <w:numPr>
                <w:ilvl w:val="0"/>
                <w:numId w:val="5"/>
              </w:numPr>
              <w:snapToGrid w:val="0"/>
              <w:spacing w:line="360" w:lineRule="auto"/>
              <w:jc w:val="center"/>
              <w:rPr>
                <w:rFonts w:cs="宋体"/>
                <w:bCs/>
                <w:szCs w:val="21"/>
                <w:highlight w:val="none"/>
              </w:rPr>
            </w:pPr>
          </w:p>
        </w:tc>
        <w:tc>
          <w:tcPr>
            <w:tcW w:w="1111" w:type="dxa"/>
            <w:vAlign w:val="center"/>
          </w:tcPr>
          <w:p w14:paraId="72106C9C">
            <w:pPr>
              <w:snapToGrid w:val="0"/>
              <w:spacing w:line="360" w:lineRule="auto"/>
              <w:jc w:val="center"/>
              <w:rPr>
                <w:rFonts w:cs="宋体"/>
                <w:bCs/>
                <w:szCs w:val="21"/>
                <w:highlight w:val="none"/>
              </w:rPr>
            </w:pPr>
            <w:r>
              <w:rPr>
                <w:rFonts w:hint="eastAsia" w:cs="宋体"/>
                <w:bCs/>
                <w:szCs w:val="21"/>
                <w:highlight w:val="none"/>
              </w:rPr>
              <w:t xml:space="preserve">12.2.1 </w:t>
            </w:r>
          </w:p>
        </w:tc>
        <w:tc>
          <w:tcPr>
            <w:tcW w:w="7304" w:type="dxa"/>
            <w:tcBorders>
              <w:bottom w:val="single" w:color="auto" w:sz="4" w:space="0"/>
            </w:tcBorders>
            <w:vAlign w:val="center"/>
          </w:tcPr>
          <w:p w14:paraId="4B603AAD">
            <w:pPr>
              <w:adjustRightInd w:val="0"/>
              <w:snapToGrid w:val="0"/>
              <w:spacing w:line="360" w:lineRule="auto"/>
              <w:rPr>
                <w:rFonts w:cs="宋体"/>
                <w:bCs/>
                <w:szCs w:val="21"/>
                <w:highlight w:val="none"/>
              </w:rPr>
            </w:pPr>
            <w:r>
              <w:rPr>
                <w:rFonts w:hint="eastAsia" w:cs="宋体"/>
                <w:bCs/>
                <w:szCs w:val="21"/>
                <w:highlight w:val="none"/>
              </w:rPr>
              <w:t>预付款的支付</w:t>
            </w:r>
          </w:p>
          <w:p w14:paraId="03E8BD43">
            <w:pPr>
              <w:adjustRightInd w:val="0"/>
              <w:snapToGrid w:val="0"/>
              <w:spacing w:line="360" w:lineRule="auto"/>
              <w:rPr>
                <w:rFonts w:cs="宋体"/>
                <w:bCs/>
                <w:szCs w:val="21"/>
                <w:highlight w:val="none"/>
              </w:rPr>
            </w:pPr>
            <w:r>
              <w:rPr>
                <w:rFonts w:hint="eastAsia" w:cs="宋体"/>
                <w:bCs/>
                <w:szCs w:val="21"/>
                <w:highlight w:val="none"/>
              </w:rPr>
              <w:t>预付款支付比例或金额：</w:t>
            </w:r>
            <w:r>
              <w:rPr>
                <w:rFonts w:hint="eastAsia" w:cs="宋体"/>
                <w:bCs/>
                <w:szCs w:val="21"/>
                <w:highlight w:val="none"/>
                <w:u w:val="single"/>
              </w:rPr>
              <w:t xml:space="preserve"> 合同金额的40%（成交供应商须提供等额保函）。</w:t>
            </w:r>
          </w:p>
          <w:p w14:paraId="2B44C6FC">
            <w:pPr>
              <w:adjustRightInd w:val="0"/>
              <w:snapToGrid w:val="0"/>
              <w:spacing w:line="360" w:lineRule="auto"/>
              <w:rPr>
                <w:rFonts w:cs="宋体"/>
                <w:bCs/>
                <w:szCs w:val="21"/>
                <w:highlight w:val="none"/>
              </w:rPr>
            </w:pPr>
            <w:r>
              <w:rPr>
                <w:rFonts w:hint="eastAsia" w:cs="宋体"/>
                <w:bCs/>
                <w:szCs w:val="21"/>
                <w:highlight w:val="none"/>
              </w:rPr>
              <w:t>预付款支付期限：</w:t>
            </w:r>
            <w:r>
              <w:rPr>
                <w:rFonts w:hint="eastAsia" w:cs="宋体"/>
                <w:bCs/>
                <w:szCs w:val="21"/>
                <w:highlight w:val="none"/>
                <w:u w:val="single"/>
              </w:rPr>
              <w:t xml:space="preserve"> 合同生效且正式进场开工后</w:t>
            </w:r>
          </w:p>
          <w:p w14:paraId="219F1303">
            <w:pPr>
              <w:adjustRightInd w:val="0"/>
              <w:snapToGrid w:val="0"/>
              <w:spacing w:line="360" w:lineRule="auto"/>
              <w:rPr>
                <w:rFonts w:cs="宋体"/>
                <w:bCs/>
                <w:szCs w:val="21"/>
                <w:highlight w:val="none"/>
              </w:rPr>
            </w:pPr>
            <w:r>
              <w:rPr>
                <w:rFonts w:hint="eastAsia" w:cs="宋体"/>
                <w:bCs/>
                <w:szCs w:val="21"/>
                <w:highlight w:val="none"/>
              </w:rPr>
              <w:t>预付款扣回的方式：</w:t>
            </w:r>
            <w:r>
              <w:rPr>
                <w:rFonts w:hint="eastAsia" w:cs="宋体"/>
                <w:bCs/>
                <w:szCs w:val="21"/>
                <w:highlight w:val="none"/>
                <w:u w:val="single"/>
              </w:rPr>
              <w:t xml:space="preserve"> 竣工验收合格后付款时一次性扣回。</w:t>
            </w:r>
          </w:p>
        </w:tc>
      </w:tr>
      <w:tr w14:paraId="2BB5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29" w:type="dxa"/>
            <w:vAlign w:val="center"/>
          </w:tcPr>
          <w:p w14:paraId="541EB983">
            <w:pPr>
              <w:numPr>
                <w:ilvl w:val="0"/>
                <w:numId w:val="5"/>
              </w:numPr>
              <w:snapToGrid w:val="0"/>
              <w:spacing w:line="360" w:lineRule="auto"/>
              <w:jc w:val="center"/>
              <w:rPr>
                <w:rFonts w:cs="宋体"/>
                <w:bCs/>
                <w:szCs w:val="21"/>
                <w:highlight w:val="none"/>
              </w:rPr>
            </w:pPr>
          </w:p>
        </w:tc>
        <w:tc>
          <w:tcPr>
            <w:tcW w:w="1111" w:type="dxa"/>
            <w:vAlign w:val="center"/>
          </w:tcPr>
          <w:p w14:paraId="2B4C38B0">
            <w:pPr>
              <w:snapToGrid w:val="0"/>
              <w:spacing w:line="360" w:lineRule="auto"/>
              <w:jc w:val="center"/>
              <w:rPr>
                <w:rFonts w:cs="宋体"/>
                <w:bCs/>
                <w:szCs w:val="21"/>
                <w:highlight w:val="none"/>
              </w:rPr>
            </w:pPr>
            <w:r>
              <w:rPr>
                <w:rFonts w:hint="eastAsia" w:cs="宋体"/>
                <w:bCs/>
                <w:szCs w:val="21"/>
                <w:highlight w:val="none"/>
              </w:rPr>
              <w:t>12.2.2</w:t>
            </w:r>
          </w:p>
        </w:tc>
        <w:tc>
          <w:tcPr>
            <w:tcW w:w="7304" w:type="dxa"/>
            <w:tcBorders>
              <w:bottom w:val="single" w:color="auto" w:sz="4" w:space="0"/>
            </w:tcBorders>
            <w:vAlign w:val="center"/>
          </w:tcPr>
          <w:p w14:paraId="0904E6BD">
            <w:pPr>
              <w:adjustRightInd w:val="0"/>
              <w:snapToGrid w:val="0"/>
              <w:spacing w:line="360" w:lineRule="auto"/>
              <w:rPr>
                <w:rFonts w:cs="宋体"/>
                <w:bCs/>
                <w:szCs w:val="21"/>
                <w:highlight w:val="none"/>
              </w:rPr>
            </w:pPr>
            <w:r>
              <w:rPr>
                <w:rFonts w:hint="eastAsia" w:cs="宋体"/>
                <w:bCs/>
                <w:szCs w:val="21"/>
                <w:highlight w:val="none"/>
              </w:rPr>
              <w:t>预付款担保</w:t>
            </w:r>
          </w:p>
          <w:p w14:paraId="000A4105">
            <w:pPr>
              <w:adjustRightInd w:val="0"/>
              <w:snapToGrid w:val="0"/>
              <w:spacing w:line="360" w:lineRule="auto"/>
              <w:rPr>
                <w:rFonts w:cs="宋体"/>
                <w:bCs/>
                <w:szCs w:val="21"/>
                <w:highlight w:val="none"/>
              </w:rPr>
            </w:pPr>
            <w:r>
              <w:rPr>
                <w:rFonts w:hint="eastAsia" w:cs="宋体"/>
                <w:bCs/>
                <w:szCs w:val="21"/>
                <w:highlight w:val="none"/>
              </w:rPr>
              <w:t>承包人提交预付款担保的期限：</w:t>
            </w:r>
            <w:r>
              <w:rPr>
                <w:rFonts w:hint="eastAsia" w:cs="宋体"/>
                <w:bCs/>
                <w:szCs w:val="21"/>
                <w:highlight w:val="none"/>
                <w:u w:val="single"/>
              </w:rPr>
              <w:t xml:space="preserve"> 合同生效且正式进场开工前</w:t>
            </w:r>
          </w:p>
          <w:p w14:paraId="2C1D2773">
            <w:pPr>
              <w:adjustRightInd w:val="0"/>
              <w:snapToGrid w:val="0"/>
              <w:spacing w:line="360" w:lineRule="auto"/>
              <w:rPr>
                <w:rFonts w:cs="宋体"/>
                <w:bCs/>
                <w:szCs w:val="21"/>
                <w:highlight w:val="none"/>
              </w:rPr>
            </w:pPr>
            <w:r>
              <w:rPr>
                <w:rFonts w:hint="eastAsia" w:cs="宋体"/>
                <w:bCs/>
                <w:szCs w:val="21"/>
                <w:highlight w:val="none"/>
              </w:rPr>
              <w:t>预付款担保的形式为：</w:t>
            </w:r>
            <w:r>
              <w:rPr>
                <w:rFonts w:hint="eastAsia" w:cs="宋体"/>
                <w:bCs/>
                <w:szCs w:val="21"/>
                <w:highlight w:val="none"/>
                <w:u w:val="single"/>
              </w:rPr>
              <w:t xml:space="preserve"> </w:t>
            </w:r>
            <w:r>
              <w:rPr>
                <w:rFonts w:hint="eastAsia"/>
                <w:highlight w:val="none"/>
                <w:u w:val="single"/>
              </w:rPr>
              <w:t>银行保函、担保机构担保、保证保险、电子保函</w:t>
            </w:r>
            <w:r>
              <w:rPr>
                <w:rFonts w:hint="eastAsia" w:cs="宋体"/>
                <w:bCs/>
                <w:szCs w:val="21"/>
                <w:highlight w:val="none"/>
                <w:u w:val="single"/>
              </w:rPr>
              <w:t>。</w:t>
            </w:r>
          </w:p>
        </w:tc>
      </w:tr>
      <w:tr w14:paraId="26CA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7E8D8ED2">
            <w:pPr>
              <w:numPr>
                <w:ilvl w:val="0"/>
                <w:numId w:val="5"/>
              </w:numPr>
              <w:snapToGrid w:val="0"/>
              <w:spacing w:line="360" w:lineRule="auto"/>
              <w:jc w:val="center"/>
              <w:rPr>
                <w:rFonts w:cs="宋体"/>
                <w:bCs/>
                <w:szCs w:val="21"/>
                <w:highlight w:val="none"/>
              </w:rPr>
            </w:pPr>
          </w:p>
        </w:tc>
        <w:tc>
          <w:tcPr>
            <w:tcW w:w="1111" w:type="dxa"/>
            <w:vAlign w:val="center"/>
          </w:tcPr>
          <w:p w14:paraId="56758DC7">
            <w:pPr>
              <w:snapToGrid w:val="0"/>
              <w:spacing w:line="360" w:lineRule="auto"/>
              <w:jc w:val="center"/>
              <w:rPr>
                <w:rFonts w:cs="宋体"/>
                <w:bCs/>
                <w:szCs w:val="21"/>
                <w:highlight w:val="none"/>
              </w:rPr>
            </w:pPr>
            <w:r>
              <w:rPr>
                <w:rFonts w:hint="eastAsia" w:cs="宋体"/>
                <w:bCs/>
                <w:szCs w:val="21"/>
                <w:highlight w:val="none"/>
              </w:rPr>
              <w:t>12.4.1</w:t>
            </w:r>
          </w:p>
        </w:tc>
        <w:tc>
          <w:tcPr>
            <w:tcW w:w="7304" w:type="dxa"/>
            <w:tcBorders>
              <w:bottom w:val="single" w:color="auto" w:sz="4" w:space="0"/>
            </w:tcBorders>
            <w:vAlign w:val="center"/>
          </w:tcPr>
          <w:p w14:paraId="70690AE2">
            <w:pPr>
              <w:adjustRightInd w:val="0"/>
              <w:snapToGrid w:val="0"/>
              <w:spacing w:line="360" w:lineRule="auto"/>
              <w:rPr>
                <w:rFonts w:cs="宋体"/>
                <w:bCs/>
                <w:szCs w:val="21"/>
                <w:highlight w:val="none"/>
              </w:rPr>
            </w:pPr>
            <w:r>
              <w:rPr>
                <w:rFonts w:hint="eastAsia" w:cs="宋体"/>
                <w:bCs/>
                <w:szCs w:val="21"/>
                <w:highlight w:val="none"/>
              </w:rPr>
              <w:t>付款周期</w:t>
            </w:r>
          </w:p>
          <w:p w14:paraId="4D6DB441">
            <w:pPr>
              <w:adjustRightInd w:val="0"/>
              <w:snapToGrid w:val="0"/>
              <w:spacing w:line="360" w:lineRule="auto"/>
              <w:rPr>
                <w:rFonts w:cs="宋体"/>
                <w:bCs/>
                <w:szCs w:val="21"/>
                <w:highlight w:val="none"/>
              </w:rPr>
            </w:pPr>
            <w:r>
              <w:rPr>
                <w:rFonts w:hint="eastAsia" w:cs="宋体"/>
                <w:bCs/>
                <w:szCs w:val="21"/>
                <w:highlight w:val="none"/>
              </w:rPr>
              <w:t>关于付款周期的约定：</w:t>
            </w:r>
            <w:r>
              <w:rPr>
                <w:rFonts w:hint="eastAsia" w:cs="宋体"/>
                <w:bCs/>
                <w:szCs w:val="21"/>
                <w:highlight w:val="none"/>
                <w:u w:val="single"/>
              </w:rPr>
              <w:t>（1）合同生效且正式进场开工后，支付合同金额的40%作为工程预付款（需提供同等金额的预付款担保）；（2）</w:t>
            </w:r>
            <w:r>
              <w:rPr>
                <w:rFonts w:hint="eastAsia" w:ascii="宋体" w:hAnsi="宋体"/>
                <w:color w:val="auto"/>
                <w:highlight w:val="none"/>
                <w:u w:val="single"/>
              </w:rPr>
              <w:t xml:space="preserve">工程进度款按每月核定工程量的 </w:t>
            </w:r>
            <w:r>
              <w:rPr>
                <w:rFonts w:ascii="宋体" w:hAnsi="宋体"/>
                <w:color w:val="auto"/>
                <w:highlight w:val="none"/>
                <w:u w:val="single"/>
              </w:rPr>
              <w:t>8</w:t>
            </w:r>
            <w:r>
              <w:rPr>
                <w:rFonts w:hint="eastAsia" w:ascii="宋体" w:hAnsi="宋体"/>
                <w:color w:val="auto"/>
                <w:highlight w:val="none"/>
                <w:u w:val="single"/>
                <w:lang w:val="en-US" w:eastAsia="zh-CN"/>
              </w:rPr>
              <w:t>5</w:t>
            </w:r>
            <w:r>
              <w:rPr>
                <w:rFonts w:hint="eastAsia" w:ascii="宋体" w:hAnsi="宋体"/>
                <w:color w:val="auto"/>
                <w:highlight w:val="none"/>
                <w:u w:val="single"/>
              </w:rPr>
              <w:t xml:space="preserve">%支付；工程竣工验收合格后付至核定已完成工程量的 </w:t>
            </w:r>
            <w:r>
              <w:rPr>
                <w:rFonts w:hint="eastAsia" w:ascii="宋体" w:hAnsi="宋体"/>
                <w:color w:val="auto"/>
                <w:highlight w:val="none"/>
                <w:u w:val="single"/>
                <w:lang w:val="en-US" w:eastAsia="zh-CN"/>
              </w:rPr>
              <w:t>85</w:t>
            </w:r>
            <w:r>
              <w:rPr>
                <w:rFonts w:hint="eastAsia" w:ascii="宋体" w:hAnsi="宋体"/>
                <w:color w:val="auto"/>
                <w:highlight w:val="none"/>
                <w:u w:val="single"/>
              </w:rPr>
              <w:t>%；</w:t>
            </w:r>
            <w:r>
              <w:rPr>
                <w:rFonts w:hint="eastAsia" w:cs="宋体"/>
                <w:bCs/>
                <w:szCs w:val="21"/>
                <w:highlight w:val="none"/>
                <w:u w:val="single"/>
              </w:rPr>
              <w:t>（3）工程结算审核结束后支付至审核金额的100%，同时须提供审核金额3%工程质保金，待工程缺陷责任期满（24个月）后退还（质保金可采用转账/电汇、银行保函、第三方担保形式）。</w:t>
            </w:r>
          </w:p>
        </w:tc>
      </w:tr>
      <w:tr w14:paraId="1F22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66C1F9E4">
            <w:pPr>
              <w:numPr>
                <w:ilvl w:val="0"/>
                <w:numId w:val="5"/>
              </w:numPr>
              <w:snapToGrid w:val="0"/>
              <w:spacing w:line="360" w:lineRule="auto"/>
              <w:jc w:val="center"/>
              <w:rPr>
                <w:rFonts w:cs="宋体"/>
                <w:bCs/>
                <w:szCs w:val="21"/>
                <w:highlight w:val="none"/>
              </w:rPr>
            </w:pPr>
          </w:p>
        </w:tc>
        <w:tc>
          <w:tcPr>
            <w:tcW w:w="1111" w:type="dxa"/>
            <w:vAlign w:val="center"/>
          </w:tcPr>
          <w:p w14:paraId="25432F3D">
            <w:pPr>
              <w:snapToGrid w:val="0"/>
              <w:spacing w:line="360" w:lineRule="auto"/>
              <w:jc w:val="center"/>
              <w:rPr>
                <w:rFonts w:cs="宋体"/>
                <w:bCs/>
                <w:szCs w:val="21"/>
                <w:highlight w:val="none"/>
              </w:rPr>
            </w:pPr>
            <w:r>
              <w:rPr>
                <w:rFonts w:hint="eastAsia" w:cs="宋体"/>
                <w:bCs/>
                <w:szCs w:val="21"/>
                <w:highlight w:val="none"/>
              </w:rPr>
              <w:t>15.2.1</w:t>
            </w:r>
          </w:p>
        </w:tc>
        <w:tc>
          <w:tcPr>
            <w:tcW w:w="7304" w:type="dxa"/>
            <w:vAlign w:val="center"/>
          </w:tcPr>
          <w:p w14:paraId="75D904CB">
            <w:pPr>
              <w:snapToGrid w:val="0"/>
              <w:spacing w:line="360" w:lineRule="auto"/>
              <w:rPr>
                <w:rFonts w:cs="宋体"/>
                <w:bCs/>
                <w:szCs w:val="21"/>
                <w:highlight w:val="none"/>
              </w:rPr>
            </w:pPr>
            <w:r>
              <w:rPr>
                <w:rFonts w:hint="eastAsia" w:cs="宋体"/>
                <w:szCs w:val="21"/>
                <w:highlight w:val="none"/>
              </w:rPr>
              <w:t>缺陷责任期的具体期限：</w:t>
            </w:r>
            <w:r>
              <w:rPr>
                <w:rFonts w:hint="eastAsia" w:cs="宋体"/>
                <w:szCs w:val="21"/>
                <w:highlight w:val="none"/>
                <w:u w:val="single"/>
              </w:rPr>
              <w:t xml:space="preserve"> 24个月</w:t>
            </w:r>
            <w:r>
              <w:rPr>
                <w:rFonts w:hint="eastAsia" w:cs="宋体"/>
                <w:szCs w:val="21"/>
                <w:highlight w:val="none"/>
              </w:rPr>
              <w:t>。</w:t>
            </w:r>
          </w:p>
        </w:tc>
      </w:tr>
      <w:tr w14:paraId="6749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4DB331D6">
            <w:pPr>
              <w:numPr>
                <w:ilvl w:val="0"/>
                <w:numId w:val="5"/>
              </w:numPr>
              <w:snapToGrid w:val="0"/>
              <w:spacing w:line="360" w:lineRule="auto"/>
              <w:jc w:val="center"/>
              <w:rPr>
                <w:rFonts w:cs="宋体"/>
                <w:bCs/>
                <w:szCs w:val="21"/>
                <w:highlight w:val="none"/>
              </w:rPr>
            </w:pPr>
          </w:p>
        </w:tc>
        <w:tc>
          <w:tcPr>
            <w:tcW w:w="1111" w:type="dxa"/>
            <w:vAlign w:val="center"/>
          </w:tcPr>
          <w:p w14:paraId="70A7A53C">
            <w:pPr>
              <w:snapToGrid w:val="0"/>
              <w:spacing w:line="360" w:lineRule="auto"/>
              <w:jc w:val="center"/>
              <w:rPr>
                <w:rFonts w:cs="宋体"/>
                <w:bCs/>
                <w:szCs w:val="21"/>
                <w:highlight w:val="none"/>
              </w:rPr>
            </w:pPr>
            <w:r>
              <w:rPr>
                <w:rFonts w:hint="eastAsia" w:cs="宋体"/>
                <w:bCs/>
                <w:szCs w:val="21"/>
                <w:highlight w:val="none"/>
              </w:rPr>
              <w:t>15.3.1</w:t>
            </w:r>
          </w:p>
        </w:tc>
        <w:tc>
          <w:tcPr>
            <w:tcW w:w="7304" w:type="dxa"/>
            <w:vAlign w:val="center"/>
          </w:tcPr>
          <w:p w14:paraId="082C2242">
            <w:pPr>
              <w:adjustRightInd w:val="0"/>
              <w:snapToGrid w:val="0"/>
              <w:spacing w:line="360" w:lineRule="auto"/>
              <w:rPr>
                <w:rFonts w:cs="宋体"/>
                <w:szCs w:val="21"/>
                <w:highlight w:val="none"/>
              </w:rPr>
            </w:pPr>
            <w:r>
              <w:rPr>
                <w:rFonts w:hint="eastAsia" w:cs="宋体"/>
                <w:szCs w:val="21"/>
                <w:highlight w:val="none"/>
              </w:rPr>
              <w:t>质量保证金可采用以下任意一种方式：</w:t>
            </w:r>
          </w:p>
          <w:p w14:paraId="3A126F4C">
            <w:pPr>
              <w:adjustRightInd w:val="0"/>
              <w:snapToGrid w:val="0"/>
              <w:spacing w:line="360" w:lineRule="auto"/>
              <w:rPr>
                <w:rFonts w:cs="宋体"/>
                <w:szCs w:val="21"/>
                <w:highlight w:val="none"/>
              </w:rPr>
            </w:pPr>
            <w:r>
              <w:rPr>
                <w:rFonts w:hint="eastAsia" w:cs="宋体"/>
                <w:szCs w:val="21"/>
                <w:highlight w:val="none"/>
              </w:rPr>
              <w:t>（1）由银行业金融机构、工程担保公司、保险机构出具银行保函、工程质量保险等担保方式，担保/保证金额为：</w:t>
            </w:r>
            <w:r>
              <w:rPr>
                <w:rFonts w:hint="eastAsia" w:cs="宋体"/>
                <w:szCs w:val="21"/>
                <w:highlight w:val="none"/>
                <w:u w:val="single"/>
              </w:rPr>
              <w:t xml:space="preserve"> 审定价3% ；</w:t>
            </w:r>
          </w:p>
          <w:p w14:paraId="6300A551">
            <w:pPr>
              <w:adjustRightInd w:val="0"/>
              <w:snapToGrid w:val="0"/>
              <w:spacing w:line="360" w:lineRule="auto"/>
              <w:rPr>
                <w:rFonts w:cs="宋体"/>
                <w:szCs w:val="21"/>
                <w:highlight w:val="none"/>
              </w:rPr>
            </w:pPr>
            <w:r>
              <w:rPr>
                <w:rFonts w:hint="eastAsia" w:cs="宋体"/>
                <w:szCs w:val="21"/>
                <w:highlight w:val="none"/>
              </w:rPr>
              <w:t xml:space="preserve">（2） </w:t>
            </w:r>
            <w:r>
              <w:rPr>
                <w:rFonts w:hint="eastAsia" w:cs="宋体"/>
                <w:szCs w:val="21"/>
                <w:highlight w:val="none"/>
                <w:u w:val="single"/>
              </w:rPr>
              <w:t xml:space="preserve">             ；</w:t>
            </w:r>
          </w:p>
          <w:p w14:paraId="26F4C33B">
            <w:pPr>
              <w:adjustRightInd w:val="0"/>
              <w:snapToGrid w:val="0"/>
              <w:spacing w:line="360" w:lineRule="auto"/>
              <w:rPr>
                <w:rFonts w:cs="宋体"/>
                <w:szCs w:val="21"/>
                <w:highlight w:val="none"/>
              </w:rPr>
            </w:pPr>
            <w:r>
              <w:rPr>
                <w:rFonts w:hint="eastAsia" w:cs="宋体"/>
                <w:szCs w:val="21"/>
                <w:highlight w:val="none"/>
              </w:rPr>
              <w:t>（3）其他方式：</w:t>
            </w:r>
            <w:r>
              <w:rPr>
                <w:rFonts w:hint="eastAsia" w:cs="宋体"/>
                <w:szCs w:val="21"/>
                <w:highlight w:val="none"/>
                <w:u w:val="single"/>
              </w:rPr>
              <w:t xml:space="preserve">             。</w:t>
            </w:r>
          </w:p>
          <w:p w14:paraId="6C485EF9">
            <w:pPr>
              <w:pStyle w:val="5"/>
              <w:snapToGrid w:val="0"/>
              <w:spacing w:line="360" w:lineRule="auto"/>
              <w:rPr>
                <w:rFonts w:cs="宋体"/>
                <w:sz w:val="21"/>
                <w:szCs w:val="21"/>
                <w:highlight w:val="none"/>
              </w:rPr>
            </w:pPr>
            <w:r>
              <w:rPr>
                <w:rFonts w:hint="eastAsia" w:cs="宋体"/>
                <w:sz w:val="21"/>
                <w:szCs w:val="21"/>
                <w:highlight w:val="none"/>
              </w:rPr>
              <w:t>注：以现金形式提交质量保证金的（含从工程款中以扣留方式提交的），同时退还银行同期活期存款利息。</w:t>
            </w:r>
          </w:p>
        </w:tc>
      </w:tr>
    </w:tbl>
    <w:p w14:paraId="71B84FF9">
      <w:pPr>
        <w:snapToGrid w:val="0"/>
        <w:spacing w:before="312" w:beforeLines="100" w:after="312" w:afterLines="100" w:line="360" w:lineRule="auto"/>
        <w:outlineLvl w:val="2"/>
        <w:rPr>
          <w:rFonts w:cs="宋体"/>
          <w:szCs w:val="21"/>
          <w:highlight w:val="none"/>
        </w:rPr>
      </w:pPr>
      <w:r>
        <w:rPr>
          <w:rFonts w:hint="eastAsia" w:cs="宋体"/>
          <w:szCs w:val="21"/>
          <w:highlight w:val="none"/>
        </w:rPr>
        <w:br w:type="page"/>
      </w:r>
      <w:r>
        <w:rPr>
          <w:rFonts w:hint="eastAsia" w:cs="宋体"/>
          <w:szCs w:val="21"/>
          <w:highlight w:val="none"/>
        </w:rPr>
        <w:t>1</w:t>
      </w:r>
      <w:bookmarkStart w:id="66" w:name="_Toc296346657"/>
      <w:bookmarkStart w:id="67" w:name="_Toc296891196"/>
      <w:bookmarkStart w:id="68" w:name="_Toc292559361"/>
      <w:bookmarkStart w:id="69" w:name="_Toc297048342"/>
      <w:bookmarkStart w:id="70" w:name="_Toc296890984"/>
      <w:bookmarkStart w:id="71" w:name="_Toc296347155"/>
      <w:bookmarkStart w:id="72" w:name="_Toc296944495"/>
      <w:bookmarkStart w:id="73" w:name="_Toc296503156"/>
      <w:bookmarkStart w:id="74" w:name="_Toc297120456"/>
      <w:bookmarkStart w:id="75" w:name="_Toc292559866"/>
      <w:r>
        <w:rPr>
          <w:rFonts w:hint="eastAsia" w:cs="宋体"/>
          <w:szCs w:val="21"/>
          <w:highlight w:val="none"/>
        </w:rPr>
        <w:t>. 一般约定</w:t>
      </w:r>
    </w:p>
    <w:bookmarkEnd w:id="66"/>
    <w:bookmarkEnd w:id="67"/>
    <w:bookmarkEnd w:id="68"/>
    <w:bookmarkEnd w:id="69"/>
    <w:bookmarkEnd w:id="70"/>
    <w:bookmarkEnd w:id="71"/>
    <w:bookmarkEnd w:id="72"/>
    <w:bookmarkEnd w:id="73"/>
    <w:bookmarkEnd w:id="74"/>
    <w:bookmarkEnd w:id="75"/>
    <w:p w14:paraId="77B35528">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1.1 词语定义与解释</w:t>
      </w:r>
    </w:p>
    <w:p w14:paraId="4E017069">
      <w:pPr>
        <w:adjustRightInd w:val="0"/>
        <w:snapToGrid w:val="0"/>
        <w:spacing w:line="360" w:lineRule="auto"/>
        <w:ind w:firstLine="420" w:firstLineChars="200"/>
        <w:rPr>
          <w:rFonts w:cs="宋体"/>
          <w:szCs w:val="21"/>
          <w:highlight w:val="none"/>
        </w:rPr>
      </w:pPr>
      <w:r>
        <w:rPr>
          <w:rFonts w:hint="eastAsia" w:cs="宋体"/>
          <w:szCs w:val="21"/>
          <w:highlight w:val="none"/>
        </w:rPr>
        <w:t>1.1.1 合同</w:t>
      </w:r>
    </w:p>
    <w:p w14:paraId="22BC16AE">
      <w:pPr>
        <w:adjustRightInd w:val="0"/>
        <w:snapToGrid w:val="0"/>
        <w:spacing w:line="360" w:lineRule="auto"/>
        <w:ind w:firstLine="420" w:firstLineChars="200"/>
        <w:rPr>
          <w:rFonts w:cs="宋体"/>
          <w:szCs w:val="21"/>
          <w:highlight w:val="none"/>
          <w:u w:val="single"/>
        </w:rPr>
      </w:pPr>
      <w:r>
        <w:rPr>
          <w:rFonts w:hint="eastAsia" w:cs="宋体"/>
          <w:szCs w:val="21"/>
          <w:highlight w:val="none"/>
        </w:rPr>
        <w:t>1.1.1.10 其他合同文件包括：</w:t>
      </w:r>
      <w:r>
        <w:rPr>
          <w:rFonts w:hint="eastAsia" w:cs="宋体"/>
          <w:szCs w:val="21"/>
          <w:highlight w:val="none"/>
          <w:u w:val="single"/>
        </w:rPr>
        <w:t xml:space="preserve"> </w:t>
      </w:r>
      <w:r>
        <w:rPr>
          <w:highlight w:val="none"/>
          <w:u w:val="single"/>
        </w:rPr>
        <w:t>合同履行过程中双方就有关工程洽商、变更达成的书面协议</w:t>
      </w:r>
    </w:p>
    <w:p w14:paraId="60ECCEFC">
      <w:pPr>
        <w:adjustRightInd w:val="0"/>
        <w:snapToGrid w:val="0"/>
        <w:spacing w:line="360" w:lineRule="auto"/>
        <w:ind w:firstLine="420" w:firstLineChars="200"/>
        <w:rPr>
          <w:rFonts w:cs="宋体"/>
          <w:szCs w:val="21"/>
          <w:highlight w:val="none"/>
        </w:rPr>
      </w:pPr>
      <w:r>
        <w:rPr>
          <w:rFonts w:hint="eastAsia" w:cs="宋体"/>
          <w:szCs w:val="21"/>
          <w:highlight w:val="none"/>
        </w:rPr>
        <w:t>1.1.2 合同当事人及其他相关方</w:t>
      </w:r>
    </w:p>
    <w:p w14:paraId="5214917C">
      <w:pPr>
        <w:adjustRightInd w:val="0"/>
        <w:snapToGrid w:val="0"/>
        <w:spacing w:line="360" w:lineRule="auto"/>
        <w:ind w:firstLine="420" w:firstLineChars="200"/>
        <w:rPr>
          <w:rFonts w:cs="宋体"/>
          <w:szCs w:val="21"/>
          <w:highlight w:val="none"/>
        </w:rPr>
      </w:pPr>
      <w:r>
        <w:rPr>
          <w:rFonts w:hint="eastAsia" w:cs="宋体"/>
          <w:szCs w:val="21"/>
          <w:highlight w:val="none"/>
        </w:rPr>
        <w:t>1.1.2.4 监理人：</w:t>
      </w:r>
    </w:p>
    <w:p w14:paraId="2ADDBA09">
      <w:pPr>
        <w:adjustRightInd w:val="0"/>
        <w:snapToGrid w:val="0"/>
        <w:spacing w:line="360" w:lineRule="auto"/>
        <w:ind w:firstLine="420" w:firstLineChars="200"/>
        <w:rPr>
          <w:rFonts w:cs="宋体"/>
          <w:szCs w:val="21"/>
          <w:highlight w:val="none"/>
        </w:rPr>
      </w:pPr>
      <w:r>
        <w:rPr>
          <w:rFonts w:hint="eastAsia" w:cs="宋体"/>
          <w:szCs w:val="21"/>
          <w:highlight w:val="none"/>
        </w:rPr>
        <w:t>名    称：</w:t>
      </w:r>
      <w:r>
        <w:rPr>
          <w:rFonts w:hint="eastAsia" w:cs="宋体"/>
          <w:szCs w:val="21"/>
          <w:highlight w:val="none"/>
          <w:u w:val="single"/>
        </w:rPr>
        <w:t xml:space="preserve">                 </w:t>
      </w:r>
      <w:r>
        <w:rPr>
          <w:rFonts w:hint="eastAsia" w:cs="宋体"/>
          <w:szCs w:val="21"/>
          <w:highlight w:val="none"/>
        </w:rPr>
        <w:t>；</w:t>
      </w:r>
    </w:p>
    <w:p w14:paraId="28CB8351">
      <w:pPr>
        <w:adjustRightInd w:val="0"/>
        <w:snapToGrid w:val="0"/>
        <w:spacing w:line="360" w:lineRule="auto"/>
        <w:ind w:firstLine="420" w:firstLineChars="200"/>
        <w:rPr>
          <w:rFonts w:cs="宋体"/>
          <w:szCs w:val="21"/>
          <w:highlight w:val="none"/>
        </w:rPr>
      </w:pPr>
      <w:r>
        <w:rPr>
          <w:rFonts w:hint="eastAsia" w:cs="宋体"/>
          <w:szCs w:val="21"/>
          <w:highlight w:val="none"/>
        </w:rPr>
        <w:t>资质类别和等级：</w:t>
      </w:r>
      <w:r>
        <w:rPr>
          <w:rFonts w:hint="eastAsia" w:cs="宋体"/>
          <w:szCs w:val="21"/>
          <w:highlight w:val="none"/>
          <w:u w:val="single"/>
        </w:rPr>
        <w:t xml:space="preserve">                 </w:t>
      </w:r>
      <w:r>
        <w:rPr>
          <w:rFonts w:hint="eastAsia" w:cs="宋体"/>
          <w:szCs w:val="21"/>
          <w:highlight w:val="none"/>
        </w:rPr>
        <w:t>；</w:t>
      </w:r>
    </w:p>
    <w:p w14:paraId="0D070C23">
      <w:pPr>
        <w:adjustRightInd w:val="0"/>
        <w:snapToGrid w:val="0"/>
        <w:spacing w:line="360" w:lineRule="auto"/>
        <w:ind w:firstLine="420" w:firstLineChars="200"/>
        <w:rPr>
          <w:rFonts w:cs="宋体"/>
          <w:szCs w:val="21"/>
          <w:highlight w:val="none"/>
        </w:rPr>
      </w:pPr>
      <w:r>
        <w:rPr>
          <w:rFonts w:hint="eastAsia" w:cs="宋体"/>
          <w:szCs w:val="21"/>
          <w:highlight w:val="none"/>
        </w:rPr>
        <w:t>联系电话：</w:t>
      </w:r>
      <w:r>
        <w:rPr>
          <w:rFonts w:hint="eastAsia" w:cs="宋体"/>
          <w:szCs w:val="21"/>
          <w:highlight w:val="none"/>
          <w:u w:val="single"/>
        </w:rPr>
        <w:t xml:space="preserve">                 </w:t>
      </w:r>
      <w:r>
        <w:rPr>
          <w:rFonts w:hint="eastAsia" w:cs="宋体"/>
          <w:szCs w:val="21"/>
          <w:highlight w:val="none"/>
        </w:rPr>
        <w:t>；</w:t>
      </w:r>
    </w:p>
    <w:p w14:paraId="347CC49E">
      <w:pPr>
        <w:adjustRightInd w:val="0"/>
        <w:snapToGrid w:val="0"/>
        <w:spacing w:line="360" w:lineRule="auto"/>
        <w:ind w:firstLine="420" w:firstLineChars="200"/>
        <w:rPr>
          <w:rFonts w:cs="宋体"/>
          <w:szCs w:val="21"/>
          <w:highlight w:val="none"/>
        </w:rPr>
      </w:pPr>
      <w:r>
        <w:rPr>
          <w:rFonts w:hint="eastAsia" w:cs="宋体"/>
          <w:szCs w:val="21"/>
          <w:highlight w:val="none"/>
        </w:rPr>
        <w:t>电子信箱：</w:t>
      </w:r>
      <w:r>
        <w:rPr>
          <w:rFonts w:hint="eastAsia" w:cs="宋体"/>
          <w:szCs w:val="21"/>
          <w:highlight w:val="none"/>
          <w:u w:val="single"/>
        </w:rPr>
        <w:t xml:space="preserve">                 </w:t>
      </w:r>
      <w:r>
        <w:rPr>
          <w:rFonts w:hint="eastAsia" w:cs="宋体"/>
          <w:szCs w:val="21"/>
          <w:highlight w:val="none"/>
        </w:rPr>
        <w:t>；</w:t>
      </w:r>
    </w:p>
    <w:p w14:paraId="5F10D0DF">
      <w:pPr>
        <w:adjustRightInd w:val="0"/>
        <w:snapToGrid w:val="0"/>
        <w:spacing w:line="360" w:lineRule="auto"/>
        <w:ind w:firstLine="420" w:firstLineChars="200"/>
        <w:rPr>
          <w:rFonts w:cs="宋体"/>
          <w:szCs w:val="21"/>
          <w:highlight w:val="none"/>
        </w:rPr>
      </w:pPr>
      <w:r>
        <w:rPr>
          <w:rFonts w:hint="eastAsia" w:cs="宋体"/>
          <w:szCs w:val="21"/>
          <w:highlight w:val="none"/>
        </w:rPr>
        <w:t>通信地址：</w:t>
      </w:r>
      <w:r>
        <w:rPr>
          <w:rFonts w:hint="eastAsia" w:cs="宋体"/>
          <w:szCs w:val="21"/>
          <w:highlight w:val="none"/>
          <w:u w:val="single"/>
        </w:rPr>
        <w:t xml:space="preserve">                 </w:t>
      </w:r>
      <w:r>
        <w:rPr>
          <w:rFonts w:hint="eastAsia" w:cs="宋体"/>
          <w:szCs w:val="21"/>
          <w:highlight w:val="none"/>
        </w:rPr>
        <w:t>。</w:t>
      </w:r>
    </w:p>
    <w:p w14:paraId="66E99E96">
      <w:pPr>
        <w:adjustRightInd w:val="0"/>
        <w:snapToGrid w:val="0"/>
        <w:spacing w:line="360" w:lineRule="auto"/>
        <w:ind w:firstLine="420" w:firstLineChars="200"/>
        <w:rPr>
          <w:rFonts w:cs="宋体"/>
          <w:szCs w:val="21"/>
          <w:highlight w:val="none"/>
        </w:rPr>
      </w:pPr>
      <w:r>
        <w:rPr>
          <w:rFonts w:hint="eastAsia" w:cs="宋体"/>
          <w:szCs w:val="21"/>
          <w:highlight w:val="none"/>
        </w:rPr>
        <w:t>1.1.2.5 设计人：</w:t>
      </w:r>
    </w:p>
    <w:p w14:paraId="457B628B">
      <w:pPr>
        <w:adjustRightInd w:val="0"/>
        <w:snapToGrid w:val="0"/>
        <w:spacing w:line="360" w:lineRule="auto"/>
        <w:ind w:firstLine="420" w:firstLineChars="200"/>
        <w:rPr>
          <w:rFonts w:cs="宋体"/>
          <w:szCs w:val="21"/>
          <w:highlight w:val="none"/>
        </w:rPr>
      </w:pPr>
      <w:r>
        <w:rPr>
          <w:rFonts w:hint="eastAsia" w:cs="宋体"/>
          <w:szCs w:val="21"/>
          <w:highlight w:val="none"/>
        </w:rPr>
        <w:t>名    称：</w:t>
      </w:r>
      <w:r>
        <w:rPr>
          <w:rFonts w:hint="eastAsia" w:cs="宋体"/>
          <w:szCs w:val="21"/>
          <w:highlight w:val="none"/>
          <w:u w:val="single"/>
        </w:rPr>
        <w:t xml:space="preserve">                 </w:t>
      </w:r>
      <w:r>
        <w:rPr>
          <w:rFonts w:hint="eastAsia" w:cs="宋体"/>
          <w:szCs w:val="21"/>
          <w:highlight w:val="none"/>
        </w:rPr>
        <w:t>；</w:t>
      </w:r>
    </w:p>
    <w:p w14:paraId="2543D6F4">
      <w:pPr>
        <w:adjustRightInd w:val="0"/>
        <w:snapToGrid w:val="0"/>
        <w:spacing w:line="360" w:lineRule="auto"/>
        <w:ind w:firstLine="420" w:firstLineChars="200"/>
        <w:rPr>
          <w:rFonts w:cs="宋体"/>
          <w:szCs w:val="21"/>
          <w:highlight w:val="none"/>
        </w:rPr>
      </w:pPr>
      <w:r>
        <w:rPr>
          <w:rFonts w:hint="eastAsia" w:cs="宋体"/>
          <w:szCs w:val="21"/>
          <w:highlight w:val="none"/>
        </w:rPr>
        <w:t>资质类别和等级：</w:t>
      </w:r>
      <w:r>
        <w:rPr>
          <w:rFonts w:hint="eastAsia" w:cs="宋体"/>
          <w:szCs w:val="21"/>
          <w:highlight w:val="none"/>
          <w:u w:val="single"/>
        </w:rPr>
        <w:t xml:space="preserve">                 </w:t>
      </w:r>
      <w:r>
        <w:rPr>
          <w:rFonts w:hint="eastAsia" w:cs="宋体"/>
          <w:szCs w:val="21"/>
          <w:highlight w:val="none"/>
        </w:rPr>
        <w:t>；</w:t>
      </w:r>
    </w:p>
    <w:p w14:paraId="20A36A80">
      <w:pPr>
        <w:adjustRightInd w:val="0"/>
        <w:snapToGrid w:val="0"/>
        <w:spacing w:line="360" w:lineRule="auto"/>
        <w:ind w:firstLine="420" w:firstLineChars="200"/>
        <w:rPr>
          <w:rFonts w:cs="宋体"/>
          <w:szCs w:val="21"/>
          <w:highlight w:val="none"/>
        </w:rPr>
      </w:pPr>
      <w:r>
        <w:rPr>
          <w:rFonts w:hint="eastAsia" w:cs="宋体"/>
          <w:szCs w:val="21"/>
          <w:highlight w:val="none"/>
        </w:rPr>
        <w:t>联系电话：</w:t>
      </w:r>
      <w:r>
        <w:rPr>
          <w:rFonts w:hint="eastAsia" w:cs="宋体"/>
          <w:szCs w:val="21"/>
          <w:highlight w:val="none"/>
          <w:u w:val="single"/>
        </w:rPr>
        <w:t xml:space="preserve">                 </w:t>
      </w:r>
      <w:r>
        <w:rPr>
          <w:rFonts w:hint="eastAsia" w:cs="宋体"/>
          <w:szCs w:val="21"/>
          <w:highlight w:val="none"/>
        </w:rPr>
        <w:t>；</w:t>
      </w:r>
    </w:p>
    <w:p w14:paraId="610B3E39">
      <w:pPr>
        <w:adjustRightInd w:val="0"/>
        <w:snapToGrid w:val="0"/>
        <w:spacing w:line="360" w:lineRule="auto"/>
        <w:ind w:firstLine="420" w:firstLineChars="200"/>
        <w:rPr>
          <w:rFonts w:cs="宋体"/>
          <w:szCs w:val="21"/>
          <w:highlight w:val="none"/>
        </w:rPr>
      </w:pPr>
      <w:r>
        <w:rPr>
          <w:rFonts w:hint="eastAsia" w:cs="宋体"/>
          <w:szCs w:val="21"/>
          <w:highlight w:val="none"/>
        </w:rPr>
        <w:t>电子信箱：</w:t>
      </w:r>
      <w:r>
        <w:rPr>
          <w:rFonts w:hint="eastAsia" w:cs="宋体"/>
          <w:szCs w:val="21"/>
          <w:highlight w:val="none"/>
          <w:u w:val="single"/>
        </w:rPr>
        <w:t xml:space="preserve">                 </w:t>
      </w:r>
      <w:r>
        <w:rPr>
          <w:rFonts w:hint="eastAsia" w:cs="宋体"/>
          <w:szCs w:val="21"/>
          <w:highlight w:val="none"/>
        </w:rPr>
        <w:t>；</w:t>
      </w:r>
    </w:p>
    <w:p w14:paraId="1E861C8E">
      <w:pPr>
        <w:adjustRightInd w:val="0"/>
        <w:snapToGrid w:val="0"/>
        <w:spacing w:line="360" w:lineRule="auto"/>
        <w:ind w:firstLine="420" w:firstLineChars="200"/>
        <w:rPr>
          <w:rFonts w:cs="宋体"/>
          <w:szCs w:val="21"/>
          <w:highlight w:val="none"/>
        </w:rPr>
      </w:pPr>
      <w:r>
        <w:rPr>
          <w:rFonts w:hint="eastAsia" w:cs="宋体"/>
          <w:szCs w:val="21"/>
          <w:highlight w:val="none"/>
        </w:rPr>
        <w:t>通信地址：</w:t>
      </w:r>
      <w:r>
        <w:rPr>
          <w:rFonts w:hint="eastAsia" w:cs="宋体"/>
          <w:szCs w:val="21"/>
          <w:highlight w:val="none"/>
          <w:u w:val="single"/>
        </w:rPr>
        <w:t xml:space="preserve">                 </w:t>
      </w:r>
      <w:r>
        <w:rPr>
          <w:rFonts w:hint="eastAsia" w:cs="宋体"/>
          <w:szCs w:val="21"/>
          <w:highlight w:val="none"/>
        </w:rPr>
        <w:t>。</w:t>
      </w:r>
    </w:p>
    <w:p w14:paraId="4A7C286B">
      <w:pPr>
        <w:adjustRightInd w:val="0"/>
        <w:snapToGrid w:val="0"/>
        <w:spacing w:line="360" w:lineRule="auto"/>
        <w:ind w:firstLine="420" w:firstLineChars="200"/>
        <w:rPr>
          <w:rFonts w:cs="宋体"/>
          <w:szCs w:val="21"/>
          <w:highlight w:val="none"/>
        </w:rPr>
      </w:pPr>
      <w:r>
        <w:rPr>
          <w:rFonts w:hint="eastAsia" w:cs="宋体"/>
          <w:szCs w:val="21"/>
          <w:highlight w:val="none"/>
        </w:rPr>
        <w:t>1.1.3 工程和设备</w:t>
      </w:r>
    </w:p>
    <w:p w14:paraId="28DACE9E">
      <w:pPr>
        <w:adjustRightInd w:val="0"/>
        <w:snapToGrid w:val="0"/>
        <w:spacing w:line="360" w:lineRule="auto"/>
        <w:ind w:firstLine="420" w:firstLineChars="200"/>
        <w:rPr>
          <w:rFonts w:cs="宋体"/>
          <w:szCs w:val="21"/>
          <w:highlight w:val="none"/>
        </w:rPr>
      </w:pPr>
      <w:r>
        <w:rPr>
          <w:rFonts w:hint="eastAsia" w:cs="宋体"/>
          <w:szCs w:val="21"/>
          <w:highlight w:val="none"/>
        </w:rPr>
        <w:t>1.1.3.7 作为施工现场组成部分的其他场所包括：</w:t>
      </w:r>
      <w:r>
        <w:rPr>
          <w:rFonts w:hint="eastAsia" w:cs="宋体"/>
          <w:szCs w:val="21"/>
          <w:highlight w:val="none"/>
          <w:u w:val="single"/>
        </w:rPr>
        <w:t xml:space="preserve"> </w:t>
      </w:r>
      <w:r>
        <w:rPr>
          <w:highlight w:val="none"/>
          <w:u w:val="single"/>
        </w:rPr>
        <w:t>永久占地和临时占地</w:t>
      </w:r>
      <w:r>
        <w:rPr>
          <w:rFonts w:hint="eastAsia" w:cs="宋体"/>
          <w:szCs w:val="21"/>
          <w:highlight w:val="none"/>
        </w:rPr>
        <w:t>。</w:t>
      </w:r>
    </w:p>
    <w:p w14:paraId="026411E2">
      <w:pPr>
        <w:adjustRightInd w:val="0"/>
        <w:snapToGrid w:val="0"/>
        <w:spacing w:line="360" w:lineRule="auto"/>
        <w:ind w:firstLine="420" w:firstLineChars="200"/>
        <w:rPr>
          <w:rFonts w:cs="宋体"/>
          <w:szCs w:val="21"/>
          <w:highlight w:val="none"/>
        </w:rPr>
      </w:pPr>
      <w:r>
        <w:rPr>
          <w:rFonts w:hint="eastAsia" w:cs="宋体"/>
          <w:szCs w:val="21"/>
          <w:highlight w:val="none"/>
        </w:rPr>
        <w:t>1.1.3.9 永久占地包括：</w:t>
      </w:r>
      <w:r>
        <w:rPr>
          <w:rFonts w:hint="eastAsia" w:cs="宋体"/>
          <w:szCs w:val="21"/>
          <w:highlight w:val="none"/>
          <w:u w:val="single"/>
        </w:rPr>
        <w:t xml:space="preserve"> </w:t>
      </w:r>
      <w:r>
        <w:rPr>
          <w:highlight w:val="none"/>
          <w:u w:val="single"/>
        </w:rPr>
        <w:t>实施工程需永久占用的土地</w:t>
      </w:r>
      <w:r>
        <w:rPr>
          <w:rFonts w:hint="eastAsia" w:cs="宋体"/>
          <w:szCs w:val="21"/>
          <w:highlight w:val="none"/>
        </w:rPr>
        <w:t>。</w:t>
      </w:r>
    </w:p>
    <w:p w14:paraId="0A803AFE">
      <w:pPr>
        <w:adjustRightInd w:val="0"/>
        <w:snapToGrid w:val="0"/>
        <w:spacing w:line="360" w:lineRule="auto"/>
        <w:ind w:firstLine="420" w:firstLineChars="200"/>
        <w:rPr>
          <w:rFonts w:cs="宋体"/>
          <w:szCs w:val="21"/>
          <w:highlight w:val="none"/>
        </w:rPr>
      </w:pPr>
      <w:r>
        <w:rPr>
          <w:rFonts w:hint="eastAsia" w:cs="宋体"/>
          <w:szCs w:val="21"/>
          <w:highlight w:val="none"/>
        </w:rPr>
        <w:t>1.1.3.10 临时占地包括：</w:t>
      </w:r>
      <w:r>
        <w:rPr>
          <w:rFonts w:hint="eastAsia" w:cs="宋体"/>
          <w:szCs w:val="21"/>
          <w:highlight w:val="none"/>
          <w:u w:val="single"/>
        </w:rPr>
        <w:t xml:space="preserve"> </w:t>
      </w:r>
      <w:r>
        <w:rPr>
          <w:highlight w:val="none"/>
          <w:u w:val="single"/>
        </w:rPr>
        <w:t>为满足施工需要临时占用的土地，包括但不限于施工便道、临时性生产和生活设施、材料堆场等临时用地</w:t>
      </w:r>
      <w:r>
        <w:rPr>
          <w:rFonts w:hint="eastAsia" w:cs="宋体"/>
          <w:szCs w:val="21"/>
          <w:highlight w:val="none"/>
        </w:rPr>
        <w:t>。</w:t>
      </w:r>
    </w:p>
    <w:p w14:paraId="54F2F751">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 xml:space="preserve">1.3 法律 </w:t>
      </w:r>
    </w:p>
    <w:p w14:paraId="3D1C2DD3">
      <w:pPr>
        <w:adjustRightInd w:val="0"/>
        <w:snapToGrid w:val="0"/>
        <w:spacing w:line="360" w:lineRule="auto"/>
        <w:ind w:firstLine="420" w:firstLineChars="200"/>
        <w:rPr>
          <w:rFonts w:cs="宋体"/>
          <w:szCs w:val="21"/>
          <w:highlight w:val="none"/>
          <w:u w:val="single"/>
        </w:rPr>
      </w:pPr>
      <w:r>
        <w:rPr>
          <w:rFonts w:hint="eastAsia" w:cs="宋体"/>
          <w:szCs w:val="21"/>
          <w:highlight w:val="none"/>
        </w:rPr>
        <w:t>适用于合同的其他规范性文件：</w:t>
      </w:r>
      <w:r>
        <w:rPr>
          <w:rFonts w:hint="eastAsia" w:cs="宋体"/>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szCs w:val="21"/>
          <w:highlight w:val="none"/>
        </w:rPr>
        <w:t>。</w:t>
      </w:r>
    </w:p>
    <w:p w14:paraId="1BB74210">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1.4 标准和规范</w:t>
      </w:r>
    </w:p>
    <w:p w14:paraId="0CF8369F">
      <w:pPr>
        <w:adjustRightInd w:val="0"/>
        <w:snapToGrid w:val="0"/>
        <w:spacing w:line="360" w:lineRule="auto"/>
        <w:ind w:firstLine="420" w:firstLineChars="200"/>
        <w:rPr>
          <w:rFonts w:cs="宋体"/>
          <w:szCs w:val="21"/>
          <w:highlight w:val="none"/>
        </w:rPr>
      </w:pPr>
      <w:r>
        <w:rPr>
          <w:rFonts w:hint="eastAsia" w:cs="宋体"/>
          <w:szCs w:val="21"/>
          <w:highlight w:val="none"/>
        </w:rPr>
        <w:t>1.4.1 适用于工程的标准规范包括：</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19CB001B">
      <w:pPr>
        <w:adjustRightInd w:val="0"/>
        <w:snapToGrid w:val="0"/>
        <w:spacing w:line="360" w:lineRule="auto"/>
        <w:ind w:firstLine="420" w:firstLineChars="200"/>
        <w:rPr>
          <w:rFonts w:cs="宋体"/>
          <w:szCs w:val="21"/>
          <w:highlight w:val="none"/>
          <w:u w:val="single"/>
        </w:rPr>
      </w:pPr>
      <w:r>
        <w:rPr>
          <w:rFonts w:hint="eastAsia" w:cs="宋体"/>
          <w:szCs w:val="21"/>
          <w:highlight w:val="none"/>
        </w:rPr>
        <w:t>1.4.2 发包人提供国外标准、规范的名称：</w:t>
      </w:r>
      <w:r>
        <w:rPr>
          <w:rFonts w:hint="eastAsia" w:cs="宋体"/>
          <w:szCs w:val="21"/>
          <w:highlight w:val="none"/>
          <w:u w:val="single"/>
        </w:rPr>
        <w:t xml:space="preserve"> </w:t>
      </w:r>
      <w:r>
        <w:rPr>
          <w:kern w:val="0"/>
          <w:highlight w:val="none"/>
          <w:u w:val="single"/>
        </w:rPr>
        <w:t>本条款不采用</w:t>
      </w:r>
      <w:r>
        <w:rPr>
          <w:rFonts w:hint="eastAsia" w:cs="宋体"/>
          <w:szCs w:val="21"/>
          <w:highlight w:val="none"/>
        </w:rPr>
        <w:t>；</w:t>
      </w:r>
    </w:p>
    <w:p w14:paraId="0DEF2319">
      <w:pPr>
        <w:adjustRightInd w:val="0"/>
        <w:snapToGrid w:val="0"/>
        <w:spacing w:line="360" w:lineRule="auto"/>
        <w:ind w:firstLine="420" w:firstLineChars="200"/>
        <w:rPr>
          <w:rFonts w:cs="宋体"/>
          <w:szCs w:val="21"/>
          <w:highlight w:val="none"/>
        </w:rPr>
      </w:pPr>
      <w:r>
        <w:rPr>
          <w:rFonts w:hint="eastAsia" w:cs="宋体"/>
          <w:szCs w:val="21"/>
          <w:highlight w:val="none"/>
        </w:rPr>
        <w:t>发包人提供国外标准、规范的份数：</w:t>
      </w:r>
      <w:r>
        <w:rPr>
          <w:rFonts w:hint="eastAsia" w:cs="宋体"/>
          <w:szCs w:val="21"/>
          <w:highlight w:val="none"/>
          <w:u w:val="single"/>
        </w:rPr>
        <w:t xml:space="preserve">          /            </w:t>
      </w:r>
      <w:r>
        <w:rPr>
          <w:rFonts w:hint="eastAsia" w:cs="宋体"/>
          <w:szCs w:val="21"/>
          <w:highlight w:val="none"/>
        </w:rPr>
        <w:t>；</w:t>
      </w:r>
    </w:p>
    <w:p w14:paraId="722F4DCD">
      <w:pPr>
        <w:adjustRightInd w:val="0"/>
        <w:snapToGrid w:val="0"/>
        <w:spacing w:line="360" w:lineRule="auto"/>
        <w:ind w:firstLine="420" w:firstLineChars="200"/>
        <w:rPr>
          <w:rFonts w:cs="宋体"/>
          <w:szCs w:val="21"/>
          <w:highlight w:val="none"/>
        </w:rPr>
      </w:pPr>
      <w:r>
        <w:rPr>
          <w:rFonts w:hint="eastAsia" w:cs="宋体"/>
          <w:szCs w:val="21"/>
          <w:highlight w:val="none"/>
        </w:rPr>
        <w:t>发包人提供国外标准、规范的时间：</w:t>
      </w:r>
      <w:r>
        <w:rPr>
          <w:rFonts w:hint="eastAsia" w:cs="宋体"/>
          <w:szCs w:val="21"/>
          <w:highlight w:val="none"/>
          <w:u w:val="single"/>
        </w:rPr>
        <w:t xml:space="preserve">           /           </w:t>
      </w:r>
      <w:r>
        <w:rPr>
          <w:rFonts w:hint="eastAsia" w:cs="宋体"/>
          <w:szCs w:val="21"/>
          <w:highlight w:val="none"/>
        </w:rPr>
        <w:t>。</w:t>
      </w:r>
    </w:p>
    <w:p w14:paraId="39EF720E">
      <w:pPr>
        <w:adjustRightInd w:val="0"/>
        <w:snapToGrid w:val="0"/>
        <w:spacing w:line="360" w:lineRule="auto"/>
        <w:ind w:firstLine="420" w:firstLineChars="200"/>
        <w:rPr>
          <w:rFonts w:cs="宋体"/>
          <w:szCs w:val="21"/>
          <w:highlight w:val="none"/>
        </w:rPr>
      </w:pPr>
      <w:r>
        <w:rPr>
          <w:rFonts w:hint="eastAsia" w:cs="宋体"/>
          <w:szCs w:val="21"/>
          <w:highlight w:val="none"/>
        </w:rPr>
        <w:t>1.4.3 发包人对工程的技术标准和功能要求的特殊要求：</w:t>
      </w:r>
      <w:r>
        <w:rPr>
          <w:rFonts w:hint="eastAsia" w:cs="宋体"/>
          <w:szCs w:val="21"/>
          <w:highlight w:val="none"/>
          <w:u w:val="single"/>
        </w:rPr>
        <w:t xml:space="preserve">     /     </w:t>
      </w:r>
      <w:r>
        <w:rPr>
          <w:rFonts w:hint="eastAsia" w:cs="宋体"/>
          <w:szCs w:val="21"/>
          <w:highlight w:val="none"/>
        </w:rPr>
        <w:t>。</w:t>
      </w:r>
    </w:p>
    <w:p w14:paraId="3A43186A">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1.5 合同文件的优先顺序</w:t>
      </w:r>
    </w:p>
    <w:p w14:paraId="046E51BB">
      <w:pPr>
        <w:adjustRightInd w:val="0"/>
        <w:snapToGrid w:val="0"/>
        <w:spacing w:line="360" w:lineRule="auto"/>
        <w:ind w:firstLine="420" w:firstLineChars="200"/>
        <w:rPr>
          <w:rFonts w:cs="宋体"/>
          <w:b/>
          <w:szCs w:val="21"/>
          <w:highlight w:val="none"/>
          <w:u w:val="single"/>
        </w:rPr>
      </w:pPr>
      <w:r>
        <w:rPr>
          <w:rFonts w:hint="eastAsia" w:cs="宋体"/>
          <w:szCs w:val="21"/>
          <w:highlight w:val="none"/>
        </w:rPr>
        <w:t>合同文件组成及优先顺序为：</w:t>
      </w:r>
      <w:r>
        <w:rPr>
          <w:rFonts w:hint="eastAsia" w:cs="宋体"/>
          <w:szCs w:val="21"/>
          <w:highlight w:val="none"/>
          <w:u w:val="single"/>
        </w:rPr>
        <w:t xml:space="preserve"> </w:t>
      </w:r>
      <w:r>
        <w:rPr>
          <w:highlight w:val="none"/>
          <w:u w:val="single"/>
        </w:rPr>
        <w:t>执行通用条款</w:t>
      </w:r>
    </w:p>
    <w:p w14:paraId="641AF0AD">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1.6 图纸和承包人文件</w:t>
      </w:r>
      <w:r>
        <w:rPr>
          <w:rFonts w:hint="eastAsia" w:cs="宋体"/>
          <w:bCs/>
          <w:szCs w:val="21"/>
          <w:highlight w:val="none"/>
        </w:rPr>
        <w:tab/>
      </w:r>
    </w:p>
    <w:p w14:paraId="3A3BA0AE">
      <w:pPr>
        <w:adjustRightInd w:val="0"/>
        <w:snapToGrid w:val="0"/>
        <w:spacing w:line="360" w:lineRule="auto"/>
        <w:ind w:firstLine="420" w:firstLineChars="200"/>
        <w:rPr>
          <w:rFonts w:cs="宋体"/>
          <w:szCs w:val="21"/>
          <w:highlight w:val="none"/>
        </w:rPr>
      </w:pPr>
      <w:r>
        <w:rPr>
          <w:rFonts w:hint="eastAsia" w:cs="宋体"/>
          <w:szCs w:val="21"/>
          <w:highlight w:val="none"/>
        </w:rPr>
        <w:t>1.6.1 图纸的提供和交底</w:t>
      </w:r>
    </w:p>
    <w:p w14:paraId="68BA9A1B">
      <w:pPr>
        <w:adjustRightInd w:val="0"/>
        <w:snapToGrid w:val="0"/>
        <w:spacing w:line="360" w:lineRule="auto"/>
        <w:ind w:firstLine="420" w:firstLineChars="200"/>
        <w:rPr>
          <w:rFonts w:cs="宋体"/>
          <w:szCs w:val="21"/>
          <w:highlight w:val="none"/>
        </w:rPr>
      </w:pPr>
      <w:r>
        <w:rPr>
          <w:rFonts w:hint="eastAsia" w:cs="宋体"/>
          <w:szCs w:val="21"/>
          <w:highlight w:val="none"/>
        </w:rPr>
        <w:t>发包人向承包人提供图纸的期限：</w:t>
      </w:r>
      <w:r>
        <w:rPr>
          <w:rFonts w:hint="eastAsia" w:cs="宋体"/>
          <w:szCs w:val="21"/>
          <w:highlight w:val="none"/>
          <w:u w:val="single"/>
        </w:rPr>
        <w:t xml:space="preserve">          </w:t>
      </w:r>
      <w:r>
        <w:rPr>
          <w:rFonts w:hint="eastAsia" w:cs="宋体"/>
          <w:szCs w:val="21"/>
          <w:highlight w:val="none"/>
        </w:rPr>
        <w:t>；</w:t>
      </w:r>
    </w:p>
    <w:p w14:paraId="4E7405BC">
      <w:pPr>
        <w:adjustRightInd w:val="0"/>
        <w:snapToGrid w:val="0"/>
        <w:spacing w:line="360" w:lineRule="auto"/>
        <w:ind w:firstLine="420" w:firstLineChars="200"/>
        <w:rPr>
          <w:rFonts w:cs="宋体"/>
          <w:szCs w:val="21"/>
          <w:highlight w:val="none"/>
        </w:rPr>
      </w:pPr>
      <w:r>
        <w:rPr>
          <w:rFonts w:hint="eastAsia" w:cs="宋体"/>
          <w:szCs w:val="21"/>
          <w:highlight w:val="none"/>
        </w:rPr>
        <w:t>发包人向承包人提供图纸的数量：</w:t>
      </w:r>
      <w:r>
        <w:rPr>
          <w:rFonts w:hint="eastAsia" w:cs="宋体"/>
          <w:szCs w:val="21"/>
          <w:highlight w:val="none"/>
          <w:u w:val="single"/>
        </w:rPr>
        <w:t>提供2套，不足的由承包人自行复制，费用自理；</w:t>
      </w:r>
    </w:p>
    <w:p w14:paraId="13C99ECF">
      <w:pPr>
        <w:adjustRightInd w:val="0"/>
        <w:snapToGrid w:val="0"/>
        <w:spacing w:line="360" w:lineRule="auto"/>
        <w:ind w:firstLine="420" w:firstLineChars="200"/>
        <w:rPr>
          <w:rFonts w:cs="宋体"/>
          <w:szCs w:val="21"/>
          <w:highlight w:val="none"/>
        </w:rPr>
      </w:pPr>
      <w:r>
        <w:rPr>
          <w:rFonts w:hint="eastAsia" w:cs="宋体"/>
          <w:szCs w:val="21"/>
          <w:highlight w:val="none"/>
        </w:rPr>
        <w:t>发包人向承包人提供图纸的内容：</w:t>
      </w:r>
      <w:r>
        <w:rPr>
          <w:rFonts w:hint="eastAsia" w:cs="宋体"/>
          <w:szCs w:val="21"/>
          <w:highlight w:val="none"/>
          <w:u w:val="single"/>
        </w:rPr>
        <w:t xml:space="preserve"> 完成工程施工的全部图纸</w:t>
      </w:r>
      <w:r>
        <w:rPr>
          <w:rFonts w:hint="eastAsia" w:cs="宋体"/>
          <w:szCs w:val="21"/>
          <w:highlight w:val="none"/>
        </w:rPr>
        <w:t>。</w:t>
      </w:r>
    </w:p>
    <w:p w14:paraId="4E135BBA">
      <w:pPr>
        <w:adjustRightInd w:val="0"/>
        <w:snapToGrid w:val="0"/>
        <w:spacing w:line="360" w:lineRule="auto"/>
        <w:ind w:firstLine="420" w:firstLineChars="200"/>
        <w:rPr>
          <w:rFonts w:cs="宋体"/>
          <w:szCs w:val="21"/>
          <w:highlight w:val="none"/>
        </w:rPr>
      </w:pPr>
      <w:r>
        <w:rPr>
          <w:rFonts w:hint="eastAsia" w:cs="宋体"/>
          <w:szCs w:val="21"/>
          <w:highlight w:val="none"/>
        </w:rPr>
        <w:t>1.6.4 承包人文件</w:t>
      </w:r>
    </w:p>
    <w:p w14:paraId="3E6D6E60">
      <w:pPr>
        <w:wordWrap w:val="0"/>
        <w:adjustRightInd w:val="0"/>
        <w:spacing w:line="360" w:lineRule="auto"/>
        <w:ind w:firstLine="420" w:firstLineChars="200"/>
        <w:rPr>
          <w:highlight w:val="none"/>
        </w:rPr>
      </w:pPr>
      <w:r>
        <w:rPr>
          <w:highlight w:val="none"/>
        </w:rPr>
        <w:t>需要由承包人提供的文件，包括：</w:t>
      </w:r>
      <w:r>
        <w:rPr>
          <w:highlight w:val="none"/>
          <w:u w:val="single"/>
        </w:rPr>
        <w:t>技术文件、报批文件、办理施工许可证有关的文件、施工组织设计（含施工方案）和进度计划、月进度报告（项目管理月报）、采购合同、竣工文件以及发包人要求的其他文件等；发包人有权要求承包人在项目实施过程中及时按照发包人要求的方式提供相关档案资料（含电子档案），承包人须无条件配合</w:t>
      </w:r>
      <w:r>
        <w:rPr>
          <w:highlight w:val="none"/>
        </w:rPr>
        <w:t>；</w:t>
      </w:r>
    </w:p>
    <w:p w14:paraId="5A64C843">
      <w:pPr>
        <w:wordWrap w:val="0"/>
        <w:adjustRightInd w:val="0"/>
        <w:spacing w:line="360" w:lineRule="auto"/>
        <w:ind w:firstLine="420" w:firstLineChars="200"/>
        <w:rPr>
          <w:highlight w:val="none"/>
        </w:rPr>
      </w:pPr>
      <w:r>
        <w:rPr>
          <w:highlight w:val="none"/>
        </w:rPr>
        <w:t>承包人提供的文件的期限为：</w:t>
      </w:r>
      <w:r>
        <w:rPr>
          <w:highlight w:val="none"/>
          <w:u w:val="single"/>
        </w:rPr>
        <w:t>办理施工许可证有关的文件、施工组织设计需在计划开工7天前提供，其余资料根据发包人、监理人的要求提供；双方另有约定的按约定执行</w:t>
      </w:r>
      <w:r>
        <w:rPr>
          <w:highlight w:val="none"/>
        </w:rPr>
        <w:t>；</w:t>
      </w:r>
    </w:p>
    <w:p w14:paraId="45C1B966">
      <w:pPr>
        <w:wordWrap w:val="0"/>
        <w:adjustRightInd w:val="0"/>
        <w:spacing w:line="360" w:lineRule="auto"/>
        <w:ind w:firstLine="420" w:firstLineChars="200"/>
        <w:rPr>
          <w:highlight w:val="none"/>
        </w:rPr>
      </w:pPr>
      <w:r>
        <w:rPr>
          <w:highlight w:val="none"/>
        </w:rPr>
        <w:t>承包人提供的文件的数量为：</w:t>
      </w:r>
      <w:r>
        <w:rPr>
          <w:highlight w:val="none"/>
          <w:u w:val="single"/>
        </w:rPr>
        <w:t>根据发包人、监理人的要求提供</w:t>
      </w:r>
      <w:r>
        <w:rPr>
          <w:highlight w:val="none"/>
        </w:rPr>
        <w:t>；</w:t>
      </w:r>
    </w:p>
    <w:p w14:paraId="7095336F">
      <w:pPr>
        <w:wordWrap w:val="0"/>
        <w:adjustRightInd w:val="0"/>
        <w:spacing w:line="360" w:lineRule="auto"/>
        <w:ind w:firstLine="420" w:firstLineChars="200"/>
        <w:rPr>
          <w:highlight w:val="none"/>
        </w:rPr>
      </w:pPr>
      <w:r>
        <w:rPr>
          <w:highlight w:val="none"/>
        </w:rPr>
        <w:t>承包人提供的文件的形式为：</w:t>
      </w:r>
      <w:r>
        <w:rPr>
          <w:highlight w:val="none"/>
          <w:u w:val="single"/>
        </w:rPr>
        <w:t>根据发包人、监理人的要求提供纸质版或电子版</w:t>
      </w:r>
      <w:r>
        <w:rPr>
          <w:highlight w:val="none"/>
        </w:rPr>
        <w:t>；</w:t>
      </w:r>
    </w:p>
    <w:p w14:paraId="2BC429EA">
      <w:pPr>
        <w:wordWrap w:val="0"/>
        <w:adjustRightInd w:val="0"/>
        <w:spacing w:line="360" w:lineRule="auto"/>
        <w:ind w:firstLine="420" w:firstLineChars="200"/>
        <w:rPr>
          <w:rFonts w:cs="宋体"/>
          <w:szCs w:val="21"/>
          <w:highlight w:val="none"/>
        </w:rPr>
      </w:pPr>
      <w:r>
        <w:rPr>
          <w:highlight w:val="none"/>
        </w:rPr>
        <w:t>发包人审批承包人文件的期限：</w:t>
      </w:r>
      <w:r>
        <w:rPr>
          <w:highlight w:val="none"/>
          <w:u w:val="single"/>
        </w:rPr>
        <w:t>执行通用条款</w:t>
      </w:r>
      <w:r>
        <w:rPr>
          <w:highlight w:val="none"/>
        </w:rPr>
        <w:t>。</w:t>
      </w:r>
    </w:p>
    <w:p w14:paraId="1158B402">
      <w:pPr>
        <w:adjustRightInd w:val="0"/>
        <w:snapToGrid w:val="0"/>
        <w:spacing w:line="360" w:lineRule="auto"/>
        <w:ind w:firstLine="420" w:firstLineChars="200"/>
        <w:rPr>
          <w:rFonts w:cs="宋体"/>
          <w:szCs w:val="21"/>
          <w:highlight w:val="none"/>
        </w:rPr>
      </w:pPr>
      <w:r>
        <w:rPr>
          <w:rFonts w:hint="eastAsia" w:cs="宋体"/>
          <w:szCs w:val="21"/>
          <w:highlight w:val="none"/>
        </w:rPr>
        <w:t>1.6.5 图纸和承包人文件的保管</w:t>
      </w:r>
    </w:p>
    <w:p w14:paraId="598E6A84">
      <w:pPr>
        <w:adjustRightInd w:val="0"/>
        <w:snapToGrid w:val="0"/>
        <w:spacing w:line="360" w:lineRule="auto"/>
        <w:ind w:firstLine="420" w:firstLineChars="200"/>
        <w:rPr>
          <w:rFonts w:cs="宋体"/>
          <w:szCs w:val="21"/>
          <w:highlight w:val="none"/>
        </w:rPr>
      </w:pPr>
      <w:r>
        <w:rPr>
          <w:rFonts w:hint="eastAsia" w:cs="宋体"/>
          <w:szCs w:val="21"/>
          <w:highlight w:val="none"/>
        </w:rPr>
        <w:t>关于图纸和承包人文件保管的约定：</w:t>
      </w:r>
      <w:r>
        <w:rPr>
          <w:rFonts w:hint="eastAsia" w:cs="宋体"/>
          <w:szCs w:val="21"/>
          <w:highlight w:val="none"/>
          <w:u w:val="single"/>
        </w:rPr>
        <w:t xml:space="preserve">          </w:t>
      </w:r>
      <w:r>
        <w:rPr>
          <w:rFonts w:hint="eastAsia" w:cs="宋体"/>
          <w:szCs w:val="21"/>
          <w:highlight w:val="none"/>
        </w:rPr>
        <w:t>。</w:t>
      </w:r>
    </w:p>
    <w:p w14:paraId="02ABE46B">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1.7 联络</w:t>
      </w:r>
    </w:p>
    <w:p w14:paraId="7E9BDEB3">
      <w:pPr>
        <w:adjustRightInd w:val="0"/>
        <w:snapToGrid w:val="0"/>
        <w:spacing w:line="360" w:lineRule="auto"/>
        <w:ind w:firstLine="420" w:firstLineChars="200"/>
        <w:rPr>
          <w:rFonts w:cs="宋体"/>
          <w:szCs w:val="21"/>
          <w:highlight w:val="none"/>
        </w:rPr>
      </w:pPr>
      <w:r>
        <w:rPr>
          <w:rFonts w:hint="eastAsia" w:cs="宋体"/>
          <w:szCs w:val="21"/>
          <w:highlight w:val="none"/>
        </w:rPr>
        <w:t>1.7.1 发包人和承包人应当在</w:t>
      </w:r>
      <w:r>
        <w:rPr>
          <w:rFonts w:hint="eastAsia" w:cs="宋体"/>
          <w:szCs w:val="21"/>
          <w:highlight w:val="none"/>
          <w:u w:val="single"/>
        </w:rPr>
        <w:t>7</w:t>
      </w:r>
      <w:r>
        <w:rPr>
          <w:rFonts w:hint="eastAsia" w:cs="宋体"/>
          <w:szCs w:val="21"/>
          <w:highlight w:val="none"/>
        </w:rPr>
        <w:t>天内将与合同有关的通知、批准、证明、证书、指示、指令、要求、请求、同意、意见、确定和决定等书面函件送达对方当事人。</w:t>
      </w:r>
    </w:p>
    <w:p w14:paraId="3DFC1A0A">
      <w:pPr>
        <w:adjustRightInd w:val="0"/>
        <w:snapToGrid w:val="0"/>
        <w:spacing w:line="360" w:lineRule="auto"/>
        <w:ind w:firstLine="420" w:firstLineChars="200"/>
        <w:rPr>
          <w:rFonts w:cs="宋体"/>
          <w:szCs w:val="21"/>
          <w:highlight w:val="none"/>
        </w:rPr>
      </w:pPr>
      <w:r>
        <w:rPr>
          <w:rFonts w:hint="eastAsia" w:cs="宋体"/>
          <w:szCs w:val="21"/>
          <w:highlight w:val="none"/>
        </w:rPr>
        <w:t>1.7.2 发包人接收文件的地点：</w:t>
      </w:r>
      <w:r>
        <w:rPr>
          <w:rFonts w:hint="eastAsia" w:cs="宋体"/>
          <w:szCs w:val="21"/>
          <w:highlight w:val="none"/>
          <w:u w:val="single"/>
        </w:rPr>
        <w:t xml:space="preserve"> </w:t>
      </w:r>
      <w:r>
        <w:rPr>
          <w:rFonts w:hint="eastAsia"/>
          <w:highlight w:val="none"/>
          <w:u w:val="single"/>
        </w:rPr>
        <w:t>安徽省农业科学院</w:t>
      </w:r>
      <w:r>
        <w:rPr>
          <w:rFonts w:hint="eastAsia" w:cs="宋体"/>
          <w:szCs w:val="21"/>
          <w:highlight w:val="none"/>
        </w:rPr>
        <w:t>；</w:t>
      </w:r>
    </w:p>
    <w:p w14:paraId="5C1AE839">
      <w:pPr>
        <w:adjustRightInd w:val="0"/>
        <w:snapToGrid w:val="0"/>
        <w:spacing w:line="360" w:lineRule="auto"/>
        <w:ind w:firstLine="420" w:firstLineChars="200"/>
        <w:rPr>
          <w:rFonts w:cs="宋体"/>
          <w:szCs w:val="21"/>
          <w:highlight w:val="none"/>
        </w:rPr>
      </w:pPr>
      <w:r>
        <w:rPr>
          <w:rFonts w:hint="eastAsia" w:cs="宋体"/>
          <w:szCs w:val="21"/>
          <w:highlight w:val="none"/>
        </w:rPr>
        <w:t>发包人指定的接收人为：</w:t>
      </w:r>
      <w:r>
        <w:rPr>
          <w:rFonts w:hint="eastAsia" w:cs="宋体"/>
          <w:szCs w:val="21"/>
          <w:highlight w:val="none"/>
          <w:u w:val="single"/>
        </w:rPr>
        <w:t xml:space="preserve">                 </w:t>
      </w:r>
      <w:r>
        <w:rPr>
          <w:rFonts w:hint="eastAsia" w:cs="宋体"/>
          <w:szCs w:val="21"/>
          <w:highlight w:val="none"/>
        </w:rPr>
        <w:t>。</w:t>
      </w:r>
    </w:p>
    <w:p w14:paraId="7CD01810">
      <w:pPr>
        <w:adjustRightInd w:val="0"/>
        <w:snapToGrid w:val="0"/>
        <w:spacing w:line="360" w:lineRule="auto"/>
        <w:ind w:firstLine="420" w:firstLineChars="200"/>
        <w:rPr>
          <w:rFonts w:cs="宋体"/>
          <w:szCs w:val="21"/>
          <w:highlight w:val="none"/>
        </w:rPr>
      </w:pPr>
      <w:r>
        <w:rPr>
          <w:rFonts w:hint="eastAsia" w:cs="宋体"/>
          <w:szCs w:val="21"/>
          <w:highlight w:val="none"/>
        </w:rPr>
        <w:t>承包人接收文件的地点：</w:t>
      </w:r>
      <w:r>
        <w:rPr>
          <w:rFonts w:hint="eastAsia" w:cs="宋体"/>
          <w:szCs w:val="21"/>
          <w:highlight w:val="none"/>
          <w:u w:val="single"/>
        </w:rPr>
        <w:t xml:space="preserve"> </w:t>
      </w:r>
      <w:r>
        <w:rPr>
          <w:rFonts w:hint="eastAsia"/>
          <w:highlight w:val="none"/>
          <w:u w:val="single"/>
        </w:rPr>
        <w:t>安徽省农业科学院</w:t>
      </w:r>
      <w:r>
        <w:rPr>
          <w:rFonts w:hint="eastAsia" w:cs="宋体"/>
          <w:szCs w:val="21"/>
          <w:highlight w:val="none"/>
        </w:rPr>
        <w:t>；</w:t>
      </w:r>
    </w:p>
    <w:p w14:paraId="68C9777D">
      <w:pPr>
        <w:adjustRightInd w:val="0"/>
        <w:snapToGrid w:val="0"/>
        <w:spacing w:line="360" w:lineRule="auto"/>
        <w:ind w:firstLine="420" w:firstLineChars="200"/>
        <w:rPr>
          <w:rFonts w:cs="宋体"/>
          <w:szCs w:val="21"/>
          <w:highlight w:val="none"/>
        </w:rPr>
      </w:pPr>
      <w:r>
        <w:rPr>
          <w:rFonts w:hint="eastAsia" w:cs="宋体"/>
          <w:szCs w:val="21"/>
          <w:highlight w:val="none"/>
        </w:rPr>
        <w:t>承包人指定的接收人为：</w:t>
      </w:r>
      <w:r>
        <w:rPr>
          <w:rFonts w:hint="eastAsia" w:cs="宋体"/>
          <w:szCs w:val="21"/>
          <w:highlight w:val="none"/>
          <w:u w:val="single"/>
        </w:rPr>
        <w:t xml:space="preserve">                 </w:t>
      </w:r>
      <w:r>
        <w:rPr>
          <w:rFonts w:hint="eastAsia" w:cs="宋体"/>
          <w:szCs w:val="21"/>
          <w:highlight w:val="none"/>
        </w:rPr>
        <w:t>。</w:t>
      </w:r>
    </w:p>
    <w:p w14:paraId="3ABE6550">
      <w:pPr>
        <w:adjustRightInd w:val="0"/>
        <w:snapToGrid w:val="0"/>
        <w:spacing w:line="360" w:lineRule="auto"/>
        <w:ind w:firstLine="420" w:firstLineChars="200"/>
        <w:rPr>
          <w:rFonts w:cs="宋体"/>
          <w:szCs w:val="21"/>
          <w:highlight w:val="none"/>
        </w:rPr>
      </w:pPr>
      <w:r>
        <w:rPr>
          <w:rFonts w:hint="eastAsia" w:cs="宋体"/>
          <w:szCs w:val="21"/>
          <w:highlight w:val="none"/>
        </w:rPr>
        <w:t>监理人接收文件的地点：</w:t>
      </w:r>
      <w:r>
        <w:rPr>
          <w:rFonts w:hint="eastAsia" w:cs="宋体"/>
          <w:szCs w:val="21"/>
          <w:highlight w:val="none"/>
          <w:u w:val="single"/>
        </w:rPr>
        <w:t xml:space="preserve"> </w:t>
      </w:r>
      <w:r>
        <w:rPr>
          <w:rFonts w:hint="eastAsia"/>
          <w:highlight w:val="none"/>
          <w:u w:val="single"/>
        </w:rPr>
        <w:t>安徽省农业科学院</w:t>
      </w:r>
      <w:r>
        <w:rPr>
          <w:rFonts w:hint="eastAsia" w:cs="宋体"/>
          <w:szCs w:val="21"/>
          <w:highlight w:val="none"/>
        </w:rPr>
        <w:t>；</w:t>
      </w:r>
    </w:p>
    <w:p w14:paraId="4CE9679B">
      <w:pPr>
        <w:adjustRightInd w:val="0"/>
        <w:snapToGrid w:val="0"/>
        <w:spacing w:line="360" w:lineRule="auto"/>
        <w:ind w:firstLine="420" w:firstLineChars="200"/>
        <w:rPr>
          <w:rFonts w:cs="宋体"/>
          <w:szCs w:val="21"/>
          <w:highlight w:val="none"/>
        </w:rPr>
      </w:pPr>
      <w:r>
        <w:rPr>
          <w:rFonts w:hint="eastAsia" w:cs="宋体"/>
          <w:szCs w:val="21"/>
          <w:highlight w:val="none"/>
        </w:rPr>
        <w:t>监理人指定的接收人为：</w:t>
      </w:r>
      <w:r>
        <w:rPr>
          <w:rFonts w:hint="eastAsia" w:cs="宋体"/>
          <w:szCs w:val="21"/>
          <w:highlight w:val="none"/>
          <w:u w:val="single"/>
        </w:rPr>
        <w:t xml:space="preserve">                 </w:t>
      </w:r>
      <w:r>
        <w:rPr>
          <w:rFonts w:hint="eastAsia" w:cs="宋体"/>
          <w:szCs w:val="21"/>
          <w:highlight w:val="none"/>
        </w:rPr>
        <w:t>。</w:t>
      </w:r>
    </w:p>
    <w:p w14:paraId="2327C571">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1.10 交通运输</w:t>
      </w:r>
    </w:p>
    <w:p w14:paraId="014C904F">
      <w:pPr>
        <w:adjustRightInd w:val="0"/>
        <w:snapToGrid w:val="0"/>
        <w:spacing w:line="360" w:lineRule="auto"/>
        <w:ind w:firstLine="420" w:firstLineChars="200"/>
        <w:rPr>
          <w:rFonts w:cs="宋体"/>
          <w:szCs w:val="21"/>
          <w:highlight w:val="none"/>
        </w:rPr>
      </w:pPr>
      <w:r>
        <w:rPr>
          <w:rFonts w:hint="eastAsia" w:cs="宋体"/>
          <w:szCs w:val="21"/>
          <w:highlight w:val="none"/>
        </w:rPr>
        <w:t>1</w:t>
      </w:r>
      <w:bookmarkStart w:id="76" w:name="_Toc312677986"/>
      <w:bookmarkStart w:id="77" w:name="_Toc303539100"/>
      <w:bookmarkStart w:id="78" w:name="_Toc304295521"/>
      <w:bookmarkStart w:id="79" w:name="_Toc300934943"/>
      <w:bookmarkStart w:id="80" w:name="_Toc318581155"/>
      <w:r>
        <w:rPr>
          <w:rFonts w:hint="eastAsia" w:cs="宋体"/>
          <w:szCs w:val="21"/>
          <w:highlight w:val="none"/>
        </w:rPr>
        <w:t>.10.1 出入现场的权利</w:t>
      </w:r>
    </w:p>
    <w:p w14:paraId="3C239E27">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关于出入现场的权利的约定：</w:t>
      </w:r>
      <w:r>
        <w:rPr>
          <w:rFonts w:hint="eastAsia" w:cs="宋体"/>
          <w:szCs w:val="21"/>
          <w:highlight w:val="none"/>
          <w:u w:val="single"/>
        </w:rPr>
        <w:t xml:space="preserve"> 承包人应根据施工需要，负责取得出入施工现场所需的批准手续和全部权利，以及取得因施工所需其他基础设施的权利，并承担相关手续费用和建设（含修建、维护、拆除以及恢复等）费用，相关费用已包含在合同价格中。承包人应在投标阶段充分查勘施工现场，并合理预见工程施工所需的进出施工现场的方式、手段、路径等。因承包人未合理预见所增加的费用和（或）延误的工期由承包人承担</w:t>
      </w:r>
      <w:r>
        <w:rPr>
          <w:rFonts w:hint="eastAsia" w:cs="宋体"/>
          <w:szCs w:val="21"/>
          <w:highlight w:val="none"/>
        </w:rPr>
        <w:t>。</w:t>
      </w:r>
    </w:p>
    <w:bookmarkEnd w:id="76"/>
    <w:bookmarkEnd w:id="77"/>
    <w:bookmarkEnd w:id="78"/>
    <w:bookmarkEnd w:id="79"/>
    <w:bookmarkEnd w:id="80"/>
    <w:p w14:paraId="4B0BA959">
      <w:pPr>
        <w:adjustRightInd w:val="0"/>
        <w:snapToGrid w:val="0"/>
        <w:spacing w:line="360" w:lineRule="auto"/>
        <w:ind w:firstLine="420" w:firstLineChars="200"/>
        <w:rPr>
          <w:rFonts w:cs="宋体"/>
          <w:szCs w:val="21"/>
          <w:highlight w:val="none"/>
        </w:rPr>
      </w:pPr>
      <w:r>
        <w:rPr>
          <w:rFonts w:hint="eastAsia" w:cs="宋体"/>
          <w:szCs w:val="21"/>
          <w:highlight w:val="none"/>
        </w:rPr>
        <w:t>1</w:t>
      </w:r>
      <w:bookmarkStart w:id="81" w:name="_Toc304295522"/>
      <w:bookmarkStart w:id="82" w:name="_Toc300934944"/>
      <w:bookmarkStart w:id="83" w:name="_Toc318581156"/>
      <w:bookmarkStart w:id="84" w:name="_Toc303539101"/>
      <w:bookmarkStart w:id="85" w:name="_Toc312677987"/>
      <w:r>
        <w:rPr>
          <w:rFonts w:hint="eastAsia" w:cs="宋体"/>
          <w:szCs w:val="21"/>
          <w:highlight w:val="none"/>
        </w:rPr>
        <w:t>.10.3 场内交通</w:t>
      </w:r>
    </w:p>
    <w:p w14:paraId="1F0BA10E">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关于场外交通和场内交通的边界的约定：</w:t>
      </w:r>
      <w:r>
        <w:rPr>
          <w:rFonts w:hint="eastAsia" w:cs="宋体"/>
          <w:szCs w:val="21"/>
          <w:highlight w:val="none"/>
          <w:u w:val="single"/>
        </w:rPr>
        <w:t xml:space="preserve"> </w:t>
      </w:r>
      <w:r>
        <w:rPr>
          <w:highlight w:val="none"/>
          <w:u w:val="single"/>
        </w:rPr>
        <w:t>双方另行约定</w:t>
      </w:r>
      <w:r>
        <w:rPr>
          <w:rFonts w:hint="eastAsia" w:cs="宋体"/>
          <w:szCs w:val="21"/>
          <w:highlight w:val="none"/>
        </w:rPr>
        <w:t>。</w:t>
      </w:r>
    </w:p>
    <w:p w14:paraId="589156F8">
      <w:pPr>
        <w:adjustRightInd w:val="0"/>
        <w:snapToGrid w:val="0"/>
        <w:spacing w:line="360" w:lineRule="auto"/>
        <w:ind w:firstLine="420" w:firstLineChars="200"/>
        <w:rPr>
          <w:rFonts w:cs="宋体"/>
          <w:szCs w:val="21"/>
          <w:highlight w:val="none"/>
        </w:rPr>
      </w:pPr>
      <w:r>
        <w:rPr>
          <w:rFonts w:hint="eastAsia" w:cs="宋体"/>
          <w:szCs w:val="21"/>
          <w:highlight w:val="none"/>
        </w:rPr>
        <w:t>关于发包人向承包人免费提供满足工程施工需要的场内道路和交通设施的约定：</w:t>
      </w:r>
      <w:r>
        <w:rPr>
          <w:rFonts w:hint="eastAsia" w:cs="宋体"/>
          <w:szCs w:val="21"/>
          <w:highlight w:val="none"/>
          <w:u w:val="single"/>
        </w:rPr>
        <w:t xml:space="preserve"> </w:t>
      </w:r>
      <w:r>
        <w:rPr>
          <w:szCs w:val="21"/>
          <w:highlight w:val="none"/>
          <w:u w:val="single"/>
        </w:rPr>
        <w:t>场内道路和交通设施全部由承包人负责修建、维修、养护和管理，费用由承包人承担，已包含在合同价格中</w:t>
      </w:r>
      <w:r>
        <w:rPr>
          <w:rFonts w:hint="eastAsia" w:cs="宋体"/>
          <w:szCs w:val="21"/>
          <w:highlight w:val="none"/>
        </w:rPr>
        <w:t>。</w:t>
      </w:r>
      <w:bookmarkEnd w:id="81"/>
      <w:bookmarkEnd w:id="82"/>
      <w:bookmarkEnd w:id="83"/>
      <w:bookmarkEnd w:id="84"/>
      <w:bookmarkEnd w:id="85"/>
      <w:bookmarkStart w:id="86" w:name="_Toc318581157"/>
    </w:p>
    <w:p w14:paraId="540908D9">
      <w:pPr>
        <w:adjustRightInd w:val="0"/>
        <w:snapToGrid w:val="0"/>
        <w:spacing w:line="360" w:lineRule="auto"/>
        <w:ind w:firstLine="420" w:firstLineChars="200"/>
        <w:rPr>
          <w:rFonts w:cs="宋体"/>
          <w:szCs w:val="21"/>
          <w:highlight w:val="none"/>
        </w:rPr>
      </w:pPr>
      <w:r>
        <w:rPr>
          <w:rFonts w:hint="eastAsia" w:cs="宋体"/>
          <w:szCs w:val="21"/>
          <w:highlight w:val="none"/>
        </w:rPr>
        <w:t>1.10.4 超大件和超重件的运输</w:t>
      </w:r>
    </w:p>
    <w:p w14:paraId="432F2EFE">
      <w:pPr>
        <w:adjustRightInd w:val="0"/>
        <w:snapToGrid w:val="0"/>
        <w:spacing w:line="360" w:lineRule="auto"/>
        <w:ind w:firstLine="420" w:firstLineChars="200"/>
        <w:rPr>
          <w:rFonts w:cs="宋体"/>
          <w:szCs w:val="21"/>
          <w:highlight w:val="none"/>
        </w:rPr>
      </w:pPr>
      <w:r>
        <w:rPr>
          <w:rFonts w:hint="eastAsia" w:cs="宋体"/>
          <w:szCs w:val="21"/>
          <w:highlight w:val="none"/>
        </w:rPr>
        <w:t>运输超大件或超重件所需的道路和桥梁临时加固改造费用和其他有关费用由</w:t>
      </w:r>
      <w:r>
        <w:rPr>
          <w:rFonts w:hint="eastAsia" w:cs="宋体"/>
          <w:szCs w:val="21"/>
          <w:highlight w:val="none"/>
          <w:u w:val="single"/>
        </w:rPr>
        <w:t xml:space="preserve"> </w:t>
      </w:r>
      <w:r>
        <w:rPr>
          <w:szCs w:val="21"/>
          <w:highlight w:val="none"/>
          <w:u w:val="single"/>
        </w:rPr>
        <w:t>承包人</w:t>
      </w:r>
      <w:r>
        <w:rPr>
          <w:rFonts w:hint="eastAsia" w:cs="宋体"/>
          <w:szCs w:val="21"/>
          <w:highlight w:val="none"/>
          <w:u w:val="single"/>
        </w:rPr>
        <w:t xml:space="preserve"> </w:t>
      </w:r>
      <w:r>
        <w:rPr>
          <w:rFonts w:hint="eastAsia" w:cs="宋体"/>
          <w:szCs w:val="21"/>
          <w:highlight w:val="none"/>
        </w:rPr>
        <w:t>承担。</w:t>
      </w:r>
    </w:p>
    <w:bookmarkEnd w:id="86"/>
    <w:p w14:paraId="73F2D22E">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1.11 知识产权</w:t>
      </w:r>
    </w:p>
    <w:p w14:paraId="03457383">
      <w:pPr>
        <w:adjustRightInd w:val="0"/>
        <w:snapToGrid w:val="0"/>
        <w:spacing w:line="360" w:lineRule="auto"/>
        <w:ind w:firstLine="420" w:firstLineChars="200"/>
        <w:rPr>
          <w:rFonts w:cs="宋体"/>
          <w:szCs w:val="21"/>
          <w:highlight w:val="none"/>
        </w:rPr>
      </w:pPr>
      <w:r>
        <w:rPr>
          <w:rFonts w:hint="eastAsia" w:cs="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57694485">
      <w:pPr>
        <w:adjustRightInd w:val="0"/>
        <w:snapToGrid w:val="0"/>
        <w:spacing w:line="360" w:lineRule="auto"/>
        <w:ind w:firstLine="420" w:firstLineChars="200"/>
        <w:rPr>
          <w:rFonts w:cs="宋体"/>
          <w:szCs w:val="21"/>
          <w:highlight w:val="none"/>
        </w:rPr>
      </w:pPr>
      <w:r>
        <w:rPr>
          <w:rFonts w:hint="eastAsia" w:cs="宋体"/>
          <w:szCs w:val="21"/>
          <w:highlight w:val="none"/>
        </w:rPr>
        <w:t>关于发包人提供的上述文件的使用限制的要求：</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54CCF914">
      <w:pPr>
        <w:adjustRightInd w:val="0"/>
        <w:snapToGrid w:val="0"/>
        <w:spacing w:line="360" w:lineRule="auto"/>
        <w:ind w:firstLine="420" w:firstLineChars="200"/>
        <w:rPr>
          <w:rFonts w:cs="宋体"/>
          <w:szCs w:val="21"/>
          <w:highlight w:val="none"/>
        </w:rPr>
      </w:pPr>
      <w:r>
        <w:rPr>
          <w:rFonts w:hint="eastAsia" w:cs="宋体"/>
          <w:szCs w:val="21"/>
          <w:highlight w:val="none"/>
        </w:rPr>
        <w:t>1.11.2 关于承包人为实施工程所编制文件的著作权的归属：</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65483257">
      <w:pPr>
        <w:adjustRightInd w:val="0"/>
        <w:snapToGrid w:val="0"/>
        <w:spacing w:line="360" w:lineRule="auto"/>
        <w:ind w:firstLine="420" w:firstLineChars="200"/>
        <w:rPr>
          <w:rFonts w:cs="宋体"/>
          <w:szCs w:val="21"/>
          <w:highlight w:val="none"/>
        </w:rPr>
      </w:pPr>
      <w:r>
        <w:rPr>
          <w:rFonts w:hint="eastAsia" w:cs="宋体"/>
          <w:szCs w:val="21"/>
          <w:highlight w:val="none"/>
        </w:rPr>
        <w:t>关于承包人提供的上述文件的使用限制的要求：</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5608BBD9">
      <w:pPr>
        <w:adjustRightInd w:val="0"/>
        <w:snapToGrid w:val="0"/>
        <w:spacing w:line="360" w:lineRule="auto"/>
        <w:ind w:firstLine="420" w:firstLineChars="200"/>
        <w:rPr>
          <w:rFonts w:cs="宋体"/>
          <w:szCs w:val="21"/>
          <w:highlight w:val="none"/>
        </w:rPr>
      </w:pPr>
      <w:r>
        <w:rPr>
          <w:rFonts w:hint="eastAsia" w:cs="宋体"/>
          <w:szCs w:val="21"/>
          <w:highlight w:val="none"/>
        </w:rPr>
        <w:t>1.11.4 承包人在施工过程中所采用的专利、专有技术、技术秘密的使用费的承担方式：</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55A40A47">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1.13 工程量清单错误的修正</w:t>
      </w:r>
    </w:p>
    <w:p w14:paraId="0064BA1F">
      <w:pPr>
        <w:adjustRightInd w:val="0"/>
        <w:snapToGrid w:val="0"/>
        <w:spacing w:line="360" w:lineRule="auto"/>
        <w:ind w:firstLine="420" w:firstLineChars="200"/>
        <w:rPr>
          <w:rFonts w:cs="宋体"/>
          <w:b/>
          <w:bCs/>
          <w:i/>
          <w:iCs/>
          <w:szCs w:val="21"/>
          <w:highlight w:val="none"/>
        </w:rPr>
      </w:pPr>
      <w:r>
        <w:rPr>
          <w:rFonts w:hint="eastAsia" w:cs="宋体"/>
          <w:szCs w:val="21"/>
          <w:highlight w:val="none"/>
        </w:rPr>
        <w:t>出现工程量清单错误时，是否调整合同价格：</w:t>
      </w:r>
      <w:r>
        <w:rPr>
          <w:rFonts w:hint="eastAsia" w:cs="宋体"/>
          <w:szCs w:val="21"/>
          <w:highlight w:val="none"/>
          <w:u w:val="single"/>
        </w:rPr>
        <w:t xml:space="preserve"> </w:t>
      </w:r>
      <w:r>
        <w:rPr>
          <w:highlight w:val="none"/>
          <w:u w:val="single"/>
        </w:rPr>
        <w:t xml:space="preserve">不予调整 </w:t>
      </w:r>
      <w:r>
        <w:rPr>
          <w:rFonts w:hint="eastAsia" w:cs="宋体"/>
          <w:b/>
          <w:bCs/>
          <w:i/>
          <w:iCs/>
          <w:szCs w:val="21"/>
          <w:highlight w:val="none"/>
        </w:rPr>
        <w:t>（备注：与合同补充条款相对应）。</w:t>
      </w:r>
    </w:p>
    <w:p w14:paraId="702C2DD8">
      <w:pPr>
        <w:adjustRightInd w:val="0"/>
        <w:snapToGrid w:val="0"/>
        <w:spacing w:line="360" w:lineRule="auto"/>
        <w:ind w:firstLine="420" w:firstLineChars="200"/>
        <w:rPr>
          <w:rFonts w:cs="宋体"/>
          <w:b/>
          <w:bCs/>
          <w:i/>
          <w:iCs/>
          <w:szCs w:val="21"/>
          <w:highlight w:val="none"/>
          <w:shd w:val="clear" w:color="FFFFFF" w:fill="D9D9D9"/>
        </w:rPr>
      </w:pPr>
      <w:r>
        <w:rPr>
          <w:rFonts w:hint="eastAsia" w:cs="宋体"/>
          <w:szCs w:val="21"/>
          <w:highlight w:val="none"/>
        </w:rPr>
        <w:t>允许调整合同价格的工程量偏差范围：</w:t>
      </w:r>
      <w:r>
        <w:rPr>
          <w:rFonts w:hint="eastAsia" w:cs="宋体"/>
          <w:szCs w:val="21"/>
          <w:highlight w:val="none"/>
          <w:u w:val="single"/>
        </w:rPr>
        <w:t xml:space="preserve">    /    </w:t>
      </w:r>
      <w:r>
        <w:rPr>
          <w:rFonts w:hint="eastAsia" w:cs="宋体"/>
          <w:b/>
          <w:bCs/>
          <w:i/>
          <w:iCs/>
          <w:szCs w:val="21"/>
          <w:highlight w:val="none"/>
        </w:rPr>
        <w:t xml:space="preserve">  （备注：与合同补充条款相对应）。</w:t>
      </w:r>
    </w:p>
    <w:p w14:paraId="7845F77B">
      <w:pPr>
        <w:snapToGrid w:val="0"/>
        <w:spacing w:before="312" w:beforeLines="100" w:after="312" w:afterLines="100" w:line="360" w:lineRule="auto"/>
        <w:outlineLvl w:val="2"/>
        <w:rPr>
          <w:rFonts w:cs="宋体"/>
          <w:szCs w:val="21"/>
          <w:highlight w:val="none"/>
        </w:rPr>
      </w:pPr>
      <w:bookmarkStart w:id="87" w:name="_Toc351203634"/>
      <w:r>
        <w:rPr>
          <w:rFonts w:hint="eastAsia" w:cs="宋体"/>
          <w:szCs w:val="21"/>
          <w:highlight w:val="none"/>
        </w:rPr>
        <w:t>2</w:t>
      </w:r>
      <w:bookmarkStart w:id="88" w:name="_Toc296944496"/>
      <w:bookmarkStart w:id="89" w:name="_Toc297120457"/>
      <w:bookmarkStart w:id="90" w:name="_Toc292559867"/>
      <w:bookmarkStart w:id="91" w:name="_Toc296890985"/>
      <w:bookmarkStart w:id="92" w:name="_Toc297048343"/>
      <w:bookmarkStart w:id="93" w:name="_Toc296346658"/>
      <w:bookmarkStart w:id="94" w:name="_Toc296347156"/>
      <w:bookmarkStart w:id="95" w:name="_Toc296503157"/>
      <w:bookmarkStart w:id="96" w:name="_Toc292559362"/>
      <w:bookmarkStart w:id="97" w:name="_Toc296891197"/>
      <w:r>
        <w:rPr>
          <w:rFonts w:hint="eastAsia" w:cs="宋体"/>
          <w:szCs w:val="21"/>
          <w:highlight w:val="none"/>
        </w:rPr>
        <w:t>. 发包人</w:t>
      </w:r>
      <w:bookmarkEnd w:id="87"/>
    </w:p>
    <w:bookmarkEnd w:id="88"/>
    <w:bookmarkEnd w:id="89"/>
    <w:bookmarkEnd w:id="90"/>
    <w:bookmarkEnd w:id="91"/>
    <w:bookmarkEnd w:id="92"/>
    <w:bookmarkEnd w:id="93"/>
    <w:bookmarkEnd w:id="94"/>
    <w:bookmarkEnd w:id="95"/>
    <w:bookmarkEnd w:id="96"/>
    <w:bookmarkEnd w:id="97"/>
    <w:p w14:paraId="725B656A">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2.2 发包人代表</w:t>
      </w:r>
    </w:p>
    <w:p w14:paraId="3EBC93C2">
      <w:pPr>
        <w:adjustRightInd w:val="0"/>
        <w:snapToGrid w:val="0"/>
        <w:spacing w:line="360" w:lineRule="auto"/>
        <w:ind w:firstLine="420" w:firstLineChars="200"/>
        <w:rPr>
          <w:rFonts w:cs="宋体"/>
          <w:szCs w:val="21"/>
          <w:highlight w:val="none"/>
        </w:rPr>
      </w:pPr>
      <w:r>
        <w:rPr>
          <w:rFonts w:hint="eastAsia" w:cs="宋体"/>
          <w:szCs w:val="21"/>
          <w:highlight w:val="none"/>
        </w:rPr>
        <w:t>发包人代表：</w:t>
      </w:r>
    </w:p>
    <w:p w14:paraId="37CD70BC">
      <w:pPr>
        <w:adjustRightInd w:val="0"/>
        <w:snapToGrid w:val="0"/>
        <w:spacing w:line="360" w:lineRule="auto"/>
        <w:ind w:firstLine="420" w:firstLineChars="200"/>
        <w:rPr>
          <w:rFonts w:cs="宋体"/>
          <w:szCs w:val="21"/>
          <w:highlight w:val="none"/>
        </w:rPr>
      </w:pPr>
      <w:r>
        <w:rPr>
          <w:rFonts w:hint="eastAsia" w:cs="宋体"/>
          <w:szCs w:val="21"/>
          <w:highlight w:val="none"/>
        </w:rPr>
        <w:t>姓    名：</w:t>
      </w:r>
      <w:r>
        <w:rPr>
          <w:rFonts w:hint="eastAsia" w:cs="宋体"/>
          <w:szCs w:val="21"/>
          <w:highlight w:val="none"/>
          <w:u w:val="single"/>
        </w:rPr>
        <w:t xml:space="preserve">                          </w:t>
      </w:r>
      <w:r>
        <w:rPr>
          <w:rFonts w:hint="eastAsia" w:cs="宋体"/>
          <w:szCs w:val="21"/>
          <w:highlight w:val="none"/>
        </w:rPr>
        <w:t>；</w:t>
      </w:r>
    </w:p>
    <w:p w14:paraId="5CAA2C62">
      <w:pPr>
        <w:adjustRightInd w:val="0"/>
        <w:snapToGrid w:val="0"/>
        <w:spacing w:line="360" w:lineRule="auto"/>
        <w:ind w:firstLine="420" w:firstLineChars="200"/>
        <w:rPr>
          <w:rFonts w:cs="宋体"/>
          <w:szCs w:val="21"/>
          <w:highlight w:val="none"/>
        </w:rPr>
      </w:pPr>
      <w:r>
        <w:rPr>
          <w:rFonts w:hint="eastAsia" w:cs="宋体"/>
          <w:szCs w:val="21"/>
          <w:highlight w:val="none"/>
        </w:rPr>
        <w:t>身份证号：</w:t>
      </w:r>
      <w:r>
        <w:rPr>
          <w:rFonts w:hint="eastAsia" w:cs="宋体"/>
          <w:szCs w:val="21"/>
          <w:highlight w:val="none"/>
          <w:u w:val="single"/>
        </w:rPr>
        <w:t xml:space="preserve">                          </w:t>
      </w:r>
      <w:r>
        <w:rPr>
          <w:rFonts w:hint="eastAsia" w:cs="宋体"/>
          <w:szCs w:val="21"/>
          <w:highlight w:val="none"/>
        </w:rPr>
        <w:t>；</w:t>
      </w:r>
    </w:p>
    <w:p w14:paraId="77673413">
      <w:pPr>
        <w:adjustRightInd w:val="0"/>
        <w:snapToGrid w:val="0"/>
        <w:spacing w:line="360" w:lineRule="auto"/>
        <w:ind w:firstLine="420" w:firstLineChars="200"/>
        <w:rPr>
          <w:rFonts w:cs="宋体"/>
          <w:szCs w:val="21"/>
          <w:highlight w:val="none"/>
        </w:rPr>
      </w:pPr>
      <w:r>
        <w:rPr>
          <w:rFonts w:hint="eastAsia" w:cs="宋体"/>
          <w:szCs w:val="21"/>
          <w:highlight w:val="none"/>
        </w:rPr>
        <w:t>职    务：</w:t>
      </w:r>
      <w:r>
        <w:rPr>
          <w:rFonts w:hint="eastAsia" w:cs="宋体"/>
          <w:szCs w:val="21"/>
          <w:highlight w:val="none"/>
          <w:u w:val="single"/>
        </w:rPr>
        <w:t xml:space="preserve">                          </w:t>
      </w:r>
      <w:r>
        <w:rPr>
          <w:rFonts w:hint="eastAsia" w:cs="宋体"/>
          <w:szCs w:val="21"/>
          <w:highlight w:val="none"/>
        </w:rPr>
        <w:t>；</w:t>
      </w:r>
    </w:p>
    <w:p w14:paraId="4E3A2451">
      <w:pPr>
        <w:adjustRightInd w:val="0"/>
        <w:snapToGrid w:val="0"/>
        <w:spacing w:line="360" w:lineRule="auto"/>
        <w:ind w:firstLine="420" w:firstLineChars="200"/>
        <w:rPr>
          <w:rFonts w:cs="宋体"/>
          <w:szCs w:val="21"/>
          <w:highlight w:val="none"/>
        </w:rPr>
      </w:pPr>
      <w:r>
        <w:rPr>
          <w:rFonts w:hint="eastAsia" w:cs="宋体"/>
          <w:szCs w:val="21"/>
          <w:highlight w:val="none"/>
        </w:rPr>
        <w:t>联系电话：</w:t>
      </w:r>
      <w:r>
        <w:rPr>
          <w:rFonts w:hint="eastAsia" w:cs="宋体"/>
          <w:szCs w:val="21"/>
          <w:highlight w:val="none"/>
          <w:u w:val="single"/>
        </w:rPr>
        <w:t xml:space="preserve">                          </w:t>
      </w:r>
      <w:r>
        <w:rPr>
          <w:rFonts w:hint="eastAsia" w:cs="宋体"/>
          <w:szCs w:val="21"/>
          <w:highlight w:val="none"/>
        </w:rPr>
        <w:t>；</w:t>
      </w:r>
    </w:p>
    <w:p w14:paraId="2D2516D7">
      <w:pPr>
        <w:adjustRightInd w:val="0"/>
        <w:snapToGrid w:val="0"/>
        <w:spacing w:line="360" w:lineRule="auto"/>
        <w:ind w:firstLine="420" w:firstLineChars="200"/>
        <w:rPr>
          <w:rFonts w:cs="宋体"/>
          <w:szCs w:val="21"/>
          <w:highlight w:val="none"/>
        </w:rPr>
      </w:pPr>
      <w:r>
        <w:rPr>
          <w:rFonts w:hint="eastAsia" w:cs="宋体"/>
          <w:szCs w:val="21"/>
          <w:highlight w:val="none"/>
        </w:rPr>
        <w:t>电子信箱：</w:t>
      </w:r>
      <w:r>
        <w:rPr>
          <w:rFonts w:hint="eastAsia" w:cs="宋体"/>
          <w:szCs w:val="21"/>
          <w:highlight w:val="none"/>
          <w:u w:val="single"/>
        </w:rPr>
        <w:t xml:space="preserve">                          </w:t>
      </w:r>
      <w:r>
        <w:rPr>
          <w:rFonts w:hint="eastAsia" w:cs="宋体"/>
          <w:szCs w:val="21"/>
          <w:highlight w:val="none"/>
        </w:rPr>
        <w:t>；</w:t>
      </w:r>
    </w:p>
    <w:p w14:paraId="47AD5245">
      <w:pPr>
        <w:adjustRightInd w:val="0"/>
        <w:snapToGrid w:val="0"/>
        <w:spacing w:line="360" w:lineRule="auto"/>
        <w:ind w:firstLine="420" w:firstLineChars="200"/>
        <w:rPr>
          <w:rFonts w:cs="宋体"/>
          <w:szCs w:val="21"/>
          <w:highlight w:val="none"/>
        </w:rPr>
      </w:pPr>
      <w:r>
        <w:rPr>
          <w:rFonts w:hint="eastAsia" w:cs="宋体"/>
          <w:szCs w:val="21"/>
          <w:highlight w:val="none"/>
        </w:rPr>
        <w:t>通信地址：</w:t>
      </w:r>
      <w:r>
        <w:rPr>
          <w:rFonts w:hint="eastAsia" w:cs="宋体"/>
          <w:szCs w:val="21"/>
          <w:highlight w:val="none"/>
          <w:u w:val="single"/>
        </w:rPr>
        <w:t xml:space="preserve">                          </w:t>
      </w:r>
      <w:r>
        <w:rPr>
          <w:rFonts w:hint="eastAsia" w:cs="宋体"/>
          <w:szCs w:val="21"/>
          <w:highlight w:val="none"/>
        </w:rPr>
        <w:t>。</w:t>
      </w:r>
    </w:p>
    <w:p w14:paraId="20214E2E">
      <w:pPr>
        <w:adjustRightInd w:val="0"/>
        <w:snapToGrid w:val="0"/>
        <w:spacing w:line="360" w:lineRule="auto"/>
        <w:ind w:firstLine="420" w:firstLineChars="200"/>
        <w:rPr>
          <w:rFonts w:cs="宋体"/>
          <w:b/>
          <w:strike/>
          <w:szCs w:val="21"/>
          <w:highlight w:val="none"/>
        </w:rPr>
      </w:pPr>
      <w:r>
        <w:rPr>
          <w:rFonts w:hint="eastAsia" w:cs="宋体"/>
          <w:szCs w:val="21"/>
          <w:highlight w:val="none"/>
        </w:rPr>
        <w:t>发包人对发包人代表的授权范围如下：</w:t>
      </w:r>
      <w:r>
        <w:rPr>
          <w:rFonts w:hint="eastAsia" w:cs="宋体"/>
          <w:szCs w:val="21"/>
          <w:highlight w:val="none"/>
          <w:u w:val="single"/>
        </w:rPr>
        <w:t xml:space="preserve"> </w:t>
      </w:r>
      <w:r>
        <w:rPr>
          <w:highlight w:val="none"/>
          <w:u w:val="single"/>
        </w:rPr>
        <w:t>代表发包人办理工程相关事宜，协调解决相关单位的配合事宜，全面行使工程进度、质量、费用、安全、工程变更、经济技术签证及现场管理等职责。变更签证必须符合当地变更相关规定，且有设计、监理人相关人员共同签署并加盖发包人公章方为有效；工程师的任何批准、检查、证书、同意、通知、建议、检验、指令和要求等不解除承包人在合同中的责任和义务</w:t>
      </w:r>
      <w:r>
        <w:rPr>
          <w:rFonts w:hint="eastAsia" w:cs="宋体"/>
          <w:szCs w:val="21"/>
          <w:highlight w:val="none"/>
        </w:rPr>
        <w:t>。</w:t>
      </w:r>
    </w:p>
    <w:p w14:paraId="2B56E482">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2.4 施工现场、施工条件和基础资料的提供</w:t>
      </w:r>
    </w:p>
    <w:p w14:paraId="468272C4">
      <w:pPr>
        <w:adjustRightInd w:val="0"/>
        <w:snapToGrid w:val="0"/>
        <w:spacing w:line="360" w:lineRule="auto"/>
        <w:ind w:firstLine="420" w:firstLineChars="200"/>
        <w:rPr>
          <w:rFonts w:cs="宋体"/>
          <w:szCs w:val="21"/>
          <w:highlight w:val="none"/>
        </w:rPr>
      </w:pPr>
      <w:r>
        <w:rPr>
          <w:rFonts w:hint="eastAsia" w:cs="宋体"/>
          <w:szCs w:val="21"/>
          <w:highlight w:val="none"/>
        </w:rPr>
        <w:t>2.4.1 提供施工现场</w:t>
      </w:r>
    </w:p>
    <w:p w14:paraId="2CCB4B5D">
      <w:pPr>
        <w:adjustRightInd w:val="0"/>
        <w:snapToGrid w:val="0"/>
        <w:spacing w:line="360" w:lineRule="auto"/>
        <w:ind w:firstLine="420" w:firstLineChars="200"/>
        <w:rPr>
          <w:rFonts w:cs="宋体"/>
          <w:szCs w:val="21"/>
          <w:highlight w:val="none"/>
        </w:rPr>
      </w:pPr>
      <w:r>
        <w:rPr>
          <w:rFonts w:hint="eastAsia" w:cs="宋体"/>
          <w:szCs w:val="21"/>
          <w:highlight w:val="none"/>
        </w:rPr>
        <w:t>关于发包人移交施工现场的期限要求：</w:t>
      </w:r>
      <w:r>
        <w:rPr>
          <w:rFonts w:hint="eastAsia" w:cs="宋体"/>
          <w:szCs w:val="21"/>
          <w:highlight w:val="none"/>
          <w:u w:val="single"/>
        </w:rPr>
        <w:t xml:space="preserve"> </w:t>
      </w:r>
      <w:r>
        <w:rPr>
          <w:szCs w:val="21"/>
          <w:highlight w:val="none"/>
          <w:u w:val="single"/>
        </w:rPr>
        <w:t>计划开工日期 7 天前</w:t>
      </w:r>
      <w:r>
        <w:rPr>
          <w:rFonts w:hint="eastAsia" w:cs="宋体"/>
          <w:szCs w:val="21"/>
          <w:highlight w:val="none"/>
        </w:rPr>
        <w:t>。</w:t>
      </w:r>
    </w:p>
    <w:p w14:paraId="64C3874C">
      <w:pPr>
        <w:adjustRightInd w:val="0"/>
        <w:snapToGrid w:val="0"/>
        <w:spacing w:line="360" w:lineRule="auto"/>
        <w:ind w:firstLine="420" w:firstLineChars="200"/>
        <w:rPr>
          <w:rFonts w:cs="宋体"/>
          <w:szCs w:val="21"/>
          <w:highlight w:val="none"/>
        </w:rPr>
      </w:pPr>
      <w:r>
        <w:rPr>
          <w:rFonts w:hint="eastAsia" w:cs="宋体"/>
          <w:szCs w:val="21"/>
          <w:highlight w:val="none"/>
        </w:rPr>
        <w:t>2.4.2 提供施工条件</w:t>
      </w:r>
    </w:p>
    <w:p w14:paraId="1CC910B1">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关于发包人应负责提供施工所需要的条件，包括：</w:t>
      </w:r>
      <w:r>
        <w:rPr>
          <w:rFonts w:hint="eastAsia" w:cs="宋体"/>
          <w:szCs w:val="21"/>
          <w:highlight w:val="none"/>
          <w:u w:val="single"/>
        </w:rPr>
        <w:t xml:space="preserve"> </w:t>
      </w:r>
      <w:r>
        <w:rPr>
          <w:highlight w:val="none"/>
          <w:u w:val="single"/>
        </w:rPr>
        <w:t>执行通用合同条款</w:t>
      </w:r>
      <w:r>
        <w:rPr>
          <w:rFonts w:hint="eastAsia" w:cs="宋体"/>
          <w:szCs w:val="21"/>
          <w:highlight w:val="none"/>
        </w:rPr>
        <w:t>。</w:t>
      </w:r>
    </w:p>
    <w:p w14:paraId="31710BA3">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2.5 资金来源证明及支付担保</w:t>
      </w:r>
    </w:p>
    <w:p w14:paraId="2D361A33">
      <w:pPr>
        <w:adjustRightInd w:val="0"/>
        <w:snapToGrid w:val="0"/>
        <w:spacing w:line="360" w:lineRule="auto"/>
        <w:ind w:firstLine="420" w:firstLineChars="200"/>
        <w:rPr>
          <w:rFonts w:cs="宋体"/>
          <w:szCs w:val="21"/>
          <w:highlight w:val="none"/>
        </w:rPr>
      </w:pPr>
      <w:r>
        <w:rPr>
          <w:rFonts w:hint="eastAsia" w:cs="宋体"/>
          <w:szCs w:val="21"/>
          <w:highlight w:val="none"/>
        </w:rPr>
        <w:t>发包人提供资金来源证明的期限要求：</w:t>
      </w:r>
      <w:r>
        <w:rPr>
          <w:rFonts w:hint="eastAsia" w:cs="宋体"/>
          <w:szCs w:val="21"/>
          <w:highlight w:val="none"/>
          <w:u w:val="single"/>
        </w:rPr>
        <w:t>见《专用合同条款数据表》</w:t>
      </w:r>
      <w:r>
        <w:rPr>
          <w:rFonts w:hint="eastAsia" w:cs="宋体"/>
          <w:szCs w:val="21"/>
          <w:highlight w:val="none"/>
        </w:rPr>
        <w:t>。</w:t>
      </w:r>
    </w:p>
    <w:p w14:paraId="1A0DBA28">
      <w:pPr>
        <w:adjustRightInd w:val="0"/>
        <w:snapToGrid w:val="0"/>
        <w:spacing w:line="360" w:lineRule="auto"/>
        <w:ind w:firstLine="420" w:firstLineChars="200"/>
        <w:rPr>
          <w:rFonts w:cs="宋体"/>
          <w:szCs w:val="21"/>
          <w:highlight w:val="none"/>
        </w:rPr>
      </w:pPr>
      <w:r>
        <w:rPr>
          <w:rFonts w:hint="eastAsia" w:cs="宋体"/>
          <w:szCs w:val="21"/>
          <w:highlight w:val="none"/>
        </w:rPr>
        <w:t>发包人是否提供支付担保：</w:t>
      </w:r>
      <w:r>
        <w:rPr>
          <w:rFonts w:hint="eastAsia" w:cs="宋体"/>
          <w:szCs w:val="21"/>
          <w:highlight w:val="none"/>
          <w:u w:val="single"/>
        </w:rPr>
        <w:t>见《专用合同条款数据表》</w:t>
      </w:r>
      <w:r>
        <w:rPr>
          <w:rFonts w:hint="eastAsia" w:cs="宋体"/>
          <w:szCs w:val="21"/>
          <w:highlight w:val="none"/>
        </w:rPr>
        <w:t>。</w:t>
      </w:r>
    </w:p>
    <w:p w14:paraId="6A42FFC6">
      <w:pPr>
        <w:adjustRightInd w:val="0"/>
        <w:snapToGrid w:val="0"/>
        <w:spacing w:line="360" w:lineRule="auto"/>
        <w:ind w:firstLine="420" w:firstLineChars="200"/>
        <w:rPr>
          <w:rFonts w:cs="宋体"/>
          <w:szCs w:val="21"/>
          <w:highlight w:val="none"/>
          <w:u w:val="single"/>
        </w:rPr>
      </w:pPr>
      <w:r>
        <w:rPr>
          <w:rFonts w:hint="eastAsia" w:cs="宋体"/>
          <w:szCs w:val="21"/>
          <w:highlight w:val="none"/>
        </w:rPr>
        <w:t>发包人提供支付担保的形式：</w:t>
      </w:r>
      <w:r>
        <w:rPr>
          <w:rFonts w:hint="eastAsia" w:cs="宋体"/>
          <w:szCs w:val="21"/>
          <w:highlight w:val="none"/>
          <w:u w:val="single"/>
        </w:rPr>
        <w:t>见《专用合同条款数据表》</w:t>
      </w:r>
      <w:r>
        <w:rPr>
          <w:rFonts w:hint="eastAsia" w:cs="宋体"/>
          <w:szCs w:val="21"/>
          <w:highlight w:val="none"/>
        </w:rPr>
        <w:t>。</w:t>
      </w:r>
    </w:p>
    <w:p w14:paraId="79A3BDD3">
      <w:pPr>
        <w:snapToGrid w:val="0"/>
        <w:spacing w:before="312" w:beforeLines="100" w:after="312" w:afterLines="100" w:line="360" w:lineRule="auto"/>
        <w:outlineLvl w:val="2"/>
        <w:rPr>
          <w:rFonts w:cs="宋体"/>
          <w:szCs w:val="21"/>
          <w:highlight w:val="none"/>
        </w:rPr>
      </w:pPr>
      <w:bookmarkStart w:id="98" w:name="_Toc351203635"/>
      <w:r>
        <w:rPr>
          <w:rFonts w:hint="eastAsia" w:cs="宋体"/>
          <w:szCs w:val="21"/>
          <w:highlight w:val="none"/>
        </w:rPr>
        <w:t>3</w:t>
      </w:r>
      <w:bookmarkStart w:id="99" w:name="_Toc296503158"/>
      <w:bookmarkStart w:id="100" w:name="_Toc292559868"/>
      <w:bookmarkStart w:id="101" w:name="_Toc296944497"/>
      <w:bookmarkStart w:id="102" w:name="_Toc296890986"/>
      <w:bookmarkStart w:id="103" w:name="_Toc296891198"/>
      <w:bookmarkStart w:id="104" w:name="_Toc296347157"/>
      <w:bookmarkStart w:id="105" w:name="_Toc296346659"/>
      <w:bookmarkStart w:id="106" w:name="_Toc292559363"/>
      <w:bookmarkStart w:id="107" w:name="_Toc297048344"/>
      <w:bookmarkStart w:id="108" w:name="_Toc297120458"/>
      <w:r>
        <w:rPr>
          <w:rFonts w:hint="eastAsia" w:cs="宋体"/>
          <w:szCs w:val="21"/>
          <w:highlight w:val="none"/>
        </w:rPr>
        <w:t>. 承包人</w:t>
      </w:r>
      <w:bookmarkEnd w:id="98"/>
    </w:p>
    <w:bookmarkEnd w:id="99"/>
    <w:bookmarkEnd w:id="100"/>
    <w:bookmarkEnd w:id="101"/>
    <w:bookmarkEnd w:id="102"/>
    <w:bookmarkEnd w:id="103"/>
    <w:bookmarkEnd w:id="104"/>
    <w:bookmarkEnd w:id="105"/>
    <w:bookmarkEnd w:id="106"/>
    <w:bookmarkEnd w:id="107"/>
    <w:bookmarkEnd w:id="108"/>
    <w:p w14:paraId="43134712">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3.1 承包人的一般义务</w:t>
      </w:r>
    </w:p>
    <w:p w14:paraId="351F540E">
      <w:pPr>
        <w:adjustRightInd w:val="0"/>
        <w:snapToGrid w:val="0"/>
        <w:spacing w:line="360" w:lineRule="auto"/>
        <w:ind w:firstLine="420" w:firstLineChars="200"/>
        <w:rPr>
          <w:rFonts w:cs="宋体"/>
          <w:szCs w:val="21"/>
          <w:highlight w:val="none"/>
        </w:rPr>
      </w:pPr>
      <w:r>
        <w:rPr>
          <w:rFonts w:hint="eastAsia" w:cs="宋体"/>
          <w:szCs w:val="21"/>
          <w:highlight w:val="none"/>
        </w:rPr>
        <w:t>（9）承包人提交的竣工资料的内容：</w:t>
      </w:r>
      <w:r>
        <w:rPr>
          <w:rFonts w:hint="eastAsia" w:cs="宋体"/>
          <w:szCs w:val="21"/>
          <w:highlight w:val="none"/>
          <w:u w:val="single"/>
        </w:rPr>
        <w:t>承包人提供全套竣工图，所有竣工图应为新图纸</w:t>
      </w:r>
      <w:r>
        <w:rPr>
          <w:rFonts w:hint="eastAsia" w:cs="宋体"/>
          <w:szCs w:val="21"/>
          <w:highlight w:val="none"/>
        </w:rPr>
        <w:t>。</w:t>
      </w:r>
    </w:p>
    <w:p w14:paraId="78150F90">
      <w:pPr>
        <w:adjustRightInd w:val="0"/>
        <w:snapToGrid w:val="0"/>
        <w:spacing w:line="360" w:lineRule="auto"/>
        <w:ind w:firstLine="420" w:firstLineChars="200"/>
        <w:rPr>
          <w:rFonts w:cs="宋体"/>
          <w:szCs w:val="21"/>
          <w:highlight w:val="none"/>
        </w:rPr>
      </w:pPr>
      <w:r>
        <w:rPr>
          <w:rFonts w:hint="eastAsia" w:cs="宋体"/>
          <w:szCs w:val="21"/>
          <w:highlight w:val="none"/>
        </w:rPr>
        <w:t>承包人需要提交的竣工资料套数：</w:t>
      </w:r>
      <w:r>
        <w:rPr>
          <w:rFonts w:hint="eastAsia" w:cs="宋体"/>
          <w:szCs w:val="21"/>
          <w:highlight w:val="none"/>
          <w:u w:val="single"/>
        </w:rPr>
        <w:t xml:space="preserve"> </w:t>
      </w:r>
      <w:r>
        <w:rPr>
          <w:szCs w:val="21"/>
          <w:highlight w:val="none"/>
          <w:u w:val="single"/>
        </w:rPr>
        <w:t>肆套</w:t>
      </w:r>
      <w:r>
        <w:rPr>
          <w:rFonts w:hint="eastAsia" w:cs="宋体"/>
          <w:szCs w:val="21"/>
          <w:highlight w:val="none"/>
        </w:rPr>
        <w:t>。</w:t>
      </w:r>
    </w:p>
    <w:p w14:paraId="4443E9FF">
      <w:pPr>
        <w:adjustRightInd w:val="0"/>
        <w:snapToGrid w:val="0"/>
        <w:spacing w:line="360" w:lineRule="auto"/>
        <w:ind w:firstLine="420" w:firstLineChars="200"/>
        <w:rPr>
          <w:rFonts w:cs="宋体"/>
          <w:szCs w:val="21"/>
          <w:highlight w:val="none"/>
        </w:rPr>
      </w:pPr>
      <w:r>
        <w:rPr>
          <w:rFonts w:hint="eastAsia" w:cs="宋体"/>
          <w:szCs w:val="21"/>
          <w:highlight w:val="none"/>
        </w:rPr>
        <w:t>承包人提交的竣工资料的费用承担：</w:t>
      </w:r>
      <w:r>
        <w:rPr>
          <w:rFonts w:hint="eastAsia" w:cs="宋体"/>
          <w:szCs w:val="21"/>
          <w:highlight w:val="none"/>
          <w:u w:val="single"/>
        </w:rPr>
        <w:t>承包人承担</w:t>
      </w:r>
      <w:r>
        <w:rPr>
          <w:rFonts w:hint="eastAsia" w:cs="宋体"/>
          <w:szCs w:val="21"/>
          <w:highlight w:val="none"/>
        </w:rPr>
        <w:t>。</w:t>
      </w:r>
    </w:p>
    <w:p w14:paraId="7FBD00F0">
      <w:pPr>
        <w:wordWrap w:val="0"/>
        <w:adjustRightInd w:val="0"/>
        <w:spacing w:line="360" w:lineRule="auto"/>
        <w:ind w:firstLine="420" w:firstLineChars="200"/>
        <w:rPr>
          <w:highlight w:val="none"/>
        </w:rPr>
      </w:pPr>
      <w:r>
        <w:rPr>
          <w:rFonts w:hint="eastAsia" w:cs="宋体"/>
          <w:szCs w:val="21"/>
          <w:highlight w:val="none"/>
        </w:rPr>
        <w:t>承包人提交的竣工资料移交时间：</w:t>
      </w:r>
      <w:r>
        <w:rPr>
          <w:szCs w:val="21"/>
          <w:highlight w:val="none"/>
          <w:u w:val="single"/>
        </w:rPr>
        <w:t xml:space="preserve">承包人承担       </w:t>
      </w:r>
      <w:r>
        <w:rPr>
          <w:highlight w:val="none"/>
        </w:rPr>
        <w:t>。</w:t>
      </w:r>
    </w:p>
    <w:p w14:paraId="27C3CE66">
      <w:pPr>
        <w:wordWrap w:val="0"/>
        <w:adjustRightInd w:val="0"/>
        <w:spacing w:line="360" w:lineRule="auto"/>
        <w:ind w:firstLine="420" w:firstLineChars="200"/>
        <w:rPr>
          <w:highlight w:val="none"/>
        </w:rPr>
      </w:pPr>
      <w:r>
        <w:rPr>
          <w:highlight w:val="none"/>
        </w:rPr>
        <w:t>承包人提交的竣工资料移交时间：</w:t>
      </w:r>
      <w:r>
        <w:rPr>
          <w:highlight w:val="none"/>
          <w:u w:val="single"/>
        </w:rPr>
        <w:t xml:space="preserve">  竣工验收合格后15天内     </w:t>
      </w:r>
      <w:r>
        <w:rPr>
          <w:highlight w:val="none"/>
        </w:rPr>
        <w:t>。</w:t>
      </w:r>
    </w:p>
    <w:p w14:paraId="51210628">
      <w:pPr>
        <w:wordWrap w:val="0"/>
        <w:adjustRightInd w:val="0"/>
        <w:spacing w:line="360" w:lineRule="auto"/>
        <w:ind w:firstLine="420" w:firstLineChars="200"/>
        <w:rPr>
          <w:highlight w:val="none"/>
        </w:rPr>
      </w:pPr>
      <w:r>
        <w:rPr>
          <w:highlight w:val="none"/>
        </w:rPr>
        <w:t>承包人提交的竣工资料形式要求：</w:t>
      </w:r>
      <w:r>
        <w:rPr>
          <w:highlight w:val="none"/>
          <w:u w:val="single"/>
        </w:rPr>
        <w:t xml:space="preserve">    纸质版和电子版     </w:t>
      </w:r>
      <w:r>
        <w:rPr>
          <w:highlight w:val="none"/>
        </w:rPr>
        <w:t>。</w:t>
      </w:r>
    </w:p>
    <w:p w14:paraId="3A378542">
      <w:pPr>
        <w:wordWrap w:val="0"/>
        <w:adjustRightInd w:val="0"/>
        <w:spacing w:line="360" w:lineRule="auto"/>
        <w:ind w:firstLine="420" w:firstLineChars="200"/>
        <w:rPr>
          <w:rFonts w:cs="宋体"/>
          <w:szCs w:val="21"/>
          <w:highlight w:val="none"/>
        </w:rPr>
      </w:pPr>
      <w:r>
        <w:rPr>
          <w:kern w:val="0"/>
          <w:highlight w:val="none"/>
        </w:rPr>
        <w:t>（10）承包人应履行的其他义务：</w:t>
      </w:r>
      <w:r>
        <w:rPr>
          <w:kern w:val="0"/>
          <w:highlight w:val="none"/>
          <w:u w:val="single"/>
        </w:rPr>
        <w:t xml:space="preserve">   /    </w:t>
      </w:r>
    </w:p>
    <w:p w14:paraId="016705A6">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3.2 项目经理</w:t>
      </w:r>
    </w:p>
    <w:p w14:paraId="14E3F1A2">
      <w:pPr>
        <w:adjustRightInd w:val="0"/>
        <w:snapToGrid w:val="0"/>
        <w:spacing w:line="360" w:lineRule="auto"/>
        <w:ind w:firstLine="420" w:firstLineChars="200"/>
        <w:rPr>
          <w:rFonts w:cs="宋体"/>
          <w:szCs w:val="21"/>
          <w:highlight w:val="none"/>
        </w:rPr>
      </w:pPr>
      <w:r>
        <w:rPr>
          <w:rFonts w:hint="eastAsia" w:cs="宋体"/>
          <w:szCs w:val="21"/>
          <w:highlight w:val="none"/>
        </w:rPr>
        <w:t>3.2.1 项目经理：</w:t>
      </w:r>
    </w:p>
    <w:p w14:paraId="0CCDFC24">
      <w:pPr>
        <w:adjustRightInd w:val="0"/>
        <w:snapToGrid w:val="0"/>
        <w:spacing w:line="360" w:lineRule="auto"/>
        <w:ind w:firstLine="420" w:firstLineChars="200"/>
        <w:rPr>
          <w:rFonts w:cs="宋体"/>
          <w:szCs w:val="21"/>
          <w:highlight w:val="none"/>
        </w:rPr>
      </w:pPr>
      <w:r>
        <w:rPr>
          <w:rFonts w:hint="eastAsia" w:cs="宋体"/>
          <w:szCs w:val="21"/>
          <w:highlight w:val="none"/>
        </w:rPr>
        <w:t>姓    名：</w:t>
      </w:r>
      <w:r>
        <w:rPr>
          <w:rFonts w:hint="eastAsia" w:cs="宋体"/>
          <w:szCs w:val="21"/>
          <w:highlight w:val="none"/>
          <w:u w:val="single"/>
        </w:rPr>
        <w:t>见《专用合同条款数据表》</w:t>
      </w:r>
      <w:r>
        <w:rPr>
          <w:rFonts w:hint="eastAsia" w:cs="宋体"/>
          <w:szCs w:val="21"/>
          <w:highlight w:val="none"/>
        </w:rPr>
        <w:t>；</w:t>
      </w:r>
    </w:p>
    <w:p w14:paraId="17F44A51">
      <w:pPr>
        <w:adjustRightInd w:val="0"/>
        <w:snapToGrid w:val="0"/>
        <w:spacing w:line="360" w:lineRule="auto"/>
        <w:ind w:firstLine="420" w:firstLineChars="200"/>
        <w:rPr>
          <w:rFonts w:cs="宋体"/>
          <w:szCs w:val="21"/>
          <w:highlight w:val="none"/>
        </w:rPr>
      </w:pPr>
      <w:r>
        <w:rPr>
          <w:rFonts w:hint="eastAsia" w:cs="宋体"/>
          <w:szCs w:val="21"/>
          <w:highlight w:val="none"/>
        </w:rPr>
        <w:t>身份证号：</w:t>
      </w:r>
      <w:r>
        <w:rPr>
          <w:rFonts w:hint="eastAsia" w:cs="宋体"/>
          <w:szCs w:val="21"/>
          <w:highlight w:val="none"/>
          <w:u w:val="single"/>
        </w:rPr>
        <w:t>见《专用合同条款数据表》</w:t>
      </w:r>
      <w:r>
        <w:rPr>
          <w:rFonts w:hint="eastAsia" w:cs="宋体"/>
          <w:szCs w:val="21"/>
          <w:highlight w:val="none"/>
        </w:rPr>
        <w:t>；</w:t>
      </w:r>
    </w:p>
    <w:p w14:paraId="5DAA58D5">
      <w:pPr>
        <w:adjustRightInd w:val="0"/>
        <w:snapToGrid w:val="0"/>
        <w:spacing w:line="360" w:lineRule="auto"/>
        <w:ind w:firstLine="420" w:firstLineChars="200"/>
        <w:rPr>
          <w:rFonts w:cs="宋体"/>
          <w:szCs w:val="21"/>
          <w:highlight w:val="none"/>
        </w:rPr>
      </w:pPr>
      <w:r>
        <w:rPr>
          <w:rFonts w:hint="eastAsia" w:cs="宋体"/>
          <w:szCs w:val="21"/>
          <w:highlight w:val="none"/>
        </w:rPr>
        <w:t>建造师执业资格等级：</w:t>
      </w:r>
      <w:r>
        <w:rPr>
          <w:rFonts w:hint="eastAsia" w:cs="宋体"/>
          <w:szCs w:val="21"/>
          <w:highlight w:val="none"/>
          <w:u w:val="single"/>
        </w:rPr>
        <w:t>见《专用合同条款数据表》</w:t>
      </w:r>
      <w:r>
        <w:rPr>
          <w:rFonts w:hint="eastAsia" w:cs="宋体"/>
          <w:szCs w:val="21"/>
          <w:highlight w:val="none"/>
        </w:rPr>
        <w:t>；</w:t>
      </w:r>
    </w:p>
    <w:p w14:paraId="7C7F0AC9">
      <w:pPr>
        <w:adjustRightInd w:val="0"/>
        <w:snapToGrid w:val="0"/>
        <w:spacing w:line="360" w:lineRule="auto"/>
        <w:ind w:firstLine="420" w:firstLineChars="200"/>
        <w:rPr>
          <w:rFonts w:cs="宋体"/>
          <w:szCs w:val="21"/>
          <w:highlight w:val="none"/>
        </w:rPr>
      </w:pPr>
      <w:r>
        <w:rPr>
          <w:rFonts w:hint="eastAsia" w:cs="宋体"/>
          <w:szCs w:val="21"/>
          <w:highlight w:val="none"/>
        </w:rPr>
        <w:t>建造师注册证书号：</w:t>
      </w:r>
      <w:r>
        <w:rPr>
          <w:rFonts w:hint="eastAsia" w:cs="宋体"/>
          <w:szCs w:val="21"/>
          <w:highlight w:val="none"/>
          <w:u w:val="single"/>
        </w:rPr>
        <w:t>见《专用合同条款数据表》</w:t>
      </w:r>
      <w:r>
        <w:rPr>
          <w:rFonts w:hint="eastAsia" w:cs="宋体"/>
          <w:szCs w:val="21"/>
          <w:highlight w:val="none"/>
        </w:rPr>
        <w:t>；</w:t>
      </w:r>
    </w:p>
    <w:p w14:paraId="513775D9">
      <w:pPr>
        <w:adjustRightInd w:val="0"/>
        <w:snapToGrid w:val="0"/>
        <w:spacing w:line="360" w:lineRule="auto"/>
        <w:ind w:firstLine="420" w:firstLineChars="200"/>
        <w:rPr>
          <w:rFonts w:cs="宋体"/>
          <w:szCs w:val="21"/>
          <w:highlight w:val="none"/>
        </w:rPr>
      </w:pPr>
      <w:r>
        <w:rPr>
          <w:rFonts w:hint="eastAsia" w:cs="宋体"/>
          <w:szCs w:val="21"/>
          <w:highlight w:val="none"/>
        </w:rPr>
        <w:t>建造师执业印章号：</w:t>
      </w:r>
      <w:r>
        <w:rPr>
          <w:rFonts w:hint="eastAsia" w:cs="宋体"/>
          <w:szCs w:val="21"/>
          <w:highlight w:val="none"/>
          <w:u w:val="single"/>
        </w:rPr>
        <w:t xml:space="preserve">                          </w:t>
      </w:r>
      <w:r>
        <w:rPr>
          <w:rFonts w:hint="eastAsia" w:cs="宋体"/>
          <w:szCs w:val="21"/>
          <w:highlight w:val="none"/>
        </w:rPr>
        <w:t>；</w:t>
      </w:r>
    </w:p>
    <w:p w14:paraId="5C99015E">
      <w:pPr>
        <w:adjustRightInd w:val="0"/>
        <w:snapToGrid w:val="0"/>
        <w:spacing w:line="360" w:lineRule="auto"/>
        <w:ind w:firstLine="420" w:firstLineChars="200"/>
        <w:rPr>
          <w:rFonts w:cs="宋体"/>
          <w:szCs w:val="21"/>
          <w:highlight w:val="none"/>
        </w:rPr>
      </w:pPr>
      <w:r>
        <w:rPr>
          <w:rFonts w:hint="eastAsia" w:cs="宋体"/>
          <w:szCs w:val="21"/>
          <w:highlight w:val="none"/>
        </w:rPr>
        <w:t>安全生产考核合格证书号：</w:t>
      </w:r>
      <w:r>
        <w:rPr>
          <w:rFonts w:hint="eastAsia" w:cs="宋体"/>
          <w:szCs w:val="21"/>
          <w:highlight w:val="none"/>
          <w:u w:val="single"/>
        </w:rPr>
        <w:t xml:space="preserve">                          </w:t>
      </w:r>
      <w:r>
        <w:rPr>
          <w:rFonts w:hint="eastAsia" w:cs="宋体"/>
          <w:szCs w:val="21"/>
          <w:highlight w:val="none"/>
        </w:rPr>
        <w:t>；</w:t>
      </w:r>
    </w:p>
    <w:p w14:paraId="2421C22A">
      <w:pPr>
        <w:adjustRightInd w:val="0"/>
        <w:snapToGrid w:val="0"/>
        <w:spacing w:line="360" w:lineRule="auto"/>
        <w:ind w:firstLine="420" w:firstLineChars="200"/>
        <w:rPr>
          <w:rFonts w:cs="宋体"/>
          <w:szCs w:val="21"/>
          <w:highlight w:val="none"/>
        </w:rPr>
      </w:pPr>
      <w:r>
        <w:rPr>
          <w:rFonts w:hint="eastAsia" w:cs="宋体"/>
          <w:szCs w:val="21"/>
          <w:highlight w:val="none"/>
        </w:rPr>
        <w:t>联系电话：</w:t>
      </w:r>
      <w:r>
        <w:rPr>
          <w:rFonts w:hint="eastAsia" w:cs="宋体"/>
          <w:szCs w:val="21"/>
          <w:highlight w:val="none"/>
          <w:u w:val="single"/>
        </w:rPr>
        <w:t xml:space="preserve">                          </w:t>
      </w:r>
      <w:r>
        <w:rPr>
          <w:rFonts w:hint="eastAsia" w:cs="宋体"/>
          <w:szCs w:val="21"/>
          <w:highlight w:val="none"/>
        </w:rPr>
        <w:t>；</w:t>
      </w:r>
    </w:p>
    <w:p w14:paraId="0EBD6B81">
      <w:pPr>
        <w:adjustRightInd w:val="0"/>
        <w:snapToGrid w:val="0"/>
        <w:spacing w:line="360" w:lineRule="auto"/>
        <w:ind w:firstLine="420" w:firstLineChars="200"/>
        <w:rPr>
          <w:rFonts w:cs="宋体"/>
          <w:szCs w:val="21"/>
          <w:highlight w:val="none"/>
        </w:rPr>
      </w:pPr>
      <w:r>
        <w:rPr>
          <w:rFonts w:hint="eastAsia" w:cs="宋体"/>
          <w:szCs w:val="21"/>
          <w:highlight w:val="none"/>
        </w:rPr>
        <w:t>电子信箱：</w:t>
      </w:r>
      <w:r>
        <w:rPr>
          <w:rFonts w:hint="eastAsia" w:cs="宋体"/>
          <w:szCs w:val="21"/>
          <w:highlight w:val="none"/>
          <w:u w:val="single"/>
        </w:rPr>
        <w:t xml:space="preserve">                          </w:t>
      </w:r>
      <w:r>
        <w:rPr>
          <w:rFonts w:hint="eastAsia" w:cs="宋体"/>
          <w:szCs w:val="21"/>
          <w:highlight w:val="none"/>
        </w:rPr>
        <w:t>；</w:t>
      </w:r>
    </w:p>
    <w:p w14:paraId="60F22A29">
      <w:pPr>
        <w:adjustRightInd w:val="0"/>
        <w:snapToGrid w:val="0"/>
        <w:spacing w:line="360" w:lineRule="auto"/>
        <w:ind w:firstLine="420" w:firstLineChars="200"/>
        <w:rPr>
          <w:rFonts w:cs="宋体"/>
          <w:szCs w:val="21"/>
          <w:highlight w:val="none"/>
        </w:rPr>
      </w:pPr>
      <w:r>
        <w:rPr>
          <w:rFonts w:hint="eastAsia" w:cs="宋体"/>
          <w:szCs w:val="21"/>
          <w:highlight w:val="none"/>
        </w:rPr>
        <w:t>通信地址：</w:t>
      </w:r>
      <w:r>
        <w:rPr>
          <w:rFonts w:hint="eastAsia" w:cs="宋体"/>
          <w:szCs w:val="21"/>
          <w:highlight w:val="none"/>
          <w:u w:val="single"/>
        </w:rPr>
        <w:t xml:space="preserve">                          </w:t>
      </w:r>
      <w:r>
        <w:rPr>
          <w:rFonts w:hint="eastAsia" w:cs="宋体"/>
          <w:szCs w:val="21"/>
          <w:highlight w:val="none"/>
        </w:rPr>
        <w:t>；</w:t>
      </w:r>
    </w:p>
    <w:p w14:paraId="26624E6F">
      <w:pPr>
        <w:adjustRightInd w:val="0"/>
        <w:snapToGrid w:val="0"/>
        <w:spacing w:line="360" w:lineRule="auto"/>
        <w:ind w:firstLine="420" w:firstLineChars="200"/>
        <w:rPr>
          <w:rFonts w:cs="宋体"/>
          <w:szCs w:val="21"/>
          <w:highlight w:val="none"/>
        </w:rPr>
      </w:pPr>
      <w:r>
        <w:rPr>
          <w:rFonts w:hint="eastAsia" w:cs="宋体"/>
          <w:szCs w:val="21"/>
          <w:highlight w:val="none"/>
        </w:rPr>
        <w:t>承包人对项目经理的授权范围如下：</w:t>
      </w:r>
      <w:r>
        <w:rPr>
          <w:rFonts w:hint="eastAsia" w:cs="宋体"/>
          <w:szCs w:val="21"/>
          <w:highlight w:val="none"/>
          <w:u w:val="single"/>
        </w:rPr>
        <w:t>见《专用合同条款数据表》</w:t>
      </w:r>
      <w:r>
        <w:rPr>
          <w:rFonts w:hint="eastAsia" w:cs="宋体"/>
          <w:szCs w:val="21"/>
          <w:highlight w:val="none"/>
        </w:rPr>
        <w:t>。</w:t>
      </w:r>
    </w:p>
    <w:p w14:paraId="01F9CC65">
      <w:pPr>
        <w:adjustRightInd w:val="0"/>
        <w:snapToGrid w:val="0"/>
        <w:spacing w:line="360" w:lineRule="auto"/>
        <w:ind w:firstLine="420" w:firstLineChars="200"/>
        <w:rPr>
          <w:rFonts w:cs="宋体"/>
          <w:szCs w:val="21"/>
          <w:highlight w:val="none"/>
        </w:rPr>
      </w:pPr>
      <w:r>
        <w:rPr>
          <w:rFonts w:hint="eastAsia" w:cs="宋体"/>
          <w:szCs w:val="21"/>
          <w:highlight w:val="none"/>
        </w:rPr>
        <w:t>关于项目经理每月在施工现场的时间要求：</w:t>
      </w:r>
      <w:r>
        <w:rPr>
          <w:rFonts w:hint="eastAsia" w:cs="宋体"/>
          <w:szCs w:val="21"/>
          <w:highlight w:val="none"/>
          <w:u w:val="single"/>
        </w:rPr>
        <w:t>见《专用合同条款数据表》。</w:t>
      </w:r>
    </w:p>
    <w:p w14:paraId="0907BC10">
      <w:pPr>
        <w:adjustRightInd w:val="0"/>
        <w:snapToGrid w:val="0"/>
        <w:spacing w:line="360" w:lineRule="auto"/>
        <w:ind w:firstLine="420" w:firstLineChars="200"/>
        <w:rPr>
          <w:rFonts w:cs="宋体"/>
          <w:szCs w:val="21"/>
          <w:highlight w:val="none"/>
        </w:rPr>
      </w:pPr>
      <w:r>
        <w:rPr>
          <w:rFonts w:hint="eastAsia" w:cs="宋体"/>
          <w:szCs w:val="21"/>
          <w:highlight w:val="none"/>
        </w:rPr>
        <w:t>承包人未提交劳动合同，以及没有为项目经理缴纳社会保险证明的违约责任：</w:t>
      </w:r>
      <w:r>
        <w:rPr>
          <w:rFonts w:hint="eastAsia" w:cs="宋体"/>
          <w:szCs w:val="21"/>
          <w:highlight w:val="none"/>
          <w:u w:val="single"/>
        </w:rPr>
        <w:t xml:space="preserve"> </w:t>
      </w:r>
      <w:r>
        <w:rPr>
          <w:highlight w:val="none"/>
          <w:u w:val="single"/>
        </w:rPr>
        <w:t>承包人须立即在发包人规定期限内补办相关手续，同时发包人有权向承包方主张签约合同价10%的违约金，否则发包人可单方解除合同并扣除全部履约保证金</w:t>
      </w:r>
      <w:r>
        <w:rPr>
          <w:rFonts w:hint="eastAsia" w:cs="宋体"/>
          <w:szCs w:val="21"/>
          <w:highlight w:val="none"/>
        </w:rPr>
        <w:t>。</w:t>
      </w:r>
    </w:p>
    <w:p w14:paraId="3AFD495D">
      <w:pPr>
        <w:adjustRightInd w:val="0"/>
        <w:snapToGrid w:val="0"/>
        <w:spacing w:line="360" w:lineRule="auto"/>
        <w:ind w:firstLine="420" w:firstLineChars="200"/>
        <w:rPr>
          <w:rFonts w:cs="宋体"/>
          <w:szCs w:val="21"/>
          <w:highlight w:val="none"/>
          <w:u w:val="single"/>
        </w:rPr>
      </w:pPr>
      <w:r>
        <w:rPr>
          <w:rFonts w:hint="eastAsia" w:cs="宋体"/>
          <w:szCs w:val="21"/>
          <w:highlight w:val="none"/>
        </w:rPr>
        <w:t>项目经理未经批准，擅自离开施工现场的违约责任：</w:t>
      </w:r>
      <w:r>
        <w:rPr>
          <w:rFonts w:hint="eastAsia" w:cs="宋体"/>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183B6281">
      <w:pPr>
        <w:adjustRightInd w:val="0"/>
        <w:snapToGrid w:val="0"/>
        <w:spacing w:line="360" w:lineRule="auto"/>
        <w:ind w:firstLine="420" w:firstLineChars="200"/>
        <w:rPr>
          <w:rFonts w:cs="宋体"/>
          <w:szCs w:val="21"/>
          <w:highlight w:val="none"/>
        </w:rPr>
      </w:pPr>
      <w:r>
        <w:rPr>
          <w:rFonts w:hint="eastAsia" w:cs="宋体"/>
          <w:szCs w:val="21"/>
          <w:highlight w:val="none"/>
        </w:rPr>
        <w:t>3.2.3 承包人擅自更换项目经理的违约责任：</w:t>
      </w:r>
    </w:p>
    <w:p w14:paraId="43C1709D">
      <w:pPr>
        <w:adjustRightInd w:val="0"/>
        <w:snapToGrid w:val="0"/>
        <w:spacing w:line="360" w:lineRule="auto"/>
        <w:ind w:firstLine="420" w:firstLineChars="200"/>
        <w:rPr>
          <w:rFonts w:cs="宋体"/>
          <w:szCs w:val="21"/>
          <w:highlight w:val="none"/>
        </w:rPr>
      </w:pPr>
      <w:r>
        <w:rPr>
          <w:rFonts w:hint="eastAsia" w:cs="宋体"/>
          <w:szCs w:val="21"/>
          <w:highlight w:val="none"/>
          <w:u w:val="single"/>
        </w:rPr>
        <w:t>承包人不得擅自更换投标时所报项目经理，否则发包人有权解除合同，由此造成的损失由承包人自行承担，承包人还应赔偿由此造成发包人的全部损失。确需更换的，</w:t>
      </w:r>
      <w:r>
        <w:rPr>
          <w:highlight w:val="none"/>
          <w:u w:val="single"/>
        </w:rPr>
        <w:t>须提前14天通知发包人，并征得发包人同意；该行为视为违约，承包人须支付发包人5万元违约金。更换后的项目经理资历、水平不得降低。</w:t>
      </w:r>
    </w:p>
    <w:p w14:paraId="2160C474">
      <w:pPr>
        <w:adjustRightInd w:val="0"/>
        <w:snapToGrid w:val="0"/>
        <w:spacing w:line="360" w:lineRule="auto"/>
        <w:ind w:firstLine="420" w:firstLineChars="200"/>
        <w:rPr>
          <w:rFonts w:cs="宋体"/>
          <w:szCs w:val="21"/>
          <w:highlight w:val="none"/>
        </w:rPr>
      </w:pPr>
      <w:r>
        <w:rPr>
          <w:rFonts w:hint="eastAsia" w:cs="宋体"/>
          <w:szCs w:val="21"/>
          <w:highlight w:val="none"/>
        </w:rPr>
        <w:t>3.2.4 承包人无正当理由拒绝更换项目经理的违约责任：</w:t>
      </w:r>
      <w:r>
        <w:rPr>
          <w:rFonts w:hint="eastAsia" w:cs="宋体"/>
          <w:szCs w:val="21"/>
          <w:highlight w:val="none"/>
          <w:u w:val="single"/>
        </w:rPr>
        <w:t xml:space="preserve"> </w:t>
      </w:r>
      <w:r>
        <w:rPr>
          <w:highlight w:val="none"/>
          <w:u w:val="single"/>
        </w:rPr>
        <w:t>如承包人的项目经理上岗后能力不能满足发包人要求，发包人有权要求承包人在7天内更换，且无需说明理由，同时承包人须向发包人支付5万元/人·次的违约金。如承包人更换后项目经理仍不能满足发包人要求，将扣除签约合同价的10%作为违约金，同时发包人有权单方面解除合同，承包人须赔偿发包人的所有损失</w:t>
      </w:r>
      <w:r>
        <w:rPr>
          <w:rFonts w:hint="eastAsia" w:cs="宋体"/>
          <w:szCs w:val="21"/>
          <w:highlight w:val="none"/>
        </w:rPr>
        <w:t>。</w:t>
      </w:r>
    </w:p>
    <w:p w14:paraId="6C509CED">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3.3 承包人人员</w:t>
      </w:r>
    </w:p>
    <w:p w14:paraId="29F2E21E">
      <w:pPr>
        <w:wordWrap w:val="0"/>
        <w:adjustRightInd w:val="0"/>
        <w:spacing w:line="360" w:lineRule="auto"/>
        <w:ind w:firstLine="420" w:firstLineChars="200"/>
        <w:rPr>
          <w:highlight w:val="none"/>
        </w:rPr>
      </w:pPr>
      <w:r>
        <w:rPr>
          <w:rFonts w:hint="eastAsia" w:cs="宋体"/>
          <w:szCs w:val="21"/>
          <w:highlight w:val="none"/>
        </w:rPr>
        <w:t>3.3.1 承包人提交项目管理机构及施工现场管理人员安排报告的期限：</w:t>
      </w:r>
      <w:r>
        <w:rPr>
          <w:szCs w:val="21"/>
          <w:highlight w:val="none"/>
          <w:u w:val="single"/>
        </w:rPr>
        <w:t xml:space="preserve">接到开工通知后7天内  </w:t>
      </w:r>
      <w:r>
        <w:rPr>
          <w:highlight w:val="none"/>
        </w:rPr>
        <w:t>。</w:t>
      </w:r>
    </w:p>
    <w:p w14:paraId="3E2DACB4">
      <w:pPr>
        <w:wordWrap w:val="0"/>
        <w:adjustRightInd w:val="0"/>
        <w:spacing w:line="360" w:lineRule="auto"/>
        <w:ind w:firstLine="420" w:firstLineChars="200"/>
        <w:rPr>
          <w:highlight w:val="none"/>
          <w:u w:val="single"/>
        </w:rPr>
      </w:pPr>
      <w:r>
        <w:rPr>
          <w:highlight w:val="none"/>
        </w:rPr>
        <w:t>3.3.3 承包人无正当理由拒绝撤换主要施工管理人员的违约责任：</w:t>
      </w:r>
      <w:r>
        <w:rPr>
          <w:highlight w:val="none"/>
          <w:u w:val="single"/>
        </w:rPr>
        <w:t>如承包人的主要施工管理人员上岗后能力不能满足发包人要求，发包人有权要求承包人在3天内更换，且无需说明理由。如承包人更换后的主要施工管理人员仍不能满足发包人要求，将处以</w:t>
      </w:r>
      <w:r>
        <w:rPr>
          <w:szCs w:val="21"/>
          <w:highlight w:val="none"/>
          <w:u w:val="single"/>
        </w:rPr>
        <w:t>2万元/人·次</w:t>
      </w:r>
      <w:r>
        <w:rPr>
          <w:highlight w:val="none"/>
          <w:u w:val="single"/>
        </w:rPr>
        <w:t xml:space="preserve">的违约金，同时发包人有权单方面解除合同，承包人须赔偿发包人的所有损失 </w:t>
      </w:r>
      <w:r>
        <w:rPr>
          <w:highlight w:val="none"/>
        </w:rPr>
        <w:t>。</w:t>
      </w:r>
    </w:p>
    <w:p w14:paraId="0E43D7E4">
      <w:pPr>
        <w:wordWrap w:val="0"/>
        <w:adjustRightInd w:val="0"/>
        <w:spacing w:line="360" w:lineRule="auto"/>
        <w:ind w:firstLine="420" w:firstLineChars="200"/>
        <w:rPr>
          <w:highlight w:val="none"/>
          <w:u w:val="single"/>
        </w:rPr>
      </w:pPr>
      <w:r>
        <w:rPr>
          <w:highlight w:val="none"/>
        </w:rPr>
        <w:t>3.3.4 承包人主要施工管理人员离开施工现场的批准要求：</w:t>
      </w:r>
      <w:r>
        <w:rPr>
          <w:szCs w:val="21"/>
          <w:highlight w:val="none"/>
          <w:u w:val="single"/>
        </w:rPr>
        <w:t>主要施工管理人员必须常驻施工现场，时间每月不少于 22 日，每日在岗工作时间不得少于 8 小时。确需离开现场的必须提前报监理人和发包人同意</w:t>
      </w:r>
      <w:r>
        <w:rPr>
          <w:highlight w:val="none"/>
        </w:rPr>
        <w:t>。</w:t>
      </w:r>
    </w:p>
    <w:p w14:paraId="14F3B300">
      <w:pPr>
        <w:wordWrap w:val="0"/>
        <w:adjustRightInd w:val="0"/>
        <w:spacing w:line="360" w:lineRule="auto"/>
        <w:ind w:firstLine="424" w:firstLineChars="202"/>
        <w:rPr>
          <w:szCs w:val="21"/>
          <w:highlight w:val="none"/>
          <w:u w:val="single"/>
        </w:rPr>
      </w:pPr>
      <w:r>
        <w:rPr>
          <w:highlight w:val="none"/>
        </w:rPr>
        <w:t>3.3.5 承包人擅自更换主要施工管理人员的违约责任：</w:t>
      </w:r>
      <w:r>
        <w:rPr>
          <w:szCs w:val="21"/>
          <w:highlight w:val="none"/>
          <w:u w:val="single"/>
        </w:rPr>
        <w:t>未经发包人同意，承包人不得擅自更换响应时所报主要施工管理人员。因特殊原因确需更换时，承包人须报经发包人同意，同时承包人须向发包人支付2万元/人·次的违约金，且更换后人员不得低于响应时所报人员资质和技术水平。擅自更换的，须向发包人支付5万元/人·次的违约金。</w:t>
      </w:r>
    </w:p>
    <w:p w14:paraId="29896056">
      <w:pPr>
        <w:adjustRightInd w:val="0"/>
        <w:snapToGrid w:val="0"/>
        <w:spacing w:line="360" w:lineRule="auto"/>
        <w:ind w:firstLine="420" w:firstLineChars="200"/>
        <w:rPr>
          <w:rFonts w:cs="宋体"/>
          <w:szCs w:val="21"/>
          <w:highlight w:val="none"/>
        </w:rPr>
      </w:pPr>
      <w:r>
        <w:rPr>
          <w:highlight w:val="none"/>
        </w:rPr>
        <w:t>承包人主要施工管理人员擅自离开施工现场的违约责任：</w:t>
      </w:r>
      <w:r>
        <w:rPr>
          <w:rFonts w:hint="eastAsia"/>
          <w:highlight w:val="none"/>
          <w:u w:val="single"/>
        </w:rPr>
        <w:t>主要施工管理人员</w:t>
      </w:r>
      <w:r>
        <w:rPr>
          <w:highlight w:val="none"/>
          <w:u w:val="single"/>
        </w:rPr>
        <w:t xml:space="preserve">未经监理人和发包人允许擅自离开施工现场，承包人须按 1000 元/人•天向发包人支付违约金。其余主要人员擅自离开现场，承包人须按500 元/人•天的标准向发包人支付违约金   </w:t>
      </w:r>
      <w:r>
        <w:rPr>
          <w:highlight w:val="none"/>
        </w:rPr>
        <w:t>。</w:t>
      </w:r>
    </w:p>
    <w:p w14:paraId="6C8B2B6B">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3</w:t>
      </w:r>
      <w:bookmarkStart w:id="109" w:name="_Toc303539102"/>
      <w:bookmarkStart w:id="110" w:name="_Toc312677988"/>
      <w:bookmarkStart w:id="111" w:name="_Toc297216151"/>
      <w:bookmarkStart w:id="112" w:name="_Toc296944498"/>
      <w:bookmarkStart w:id="113" w:name="_Toc292559869"/>
      <w:bookmarkStart w:id="114" w:name="_Toc292559364"/>
      <w:bookmarkStart w:id="115" w:name="_Toc297120459"/>
      <w:bookmarkStart w:id="116" w:name="_Toc296503159"/>
      <w:bookmarkStart w:id="117" w:name="_Toc296347158"/>
      <w:bookmarkStart w:id="118" w:name="_Toc296890987"/>
      <w:bookmarkStart w:id="119" w:name="_Toc296346660"/>
      <w:bookmarkStart w:id="120" w:name="_Toc297123492"/>
      <w:bookmarkStart w:id="121" w:name="_Toc297048345"/>
      <w:bookmarkStart w:id="122" w:name="_Toc296891199"/>
      <w:bookmarkStart w:id="123" w:name="_Toc300934945"/>
      <w:bookmarkStart w:id="124" w:name="_Toc304295523"/>
      <w:r>
        <w:rPr>
          <w:rFonts w:hint="eastAsia" w:cs="宋体"/>
          <w:bCs/>
          <w:szCs w:val="21"/>
          <w:highlight w:val="none"/>
        </w:rPr>
        <w:t>.5 分包</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14:paraId="30025220">
      <w:pPr>
        <w:adjustRightInd w:val="0"/>
        <w:snapToGrid w:val="0"/>
        <w:spacing w:line="360" w:lineRule="auto"/>
        <w:ind w:firstLine="420" w:firstLineChars="200"/>
        <w:rPr>
          <w:rFonts w:cs="宋体"/>
          <w:szCs w:val="21"/>
          <w:highlight w:val="none"/>
        </w:rPr>
      </w:pPr>
      <w:r>
        <w:rPr>
          <w:rFonts w:hint="eastAsia" w:cs="宋体"/>
          <w:szCs w:val="21"/>
          <w:highlight w:val="none"/>
        </w:rPr>
        <w:t>3</w:t>
      </w:r>
      <w:bookmarkStart w:id="125" w:name="_Toc312677989"/>
      <w:bookmarkStart w:id="126" w:name="_Toc297123493"/>
      <w:bookmarkStart w:id="127" w:name="_Toc297120460"/>
      <w:bookmarkStart w:id="128" w:name="_Toc303539103"/>
      <w:bookmarkStart w:id="129" w:name="_Toc304295524"/>
      <w:bookmarkStart w:id="130" w:name="_Toc296503160"/>
      <w:bookmarkStart w:id="131" w:name="_Toc296891200"/>
      <w:bookmarkStart w:id="132" w:name="_Toc300934946"/>
      <w:bookmarkStart w:id="133" w:name="_Toc297048346"/>
      <w:bookmarkStart w:id="134" w:name="_Toc296944499"/>
      <w:bookmarkStart w:id="135" w:name="_Toc297216152"/>
      <w:bookmarkStart w:id="136" w:name="_Toc292559870"/>
      <w:bookmarkStart w:id="137" w:name="_Toc318581158"/>
      <w:bookmarkStart w:id="138" w:name="_Toc296347159"/>
      <w:bookmarkStart w:id="139" w:name="_Toc296346661"/>
      <w:bookmarkStart w:id="140" w:name="_Toc292559365"/>
      <w:bookmarkStart w:id="141" w:name="_Toc296890988"/>
      <w:r>
        <w:rPr>
          <w:rFonts w:hint="eastAsia" w:cs="宋体"/>
          <w:szCs w:val="21"/>
          <w:highlight w:val="none"/>
        </w:rPr>
        <w:t>.5.1 分包的一般约定</w:t>
      </w:r>
    </w:p>
    <w:p w14:paraId="370E950D">
      <w:pPr>
        <w:wordWrap w:val="0"/>
        <w:adjustRightInd w:val="0"/>
        <w:spacing w:line="360" w:lineRule="auto"/>
        <w:ind w:firstLine="420" w:firstLineChars="200"/>
        <w:rPr>
          <w:highlight w:val="none"/>
        </w:rPr>
      </w:pPr>
      <w:r>
        <w:rPr>
          <w:rFonts w:hint="eastAsia" w:cs="宋体"/>
          <w:szCs w:val="21"/>
          <w:highlight w:val="none"/>
        </w:rPr>
        <w:t>禁止分包的工程包括：</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Start w:id="142" w:name="_Toc312677990"/>
      <w:bookmarkStart w:id="143" w:name="_Toc318581159"/>
      <w:r>
        <w:rPr>
          <w:highlight w:val="none"/>
          <w:u w:val="single"/>
        </w:rPr>
        <w:t xml:space="preserve">本项目禁止分包 </w:t>
      </w:r>
      <w:r>
        <w:rPr>
          <w:highlight w:val="none"/>
        </w:rPr>
        <w:t>。</w:t>
      </w:r>
    </w:p>
    <w:p w14:paraId="5E69C6E3">
      <w:pPr>
        <w:wordWrap w:val="0"/>
        <w:adjustRightInd w:val="0"/>
        <w:spacing w:line="360" w:lineRule="auto"/>
        <w:ind w:firstLine="420" w:firstLineChars="200"/>
        <w:rPr>
          <w:highlight w:val="none"/>
          <w:u w:val="single"/>
        </w:rPr>
      </w:pPr>
      <w:r>
        <w:rPr>
          <w:highlight w:val="none"/>
        </w:rPr>
        <w:t>主体结构、关键性工作的范围：</w:t>
      </w:r>
      <w:r>
        <w:rPr>
          <w:highlight w:val="none"/>
          <w:u w:val="single"/>
        </w:rPr>
        <w:t xml:space="preserve">    /     </w:t>
      </w:r>
      <w:r>
        <w:rPr>
          <w:highlight w:val="none"/>
        </w:rPr>
        <w:t>。</w:t>
      </w:r>
      <w:bookmarkStart w:id="144" w:name="_Toc296503161"/>
      <w:bookmarkStart w:id="145" w:name="_Toc297048347"/>
      <w:bookmarkStart w:id="146" w:name="_Toc297216153"/>
      <w:bookmarkStart w:id="147" w:name="_Toc303539104"/>
      <w:bookmarkStart w:id="148" w:name="_Toc296347160"/>
      <w:bookmarkStart w:id="149" w:name="_Toc297120461"/>
      <w:bookmarkStart w:id="150" w:name="_Toc297123494"/>
      <w:bookmarkStart w:id="151" w:name="_Toc304295525"/>
      <w:bookmarkStart w:id="152" w:name="_Toc300934947"/>
      <w:bookmarkStart w:id="153" w:name="_Toc296346662"/>
      <w:bookmarkStart w:id="154" w:name="_Toc296891201"/>
      <w:bookmarkStart w:id="155" w:name="_Toc296890989"/>
      <w:bookmarkStart w:id="156" w:name="_Toc296944500"/>
    </w:p>
    <w:bookmarkEnd w:id="144"/>
    <w:bookmarkEnd w:id="145"/>
    <w:bookmarkEnd w:id="146"/>
    <w:bookmarkEnd w:id="147"/>
    <w:bookmarkEnd w:id="148"/>
    <w:bookmarkEnd w:id="149"/>
    <w:bookmarkEnd w:id="150"/>
    <w:bookmarkEnd w:id="151"/>
    <w:bookmarkEnd w:id="152"/>
    <w:bookmarkEnd w:id="153"/>
    <w:bookmarkEnd w:id="154"/>
    <w:bookmarkEnd w:id="155"/>
    <w:bookmarkEnd w:id="156"/>
    <w:p w14:paraId="1E917B10">
      <w:pPr>
        <w:wordWrap w:val="0"/>
        <w:adjustRightInd w:val="0"/>
        <w:spacing w:line="360" w:lineRule="auto"/>
        <w:ind w:firstLine="420" w:firstLineChars="200"/>
        <w:rPr>
          <w:highlight w:val="none"/>
        </w:rPr>
      </w:pPr>
      <w:r>
        <w:rPr>
          <w:highlight w:val="none"/>
        </w:rPr>
        <w:t>3.5.2 分包的确定</w:t>
      </w:r>
    </w:p>
    <w:p w14:paraId="02E74D16">
      <w:pPr>
        <w:wordWrap w:val="0"/>
        <w:adjustRightInd w:val="0"/>
        <w:spacing w:line="360" w:lineRule="auto"/>
        <w:ind w:firstLine="420" w:firstLineChars="200"/>
        <w:rPr>
          <w:highlight w:val="none"/>
          <w:u w:val="single"/>
        </w:rPr>
      </w:pPr>
      <w:r>
        <w:rPr>
          <w:highlight w:val="none"/>
        </w:rPr>
        <w:t>允许分包的专业工程包括：</w:t>
      </w:r>
      <w:r>
        <w:rPr>
          <w:highlight w:val="none"/>
          <w:u w:val="single"/>
        </w:rPr>
        <w:t>本项目禁止分包</w:t>
      </w:r>
    </w:p>
    <w:p w14:paraId="601C5E02">
      <w:pPr>
        <w:wordWrap w:val="0"/>
        <w:adjustRightInd w:val="0"/>
        <w:spacing w:line="360" w:lineRule="auto"/>
        <w:ind w:firstLine="420" w:firstLineChars="200"/>
        <w:rPr>
          <w:highlight w:val="none"/>
        </w:rPr>
      </w:pPr>
      <w:r>
        <w:rPr>
          <w:highlight w:val="none"/>
        </w:rPr>
        <w:t xml:space="preserve">其他关于分包的约定： </w:t>
      </w:r>
      <w:r>
        <w:rPr>
          <w:kern w:val="0"/>
          <w:highlight w:val="none"/>
          <w:u w:val="single"/>
        </w:rPr>
        <w:t xml:space="preserve">  /   </w:t>
      </w:r>
    </w:p>
    <w:p w14:paraId="332B6EFE">
      <w:pPr>
        <w:wordWrap w:val="0"/>
        <w:adjustRightInd w:val="0"/>
        <w:spacing w:line="360" w:lineRule="auto"/>
        <w:ind w:firstLine="420" w:firstLineChars="200"/>
        <w:rPr>
          <w:highlight w:val="none"/>
        </w:rPr>
      </w:pPr>
      <w:r>
        <w:rPr>
          <w:highlight w:val="none"/>
        </w:rPr>
        <w:t>3.5.4 分包合同价款</w:t>
      </w:r>
    </w:p>
    <w:p w14:paraId="3DBA8411">
      <w:pPr>
        <w:wordWrap w:val="0"/>
        <w:adjustRightInd w:val="0"/>
        <w:spacing w:line="360" w:lineRule="auto"/>
        <w:ind w:firstLine="420" w:firstLineChars="200"/>
        <w:rPr>
          <w:rFonts w:cs="宋体"/>
          <w:szCs w:val="21"/>
          <w:highlight w:val="none"/>
        </w:rPr>
      </w:pPr>
      <w:r>
        <w:rPr>
          <w:highlight w:val="none"/>
        </w:rPr>
        <w:t>关于分包合同价款支付的约定：</w:t>
      </w:r>
      <w:r>
        <w:rPr>
          <w:szCs w:val="21"/>
          <w:highlight w:val="none"/>
          <w:u w:val="single"/>
        </w:rPr>
        <w:t xml:space="preserve"> /。</w:t>
      </w:r>
    </w:p>
    <w:bookmarkEnd w:id="142"/>
    <w:bookmarkEnd w:id="143"/>
    <w:p w14:paraId="103A6295">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3.6 工程照管与成品、半成品保护</w:t>
      </w:r>
    </w:p>
    <w:p w14:paraId="2C756905">
      <w:pPr>
        <w:adjustRightInd w:val="0"/>
        <w:snapToGrid w:val="0"/>
        <w:spacing w:line="360" w:lineRule="auto"/>
        <w:ind w:firstLine="420" w:firstLineChars="200"/>
        <w:rPr>
          <w:rFonts w:cs="宋体"/>
          <w:szCs w:val="21"/>
          <w:highlight w:val="none"/>
          <w:u w:val="single"/>
        </w:rPr>
      </w:pPr>
      <w:r>
        <w:rPr>
          <w:rFonts w:hint="eastAsia" w:cs="宋体"/>
          <w:szCs w:val="21"/>
          <w:highlight w:val="none"/>
        </w:rPr>
        <w:t>承包人负责照管工程及工程相关的材料、工程设备的起始时间：</w:t>
      </w:r>
      <w:r>
        <w:rPr>
          <w:rFonts w:hint="eastAsia" w:cs="宋体"/>
          <w:szCs w:val="21"/>
          <w:highlight w:val="none"/>
          <w:u w:val="single"/>
        </w:rPr>
        <w:t>自发包人向承包人移交施工现场之日起，承包人应负责照管工程及工程相关的材料、工程设备，直到颁发工程接收证书之日止。</w:t>
      </w:r>
    </w:p>
    <w:p w14:paraId="20C44F73">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3.7 履约保证金</w:t>
      </w:r>
    </w:p>
    <w:p w14:paraId="0A171CCF">
      <w:pPr>
        <w:adjustRightInd w:val="0"/>
        <w:snapToGrid w:val="0"/>
        <w:spacing w:line="360" w:lineRule="auto"/>
        <w:ind w:firstLine="420" w:firstLineChars="200"/>
        <w:rPr>
          <w:rFonts w:cs="宋体"/>
          <w:szCs w:val="21"/>
          <w:highlight w:val="none"/>
        </w:rPr>
      </w:pPr>
      <w:r>
        <w:rPr>
          <w:rFonts w:hint="eastAsia" w:cs="宋体"/>
          <w:szCs w:val="21"/>
          <w:highlight w:val="none"/>
        </w:rPr>
        <w:t>承包人是否提供履约保证金：</w:t>
      </w:r>
      <w:r>
        <w:rPr>
          <w:rFonts w:hint="eastAsia" w:cs="宋体"/>
          <w:szCs w:val="21"/>
          <w:highlight w:val="none"/>
          <w:u w:val="single"/>
        </w:rPr>
        <w:t>见《专用合同条款数据表》</w:t>
      </w:r>
      <w:r>
        <w:rPr>
          <w:rFonts w:hint="eastAsia" w:cs="宋体"/>
          <w:szCs w:val="21"/>
          <w:highlight w:val="none"/>
        </w:rPr>
        <w:t>。</w:t>
      </w:r>
    </w:p>
    <w:p w14:paraId="2799FD88">
      <w:pPr>
        <w:adjustRightInd w:val="0"/>
        <w:snapToGrid w:val="0"/>
        <w:spacing w:line="360" w:lineRule="auto"/>
        <w:ind w:left="-73" w:leftChars="-35" w:firstLine="497" w:firstLineChars="237"/>
        <w:rPr>
          <w:rFonts w:cs="宋体"/>
          <w:b/>
          <w:szCs w:val="21"/>
          <w:highlight w:val="none"/>
        </w:rPr>
      </w:pPr>
      <w:r>
        <w:rPr>
          <w:rFonts w:hint="eastAsia" w:cs="宋体"/>
          <w:szCs w:val="21"/>
          <w:highlight w:val="none"/>
        </w:rPr>
        <w:t>承包人提供履约保证金的形式：</w:t>
      </w:r>
      <w:r>
        <w:rPr>
          <w:rFonts w:hint="eastAsia" w:cs="宋体"/>
          <w:szCs w:val="21"/>
          <w:highlight w:val="none"/>
          <w:u w:val="single"/>
        </w:rPr>
        <w:t>见《专用合同条款数据表》</w:t>
      </w:r>
      <w:r>
        <w:rPr>
          <w:rFonts w:hint="eastAsia" w:cs="宋体"/>
          <w:szCs w:val="21"/>
          <w:highlight w:val="none"/>
        </w:rPr>
        <w:t>。</w:t>
      </w:r>
    </w:p>
    <w:p w14:paraId="0224832A">
      <w:pPr>
        <w:adjustRightInd w:val="0"/>
        <w:snapToGrid w:val="0"/>
        <w:spacing w:line="360" w:lineRule="auto"/>
        <w:ind w:firstLine="420" w:firstLineChars="200"/>
        <w:rPr>
          <w:rFonts w:cs="宋体"/>
          <w:szCs w:val="21"/>
          <w:highlight w:val="none"/>
        </w:rPr>
      </w:pPr>
      <w:r>
        <w:rPr>
          <w:rFonts w:hint="eastAsia" w:cs="宋体"/>
          <w:szCs w:val="21"/>
          <w:highlight w:val="none"/>
        </w:rPr>
        <w:t>履约保证金的金额：</w:t>
      </w:r>
      <w:r>
        <w:rPr>
          <w:rFonts w:hint="eastAsia" w:cs="宋体"/>
          <w:szCs w:val="21"/>
          <w:highlight w:val="none"/>
          <w:u w:val="single"/>
        </w:rPr>
        <w:t>见《专用合同条款数据表》</w:t>
      </w:r>
      <w:r>
        <w:rPr>
          <w:rFonts w:hint="eastAsia" w:cs="宋体"/>
          <w:szCs w:val="21"/>
          <w:highlight w:val="none"/>
        </w:rPr>
        <w:t>。</w:t>
      </w:r>
    </w:p>
    <w:p w14:paraId="747D64D1">
      <w:pPr>
        <w:adjustRightInd w:val="0"/>
        <w:snapToGrid w:val="0"/>
        <w:spacing w:line="360" w:lineRule="auto"/>
        <w:ind w:firstLine="420" w:firstLineChars="200"/>
        <w:rPr>
          <w:rFonts w:cs="宋体"/>
          <w:szCs w:val="21"/>
          <w:highlight w:val="none"/>
        </w:rPr>
      </w:pPr>
      <w:r>
        <w:rPr>
          <w:rFonts w:hint="eastAsia" w:cs="宋体"/>
          <w:szCs w:val="21"/>
          <w:highlight w:val="none"/>
        </w:rPr>
        <w:t>履约保证金提交期限的要求：</w:t>
      </w:r>
      <w:r>
        <w:rPr>
          <w:rFonts w:hint="eastAsia" w:cs="宋体"/>
          <w:szCs w:val="21"/>
          <w:highlight w:val="none"/>
          <w:u w:val="single"/>
        </w:rPr>
        <w:t>见《专用合同条款数据表》。</w:t>
      </w:r>
    </w:p>
    <w:p w14:paraId="49FEAEF7">
      <w:pPr>
        <w:adjustRightInd w:val="0"/>
        <w:snapToGrid w:val="0"/>
        <w:spacing w:line="360" w:lineRule="auto"/>
        <w:ind w:firstLine="420" w:firstLineChars="200"/>
        <w:rPr>
          <w:rFonts w:cs="宋体"/>
          <w:strike/>
          <w:szCs w:val="21"/>
          <w:highlight w:val="none"/>
        </w:rPr>
      </w:pPr>
      <w:r>
        <w:rPr>
          <w:rFonts w:hint="eastAsia" w:cs="宋体"/>
          <w:bCs/>
          <w:snapToGrid w:val="0"/>
          <w:szCs w:val="21"/>
          <w:highlight w:val="none"/>
        </w:rPr>
        <w:t>履约保证金退还时限：</w:t>
      </w:r>
      <w:r>
        <w:rPr>
          <w:rFonts w:hint="eastAsia" w:cs="宋体"/>
          <w:szCs w:val="21"/>
          <w:highlight w:val="none"/>
          <w:u w:val="single"/>
        </w:rPr>
        <w:t>见《专用合同条款数据表》。</w:t>
      </w:r>
    </w:p>
    <w:p w14:paraId="3613C481">
      <w:pPr>
        <w:snapToGrid w:val="0"/>
        <w:spacing w:before="312" w:beforeLines="100" w:after="312" w:afterLines="100" w:line="360" w:lineRule="auto"/>
        <w:outlineLvl w:val="2"/>
        <w:rPr>
          <w:rFonts w:cs="宋体"/>
          <w:szCs w:val="21"/>
          <w:highlight w:val="none"/>
        </w:rPr>
      </w:pPr>
      <w:bookmarkStart w:id="157" w:name="_Toc351203636"/>
      <w:r>
        <w:rPr>
          <w:rFonts w:hint="eastAsia" w:cs="宋体"/>
          <w:szCs w:val="21"/>
          <w:highlight w:val="none"/>
        </w:rPr>
        <w:t>4</w:t>
      </w:r>
      <w:bookmarkStart w:id="158" w:name="_Toc297120462"/>
      <w:bookmarkStart w:id="159" w:name="_Toc296346663"/>
      <w:bookmarkStart w:id="160" w:name="_Toc296890990"/>
      <w:bookmarkStart w:id="161" w:name="_Toc296944501"/>
      <w:bookmarkStart w:id="162" w:name="_Toc292559366"/>
      <w:bookmarkStart w:id="163" w:name="_Toc296347161"/>
      <w:bookmarkStart w:id="164" w:name="_Toc267251413"/>
      <w:bookmarkStart w:id="165" w:name="_Toc297048348"/>
      <w:bookmarkStart w:id="166" w:name="_Toc296503162"/>
      <w:bookmarkStart w:id="167" w:name="_Toc296891202"/>
      <w:bookmarkStart w:id="168" w:name="_Toc292559871"/>
      <w:r>
        <w:rPr>
          <w:rFonts w:hint="eastAsia" w:cs="宋体"/>
          <w:szCs w:val="21"/>
          <w:highlight w:val="none"/>
        </w:rPr>
        <w:t>. 监</w:t>
      </w:r>
      <w:bookmarkEnd w:id="158"/>
      <w:bookmarkEnd w:id="159"/>
      <w:bookmarkEnd w:id="160"/>
      <w:bookmarkEnd w:id="161"/>
      <w:bookmarkEnd w:id="162"/>
      <w:bookmarkEnd w:id="163"/>
      <w:bookmarkEnd w:id="164"/>
      <w:bookmarkEnd w:id="165"/>
      <w:bookmarkEnd w:id="166"/>
      <w:bookmarkEnd w:id="167"/>
      <w:bookmarkEnd w:id="168"/>
      <w:r>
        <w:rPr>
          <w:rFonts w:hint="eastAsia" w:cs="宋体"/>
          <w:szCs w:val="21"/>
          <w:highlight w:val="none"/>
        </w:rPr>
        <w:t>理人</w:t>
      </w:r>
      <w:bookmarkEnd w:id="157"/>
      <w:r>
        <w:rPr>
          <w:rFonts w:hint="eastAsia" w:cs="宋体"/>
          <w:szCs w:val="21"/>
          <w:highlight w:val="none"/>
        </w:rPr>
        <w:t>（如有）</w:t>
      </w:r>
    </w:p>
    <w:p w14:paraId="1A0F305F">
      <w:pPr>
        <w:keepNext/>
        <w:keepLines/>
        <w:wordWrap w:val="0"/>
        <w:spacing w:before="120" w:after="120" w:line="360" w:lineRule="auto"/>
        <w:ind w:firstLine="420" w:firstLineChars="200"/>
        <w:outlineLvl w:val="3"/>
        <w:rPr>
          <w:bCs/>
          <w:szCs w:val="28"/>
          <w:highlight w:val="none"/>
        </w:rPr>
      </w:pPr>
      <w:r>
        <w:rPr>
          <w:bCs/>
          <w:szCs w:val="28"/>
          <w:highlight w:val="none"/>
        </w:rPr>
        <w:t>4.1 监理人的一般规定</w:t>
      </w:r>
    </w:p>
    <w:p w14:paraId="3B7D211A">
      <w:pPr>
        <w:wordWrap w:val="0"/>
        <w:adjustRightInd w:val="0"/>
        <w:spacing w:line="360" w:lineRule="auto"/>
        <w:ind w:firstLine="420" w:firstLineChars="200"/>
        <w:rPr>
          <w:b/>
          <w:highlight w:val="none"/>
          <w:u w:val="single"/>
        </w:rPr>
      </w:pPr>
      <w:r>
        <w:rPr>
          <w:highlight w:val="none"/>
        </w:rPr>
        <w:t>关于监理人的监理内容：</w:t>
      </w:r>
      <w:r>
        <w:rPr>
          <w:szCs w:val="21"/>
          <w:highlight w:val="none"/>
          <w:u w:val="single"/>
        </w:rPr>
        <w:t xml:space="preserve">  执行监理合同  。</w:t>
      </w:r>
    </w:p>
    <w:p w14:paraId="218EEFEE">
      <w:pPr>
        <w:wordWrap w:val="0"/>
        <w:adjustRightInd w:val="0"/>
        <w:spacing w:line="360" w:lineRule="auto"/>
        <w:ind w:firstLine="420" w:firstLineChars="200"/>
        <w:rPr>
          <w:highlight w:val="none"/>
        </w:rPr>
      </w:pPr>
      <w:r>
        <w:rPr>
          <w:highlight w:val="none"/>
        </w:rPr>
        <w:t>关于监理人的监理权限：</w:t>
      </w:r>
      <w:r>
        <w:rPr>
          <w:szCs w:val="21"/>
          <w:highlight w:val="none"/>
          <w:u w:val="single"/>
        </w:rPr>
        <w:t xml:space="preserve">   执行监理合同       。</w:t>
      </w:r>
      <w:r>
        <w:rPr>
          <w:highlight w:val="none"/>
        </w:rPr>
        <w:t xml:space="preserve"> </w:t>
      </w:r>
    </w:p>
    <w:p w14:paraId="2A60149B">
      <w:pPr>
        <w:wordWrap w:val="0"/>
        <w:adjustRightInd w:val="0"/>
        <w:spacing w:line="360" w:lineRule="auto"/>
        <w:ind w:firstLine="420" w:firstLineChars="200"/>
        <w:rPr>
          <w:highlight w:val="none"/>
          <w:u w:val="single"/>
        </w:rPr>
      </w:pPr>
      <w:r>
        <w:rPr>
          <w:highlight w:val="none"/>
        </w:rPr>
        <w:t>关于监理人在施工现场的办公场所、生活场所的提供和费用承担的约定：</w:t>
      </w:r>
      <w:r>
        <w:rPr>
          <w:szCs w:val="21"/>
          <w:highlight w:val="none"/>
          <w:u w:val="single"/>
        </w:rPr>
        <w:t xml:space="preserve"> 执行监理合同   。</w:t>
      </w:r>
    </w:p>
    <w:p w14:paraId="3BF4E884">
      <w:pPr>
        <w:keepNext/>
        <w:keepLines/>
        <w:wordWrap w:val="0"/>
        <w:spacing w:before="120" w:after="120" w:line="360" w:lineRule="auto"/>
        <w:ind w:firstLine="420" w:firstLineChars="200"/>
        <w:outlineLvl w:val="3"/>
        <w:rPr>
          <w:bCs/>
          <w:szCs w:val="28"/>
          <w:highlight w:val="none"/>
        </w:rPr>
      </w:pPr>
      <w:r>
        <w:rPr>
          <w:bCs/>
          <w:szCs w:val="28"/>
          <w:highlight w:val="none"/>
        </w:rPr>
        <w:t>4.2 监理人员</w:t>
      </w:r>
    </w:p>
    <w:p w14:paraId="14F5CAD6">
      <w:pPr>
        <w:wordWrap w:val="0"/>
        <w:adjustRightInd w:val="0"/>
        <w:spacing w:line="360" w:lineRule="auto"/>
        <w:ind w:firstLine="420" w:firstLineChars="200"/>
        <w:rPr>
          <w:highlight w:val="none"/>
        </w:rPr>
      </w:pPr>
      <w:r>
        <w:rPr>
          <w:highlight w:val="none"/>
        </w:rPr>
        <w:t>总监理工程师：</w:t>
      </w:r>
    </w:p>
    <w:p w14:paraId="40D9E742">
      <w:pPr>
        <w:wordWrap w:val="0"/>
        <w:adjustRightInd w:val="0"/>
        <w:spacing w:line="360" w:lineRule="auto"/>
        <w:ind w:firstLine="420" w:firstLineChars="200"/>
        <w:rPr>
          <w:highlight w:val="none"/>
        </w:rPr>
      </w:pPr>
      <w:r>
        <w:rPr>
          <w:highlight w:val="none"/>
        </w:rPr>
        <w:t>姓    名：</w:t>
      </w:r>
      <w:r>
        <w:rPr>
          <w:highlight w:val="none"/>
          <w:u w:val="single"/>
        </w:rPr>
        <w:t>   </w:t>
      </w:r>
      <w:r>
        <w:rPr>
          <w:highlight w:val="none"/>
        </w:rPr>
        <w:t>；</w:t>
      </w:r>
    </w:p>
    <w:p w14:paraId="4B62AE27">
      <w:pPr>
        <w:wordWrap w:val="0"/>
        <w:adjustRightInd w:val="0"/>
        <w:spacing w:line="360" w:lineRule="auto"/>
        <w:ind w:firstLine="420" w:firstLineChars="200"/>
        <w:rPr>
          <w:highlight w:val="none"/>
        </w:rPr>
      </w:pPr>
      <w:r>
        <w:rPr>
          <w:highlight w:val="none"/>
        </w:rPr>
        <w:t>职    务：</w:t>
      </w:r>
      <w:r>
        <w:rPr>
          <w:highlight w:val="none"/>
          <w:u w:val="single"/>
        </w:rPr>
        <w:t>   </w:t>
      </w:r>
      <w:r>
        <w:rPr>
          <w:highlight w:val="none"/>
        </w:rPr>
        <w:t>；</w:t>
      </w:r>
    </w:p>
    <w:p w14:paraId="30DE8B21">
      <w:pPr>
        <w:wordWrap w:val="0"/>
        <w:adjustRightInd w:val="0"/>
        <w:spacing w:line="360" w:lineRule="auto"/>
        <w:ind w:firstLine="420" w:firstLineChars="200"/>
        <w:rPr>
          <w:highlight w:val="none"/>
        </w:rPr>
      </w:pPr>
      <w:r>
        <w:rPr>
          <w:highlight w:val="none"/>
        </w:rPr>
        <w:t>监理工程师执业资格证书号：</w:t>
      </w:r>
      <w:r>
        <w:rPr>
          <w:highlight w:val="none"/>
          <w:u w:val="single"/>
        </w:rPr>
        <w:t> </w:t>
      </w:r>
      <w:r>
        <w:rPr>
          <w:highlight w:val="none"/>
        </w:rPr>
        <w:t>；</w:t>
      </w:r>
    </w:p>
    <w:p w14:paraId="571B98F3">
      <w:pPr>
        <w:wordWrap w:val="0"/>
        <w:adjustRightInd w:val="0"/>
        <w:spacing w:line="360" w:lineRule="auto"/>
        <w:ind w:firstLine="420" w:firstLineChars="200"/>
        <w:rPr>
          <w:highlight w:val="none"/>
        </w:rPr>
      </w:pPr>
      <w:r>
        <w:rPr>
          <w:highlight w:val="none"/>
        </w:rPr>
        <w:t>联系电话：</w:t>
      </w:r>
      <w:r>
        <w:rPr>
          <w:highlight w:val="none"/>
          <w:u w:val="single"/>
        </w:rPr>
        <w:t>   </w:t>
      </w:r>
      <w:r>
        <w:rPr>
          <w:highlight w:val="none"/>
        </w:rPr>
        <w:t>；</w:t>
      </w:r>
    </w:p>
    <w:p w14:paraId="2EDC3D13">
      <w:pPr>
        <w:wordWrap w:val="0"/>
        <w:adjustRightInd w:val="0"/>
        <w:spacing w:line="360" w:lineRule="auto"/>
        <w:ind w:firstLine="420" w:firstLineChars="200"/>
        <w:rPr>
          <w:highlight w:val="none"/>
        </w:rPr>
      </w:pPr>
      <w:r>
        <w:rPr>
          <w:highlight w:val="none"/>
        </w:rPr>
        <w:t>电子信箱：</w:t>
      </w:r>
      <w:r>
        <w:rPr>
          <w:highlight w:val="none"/>
          <w:u w:val="single"/>
        </w:rPr>
        <w:t>   </w:t>
      </w:r>
      <w:r>
        <w:rPr>
          <w:highlight w:val="none"/>
        </w:rPr>
        <w:t>；</w:t>
      </w:r>
    </w:p>
    <w:p w14:paraId="4B5CA620">
      <w:pPr>
        <w:wordWrap w:val="0"/>
        <w:adjustRightInd w:val="0"/>
        <w:spacing w:line="360" w:lineRule="auto"/>
        <w:ind w:firstLine="420" w:firstLineChars="200"/>
        <w:rPr>
          <w:highlight w:val="none"/>
        </w:rPr>
      </w:pPr>
      <w:r>
        <w:rPr>
          <w:highlight w:val="none"/>
        </w:rPr>
        <w:t>通信地址：</w:t>
      </w:r>
      <w:r>
        <w:rPr>
          <w:highlight w:val="none"/>
          <w:u w:val="single"/>
        </w:rPr>
        <w:t>   </w:t>
      </w:r>
      <w:r>
        <w:rPr>
          <w:highlight w:val="none"/>
        </w:rPr>
        <w:t>；</w:t>
      </w:r>
    </w:p>
    <w:p w14:paraId="4852F516">
      <w:pPr>
        <w:adjustRightInd w:val="0"/>
        <w:snapToGrid w:val="0"/>
        <w:spacing w:line="360" w:lineRule="auto"/>
        <w:ind w:firstLine="420" w:firstLineChars="200"/>
        <w:rPr>
          <w:rFonts w:cs="宋体"/>
          <w:szCs w:val="21"/>
          <w:highlight w:val="none"/>
        </w:rPr>
      </w:pPr>
      <w:r>
        <w:rPr>
          <w:highlight w:val="none"/>
        </w:rPr>
        <w:t>关于监理人的其他约定：</w:t>
      </w:r>
      <w:r>
        <w:rPr>
          <w:highlight w:val="none"/>
          <w:u w:val="single"/>
        </w:rPr>
        <w:t>执行监理合同 </w:t>
      </w:r>
      <w:r>
        <w:rPr>
          <w:highlight w:val="none"/>
        </w:rPr>
        <w:t>。</w:t>
      </w:r>
    </w:p>
    <w:p w14:paraId="08B6EC31">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4.4 商定或确定</w:t>
      </w:r>
    </w:p>
    <w:p w14:paraId="03C33489">
      <w:pPr>
        <w:adjustRightInd w:val="0"/>
        <w:snapToGrid w:val="0"/>
        <w:spacing w:line="360" w:lineRule="auto"/>
        <w:ind w:firstLine="420" w:firstLineChars="200"/>
        <w:rPr>
          <w:rFonts w:cs="宋体"/>
          <w:szCs w:val="21"/>
          <w:highlight w:val="none"/>
        </w:rPr>
      </w:pPr>
      <w:bookmarkStart w:id="169" w:name="_Toc267251418"/>
      <w:r>
        <w:rPr>
          <w:rFonts w:hint="eastAsia" w:cs="宋体"/>
          <w:szCs w:val="21"/>
          <w:highlight w:val="none"/>
        </w:rPr>
        <w:t>在发包人和承包人不能通过协商达成一致意见时，发包人授权监理人对以下事项进行确定：</w:t>
      </w:r>
    </w:p>
    <w:p w14:paraId="402067E7">
      <w:pPr>
        <w:wordWrap w:val="0"/>
        <w:adjustRightInd w:val="0"/>
        <w:spacing w:line="360" w:lineRule="auto"/>
        <w:ind w:firstLine="420" w:firstLineChars="200"/>
        <w:rPr>
          <w:kern w:val="0"/>
          <w:highlight w:val="none"/>
        </w:rPr>
      </w:pPr>
      <w:r>
        <w:rPr>
          <w:kern w:val="0"/>
          <w:highlight w:val="none"/>
        </w:rPr>
        <w:t>（1）</w:t>
      </w:r>
      <w:r>
        <w:rPr>
          <w:highlight w:val="none"/>
          <w:u w:val="single"/>
        </w:rPr>
        <w:t xml:space="preserve">合同解除后，承包人实际完成工作的价值，以及承包人已提供的材料、施工设备、工程设备和临时工程等的价值  </w:t>
      </w:r>
      <w:r>
        <w:rPr>
          <w:highlight w:val="none"/>
        </w:rPr>
        <w:t>；</w:t>
      </w:r>
    </w:p>
    <w:p w14:paraId="0E1CF7AB">
      <w:pPr>
        <w:wordWrap w:val="0"/>
        <w:adjustRightInd w:val="0"/>
        <w:spacing w:line="360" w:lineRule="auto"/>
        <w:ind w:firstLine="420" w:firstLineChars="200"/>
        <w:rPr>
          <w:kern w:val="0"/>
          <w:highlight w:val="none"/>
        </w:rPr>
      </w:pPr>
      <w:r>
        <w:rPr>
          <w:kern w:val="0"/>
          <w:highlight w:val="none"/>
        </w:rPr>
        <w:t>（2）</w:t>
      </w:r>
      <w:r>
        <w:rPr>
          <w:highlight w:val="none"/>
          <w:u w:val="single"/>
        </w:rPr>
        <w:t xml:space="preserve">不可抗力   </w:t>
      </w:r>
      <w:r>
        <w:rPr>
          <w:highlight w:val="none"/>
        </w:rPr>
        <w:t>；</w:t>
      </w:r>
    </w:p>
    <w:p w14:paraId="15C4780E">
      <w:pPr>
        <w:adjustRightInd w:val="0"/>
        <w:snapToGrid w:val="0"/>
        <w:spacing w:line="360" w:lineRule="auto"/>
        <w:ind w:firstLine="420" w:firstLineChars="200"/>
        <w:rPr>
          <w:rFonts w:cs="宋体"/>
          <w:szCs w:val="21"/>
          <w:highlight w:val="none"/>
        </w:rPr>
      </w:pPr>
      <w:r>
        <w:rPr>
          <w:kern w:val="0"/>
          <w:highlight w:val="none"/>
        </w:rPr>
        <w:t>（3）</w:t>
      </w:r>
      <w:r>
        <w:rPr>
          <w:highlight w:val="none"/>
          <w:u w:val="single"/>
        </w:rPr>
        <w:t xml:space="preserve">承包人或者发包人的索赔     </w:t>
      </w:r>
      <w:r>
        <w:rPr>
          <w:highlight w:val="none"/>
        </w:rPr>
        <w:t>。</w:t>
      </w:r>
    </w:p>
    <w:p w14:paraId="45DA7C61">
      <w:pPr>
        <w:snapToGrid w:val="0"/>
        <w:spacing w:before="312" w:beforeLines="100" w:after="312" w:afterLines="100" w:line="360" w:lineRule="auto"/>
        <w:outlineLvl w:val="2"/>
        <w:rPr>
          <w:rFonts w:cs="宋体"/>
          <w:szCs w:val="21"/>
          <w:highlight w:val="none"/>
        </w:rPr>
      </w:pPr>
      <w:bookmarkStart w:id="170" w:name="_Toc351203637"/>
      <w:r>
        <w:rPr>
          <w:rFonts w:hint="eastAsia" w:cs="宋体"/>
          <w:szCs w:val="21"/>
          <w:highlight w:val="none"/>
        </w:rPr>
        <w:t>5</w:t>
      </w:r>
      <w:bookmarkEnd w:id="169"/>
      <w:bookmarkStart w:id="171" w:name="_Toc296346664"/>
      <w:bookmarkStart w:id="172" w:name="_Toc296944502"/>
      <w:bookmarkStart w:id="173" w:name="_Toc292559872"/>
      <w:bookmarkStart w:id="174" w:name="_Toc296890991"/>
      <w:bookmarkStart w:id="175" w:name="_Toc292559367"/>
      <w:bookmarkStart w:id="176" w:name="_Toc296503163"/>
      <w:bookmarkStart w:id="177" w:name="_Toc296891203"/>
      <w:bookmarkStart w:id="178" w:name="_Toc296347162"/>
      <w:bookmarkStart w:id="179" w:name="_Toc297120463"/>
      <w:bookmarkStart w:id="180" w:name="_Toc297048349"/>
      <w:r>
        <w:rPr>
          <w:rFonts w:hint="eastAsia" w:cs="宋体"/>
          <w:szCs w:val="21"/>
          <w:highlight w:val="none"/>
        </w:rPr>
        <w:t>. 工程质量</w:t>
      </w:r>
      <w:bookmarkEnd w:id="170"/>
    </w:p>
    <w:p w14:paraId="045FA078">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5.1 质量要求</w:t>
      </w:r>
    </w:p>
    <w:p w14:paraId="6E64E8AA">
      <w:pPr>
        <w:adjustRightInd w:val="0"/>
        <w:snapToGrid w:val="0"/>
        <w:spacing w:line="360" w:lineRule="auto"/>
        <w:ind w:firstLine="420" w:firstLineChars="200"/>
        <w:rPr>
          <w:rFonts w:cs="宋体"/>
          <w:szCs w:val="21"/>
          <w:highlight w:val="none"/>
          <w:u w:val="single"/>
        </w:rPr>
      </w:pPr>
      <w:r>
        <w:rPr>
          <w:rFonts w:hint="eastAsia" w:cs="宋体"/>
          <w:szCs w:val="21"/>
          <w:highlight w:val="none"/>
        </w:rPr>
        <w:t>5</w:t>
      </w:r>
      <w:bookmarkStart w:id="181" w:name="_Toc297216155"/>
      <w:bookmarkStart w:id="182" w:name="_Toc303539106"/>
      <w:bookmarkStart w:id="183" w:name="_Toc297123496"/>
      <w:bookmarkStart w:id="184" w:name="_Toc304295527"/>
      <w:bookmarkStart w:id="185" w:name="_Toc312677997"/>
      <w:bookmarkStart w:id="186" w:name="_Toc318581164"/>
      <w:bookmarkStart w:id="187" w:name="_Toc300934949"/>
      <w:r>
        <w:rPr>
          <w:rFonts w:hint="eastAsia" w:cs="宋体"/>
          <w:szCs w:val="21"/>
          <w:highlight w:val="none"/>
        </w:rPr>
        <w:t>.1.1 特殊质量标准和要求：</w:t>
      </w:r>
      <w:r>
        <w:rPr>
          <w:rFonts w:hint="eastAsia" w:cs="宋体"/>
          <w:szCs w:val="21"/>
          <w:highlight w:val="none"/>
          <w:u w:val="single"/>
        </w:rPr>
        <w:t>见《专用合同条款数据表》</w:t>
      </w:r>
      <w:r>
        <w:rPr>
          <w:rFonts w:hint="eastAsia" w:cs="宋体"/>
          <w:szCs w:val="21"/>
          <w:highlight w:val="none"/>
        </w:rPr>
        <w:t>。</w:t>
      </w:r>
    </w:p>
    <w:p w14:paraId="7A470705">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关于工程奖项的约定：</w:t>
      </w:r>
      <w:r>
        <w:rPr>
          <w:rFonts w:hint="eastAsia" w:cs="宋体"/>
          <w:szCs w:val="21"/>
          <w:highlight w:val="none"/>
          <w:u w:val="single"/>
        </w:rPr>
        <w:t>见《专用合同条款数据表》</w:t>
      </w:r>
      <w:r>
        <w:rPr>
          <w:rFonts w:hint="eastAsia" w:cs="宋体"/>
          <w:szCs w:val="21"/>
          <w:highlight w:val="none"/>
        </w:rPr>
        <w:t>。</w:t>
      </w:r>
    </w:p>
    <w:p w14:paraId="573D1082">
      <w:pPr>
        <w:snapToGrid w:val="0"/>
        <w:spacing w:line="360" w:lineRule="auto"/>
        <w:ind w:firstLine="420" w:firstLineChars="200"/>
        <w:jc w:val="left"/>
        <w:rPr>
          <w:rFonts w:cs="宋体"/>
          <w:szCs w:val="21"/>
          <w:highlight w:val="none"/>
        </w:rPr>
      </w:pPr>
      <w:bookmarkStart w:id="188" w:name="_Toc351203638"/>
      <w:r>
        <w:rPr>
          <w:rFonts w:hint="eastAsia" w:cs="宋体"/>
          <w:szCs w:val="21"/>
          <w:highlight w:val="none"/>
        </w:rPr>
        <w:t>关于建造要求：</w:t>
      </w:r>
    </w:p>
    <w:p w14:paraId="0612CE19">
      <w:pPr>
        <w:pStyle w:val="14"/>
        <w:snapToGrid w:val="0"/>
        <w:spacing w:line="360" w:lineRule="auto"/>
        <w:rPr>
          <w:rFonts w:hAnsi="宋体" w:cs="宋体"/>
          <w:szCs w:val="21"/>
          <w:highlight w:val="none"/>
        </w:rPr>
      </w:pPr>
      <w:r>
        <w:rPr>
          <w:rFonts w:hint="eastAsia" w:hAnsi="宋体" w:cs="宋体"/>
          <w:szCs w:val="21"/>
          <w:highlight w:val="none"/>
        </w:rPr>
        <w:t>（1）绿色建筑等级要求：</w:t>
      </w:r>
      <w:r>
        <w:rPr>
          <w:rFonts w:hint="eastAsia" w:hAnsi="宋体" w:cs="宋体"/>
          <w:szCs w:val="21"/>
          <w:highlight w:val="none"/>
          <w:u w:val="single"/>
        </w:rPr>
        <w:t>见《专用合同条款数据表》</w:t>
      </w:r>
      <w:r>
        <w:rPr>
          <w:rFonts w:hint="eastAsia" w:hAnsi="宋体" w:cs="宋体"/>
          <w:szCs w:val="21"/>
          <w:highlight w:val="none"/>
        </w:rPr>
        <w:t>；</w:t>
      </w:r>
    </w:p>
    <w:p w14:paraId="12C15579">
      <w:pPr>
        <w:pStyle w:val="14"/>
        <w:snapToGrid w:val="0"/>
        <w:spacing w:line="360" w:lineRule="auto"/>
        <w:rPr>
          <w:rFonts w:hAnsi="宋体" w:cs="宋体"/>
          <w:szCs w:val="21"/>
          <w:highlight w:val="none"/>
        </w:rPr>
      </w:pPr>
      <w:r>
        <w:rPr>
          <w:rFonts w:hint="eastAsia" w:hAnsi="宋体" w:cs="宋体"/>
          <w:szCs w:val="21"/>
          <w:highlight w:val="none"/>
        </w:rPr>
        <w:t>（2）智慧工地管理要求：</w:t>
      </w:r>
      <w:r>
        <w:rPr>
          <w:rFonts w:hint="eastAsia" w:hAnsi="宋体" w:cs="宋体"/>
          <w:szCs w:val="21"/>
          <w:highlight w:val="none"/>
          <w:u w:val="single"/>
        </w:rPr>
        <w:t>见《专用合同条款数据表》</w:t>
      </w:r>
      <w:r>
        <w:rPr>
          <w:rFonts w:hint="eastAsia" w:hAnsi="宋体" w:cs="宋体"/>
          <w:szCs w:val="21"/>
          <w:highlight w:val="none"/>
        </w:rPr>
        <w:t>；</w:t>
      </w:r>
    </w:p>
    <w:p w14:paraId="72C62F56">
      <w:pPr>
        <w:pStyle w:val="14"/>
        <w:snapToGrid w:val="0"/>
        <w:spacing w:line="360" w:lineRule="auto"/>
        <w:rPr>
          <w:rFonts w:hAnsi="宋体" w:cs="宋体"/>
          <w:szCs w:val="21"/>
          <w:highlight w:val="none"/>
        </w:rPr>
      </w:pPr>
      <w:r>
        <w:rPr>
          <w:rFonts w:hint="eastAsia" w:hAnsi="宋体" w:cs="宋体"/>
          <w:szCs w:val="21"/>
          <w:highlight w:val="none"/>
        </w:rPr>
        <w:t>（3）建筑垃圾减量化目标：</w:t>
      </w:r>
      <w:r>
        <w:rPr>
          <w:rFonts w:hint="eastAsia" w:hAnsi="宋体" w:cs="宋体"/>
          <w:szCs w:val="21"/>
          <w:highlight w:val="none"/>
          <w:u w:val="single"/>
        </w:rPr>
        <w:t>见《专用合同条款数据表》</w:t>
      </w:r>
      <w:r>
        <w:rPr>
          <w:rFonts w:hint="eastAsia" w:hAnsi="宋体" w:cs="宋体"/>
          <w:szCs w:val="21"/>
          <w:highlight w:val="none"/>
        </w:rPr>
        <w:t>；</w:t>
      </w:r>
    </w:p>
    <w:p w14:paraId="4A0EFEFD">
      <w:pPr>
        <w:snapToGrid w:val="0"/>
        <w:spacing w:line="360" w:lineRule="auto"/>
        <w:ind w:firstLine="420" w:firstLineChars="200"/>
        <w:jc w:val="left"/>
        <w:rPr>
          <w:rFonts w:cs="宋体"/>
          <w:szCs w:val="21"/>
          <w:highlight w:val="none"/>
        </w:rPr>
      </w:pPr>
      <w:r>
        <w:rPr>
          <w:rFonts w:hint="eastAsia" w:cs="宋体"/>
          <w:szCs w:val="21"/>
          <w:highlight w:val="none"/>
        </w:rPr>
        <w:t>（4）装配式建筑装配率要求：</w:t>
      </w:r>
      <w:r>
        <w:rPr>
          <w:rFonts w:hint="eastAsia" w:cs="宋体"/>
          <w:szCs w:val="21"/>
          <w:highlight w:val="none"/>
          <w:u w:val="single"/>
        </w:rPr>
        <w:t>见《专用合同条款数据表》</w:t>
      </w:r>
      <w:r>
        <w:rPr>
          <w:rFonts w:hint="eastAsia" w:cs="宋体"/>
          <w:szCs w:val="21"/>
          <w:highlight w:val="none"/>
        </w:rPr>
        <w:t>；</w:t>
      </w:r>
    </w:p>
    <w:p w14:paraId="30309F98">
      <w:pPr>
        <w:snapToGrid w:val="0"/>
        <w:spacing w:line="360" w:lineRule="auto"/>
        <w:ind w:firstLine="420" w:firstLineChars="200"/>
        <w:jc w:val="left"/>
        <w:rPr>
          <w:rFonts w:cs="宋体"/>
          <w:szCs w:val="21"/>
          <w:highlight w:val="none"/>
        </w:rPr>
      </w:pPr>
      <w:r>
        <w:rPr>
          <w:rFonts w:hint="eastAsia" w:cs="宋体"/>
          <w:szCs w:val="21"/>
          <w:highlight w:val="none"/>
        </w:rPr>
        <w:t>（5）</w:t>
      </w:r>
      <w:r>
        <w:rPr>
          <w:rFonts w:hint="eastAsia" w:cs="宋体"/>
          <w:szCs w:val="21"/>
          <w:highlight w:val="none"/>
          <w:u w:val="single"/>
        </w:rPr>
        <w:t>见《专用合同条款数据表》</w:t>
      </w:r>
      <w:r>
        <w:rPr>
          <w:rFonts w:hint="eastAsia" w:cs="宋体"/>
          <w:szCs w:val="21"/>
          <w:highlight w:val="none"/>
        </w:rPr>
        <w:t>。</w:t>
      </w:r>
    </w:p>
    <w:p w14:paraId="2517FF2C">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5.3 隐蔽工程检查</w:t>
      </w:r>
    </w:p>
    <w:p w14:paraId="2CCFCCE0">
      <w:pPr>
        <w:wordWrap w:val="0"/>
        <w:adjustRightInd w:val="0"/>
        <w:spacing w:line="360" w:lineRule="auto"/>
        <w:ind w:firstLine="420" w:firstLineChars="200"/>
        <w:rPr>
          <w:highlight w:val="none"/>
          <w:u w:val="single"/>
        </w:rPr>
      </w:pPr>
      <w:r>
        <w:rPr>
          <w:rFonts w:hint="eastAsia" w:cs="宋体"/>
          <w:szCs w:val="21"/>
          <w:highlight w:val="none"/>
        </w:rPr>
        <w:t xml:space="preserve">5.3.2 </w:t>
      </w:r>
      <w:r>
        <w:rPr>
          <w:highlight w:val="none"/>
        </w:rPr>
        <w:t>承包人提前通知监理人隐蔽工程检查的期限的约定：</w:t>
      </w:r>
      <w:r>
        <w:rPr>
          <w:szCs w:val="21"/>
          <w:highlight w:val="none"/>
          <w:u w:val="single"/>
        </w:rPr>
        <w:t xml:space="preserve">共同检检查前 48 小时（执行通用条款） </w:t>
      </w:r>
      <w:r>
        <w:rPr>
          <w:highlight w:val="none"/>
        </w:rPr>
        <w:t>。</w:t>
      </w:r>
    </w:p>
    <w:p w14:paraId="247DF7EC">
      <w:pPr>
        <w:wordWrap w:val="0"/>
        <w:adjustRightInd w:val="0"/>
        <w:spacing w:line="360" w:lineRule="auto"/>
        <w:ind w:firstLine="420" w:firstLineChars="200"/>
        <w:rPr>
          <w:highlight w:val="none"/>
        </w:rPr>
      </w:pPr>
      <w:r>
        <w:rPr>
          <w:highlight w:val="none"/>
        </w:rPr>
        <w:t>监理人不能按时进行检查时，应提前</w:t>
      </w:r>
      <w:r>
        <w:rPr>
          <w:szCs w:val="21"/>
          <w:highlight w:val="none"/>
          <w:u w:val="single"/>
        </w:rPr>
        <w:t xml:space="preserve"> 24（执行通用条款）</w:t>
      </w:r>
      <w:r>
        <w:rPr>
          <w:highlight w:val="none"/>
        </w:rPr>
        <w:t>小时提交书面延期要求。</w:t>
      </w:r>
    </w:p>
    <w:p w14:paraId="20F8AF3D">
      <w:pPr>
        <w:adjustRightInd w:val="0"/>
        <w:snapToGrid w:val="0"/>
        <w:spacing w:line="360" w:lineRule="auto"/>
        <w:ind w:firstLine="420" w:firstLineChars="200"/>
        <w:rPr>
          <w:rFonts w:cs="宋体"/>
          <w:szCs w:val="21"/>
          <w:highlight w:val="none"/>
        </w:rPr>
      </w:pPr>
      <w:r>
        <w:rPr>
          <w:highlight w:val="none"/>
        </w:rPr>
        <w:t>关于延期最长不得超过：</w:t>
      </w:r>
      <w:r>
        <w:rPr>
          <w:szCs w:val="21"/>
          <w:highlight w:val="none"/>
          <w:u w:val="single"/>
        </w:rPr>
        <w:t xml:space="preserve"> 48（执行通用条款）</w:t>
      </w:r>
      <w:r>
        <w:rPr>
          <w:highlight w:val="none"/>
        </w:rPr>
        <w:t>小时。</w:t>
      </w:r>
    </w:p>
    <w:p w14:paraId="0A4A92CD">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5</w:t>
      </w:r>
      <w:bookmarkStart w:id="189" w:name="_Toc337558762"/>
      <w:r>
        <w:rPr>
          <w:rFonts w:hint="eastAsia" w:cs="宋体"/>
          <w:bCs/>
          <w:szCs w:val="21"/>
          <w:highlight w:val="none"/>
        </w:rPr>
        <w:t>.4 不合格工程的处理</w:t>
      </w:r>
    </w:p>
    <w:bookmarkEnd w:id="189"/>
    <w:p w14:paraId="03E68DE4">
      <w:pPr>
        <w:snapToGrid w:val="0"/>
        <w:spacing w:line="360" w:lineRule="auto"/>
        <w:ind w:firstLine="420" w:firstLineChars="200"/>
        <w:jc w:val="left"/>
        <w:rPr>
          <w:rFonts w:cs="宋体"/>
          <w:szCs w:val="21"/>
          <w:highlight w:val="none"/>
        </w:rPr>
      </w:pPr>
      <w:r>
        <w:rPr>
          <w:rFonts w:hint="eastAsia" w:cs="宋体"/>
          <w:szCs w:val="21"/>
          <w:highlight w:val="none"/>
        </w:rPr>
        <w:t>本款补充5.4.3项：</w:t>
      </w:r>
    </w:p>
    <w:p w14:paraId="2E6C5295">
      <w:pPr>
        <w:snapToGrid w:val="0"/>
        <w:spacing w:line="360" w:lineRule="auto"/>
        <w:ind w:firstLine="420" w:firstLineChars="200"/>
        <w:jc w:val="left"/>
        <w:rPr>
          <w:rFonts w:cs="宋体"/>
          <w:szCs w:val="21"/>
          <w:highlight w:val="none"/>
        </w:rPr>
      </w:pPr>
      <w:r>
        <w:rPr>
          <w:rFonts w:hint="eastAsia" w:cs="宋体"/>
          <w:szCs w:val="21"/>
          <w:highlight w:val="none"/>
        </w:rPr>
        <w:t>5.4.3 承包人在收到监理人发出的《不合格分项报告》或监理通知单后，必须在监理人规定时间内按要求完成整改，未能在限定时间内完成整改的，须承担相应违约责任。</w:t>
      </w:r>
    </w:p>
    <w:p w14:paraId="38E32067">
      <w:pPr>
        <w:snapToGrid w:val="0"/>
        <w:spacing w:line="360" w:lineRule="auto"/>
        <w:ind w:firstLine="420" w:firstLineChars="200"/>
        <w:jc w:val="left"/>
        <w:rPr>
          <w:rFonts w:cs="宋体"/>
          <w:szCs w:val="21"/>
          <w:highlight w:val="none"/>
        </w:rPr>
      </w:pPr>
      <w:r>
        <w:rPr>
          <w:rFonts w:hint="eastAsia" w:cs="宋体"/>
          <w:szCs w:val="21"/>
          <w:highlight w:val="none"/>
        </w:rPr>
        <w:t>本条补充5.6款：</w:t>
      </w:r>
    </w:p>
    <w:p w14:paraId="431DC2D0">
      <w:pPr>
        <w:keepNext/>
        <w:keepLines/>
        <w:snapToGrid w:val="0"/>
        <w:spacing w:before="120" w:after="120" w:line="360" w:lineRule="auto"/>
        <w:ind w:firstLine="420" w:firstLineChars="200"/>
        <w:outlineLvl w:val="3"/>
        <w:rPr>
          <w:rFonts w:cs="宋体"/>
          <w:bCs/>
          <w:szCs w:val="21"/>
          <w:highlight w:val="none"/>
        </w:rPr>
      </w:pPr>
      <w:bookmarkStart w:id="190" w:name="_Toc532377348"/>
      <w:r>
        <w:rPr>
          <w:rFonts w:hint="eastAsia" w:cs="宋体"/>
          <w:bCs/>
          <w:szCs w:val="21"/>
          <w:highlight w:val="none"/>
        </w:rPr>
        <w:t>5.6 质量事故的处理</w:t>
      </w:r>
      <w:bookmarkEnd w:id="190"/>
    </w:p>
    <w:p w14:paraId="5CD1A27F">
      <w:pPr>
        <w:snapToGrid w:val="0"/>
        <w:spacing w:line="360" w:lineRule="auto"/>
        <w:ind w:firstLine="420" w:firstLineChars="200"/>
        <w:jc w:val="left"/>
        <w:rPr>
          <w:rFonts w:cs="宋体"/>
          <w:szCs w:val="21"/>
          <w:highlight w:val="none"/>
        </w:rPr>
      </w:pPr>
      <w:r>
        <w:rPr>
          <w:rFonts w:hint="eastAsia" w:cs="宋体"/>
          <w:szCs w:val="21"/>
          <w:highlight w:val="none"/>
        </w:rPr>
        <w:t>5.6.1 合同履行过程中，发生工程质量事故的调查处理按照国家现行规定处理。</w:t>
      </w:r>
    </w:p>
    <w:p w14:paraId="42674393">
      <w:pPr>
        <w:snapToGrid w:val="0"/>
        <w:spacing w:line="360" w:lineRule="auto"/>
        <w:ind w:firstLine="420" w:firstLineChars="200"/>
        <w:jc w:val="left"/>
        <w:rPr>
          <w:rFonts w:cs="宋体"/>
          <w:szCs w:val="21"/>
          <w:highlight w:val="none"/>
        </w:rPr>
      </w:pPr>
      <w:r>
        <w:rPr>
          <w:rFonts w:hint="eastAsia" w:cs="宋体"/>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C020489">
      <w:pPr>
        <w:snapToGrid w:val="0"/>
        <w:spacing w:before="312" w:beforeLines="100" w:after="312" w:afterLines="100" w:line="360" w:lineRule="auto"/>
        <w:outlineLvl w:val="2"/>
        <w:rPr>
          <w:rFonts w:cs="宋体"/>
          <w:szCs w:val="21"/>
          <w:highlight w:val="none"/>
        </w:rPr>
      </w:pPr>
      <w:r>
        <w:rPr>
          <w:rFonts w:hint="eastAsia" w:cs="宋体"/>
          <w:szCs w:val="21"/>
          <w:highlight w:val="none"/>
        </w:rPr>
        <w:t>6. 安全文明施工与环境保护</w:t>
      </w:r>
      <w:bookmarkEnd w:id="188"/>
    </w:p>
    <w:p w14:paraId="78FD2BDD">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6.1 安全文明施工</w:t>
      </w:r>
    </w:p>
    <w:p w14:paraId="0BAF0EFA">
      <w:pPr>
        <w:wordWrap w:val="0"/>
        <w:adjustRightInd w:val="0"/>
        <w:spacing w:line="360" w:lineRule="auto"/>
        <w:ind w:firstLine="420" w:firstLineChars="200"/>
        <w:rPr>
          <w:highlight w:val="none"/>
        </w:rPr>
      </w:pPr>
      <w:r>
        <w:rPr>
          <w:highlight w:val="none"/>
        </w:rPr>
        <w:t>6.1.1 项目安全生产的达标目标及相应事项的约定：</w:t>
      </w:r>
      <w:r>
        <w:rPr>
          <w:highlight w:val="none"/>
          <w:u w:val="single"/>
        </w:rPr>
        <w:t xml:space="preserve">    /    </w:t>
      </w:r>
      <w:r>
        <w:rPr>
          <w:highlight w:val="none"/>
        </w:rPr>
        <w:t xml:space="preserve"> 。</w:t>
      </w:r>
    </w:p>
    <w:p w14:paraId="6CC6E5B9">
      <w:pPr>
        <w:wordWrap w:val="0"/>
        <w:adjustRightInd w:val="0"/>
        <w:spacing w:line="360" w:lineRule="auto"/>
        <w:ind w:firstLine="420" w:firstLineChars="200"/>
        <w:rPr>
          <w:highlight w:val="none"/>
        </w:rPr>
      </w:pPr>
      <w:r>
        <w:rPr>
          <w:highlight w:val="none"/>
        </w:rPr>
        <w:t>6.1.4 关于治安保卫的特别约定：</w:t>
      </w:r>
      <w:r>
        <w:rPr>
          <w:highlight w:val="none"/>
          <w:u w:val="single"/>
        </w:rPr>
        <w:t>执行通用条款</w:t>
      </w:r>
      <w:r>
        <w:rPr>
          <w:highlight w:val="none"/>
        </w:rPr>
        <w:t>。</w:t>
      </w:r>
    </w:p>
    <w:p w14:paraId="10E7851F">
      <w:pPr>
        <w:wordWrap w:val="0"/>
        <w:adjustRightInd w:val="0"/>
        <w:spacing w:line="360" w:lineRule="auto"/>
        <w:ind w:firstLine="420" w:firstLineChars="200"/>
        <w:rPr>
          <w:highlight w:val="none"/>
        </w:rPr>
      </w:pPr>
      <w:r>
        <w:rPr>
          <w:highlight w:val="none"/>
        </w:rPr>
        <w:t>关于编制施工场地治安管理计划的约定：</w:t>
      </w:r>
      <w:r>
        <w:rPr>
          <w:szCs w:val="21"/>
          <w:highlight w:val="none"/>
          <w:u w:val="single"/>
        </w:rPr>
        <w:t>执行通用条款</w:t>
      </w:r>
      <w:r>
        <w:rPr>
          <w:highlight w:val="none"/>
        </w:rPr>
        <w:t>。</w:t>
      </w:r>
    </w:p>
    <w:p w14:paraId="2141CB14">
      <w:pPr>
        <w:wordWrap w:val="0"/>
        <w:adjustRightInd w:val="0"/>
        <w:spacing w:line="360" w:lineRule="auto"/>
        <w:ind w:firstLine="420" w:firstLineChars="200"/>
        <w:rPr>
          <w:highlight w:val="none"/>
        </w:rPr>
      </w:pPr>
      <w:r>
        <w:rPr>
          <w:highlight w:val="none"/>
        </w:rPr>
        <w:t>6.1.5 文明施工</w:t>
      </w:r>
    </w:p>
    <w:p w14:paraId="7589EEA5">
      <w:pPr>
        <w:wordWrap w:val="0"/>
        <w:adjustRightInd w:val="0"/>
        <w:spacing w:line="360" w:lineRule="auto"/>
        <w:ind w:firstLine="420" w:firstLineChars="200"/>
        <w:rPr>
          <w:highlight w:val="none"/>
        </w:rPr>
      </w:pPr>
      <w:r>
        <w:rPr>
          <w:highlight w:val="none"/>
        </w:rPr>
        <w:t>合同当事人对文明施工的要求：</w:t>
      </w:r>
    </w:p>
    <w:p w14:paraId="24C33DDB">
      <w:pPr>
        <w:wordWrap w:val="0"/>
        <w:adjustRightInd w:val="0"/>
        <w:spacing w:line="360" w:lineRule="auto"/>
        <w:ind w:firstLine="420" w:firstLineChars="200"/>
        <w:rPr>
          <w:highlight w:val="none"/>
          <w:u w:val="single"/>
        </w:rPr>
      </w:pPr>
      <w:r>
        <w:rPr>
          <w:highlight w:val="none"/>
          <w:u w:val="single"/>
        </w:rPr>
        <w:t>（1）由于管理不善，引起政府有关部门罚款、停工整改等处罚，其发生的损失由承包人自行承担，且处以5万元/次违约金，发包人保留依据承包人停工整改的天数相应顺延缓付工程款的权利。</w:t>
      </w:r>
    </w:p>
    <w:p w14:paraId="794A2200">
      <w:pPr>
        <w:wordWrap w:val="0"/>
        <w:adjustRightInd w:val="0"/>
        <w:spacing w:line="360" w:lineRule="auto"/>
        <w:ind w:firstLine="420" w:firstLineChars="200"/>
        <w:rPr>
          <w:highlight w:val="none"/>
          <w:u w:val="single"/>
        </w:rPr>
      </w:pPr>
      <w:r>
        <w:rPr>
          <w:highlight w:val="none"/>
          <w:u w:val="single"/>
        </w:rPr>
        <w:t>（2）承包人要协调好与当地居民及企事业单位的关系，因此发生的费用由承包人自行承担。</w:t>
      </w:r>
    </w:p>
    <w:p w14:paraId="16557ECD">
      <w:pPr>
        <w:adjustRightInd w:val="0"/>
        <w:snapToGrid w:val="0"/>
        <w:spacing w:line="360" w:lineRule="auto"/>
        <w:ind w:firstLine="420" w:firstLineChars="200"/>
        <w:rPr>
          <w:rFonts w:cs="宋体"/>
          <w:szCs w:val="21"/>
          <w:highlight w:val="none"/>
        </w:rPr>
      </w:pPr>
      <w:r>
        <w:rPr>
          <w:highlight w:val="none"/>
        </w:rPr>
        <w:t>6.1.6 关于安全文明施工费支付比例和支付期限的约定：</w:t>
      </w:r>
      <w:r>
        <w:rPr>
          <w:highlight w:val="none"/>
          <w:u w:val="single"/>
        </w:rPr>
        <w:t xml:space="preserve">安全文明施工费不进行预付，其已包含在工程进度款中  </w:t>
      </w:r>
      <w:r>
        <w:rPr>
          <w:highlight w:val="none"/>
        </w:rPr>
        <w:t>。</w:t>
      </w:r>
    </w:p>
    <w:bookmarkEnd w:id="181"/>
    <w:bookmarkEnd w:id="182"/>
    <w:bookmarkEnd w:id="183"/>
    <w:bookmarkEnd w:id="184"/>
    <w:bookmarkEnd w:id="185"/>
    <w:bookmarkEnd w:id="186"/>
    <w:bookmarkEnd w:id="187"/>
    <w:p w14:paraId="482F9F93">
      <w:pPr>
        <w:snapToGrid w:val="0"/>
        <w:spacing w:before="312" w:beforeLines="100" w:after="312" w:afterLines="100" w:line="360" w:lineRule="auto"/>
        <w:outlineLvl w:val="2"/>
        <w:rPr>
          <w:rFonts w:cs="宋体"/>
          <w:szCs w:val="21"/>
          <w:highlight w:val="none"/>
        </w:rPr>
      </w:pPr>
      <w:bookmarkStart w:id="191" w:name="_Toc351203639"/>
      <w:r>
        <w:rPr>
          <w:rFonts w:hint="eastAsia" w:cs="宋体"/>
          <w:szCs w:val="21"/>
          <w:highlight w:val="none"/>
        </w:rPr>
        <w:t>7. 工期和进度</w:t>
      </w:r>
      <w:bookmarkEnd w:id="191"/>
    </w:p>
    <w:p w14:paraId="62ACC334">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7.1 施工组织设计</w:t>
      </w:r>
    </w:p>
    <w:p w14:paraId="06C8B8DC">
      <w:pPr>
        <w:adjustRightInd w:val="0"/>
        <w:snapToGrid w:val="0"/>
        <w:spacing w:line="360" w:lineRule="auto"/>
        <w:ind w:firstLine="420" w:firstLineChars="200"/>
        <w:rPr>
          <w:rFonts w:cs="宋体"/>
          <w:szCs w:val="21"/>
          <w:highlight w:val="none"/>
          <w:u w:val="single"/>
        </w:rPr>
      </w:pPr>
      <w:r>
        <w:rPr>
          <w:rFonts w:hint="eastAsia" w:cs="宋体"/>
          <w:szCs w:val="21"/>
          <w:highlight w:val="none"/>
        </w:rPr>
        <w:t>7.1.1 合同当事人约定的施工组织设计应包括的其他内容：</w:t>
      </w:r>
      <w:r>
        <w:rPr>
          <w:szCs w:val="21"/>
          <w:highlight w:val="none"/>
          <w:u w:val="single"/>
        </w:rPr>
        <w:t>工程进度计划表至少应包括工程进度总计划表、工程施工进度计划、里程碑进度计划表和资金使用计划表，总进度计划须含网络图、横道图。</w:t>
      </w:r>
    </w:p>
    <w:p w14:paraId="301E136B">
      <w:pPr>
        <w:adjustRightInd w:val="0"/>
        <w:snapToGrid w:val="0"/>
        <w:spacing w:line="360" w:lineRule="auto"/>
        <w:ind w:firstLine="420" w:firstLineChars="200"/>
        <w:rPr>
          <w:rFonts w:cs="宋体"/>
          <w:szCs w:val="21"/>
          <w:highlight w:val="none"/>
        </w:rPr>
      </w:pPr>
      <w:r>
        <w:rPr>
          <w:rFonts w:hint="eastAsia" w:cs="宋体"/>
          <w:szCs w:val="21"/>
          <w:highlight w:val="none"/>
        </w:rPr>
        <w:t>7.1.2 施工组织设计的提交和修改</w:t>
      </w:r>
    </w:p>
    <w:p w14:paraId="651E97E2">
      <w:pPr>
        <w:wordWrap w:val="0"/>
        <w:adjustRightInd w:val="0"/>
        <w:spacing w:line="360" w:lineRule="auto"/>
        <w:ind w:firstLine="420" w:firstLineChars="200"/>
        <w:rPr>
          <w:highlight w:val="none"/>
          <w:u w:val="single"/>
        </w:rPr>
      </w:pPr>
      <w:r>
        <w:rPr>
          <w:rFonts w:hint="eastAsia" w:cs="宋体"/>
          <w:szCs w:val="21"/>
          <w:highlight w:val="none"/>
        </w:rPr>
        <w:t>承包人提交详细施工组织设计的期限的约定：</w:t>
      </w:r>
      <w:r>
        <w:rPr>
          <w:szCs w:val="21"/>
          <w:highlight w:val="none"/>
          <w:u w:val="single"/>
        </w:rPr>
        <w:t>计划开工7天前</w:t>
      </w:r>
      <w:r>
        <w:rPr>
          <w:highlight w:val="none"/>
        </w:rPr>
        <w:t>。</w:t>
      </w:r>
    </w:p>
    <w:p w14:paraId="2C0802A3">
      <w:pPr>
        <w:adjustRightInd w:val="0"/>
        <w:snapToGrid w:val="0"/>
        <w:spacing w:line="360" w:lineRule="auto"/>
        <w:ind w:firstLine="420" w:firstLineChars="200"/>
        <w:rPr>
          <w:rFonts w:cs="宋体"/>
          <w:szCs w:val="21"/>
          <w:highlight w:val="none"/>
        </w:rPr>
      </w:pPr>
      <w:r>
        <w:rPr>
          <w:highlight w:val="none"/>
        </w:rPr>
        <w:t>发包人和监理人在收到详细的施工组织设计后确认或提出修改意见的期限：</w:t>
      </w:r>
      <w:r>
        <w:rPr>
          <w:szCs w:val="21"/>
          <w:highlight w:val="none"/>
          <w:u w:val="single"/>
        </w:rPr>
        <w:t xml:space="preserve">收到施工组织设计后 7 天内（执行通用条款） </w:t>
      </w:r>
      <w:r>
        <w:rPr>
          <w:highlight w:val="none"/>
        </w:rPr>
        <w:t>。</w:t>
      </w:r>
    </w:p>
    <w:p w14:paraId="4149251C">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w:t>
      </w:r>
      <w:bookmarkStart w:id="192" w:name="_Toc297216173"/>
      <w:bookmarkStart w:id="193" w:name="_Toc297123514"/>
      <w:bookmarkStart w:id="194" w:name="_Toc312677479"/>
      <w:bookmarkStart w:id="195" w:name="_Toc300934966"/>
      <w:bookmarkStart w:id="196" w:name="_Toc312678005"/>
      <w:bookmarkStart w:id="197" w:name="_Toc304295541"/>
      <w:bookmarkStart w:id="198" w:name="_Toc303539123"/>
      <w:r>
        <w:rPr>
          <w:rFonts w:hint="eastAsia" w:cs="宋体"/>
          <w:bCs/>
          <w:szCs w:val="21"/>
          <w:highlight w:val="none"/>
        </w:rPr>
        <w:t>.2 施工进度计划</w:t>
      </w:r>
    </w:p>
    <w:p w14:paraId="555C964C">
      <w:pPr>
        <w:adjustRightInd w:val="0"/>
        <w:snapToGrid w:val="0"/>
        <w:spacing w:line="360" w:lineRule="auto"/>
        <w:ind w:firstLine="420" w:firstLineChars="200"/>
        <w:rPr>
          <w:rFonts w:cs="宋体"/>
          <w:szCs w:val="21"/>
          <w:highlight w:val="none"/>
        </w:rPr>
      </w:pPr>
      <w:r>
        <w:rPr>
          <w:rFonts w:hint="eastAsia" w:cs="宋体"/>
          <w:szCs w:val="21"/>
          <w:highlight w:val="none"/>
        </w:rPr>
        <w:t>7.2.2 施工进度计划的修订</w:t>
      </w:r>
    </w:p>
    <w:p w14:paraId="6CFCDF1D">
      <w:pPr>
        <w:adjustRightInd w:val="0"/>
        <w:snapToGrid w:val="0"/>
        <w:spacing w:line="360" w:lineRule="auto"/>
        <w:ind w:firstLine="420" w:firstLineChars="200"/>
        <w:rPr>
          <w:rFonts w:cs="宋体"/>
          <w:szCs w:val="21"/>
          <w:highlight w:val="none"/>
        </w:rPr>
      </w:pPr>
      <w:r>
        <w:rPr>
          <w:rFonts w:hint="eastAsia" w:cs="宋体"/>
          <w:szCs w:val="21"/>
          <w:highlight w:val="none"/>
        </w:rPr>
        <w:t>发包人和监理人在收到修订的施工进度计划后确认或提出修改意见的期限：</w:t>
      </w:r>
      <w:r>
        <w:rPr>
          <w:szCs w:val="21"/>
          <w:highlight w:val="none"/>
          <w:u w:val="single"/>
        </w:rPr>
        <w:t xml:space="preserve">收到修订的施工进度计划后 7 天内（执行通用条款）  </w:t>
      </w:r>
      <w:r>
        <w:rPr>
          <w:highlight w:val="none"/>
        </w:rPr>
        <w:t>。</w:t>
      </w:r>
    </w:p>
    <w:p w14:paraId="44FB36DD">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7.3 开工</w:t>
      </w:r>
    </w:p>
    <w:p w14:paraId="6ABBC2D4">
      <w:pPr>
        <w:adjustRightInd w:val="0"/>
        <w:snapToGrid w:val="0"/>
        <w:spacing w:line="360" w:lineRule="auto"/>
        <w:ind w:firstLine="420" w:firstLineChars="200"/>
        <w:rPr>
          <w:rFonts w:cs="宋体"/>
          <w:szCs w:val="21"/>
          <w:highlight w:val="none"/>
        </w:rPr>
      </w:pPr>
      <w:r>
        <w:rPr>
          <w:rFonts w:hint="eastAsia" w:cs="宋体"/>
          <w:szCs w:val="21"/>
          <w:highlight w:val="none"/>
        </w:rPr>
        <w:t>7.3.1 开工准备</w:t>
      </w:r>
    </w:p>
    <w:p w14:paraId="1E09692D">
      <w:pPr>
        <w:wordWrap w:val="0"/>
        <w:adjustRightInd w:val="0"/>
        <w:spacing w:line="360" w:lineRule="auto"/>
        <w:ind w:firstLine="420" w:firstLineChars="200"/>
        <w:rPr>
          <w:highlight w:val="none"/>
          <w:u w:val="single"/>
        </w:rPr>
      </w:pPr>
      <w:r>
        <w:rPr>
          <w:highlight w:val="none"/>
        </w:rPr>
        <w:t>关于承包人提交</w:t>
      </w:r>
      <w:r>
        <w:rPr>
          <w:kern w:val="0"/>
          <w:highlight w:val="none"/>
        </w:rPr>
        <w:t>工程开工报审表的期限：</w:t>
      </w:r>
      <w:r>
        <w:rPr>
          <w:szCs w:val="21"/>
          <w:highlight w:val="none"/>
          <w:u w:val="single"/>
        </w:rPr>
        <w:t xml:space="preserve">开工前7天内  </w:t>
      </w:r>
      <w:r>
        <w:rPr>
          <w:highlight w:val="none"/>
        </w:rPr>
        <w:t>。</w:t>
      </w:r>
    </w:p>
    <w:p w14:paraId="35141B42">
      <w:pPr>
        <w:wordWrap w:val="0"/>
        <w:adjustRightInd w:val="0"/>
        <w:spacing w:line="360" w:lineRule="auto"/>
        <w:ind w:firstLine="420" w:firstLineChars="200"/>
        <w:rPr>
          <w:highlight w:val="none"/>
          <w:u w:val="single"/>
        </w:rPr>
      </w:pPr>
      <w:r>
        <w:rPr>
          <w:highlight w:val="none"/>
        </w:rPr>
        <w:t>关于发包人应完成的其他开工准备工作及期限：</w:t>
      </w:r>
      <w:r>
        <w:rPr>
          <w:szCs w:val="21"/>
          <w:highlight w:val="none"/>
          <w:u w:val="single"/>
        </w:rPr>
        <w:t>开工前7天内</w:t>
      </w:r>
      <w:r>
        <w:rPr>
          <w:highlight w:val="none"/>
        </w:rPr>
        <w:t>。</w:t>
      </w:r>
    </w:p>
    <w:p w14:paraId="6DA90FC1">
      <w:pPr>
        <w:wordWrap w:val="0"/>
        <w:adjustRightInd w:val="0"/>
        <w:spacing w:line="360" w:lineRule="auto"/>
        <w:ind w:firstLine="420" w:firstLineChars="200"/>
        <w:rPr>
          <w:rFonts w:cs="宋体"/>
          <w:szCs w:val="21"/>
          <w:highlight w:val="none"/>
          <w:u w:val="single"/>
        </w:rPr>
      </w:pPr>
      <w:r>
        <w:rPr>
          <w:highlight w:val="none"/>
        </w:rPr>
        <w:t>关于承包人应完成的其他开工准备工作及期限：</w:t>
      </w:r>
      <w:r>
        <w:rPr>
          <w:szCs w:val="21"/>
          <w:highlight w:val="none"/>
          <w:u w:val="single"/>
        </w:rPr>
        <w:t>开工前7天内</w:t>
      </w:r>
      <w:r>
        <w:rPr>
          <w:highlight w:val="none"/>
        </w:rPr>
        <w:t>。</w:t>
      </w:r>
    </w:p>
    <w:p w14:paraId="44F31148">
      <w:pPr>
        <w:adjustRightInd w:val="0"/>
        <w:snapToGrid w:val="0"/>
        <w:spacing w:line="360" w:lineRule="auto"/>
        <w:ind w:firstLine="420" w:firstLineChars="200"/>
        <w:rPr>
          <w:rFonts w:cs="宋体"/>
          <w:szCs w:val="21"/>
          <w:highlight w:val="none"/>
        </w:rPr>
      </w:pPr>
      <w:r>
        <w:rPr>
          <w:rFonts w:hint="eastAsia" w:cs="宋体"/>
          <w:szCs w:val="21"/>
          <w:highlight w:val="none"/>
        </w:rPr>
        <w:t>7.3.2 开工通知</w:t>
      </w:r>
    </w:p>
    <w:p w14:paraId="37DD82EE">
      <w:pPr>
        <w:adjustRightInd w:val="0"/>
        <w:snapToGrid w:val="0"/>
        <w:spacing w:line="360" w:lineRule="auto"/>
        <w:ind w:firstLine="420" w:firstLineChars="200"/>
        <w:rPr>
          <w:rFonts w:cs="宋体"/>
          <w:szCs w:val="21"/>
          <w:highlight w:val="none"/>
        </w:rPr>
      </w:pPr>
      <w:r>
        <w:rPr>
          <w:rFonts w:hint="eastAsia" w:cs="宋体"/>
          <w:szCs w:val="21"/>
          <w:highlight w:val="none"/>
        </w:rPr>
        <w:t>因发包人原因造成监理人未能在计划开工日期之日起</w:t>
      </w:r>
      <w:r>
        <w:rPr>
          <w:rFonts w:hint="eastAsia" w:cs="宋体"/>
          <w:szCs w:val="21"/>
          <w:highlight w:val="none"/>
          <w:u w:val="single"/>
        </w:rPr>
        <w:t xml:space="preserve"> </w:t>
      </w:r>
      <w:r>
        <w:rPr>
          <w:szCs w:val="21"/>
          <w:highlight w:val="none"/>
          <w:u w:val="single"/>
        </w:rPr>
        <w:t>不执行</w:t>
      </w:r>
      <w:r>
        <w:rPr>
          <w:rFonts w:hint="eastAsia" w:cs="宋体"/>
          <w:szCs w:val="21"/>
          <w:highlight w:val="none"/>
          <w:u w:val="single"/>
        </w:rPr>
        <w:t xml:space="preserve"> </w:t>
      </w:r>
      <w:r>
        <w:rPr>
          <w:rFonts w:hint="eastAsia" w:cs="宋体"/>
          <w:szCs w:val="21"/>
          <w:highlight w:val="none"/>
        </w:rPr>
        <w:t>天内发出开工通知的，承包人有权提出价格调整要求，或者解除合同。</w:t>
      </w:r>
    </w:p>
    <w:p w14:paraId="3F7EE871">
      <w:pPr>
        <w:wordWrap w:val="0"/>
        <w:adjustRightInd w:val="0"/>
        <w:spacing w:line="360" w:lineRule="auto"/>
        <w:ind w:firstLine="420" w:firstLineChars="200"/>
        <w:rPr>
          <w:highlight w:val="none"/>
          <w:u w:val="single"/>
        </w:rPr>
      </w:pPr>
      <w:r>
        <w:rPr>
          <w:highlight w:val="none"/>
          <w:u w:val="single"/>
        </w:rPr>
        <w:t>承包人按合同条款约定的开工日期开始施工。承包人不能按时开工，应在合同条款约定的开工日期7天之前向工程师和发包人代表提出延期开工的理由和要求，发包人代表在3个工作日内答复承包人。发包人代表同意延期要求，竣工工期相应顺延；发包人代表未在3个工作日内答复承包人要求或发包人代表的答复事后无法证明的，开工工期相应顺延至施工中形成的其他文件中可确定的承包人实际开工日期。发包人代表不同意延期要求或承包人未在规定的时间内提出延期开工要求，竣工日期不予顺延。</w:t>
      </w:r>
    </w:p>
    <w:p w14:paraId="19A21149">
      <w:pPr>
        <w:wordWrap w:val="0"/>
        <w:adjustRightInd w:val="0"/>
        <w:spacing w:line="360" w:lineRule="auto"/>
        <w:ind w:firstLine="420" w:firstLineChars="200"/>
        <w:rPr>
          <w:highlight w:val="none"/>
        </w:rPr>
      </w:pPr>
      <w:r>
        <w:rPr>
          <w:highlight w:val="none"/>
          <w:u w:val="single"/>
        </w:rPr>
        <w:t>因发包人原因造成承包人不能按照合同约定开工日期开工，发包人以书面形式通知承包人后，推迟开工日期，竣工工期相应顺延，发包人不对推迟开工向承包人承担任何额外的费用支付义务</w:t>
      </w:r>
    </w:p>
    <w:bookmarkEnd w:id="192"/>
    <w:bookmarkEnd w:id="193"/>
    <w:bookmarkEnd w:id="194"/>
    <w:bookmarkEnd w:id="195"/>
    <w:bookmarkEnd w:id="196"/>
    <w:bookmarkEnd w:id="197"/>
    <w:bookmarkEnd w:id="198"/>
    <w:p w14:paraId="0B3087DC">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7.4 测量放线</w:t>
      </w:r>
    </w:p>
    <w:p w14:paraId="2971F51A">
      <w:pPr>
        <w:adjustRightInd w:val="0"/>
        <w:snapToGrid w:val="0"/>
        <w:spacing w:line="360" w:lineRule="auto"/>
        <w:ind w:firstLine="420" w:firstLineChars="200"/>
        <w:rPr>
          <w:rFonts w:cs="宋体"/>
          <w:szCs w:val="21"/>
          <w:highlight w:val="none"/>
          <w:u w:val="single"/>
        </w:rPr>
      </w:pPr>
      <w:r>
        <w:rPr>
          <w:rFonts w:hint="eastAsia" w:cs="宋体"/>
          <w:szCs w:val="21"/>
          <w:highlight w:val="none"/>
        </w:rPr>
        <w:t>7.4.1 发包人通过监理人向承包人提供测量基准点、基准线和水准点及其书面资料的期限：</w:t>
      </w:r>
      <w:r>
        <w:rPr>
          <w:szCs w:val="21"/>
          <w:highlight w:val="none"/>
          <w:u w:val="single"/>
        </w:rPr>
        <w:t>执行通用条款</w:t>
      </w:r>
      <w:r>
        <w:rPr>
          <w:rFonts w:hint="eastAsia" w:cs="宋体"/>
          <w:szCs w:val="21"/>
          <w:highlight w:val="none"/>
        </w:rPr>
        <w:t>。</w:t>
      </w:r>
    </w:p>
    <w:p w14:paraId="0A07C664">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w:t>
      </w:r>
      <w:bookmarkStart w:id="199" w:name="_Toc297123516"/>
      <w:bookmarkStart w:id="200" w:name="_Toc300934968"/>
      <w:bookmarkStart w:id="201" w:name="_Toc303539125"/>
      <w:bookmarkStart w:id="202" w:name="_Toc297216175"/>
      <w:bookmarkStart w:id="203" w:name="_Toc312677484"/>
      <w:bookmarkStart w:id="204" w:name="_Toc304295546"/>
      <w:bookmarkStart w:id="205" w:name="_Toc312678010"/>
      <w:r>
        <w:rPr>
          <w:rFonts w:hint="eastAsia" w:cs="宋体"/>
          <w:bCs/>
          <w:szCs w:val="21"/>
          <w:highlight w:val="none"/>
        </w:rPr>
        <w:t>.5 工期延误</w:t>
      </w:r>
    </w:p>
    <w:bookmarkEnd w:id="199"/>
    <w:bookmarkEnd w:id="200"/>
    <w:bookmarkEnd w:id="201"/>
    <w:bookmarkEnd w:id="202"/>
    <w:bookmarkEnd w:id="203"/>
    <w:bookmarkEnd w:id="204"/>
    <w:bookmarkEnd w:id="205"/>
    <w:p w14:paraId="0AFCD72E">
      <w:pPr>
        <w:adjustRightInd w:val="0"/>
        <w:snapToGrid w:val="0"/>
        <w:spacing w:line="360" w:lineRule="auto"/>
        <w:ind w:firstLine="420" w:firstLineChars="200"/>
        <w:rPr>
          <w:rFonts w:cs="宋体"/>
          <w:szCs w:val="21"/>
          <w:highlight w:val="none"/>
        </w:rPr>
      </w:pPr>
      <w:r>
        <w:rPr>
          <w:rFonts w:hint="eastAsia" w:cs="宋体"/>
          <w:szCs w:val="21"/>
          <w:highlight w:val="none"/>
        </w:rPr>
        <w:t>7.5.1 因发包人原因导致工期延误</w:t>
      </w:r>
    </w:p>
    <w:p w14:paraId="377A237E">
      <w:pPr>
        <w:adjustRightInd w:val="0"/>
        <w:snapToGrid w:val="0"/>
        <w:spacing w:line="360" w:lineRule="auto"/>
        <w:ind w:firstLine="420" w:firstLineChars="200"/>
        <w:rPr>
          <w:rFonts w:cs="宋体"/>
          <w:szCs w:val="21"/>
          <w:highlight w:val="none"/>
          <w:u w:val="single"/>
        </w:rPr>
      </w:pPr>
      <w:r>
        <w:rPr>
          <w:rFonts w:hint="eastAsia" w:cs="宋体"/>
          <w:szCs w:val="21"/>
          <w:highlight w:val="none"/>
        </w:rPr>
        <w:t>（7）因发包人原因导致工期延误的其他情形：</w:t>
      </w:r>
      <w:r>
        <w:rPr>
          <w:rFonts w:hint="eastAsia" w:cs="宋体"/>
          <w:szCs w:val="21"/>
          <w:highlight w:val="none"/>
          <w:u w:val="single"/>
        </w:rPr>
        <w:t xml:space="preserve">          /          </w:t>
      </w:r>
      <w:r>
        <w:rPr>
          <w:rFonts w:hint="eastAsia" w:cs="宋体"/>
          <w:szCs w:val="21"/>
          <w:highlight w:val="none"/>
        </w:rPr>
        <w:t>。</w:t>
      </w:r>
    </w:p>
    <w:p w14:paraId="06F4AA80">
      <w:pPr>
        <w:adjustRightInd w:val="0"/>
        <w:snapToGrid w:val="0"/>
        <w:spacing w:line="360" w:lineRule="auto"/>
        <w:ind w:firstLine="420" w:firstLineChars="200"/>
        <w:rPr>
          <w:rFonts w:cs="宋体"/>
          <w:szCs w:val="21"/>
          <w:highlight w:val="none"/>
        </w:rPr>
      </w:pPr>
      <w:r>
        <w:rPr>
          <w:rFonts w:hint="eastAsia" w:cs="宋体"/>
          <w:szCs w:val="21"/>
          <w:highlight w:val="none"/>
        </w:rPr>
        <w:t>7</w:t>
      </w:r>
      <w:bookmarkStart w:id="206" w:name="_Toc318581169"/>
      <w:bookmarkStart w:id="207" w:name="_Toc312677486"/>
      <w:bookmarkStart w:id="208" w:name="_Toc312678012"/>
      <w:bookmarkStart w:id="209" w:name="_Toc297216177"/>
      <w:bookmarkStart w:id="210" w:name="_Toc300934970"/>
      <w:bookmarkStart w:id="211" w:name="_Toc297123518"/>
      <w:bookmarkStart w:id="212" w:name="_Toc303539127"/>
      <w:bookmarkStart w:id="213" w:name="_Toc304295548"/>
      <w:r>
        <w:rPr>
          <w:rFonts w:hint="eastAsia" w:cs="宋体"/>
          <w:szCs w:val="21"/>
          <w:highlight w:val="none"/>
        </w:rPr>
        <w:t>.5.2 因承包人原因导致工期延误</w:t>
      </w:r>
    </w:p>
    <w:bookmarkEnd w:id="206"/>
    <w:bookmarkEnd w:id="207"/>
    <w:bookmarkEnd w:id="208"/>
    <w:p w14:paraId="60D624A6">
      <w:pPr>
        <w:adjustRightInd w:val="0"/>
        <w:snapToGrid w:val="0"/>
        <w:spacing w:line="360" w:lineRule="auto"/>
        <w:ind w:firstLine="420" w:firstLineChars="200"/>
        <w:rPr>
          <w:rFonts w:cs="宋体"/>
          <w:szCs w:val="21"/>
          <w:highlight w:val="none"/>
        </w:rPr>
      </w:pPr>
      <w:r>
        <w:rPr>
          <w:rFonts w:hint="eastAsia" w:cs="宋体"/>
          <w:szCs w:val="21"/>
          <w:highlight w:val="none"/>
        </w:rPr>
        <w:t>因</w:t>
      </w:r>
      <w:bookmarkStart w:id="214" w:name="_Toc312678013"/>
      <w:bookmarkStart w:id="215" w:name="_Toc312677487"/>
      <w:bookmarkStart w:id="216" w:name="_Toc318581170"/>
      <w:r>
        <w:rPr>
          <w:rFonts w:hint="eastAsia" w:cs="宋体"/>
          <w:szCs w:val="21"/>
          <w:highlight w:val="none"/>
        </w:rPr>
        <w:t>承包人原因造成工期延误，逾期竣工违约金的计算方法为：</w:t>
      </w:r>
      <w:r>
        <w:rPr>
          <w:rFonts w:hint="eastAsia" w:cs="宋体"/>
          <w:szCs w:val="21"/>
          <w:highlight w:val="none"/>
          <w:u w:val="single"/>
        </w:rPr>
        <w:t>见《专用合同条款数据表》</w:t>
      </w:r>
      <w:r>
        <w:rPr>
          <w:rFonts w:hint="eastAsia" w:cs="宋体"/>
          <w:szCs w:val="21"/>
          <w:highlight w:val="none"/>
        </w:rPr>
        <w:t>。</w:t>
      </w:r>
      <w:bookmarkEnd w:id="209"/>
      <w:bookmarkEnd w:id="210"/>
      <w:bookmarkEnd w:id="211"/>
      <w:bookmarkEnd w:id="212"/>
      <w:bookmarkEnd w:id="213"/>
      <w:bookmarkEnd w:id="214"/>
      <w:bookmarkEnd w:id="215"/>
    </w:p>
    <w:bookmarkEnd w:id="216"/>
    <w:p w14:paraId="0B7A1D86">
      <w:pPr>
        <w:adjustRightInd w:val="0"/>
        <w:snapToGrid w:val="0"/>
        <w:spacing w:line="360" w:lineRule="auto"/>
        <w:ind w:firstLine="420" w:firstLineChars="200"/>
        <w:rPr>
          <w:rFonts w:cs="宋体"/>
          <w:b/>
          <w:szCs w:val="21"/>
          <w:highlight w:val="none"/>
          <w:u w:val="single"/>
        </w:rPr>
      </w:pPr>
      <w:r>
        <w:rPr>
          <w:rFonts w:hint="eastAsia" w:cs="宋体"/>
          <w:szCs w:val="21"/>
          <w:highlight w:val="none"/>
        </w:rPr>
        <w:t>因承包人原因造成工期延误，逾</w:t>
      </w:r>
      <w:bookmarkStart w:id="217" w:name="_Toc318581171"/>
      <w:bookmarkStart w:id="218" w:name="_Toc312678014"/>
      <w:r>
        <w:rPr>
          <w:rFonts w:hint="eastAsia" w:cs="宋体"/>
          <w:szCs w:val="21"/>
          <w:highlight w:val="none"/>
        </w:rPr>
        <w:t>期竣工违约金的上限：</w:t>
      </w:r>
      <w:r>
        <w:rPr>
          <w:rFonts w:hint="eastAsia" w:cs="宋体"/>
          <w:szCs w:val="21"/>
          <w:highlight w:val="none"/>
          <w:u w:val="single"/>
        </w:rPr>
        <w:t>见《专用合同条款数据表》</w:t>
      </w:r>
      <w:r>
        <w:rPr>
          <w:rFonts w:hint="eastAsia" w:cs="宋体"/>
          <w:szCs w:val="21"/>
          <w:highlight w:val="none"/>
        </w:rPr>
        <w:t>。</w:t>
      </w:r>
    </w:p>
    <w:bookmarkEnd w:id="217"/>
    <w:bookmarkEnd w:id="218"/>
    <w:p w14:paraId="14FEEC9A">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w:t>
      </w:r>
      <w:bookmarkStart w:id="219" w:name="_Toc304295549"/>
      <w:bookmarkStart w:id="220" w:name="_Toc297216178"/>
      <w:bookmarkStart w:id="221" w:name="_Toc312678015"/>
      <w:bookmarkStart w:id="222" w:name="_Toc300934971"/>
      <w:bookmarkStart w:id="223" w:name="_Toc297123519"/>
      <w:bookmarkStart w:id="224" w:name="_Toc303539128"/>
      <w:r>
        <w:rPr>
          <w:rFonts w:hint="eastAsia" w:cs="宋体"/>
          <w:bCs/>
          <w:szCs w:val="21"/>
          <w:highlight w:val="none"/>
        </w:rPr>
        <w:t>.6 不</w:t>
      </w:r>
      <w:bookmarkEnd w:id="219"/>
      <w:bookmarkEnd w:id="220"/>
      <w:bookmarkEnd w:id="221"/>
      <w:bookmarkEnd w:id="222"/>
      <w:bookmarkEnd w:id="223"/>
      <w:bookmarkEnd w:id="224"/>
      <w:r>
        <w:rPr>
          <w:rFonts w:hint="eastAsia" w:cs="宋体"/>
          <w:bCs/>
          <w:szCs w:val="21"/>
          <w:highlight w:val="none"/>
        </w:rPr>
        <w:t>利物质条件</w:t>
      </w:r>
    </w:p>
    <w:p w14:paraId="61EC0481">
      <w:pPr>
        <w:adjustRightInd w:val="0"/>
        <w:snapToGrid w:val="0"/>
        <w:spacing w:line="360" w:lineRule="auto"/>
        <w:ind w:firstLine="420" w:firstLineChars="200"/>
        <w:rPr>
          <w:rFonts w:cs="宋体"/>
          <w:b/>
          <w:szCs w:val="21"/>
          <w:highlight w:val="none"/>
          <w:u w:val="single"/>
        </w:rPr>
      </w:pPr>
      <w:bookmarkStart w:id="225" w:name="_Toc297216179"/>
      <w:bookmarkStart w:id="226" w:name="_Toc318581172"/>
      <w:bookmarkStart w:id="227" w:name="_Toc297123520"/>
      <w:bookmarkStart w:id="228" w:name="_Toc300934972"/>
      <w:bookmarkStart w:id="229" w:name="_Toc312678016"/>
      <w:bookmarkStart w:id="230" w:name="_Toc304295550"/>
      <w:bookmarkStart w:id="231" w:name="_Toc303539129"/>
      <w:r>
        <w:rPr>
          <w:rFonts w:hint="eastAsia" w:cs="宋体"/>
          <w:szCs w:val="21"/>
          <w:highlight w:val="none"/>
        </w:rPr>
        <w:t>不利物质条件的其他情形和有关约定：</w:t>
      </w:r>
      <w:r>
        <w:rPr>
          <w:rFonts w:hint="eastAsia" w:cs="宋体"/>
          <w:szCs w:val="21"/>
          <w:highlight w:val="none"/>
          <w:u w:val="single"/>
        </w:rPr>
        <w:t xml:space="preserve">    /    </w:t>
      </w:r>
      <w:r>
        <w:rPr>
          <w:rFonts w:hint="eastAsia" w:cs="宋体"/>
          <w:szCs w:val="21"/>
          <w:highlight w:val="none"/>
        </w:rPr>
        <w:t>。</w:t>
      </w:r>
    </w:p>
    <w:bookmarkEnd w:id="225"/>
    <w:bookmarkEnd w:id="226"/>
    <w:bookmarkEnd w:id="227"/>
    <w:bookmarkEnd w:id="228"/>
    <w:bookmarkEnd w:id="229"/>
    <w:bookmarkEnd w:id="230"/>
    <w:bookmarkEnd w:id="231"/>
    <w:p w14:paraId="76A8BFE8">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w:t>
      </w:r>
      <w:bookmarkStart w:id="232" w:name="_Toc312678017"/>
      <w:bookmarkStart w:id="233" w:name="_Toc297216180"/>
      <w:bookmarkStart w:id="234" w:name="_Toc300934973"/>
      <w:bookmarkStart w:id="235" w:name="_Toc297123521"/>
      <w:bookmarkStart w:id="236" w:name="_Toc303539130"/>
      <w:bookmarkStart w:id="237" w:name="_Toc304295551"/>
      <w:r>
        <w:rPr>
          <w:rFonts w:hint="eastAsia" w:cs="宋体"/>
          <w:bCs/>
          <w:szCs w:val="21"/>
          <w:highlight w:val="none"/>
        </w:rPr>
        <w:t>.7 异常恶劣的气候条件</w:t>
      </w:r>
    </w:p>
    <w:bookmarkEnd w:id="232"/>
    <w:bookmarkEnd w:id="233"/>
    <w:bookmarkEnd w:id="234"/>
    <w:bookmarkEnd w:id="235"/>
    <w:bookmarkEnd w:id="236"/>
    <w:bookmarkEnd w:id="237"/>
    <w:p w14:paraId="35766CC8">
      <w:pPr>
        <w:adjustRightInd w:val="0"/>
        <w:snapToGrid w:val="0"/>
        <w:spacing w:line="360" w:lineRule="auto"/>
        <w:ind w:firstLine="420" w:firstLineChars="200"/>
        <w:rPr>
          <w:rFonts w:cs="宋体"/>
          <w:szCs w:val="21"/>
          <w:highlight w:val="none"/>
        </w:rPr>
      </w:pPr>
      <w:r>
        <w:rPr>
          <w:rFonts w:hint="eastAsia" w:cs="宋体"/>
          <w:szCs w:val="21"/>
          <w:highlight w:val="none"/>
        </w:rPr>
        <w:t>发包人和承包人同意以下情形视为异常恶劣的气候条件：</w:t>
      </w:r>
    </w:p>
    <w:p w14:paraId="41C8CD88">
      <w:pPr>
        <w:adjustRightInd w:val="0"/>
        <w:snapToGrid w:val="0"/>
        <w:spacing w:line="360" w:lineRule="auto"/>
        <w:ind w:firstLine="420" w:firstLineChars="200"/>
        <w:rPr>
          <w:rFonts w:cs="宋体"/>
          <w:szCs w:val="21"/>
          <w:highlight w:val="none"/>
        </w:rPr>
      </w:pPr>
      <w:r>
        <w:rPr>
          <w:rFonts w:hint="eastAsia" w:cs="宋体"/>
          <w:szCs w:val="21"/>
          <w:highlight w:val="none"/>
        </w:rPr>
        <w:t>（1）</w:t>
      </w:r>
      <w:r>
        <w:rPr>
          <w:rFonts w:hint="eastAsia" w:cs="宋体"/>
          <w:szCs w:val="21"/>
          <w:highlight w:val="none"/>
          <w:u w:val="single"/>
        </w:rPr>
        <w:t xml:space="preserve">                     /                      </w:t>
      </w:r>
      <w:r>
        <w:rPr>
          <w:rFonts w:hint="eastAsia" w:cs="宋体"/>
          <w:szCs w:val="21"/>
          <w:highlight w:val="none"/>
        </w:rPr>
        <w:t>；</w:t>
      </w:r>
    </w:p>
    <w:p w14:paraId="24DFE73F">
      <w:pPr>
        <w:adjustRightInd w:val="0"/>
        <w:snapToGrid w:val="0"/>
        <w:spacing w:line="360" w:lineRule="auto"/>
        <w:ind w:firstLine="420" w:firstLineChars="200"/>
        <w:rPr>
          <w:rFonts w:cs="宋体"/>
          <w:szCs w:val="21"/>
          <w:highlight w:val="none"/>
        </w:rPr>
      </w:pPr>
      <w:r>
        <w:rPr>
          <w:rFonts w:hint="eastAsia" w:cs="宋体"/>
          <w:szCs w:val="21"/>
          <w:highlight w:val="none"/>
        </w:rPr>
        <w:t>（2）</w:t>
      </w:r>
      <w:r>
        <w:rPr>
          <w:rFonts w:hint="eastAsia" w:cs="宋体"/>
          <w:szCs w:val="21"/>
          <w:highlight w:val="none"/>
          <w:u w:val="single"/>
        </w:rPr>
        <w:t xml:space="preserve">                     /                      </w:t>
      </w:r>
      <w:r>
        <w:rPr>
          <w:rFonts w:hint="eastAsia" w:cs="宋体"/>
          <w:szCs w:val="21"/>
          <w:highlight w:val="none"/>
        </w:rPr>
        <w:t>；</w:t>
      </w:r>
    </w:p>
    <w:p w14:paraId="0884890C">
      <w:pPr>
        <w:adjustRightInd w:val="0"/>
        <w:snapToGrid w:val="0"/>
        <w:spacing w:line="360" w:lineRule="auto"/>
        <w:ind w:firstLine="420" w:firstLineChars="200"/>
        <w:rPr>
          <w:rFonts w:cs="宋体"/>
          <w:szCs w:val="21"/>
          <w:highlight w:val="none"/>
        </w:rPr>
      </w:pPr>
      <w:r>
        <w:rPr>
          <w:rFonts w:hint="eastAsia" w:cs="宋体"/>
          <w:szCs w:val="21"/>
          <w:highlight w:val="none"/>
        </w:rPr>
        <w:t>（3）</w:t>
      </w:r>
      <w:r>
        <w:rPr>
          <w:rFonts w:hint="eastAsia" w:cs="宋体"/>
          <w:szCs w:val="21"/>
          <w:highlight w:val="none"/>
          <w:u w:val="single"/>
        </w:rPr>
        <w:t xml:space="preserve">                     /                      </w:t>
      </w:r>
      <w:r>
        <w:rPr>
          <w:rFonts w:hint="eastAsia" w:cs="宋体"/>
          <w:szCs w:val="21"/>
          <w:highlight w:val="none"/>
        </w:rPr>
        <w:t>。</w:t>
      </w:r>
    </w:p>
    <w:p w14:paraId="10F246C3">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7.9 提前竣工</w:t>
      </w:r>
    </w:p>
    <w:p w14:paraId="5E0A2D36">
      <w:pPr>
        <w:adjustRightInd w:val="0"/>
        <w:snapToGrid w:val="0"/>
        <w:spacing w:line="360" w:lineRule="auto"/>
        <w:ind w:firstLine="420" w:firstLineChars="200"/>
        <w:rPr>
          <w:rFonts w:cs="宋体"/>
          <w:szCs w:val="21"/>
          <w:highlight w:val="none"/>
        </w:rPr>
      </w:pPr>
      <w:r>
        <w:rPr>
          <w:rFonts w:hint="eastAsia" w:cs="宋体"/>
          <w:szCs w:val="21"/>
          <w:highlight w:val="none"/>
        </w:rPr>
        <w:t>7.9.2 提前竣工的奖励：</w:t>
      </w:r>
      <w:r>
        <w:rPr>
          <w:rFonts w:hint="eastAsia" w:cs="宋体"/>
          <w:szCs w:val="21"/>
          <w:highlight w:val="none"/>
          <w:u w:val="single"/>
        </w:rPr>
        <w:t>见《专用合同条款数据表》</w:t>
      </w:r>
      <w:r>
        <w:rPr>
          <w:rFonts w:hint="eastAsia" w:cs="宋体"/>
          <w:szCs w:val="21"/>
          <w:highlight w:val="none"/>
        </w:rPr>
        <w:t>。</w:t>
      </w:r>
    </w:p>
    <w:p w14:paraId="23C29FE9">
      <w:pPr>
        <w:snapToGrid w:val="0"/>
        <w:spacing w:before="312" w:beforeLines="100" w:after="312" w:afterLines="100" w:line="360" w:lineRule="auto"/>
        <w:outlineLvl w:val="2"/>
        <w:rPr>
          <w:rFonts w:cs="宋体"/>
          <w:szCs w:val="21"/>
          <w:highlight w:val="none"/>
        </w:rPr>
      </w:pPr>
      <w:bookmarkStart w:id="238" w:name="_Toc351203640"/>
      <w:r>
        <w:rPr>
          <w:rFonts w:hint="eastAsia" w:cs="宋体"/>
          <w:szCs w:val="21"/>
          <w:highlight w:val="none"/>
        </w:rPr>
        <w:t>8. 材料与设备</w:t>
      </w:r>
      <w:bookmarkEnd w:id="238"/>
    </w:p>
    <w:bookmarkEnd w:id="171"/>
    <w:bookmarkEnd w:id="172"/>
    <w:bookmarkEnd w:id="173"/>
    <w:bookmarkEnd w:id="174"/>
    <w:bookmarkEnd w:id="175"/>
    <w:bookmarkEnd w:id="176"/>
    <w:bookmarkEnd w:id="177"/>
    <w:bookmarkEnd w:id="178"/>
    <w:bookmarkEnd w:id="179"/>
    <w:bookmarkEnd w:id="180"/>
    <w:p w14:paraId="12991509">
      <w:pPr>
        <w:adjustRightInd w:val="0"/>
        <w:snapToGrid w:val="0"/>
        <w:spacing w:line="360" w:lineRule="auto"/>
        <w:ind w:firstLine="420" w:firstLineChars="200"/>
        <w:rPr>
          <w:rFonts w:cs="宋体"/>
          <w:szCs w:val="21"/>
          <w:highlight w:val="none"/>
        </w:rPr>
      </w:pPr>
      <w:r>
        <w:rPr>
          <w:rFonts w:hint="eastAsia" w:cs="宋体"/>
          <w:szCs w:val="21"/>
          <w:highlight w:val="none"/>
        </w:rPr>
        <w:t>8</w:t>
      </w:r>
      <w:bookmarkStart w:id="239" w:name="_Toc296891207"/>
      <w:bookmarkStart w:id="240" w:name="_Toc292559372"/>
      <w:bookmarkStart w:id="241" w:name="_Toc312678019"/>
      <w:bookmarkStart w:id="242" w:name="_Toc297048353"/>
      <w:bookmarkStart w:id="243" w:name="_Toc292559877"/>
      <w:bookmarkStart w:id="244" w:name="_Toc297120467"/>
      <w:bookmarkStart w:id="245" w:name="_Toc296347166"/>
      <w:bookmarkStart w:id="246" w:name="_Toc296503167"/>
      <w:bookmarkStart w:id="247" w:name="_Toc297216186"/>
      <w:bookmarkStart w:id="248" w:name="_Toc296944506"/>
      <w:bookmarkStart w:id="249" w:name="_Toc280868654"/>
      <w:bookmarkStart w:id="250" w:name="_Toc296346668"/>
      <w:bookmarkStart w:id="251" w:name="_Toc312677493"/>
      <w:bookmarkStart w:id="252" w:name="_Toc304295556"/>
      <w:bookmarkStart w:id="253" w:name="_Toc303539136"/>
      <w:bookmarkStart w:id="254" w:name="_Toc300934979"/>
      <w:bookmarkStart w:id="255" w:name="_Toc296890995"/>
      <w:bookmarkStart w:id="256" w:name="_Toc297123527"/>
      <w:bookmarkStart w:id="257" w:name="_Toc267251424"/>
      <w:bookmarkStart w:id="258" w:name="_Toc280868656"/>
      <w:bookmarkStart w:id="259" w:name="_Toc280868655"/>
      <w:r>
        <w:rPr>
          <w:rFonts w:hint="eastAsia" w:cs="宋体"/>
          <w:szCs w:val="21"/>
          <w:highlight w:val="none"/>
        </w:rPr>
        <w:t>.4 材料与工程设备的保管与使用</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14:paraId="68860974">
      <w:pPr>
        <w:adjustRightInd w:val="0"/>
        <w:snapToGrid w:val="0"/>
        <w:spacing w:line="360" w:lineRule="auto"/>
        <w:ind w:firstLine="420" w:firstLineChars="200"/>
        <w:rPr>
          <w:rFonts w:cs="宋体"/>
          <w:szCs w:val="21"/>
          <w:highlight w:val="none"/>
          <w:u w:val="single"/>
        </w:rPr>
      </w:pPr>
      <w:r>
        <w:rPr>
          <w:rFonts w:hint="eastAsia" w:cs="宋体"/>
          <w:szCs w:val="21"/>
          <w:highlight w:val="none"/>
        </w:rPr>
        <w:t>8</w:t>
      </w:r>
      <w:bookmarkStart w:id="260" w:name="_Toc292559878"/>
      <w:bookmarkStart w:id="261" w:name="_Toc292559373"/>
      <w:bookmarkStart w:id="262" w:name="_Toc296944507"/>
      <w:bookmarkStart w:id="263" w:name="_Toc296891208"/>
      <w:bookmarkStart w:id="264" w:name="_Toc296347167"/>
      <w:bookmarkStart w:id="265" w:name="_Toc312677494"/>
      <w:bookmarkStart w:id="266" w:name="_Toc312678020"/>
      <w:bookmarkStart w:id="267" w:name="_Toc296503168"/>
      <w:bookmarkStart w:id="268" w:name="_Toc297120468"/>
      <w:bookmarkStart w:id="269" w:name="_Toc297123528"/>
      <w:bookmarkStart w:id="270" w:name="_Toc304295557"/>
      <w:bookmarkStart w:id="271" w:name="_Toc303539137"/>
      <w:bookmarkStart w:id="272" w:name="_Toc297048354"/>
      <w:bookmarkStart w:id="273" w:name="_Toc296346669"/>
      <w:bookmarkStart w:id="274" w:name="_Toc296890996"/>
      <w:bookmarkStart w:id="275" w:name="_Toc297216187"/>
      <w:bookmarkStart w:id="276" w:name="_Toc300934980"/>
      <w:bookmarkStart w:id="277" w:name="_Toc318581173"/>
      <w:r>
        <w:rPr>
          <w:rFonts w:hint="eastAsia" w:cs="宋体"/>
          <w:szCs w:val="21"/>
          <w:highlight w:val="none"/>
        </w:rPr>
        <w:t>.4.1 发包人供应的材料设备的保管费用的承担：</w:t>
      </w:r>
      <w:r>
        <w:rPr>
          <w:rFonts w:hint="eastAsia" w:cs="宋体"/>
          <w:szCs w:val="21"/>
          <w:highlight w:val="none"/>
          <w:u w:val="single"/>
        </w:rPr>
        <w:t xml:space="preserve">        </w:t>
      </w:r>
      <w:r>
        <w:rPr>
          <w:highlight w:val="none"/>
          <w:u w:val="single"/>
        </w:rPr>
        <w:t>不适用</w:t>
      </w:r>
      <w:r>
        <w:rPr>
          <w:rFonts w:hint="eastAsia" w:cs="宋体"/>
          <w:szCs w:val="21"/>
          <w:highlight w:val="none"/>
          <w:u w:val="single"/>
        </w:rPr>
        <w:t xml:space="preserve">       </w:t>
      </w:r>
      <w:r>
        <w:rPr>
          <w:rFonts w:hint="eastAsia" w:cs="宋体"/>
          <w:szCs w:val="21"/>
          <w:highlight w:val="none"/>
        </w:rPr>
        <w:t>。</w:t>
      </w:r>
      <w:bookmarkEnd w:id="260"/>
      <w:bookmarkEnd w:id="261"/>
    </w:p>
    <w:p w14:paraId="6D11ED5E">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8.6 样品</w:t>
      </w:r>
    </w:p>
    <w:p w14:paraId="2A7A4553">
      <w:pPr>
        <w:adjustRightInd w:val="0"/>
        <w:snapToGrid w:val="0"/>
        <w:spacing w:line="360" w:lineRule="auto"/>
        <w:ind w:firstLine="420" w:firstLineChars="200"/>
        <w:rPr>
          <w:rFonts w:cs="宋体"/>
          <w:szCs w:val="21"/>
          <w:highlight w:val="none"/>
        </w:rPr>
      </w:pPr>
      <w:r>
        <w:rPr>
          <w:rFonts w:hint="eastAsia" w:cs="宋体"/>
          <w:szCs w:val="21"/>
          <w:highlight w:val="none"/>
        </w:rPr>
        <w:t>8.6.1 样品的报送与封存</w:t>
      </w:r>
    </w:p>
    <w:p w14:paraId="33E2BBE2">
      <w:pPr>
        <w:adjustRightInd w:val="0"/>
        <w:snapToGrid w:val="0"/>
        <w:spacing w:line="360" w:lineRule="auto"/>
        <w:ind w:firstLine="420" w:firstLineChars="200"/>
        <w:rPr>
          <w:rFonts w:cs="宋体"/>
          <w:szCs w:val="21"/>
          <w:highlight w:val="none"/>
          <w:u w:val="single"/>
        </w:rPr>
      </w:pPr>
      <w:r>
        <w:rPr>
          <w:rFonts w:hint="eastAsia" w:cs="宋体"/>
          <w:szCs w:val="21"/>
          <w:highlight w:val="none"/>
        </w:rPr>
        <w:t>需要承包人报送样品的材料或工程设备，样品的种类、名称、规格、数量要求：</w:t>
      </w:r>
      <w:r>
        <w:rPr>
          <w:rFonts w:hint="eastAsia" w:cs="宋体"/>
          <w:szCs w:val="21"/>
          <w:highlight w:val="none"/>
          <w:u w:val="single"/>
        </w:rPr>
        <w:t xml:space="preserve"> </w:t>
      </w:r>
      <w:r>
        <w:rPr>
          <w:highlight w:val="none"/>
          <w:u w:val="single"/>
        </w:rPr>
        <w:t>按发包人要求报送</w:t>
      </w:r>
      <w:r>
        <w:rPr>
          <w:rFonts w:hint="eastAsia" w:cs="宋体"/>
          <w:szCs w:val="21"/>
          <w:highlight w:val="none"/>
        </w:rPr>
        <w:t>。</w:t>
      </w:r>
    </w:p>
    <w:p w14:paraId="465F996E">
      <w:pPr>
        <w:adjustRightInd w:val="0"/>
        <w:snapToGrid w:val="0"/>
        <w:spacing w:line="360" w:lineRule="auto"/>
        <w:ind w:firstLine="420" w:firstLineChars="200"/>
        <w:rPr>
          <w:rFonts w:cs="宋体"/>
          <w:szCs w:val="21"/>
          <w:highlight w:val="none"/>
        </w:rPr>
      </w:pPr>
      <w:r>
        <w:rPr>
          <w:rFonts w:hint="eastAsia" w:cs="宋体"/>
          <w:szCs w:val="21"/>
          <w:highlight w:val="none"/>
        </w:rPr>
        <w:t>8.8 施工设备和临时设施</w:t>
      </w:r>
    </w:p>
    <w:p w14:paraId="298DB3C4">
      <w:pPr>
        <w:adjustRightInd w:val="0"/>
        <w:snapToGrid w:val="0"/>
        <w:spacing w:line="360" w:lineRule="auto"/>
        <w:ind w:firstLine="420" w:firstLineChars="200"/>
        <w:rPr>
          <w:rFonts w:cs="宋体"/>
          <w:szCs w:val="21"/>
          <w:highlight w:val="none"/>
        </w:rPr>
      </w:pPr>
      <w:r>
        <w:rPr>
          <w:rFonts w:hint="eastAsia" w:cs="宋体"/>
          <w:szCs w:val="21"/>
          <w:highlight w:val="none"/>
        </w:rPr>
        <w:t>8.8.1 承包人提供的施工设备和临时设施</w:t>
      </w:r>
    </w:p>
    <w:p w14:paraId="2DDC73AA">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关于修建临时设施费用承担的约定：</w:t>
      </w:r>
      <w:r>
        <w:rPr>
          <w:rFonts w:hint="eastAsia" w:cs="宋体"/>
          <w:szCs w:val="21"/>
          <w:highlight w:val="none"/>
          <w:u w:val="single"/>
        </w:rPr>
        <w:t xml:space="preserve"> </w:t>
      </w:r>
      <w:r>
        <w:rPr>
          <w:szCs w:val="21"/>
          <w:highlight w:val="none"/>
          <w:u w:val="single"/>
        </w:rPr>
        <w:t>由承包人承担</w:t>
      </w:r>
      <w:r>
        <w:rPr>
          <w:rFonts w:hint="eastAsia" w:cs="宋体"/>
          <w:szCs w:val="21"/>
          <w:highlight w:val="none"/>
        </w:rPr>
        <w:t>。</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14:paraId="4530056A">
      <w:pPr>
        <w:snapToGrid w:val="0"/>
        <w:spacing w:before="312" w:beforeLines="100" w:after="312" w:afterLines="100" w:line="360" w:lineRule="auto"/>
        <w:outlineLvl w:val="2"/>
        <w:rPr>
          <w:rFonts w:cs="宋体"/>
          <w:szCs w:val="21"/>
          <w:highlight w:val="none"/>
        </w:rPr>
      </w:pPr>
      <w:bookmarkStart w:id="278" w:name="_Toc351203641"/>
      <w:r>
        <w:rPr>
          <w:rFonts w:hint="eastAsia" w:cs="宋体"/>
          <w:szCs w:val="21"/>
          <w:highlight w:val="none"/>
        </w:rPr>
        <w:t>9</w:t>
      </w:r>
      <w:bookmarkEnd w:id="257"/>
      <w:bookmarkEnd w:id="258"/>
      <w:bookmarkEnd w:id="259"/>
      <w:bookmarkStart w:id="279" w:name="_Toc312677495"/>
      <w:bookmarkStart w:id="280" w:name="_Toc297216192"/>
      <w:bookmarkStart w:id="281" w:name="_Toc300934982"/>
      <w:bookmarkStart w:id="282" w:name="_Toc312678021"/>
      <w:bookmarkStart w:id="283" w:name="_Toc303539139"/>
      <w:bookmarkStart w:id="284" w:name="_Toc304295559"/>
      <w:bookmarkStart w:id="285" w:name="_Toc297123533"/>
      <w:bookmarkStart w:id="286" w:name="_Toc292559378"/>
      <w:bookmarkStart w:id="287" w:name="_Toc292559883"/>
      <w:bookmarkStart w:id="288" w:name="_Toc296347172"/>
      <w:bookmarkStart w:id="289" w:name="_Toc297120473"/>
      <w:bookmarkStart w:id="290" w:name="_Toc296944512"/>
      <w:bookmarkStart w:id="291" w:name="_Toc296891001"/>
      <w:bookmarkStart w:id="292" w:name="_Toc296503173"/>
      <w:bookmarkStart w:id="293" w:name="_Toc267251428"/>
      <w:bookmarkStart w:id="294" w:name="_Toc297048359"/>
      <w:bookmarkStart w:id="295" w:name="_Toc296891213"/>
      <w:bookmarkStart w:id="296" w:name="_Toc296346674"/>
      <w:bookmarkStart w:id="297" w:name="_Toc267251427"/>
      <w:r>
        <w:rPr>
          <w:rFonts w:hint="eastAsia" w:cs="宋体"/>
          <w:szCs w:val="21"/>
          <w:highlight w:val="none"/>
        </w:rPr>
        <w:t>. 试验与检验</w:t>
      </w:r>
      <w:bookmarkEnd w:id="278"/>
    </w:p>
    <w:bookmarkEnd w:id="279"/>
    <w:bookmarkEnd w:id="280"/>
    <w:bookmarkEnd w:id="281"/>
    <w:bookmarkEnd w:id="282"/>
    <w:bookmarkEnd w:id="283"/>
    <w:bookmarkEnd w:id="284"/>
    <w:bookmarkEnd w:id="285"/>
    <w:p w14:paraId="3665470C">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9</w:t>
      </w:r>
      <w:bookmarkStart w:id="298" w:name="_Toc297123534"/>
      <w:bookmarkStart w:id="299" w:name="_Toc297216193"/>
      <w:bookmarkStart w:id="300" w:name="_Toc312678022"/>
      <w:bookmarkStart w:id="301" w:name="_Toc304295560"/>
      <w:bookmarkStart w:id="302" w:name="_Toc303539140"/>
      <w:bookmarkStart w:id="303" w:name="_Toc300934983"/>
      <w:bookmarkStart w:id="304" w:name="_Toc312677496"/>
      <w:r>
        <w:rPr>
          <w:rFonts w:hint="eastAsia" w:cs="宋体"/>
          <w:bCs/>
          <w:szCs w:val="21"/>
          <w:highlight w:val="none"/>
        </w:rPr>
        <w:t>.1 试验设备与试验人员</w:t>
      </w:r>
    </w:p>
    <w:bookmarkEnd w:id="298"/>
    <w:bookmarkEnd w:id="299"/>
    <w:bookmarkEnd w:id="300"/>
    <w:bookmarkEnd w:id="301"/>
    <w:bookmarkEnd w:id="302"/>
    <w:bookmarkEnd w:id="303"/>
    <w:bookmarkEnd w:id="304"/>
    <w:p w14:paraId="2BC353C1">
      <w:pPr>
        <w:adjustRightInd w:val="0"/>
        <w:snapToGrid w:val="0"/>
        <w:spacing w:line="360" w:lineRule="auto"/>
        <w:ind w:firstLine="420" w:firstLineChars="200"/>
        <w:rPr>
          <w:rFonts w:cs="宋体"/>
          <w:szCs w:val="21"/>
          <w:highlight w:val="none"/>
        </w:rPr>
      </w:pPr>
      <w:r>
        <w:rPr>
          <w:rFonts w:hint="eastAsia" w:cs="宋体"/>
          <w:szCs w:val="21"/>
          <w:highlight w:val="none"/>
        </w:rPr>
        <w:t>9</w:t>
      </w:r>
      <w:bookmarkStart w:id="305" w:name="_Toc297216194"/>
      <w:bookmarkStart w:id="306" w:name="_Toc304295561"/>
      <w:bookmarkStart w:id="307" w:name="_Toc312677497"/>
      <w:bookmarkStart w:id="308" w:name="_Toc303539141"/>
      <w:bookmarkStart w:id="309" w:name="_Toc300934984"/>
      <w:bookmarkStart w:id="310" w:name="_Toc297123535"/>
      <w:bookmarkStart w:id="311" w:name="_Toc312678023"/>
      <w:bookmarkStart w:id="312" w:name="_Toc318581174"/>
      <w:r>
        <w:rPr>
          <w:rFonts w:hint="eastAsia" w:cs="宋体"/>
          <w:szCs w:val="21"/>
          <w:highlight w:val="none"/>
        </w:rPr>
        <w:t>.1.2 试验设备</w:t>
      </w:r>
    </w:p>
    <w:p w14:paraId="7E972268">
      <w:pPr>
        <w:adjustRightInd w:val="0"/>
        <w:snapToGrid w:val="0"/>
        <w:spacing w:line="360" w:lineRule="auto"/>
        <w:ind w:firstLine="420" w:firstLineChars="200"/>
        <w:rPr>
          <w:rFonts w:cs="宋体"/>
          <w:szCs w:val="21"/>
          <w:highlight w:val="none"/>
          <w:u w:val="single"/>
        </w:rPr>
      </w:pPr>
      <w:r>
        <w:rPr>
          <w:rFonts w:hint="eastAsia" w:cs="宋体"/>
          <w:szCs w:val="21"/>
          <w:highlight w:val="none"/>
        </w:rPr>
        <w:t>施工现场需要配置的试验场所</w:t>
      </w:r>
      <w:bookmarkEnd w:id="305"/>
      <w:bookmarkEnd w:id="306"/>
      <w:bookmarkEnd w:id="307"/>
      <w:bookmarkEnd w:id="308"/>
      <w:bookmarkEnd w:id="309"/>
      <w:bookmarkEnd w:id="310"/>
      <w:bookmarkEnd w:id="311"/>
      <w:bookmarkStart w:id="313" w:name="_Toc303539142"/>
      <w:bookmarkStart w:id="314" w:name="_Toc304295562"/>
      <w:bookmarkStart w:id="315" w:name="_Toc297216195"/>
      <w:bookmarkStart w:id="316" w:name="_Toc300934985"/>
      <w:bookmarkStart w:id="317" w:name="_Toc297123536"/>
      <w:bookmarkStart w:id="318" w:name="_Toc312677498"/>
      <w:bookmarkStart w:id="319" w:name="_Toc312678024"/>
      <w:r>
        <w:rPr>
          <w:rFonts w:hint="eastAsia" w:cs="宋体"/>
          <w:szCs w:val="21"/>
          <w:highlight w:val="none"/>
        </w:rPr>
        <w:t xml:space="preserve">： </w:t>
      </w:r>
      <w:r>
        <w:rPr>
          <w:highlight w:val="none"/>
          <w:u w:val="single"/>
        </w:rPr>
        <w:t>按照国家、地方相关规范执行，满足现场试验需要</w:t>
      </w:r>
      <w:r>
        <w:rPr>
          <w:rFonts w:hint="eastAsia" w:cs="宋体"/>
          <w:szCs w:val="21"/>
          <w:highlight w:val="none"/>
        </w:rPr>
        <w:t>。</w:t>
      </w:r>
    </w:p>
    <w:p w14:paraId="4CABDD55">
      <w:pPr>
        <w:adjustRightInd w:val="0"/>
        <w:snapToGrid w:val="0"/>
        <w:spacing w:line="360" w:lineRule="auto"/>
        <w:ind w:firstLine="420" w:firstLineChars="200"/>
        <w:rPr>
          <w:rFonts w:cs="宋体"/>
          <w:szCs w:val="21"/>
          <w:highlight w:val="none"/>
          <w:u w:val="single"/>
        </w:rPr>
      </w:pPr>
      <w:r>
        <w:rPr>
          <w:rFonts w:hint="eastAsia" w:cs="宋体"/>
          <w:szCs w:val="21"/>
          <w:highlight w:val="none"/>
        </w:rPr>
        <w:t>施工现场需要配备的试验设备：</w:t>
      </w:r>
      <w:r>
        <w:rPr>
          <w:rFonts w:hint="eastAsia" w:cs="宋体"/>
          <w:szCs w:val="21"/>
          <w:highlight w:val="none"/>
          <w:u w:val="single"/>
        </w:rPr>
        <w:t xml:space="preserve"> </w:t>
      </w:r>
      <w:r>
        <w:rPr>
          <w:highlight w:val="none"/>
          <w:u w:val="single"/>
        </w:rPr>
        <w:t>按照国家、地方相关规范执行，满足现场试验需要</w:t>
      </w:r>
      <w:r>
        <w:rPr>
          <w:rFonts w:hint="eastAsia" w:cs="宋体"/>
          <w:szCs w:val="21"/>
          <w:highlight w:val="none"/>
        </w:rPr>
        <w:t>。</w:t>
      </w:r>
    </w:p>
    <w:p w14:paraId="749AD9B8">
      <w:pPr>
        <w:adjustRightInd w:val="0"/>
        <w:snapToGrid w:val="0"/>
        <w:spacing w:line="360" w:lineRule="auto"/>
        <w:ind w:firstLine="420" w:firstLineChars="200"/>
        <w:rPr>
          <w:rFonts w:cs="宋体"/>
          <w:szCs w:val="21"/>
          <w:highlight w:val="none"/>
          <w:u w:val="single"/>
        </w:rPr>
      </w:pPr>
      <w:r>
        <w:rPr>
          <w:rFonts w:hint="eastAsia" w:cs="宋体"/>
          <w:szCs w:val="21"/>
          <w:highlight w:val="none"/>
        </w:rPr>
        <w:t>施工现场需要具备的其他试验条件：</w:t>
      </w:r>
      <w:r>
        <w:rPr>
          <w:rFonts w:hint="eastAsia" w:cs="宋体"/>
          <w:szCs w:val="21"/>
          <w:highlight w:val="none"/>
          <w:u w:val="single"/>
        </w:rPr>
        <w:t xml:space="preserve"> </w:t>
      </w:r>
      <w:r>
        <w:rPr>
          <w:highlight w:val="none"/>
          <w:u w:val="single"/>
        </w:rPr>
        <w:t>按照国家、地方相关规范执行，满足现场试验需要</w:t>
      </w:r>
      <w:r>
        <w:rPr>
          <w:rFonts w:hint="eastAsia" w:cs="宋体"/>
          <w:szCs w:val="21"/>
          <w:highlight w:val="none"/>
        </w:rPr>
        <w:t>。</w:t>
      </w:r>
    </w:p>
    <w:p w14:paraId="7A8AF31F">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 xml:space="preserve">9.4 现场工艺试验 </w:t>
      </w:r>
    </w:p>
    <w:p w14:paraId="0AB5BA19">
      <w:pPr>
        <w:adjustRightInd w:val="0"/>
        <w:snapToGrid w:val="0"/>
        <w:spacing w:line="360" w:lineRule="auto"/>
        <w:ind w:firstLine="420" w:firstLineChars="200"/>
        <w:rPr>
          <w:rFonts w:cs="宋体"/>
          <w:szCs w:val="21"/>
          <w:highlight w:val="none"/>
          <w:u w:val="single"/>
        </w:rPr>
      </w:pPr>
      <w:r>
        <w:rPr>
          <w:rFonts w:hint="eastAsia" w:cs="宋体"/>
          <w:szCs w:val="21"/>
          <w:highlight w:val="none"/>
        </w:rPr>
        <w:t>现场工艺试验的有关约定：</w:t>
      </w:r>
      <w:r>
        <w:rPr>
          <w:rFonts w:hint="eastAsia" w:cs="宋体"/>
          <w:szCs w:val="21"/>
          <w:highlight w:val="none"/>
          <w:u w:val="single"/>
        </w:rPr>
        <w:t xml:space="preserve"> </w:t>
      </w:r>
      <w:r>
        <w:rPr>
          <w:highlight w:val="none"/>
          <w:u w:val="single"/>
        </w:rPr>
        <w:t>按照国家、地方相关规范和要求执行</w:t>
      </w:r>
      <w:r>
        <w:rPr>
          <w:rFonts w:hint="eastAsia" w:cs="宋体"/>
          <w:szCs w:val="21"/>
          <w:highlight w:val="none"/>
        </w:rPr>
        <w:t>。</w:t>
      </w:r>
    </w:p>
    <w:bookmarkEnd w:id="312"/>
    <w:bookmarkEnd w:id="313"/>
    <w:bookmarkEnd w:id="314"/>
    <w:bookmarkEnd w:id="315"/>
    <w:bookmarkEnd w:id="316"/>
    <w:bookmarkEnd w:id="317"/>
    <w:bookmarkEnd w:id="318"/>
    <w:bookmarkEnd w:id="319"/>
    <w:p w14:paraId="64293DE7">
      <w:pPr>
        <w:snapToGrid w:val="0"/>
        <w:spacing w:before="312" w:beforeLines="100" w:after="312" w:afterLines="100" w:line="360" w:lineRule="auto"/>
        <w:outlineLvl w:val="2"/>
        <w:rPr>
          <w:rFonts w:cs="宋体"/>
          <w:szCs w:val="21"/>
          <w:highlight w:val="none"/>
        </w:rPr>
      </w:pPr>
      <w:bookmarkStart w:id="320" w:name="_Toc351203642"/>
      <w:r>
        <w:rPr>
          <w:rFonts w:hint="eastAsia" w:cs="宋体"/>
          <w:szCs w:val="21"/>
          <w:highlight w:val="none"/>
        </w:rPr>
        <w:t>1</w:t>
      </w:r>
      <w:bookmarkEnd w:id="286"/>
      <w:bookmarkEnd w:id="287"/>
      <w:bookmarkEnd w:id="288"/>
      <w:bookmarkEnd w:id="289"/>
      <w:bookmarkEnd w:id="290"/>
      <w:bookmarkEnd w:id="291"/>
      <w:bookmarkEnd w:id="292"/>
      <w:bookmarkEnd w:id="293"/>
      <w:bookmarkEnd w:id="294"/>
      <w:bookmarkEnd w:id="295"/>
      <w:bookmarkEnd w:id="296"/>
      <w:bookmarkEnd w:id="297"/>
      <w:bookmarkStart w:id="321" w:name="_Toc304295566"/>
      <w:bookmarkStart w:id="322" w:name="_Toc296346694"/>
      <w:bookmarkStart w:id="323" w:name="_Toc292559398"/>
      <w:bookmarkStart w:id="324" w:name="_Toc296503193"/>
      <w:bookmarkStart w:id="325" w:name="_Toc292559903"/>
      <w:bookmarkStart w:id="326" w:name="_Toc296891021"/>
      <w:bookmarkStart w:id="327" w:name="_Toc296891233"/>
      <w:bookmarkStart w:id="328" w:name="_Toc303539146"/>
      <w:bookmarkStart w:id="329" w:name="_Toc296944532"/>
      <w:bookmarkStart w:id="330" w:name="_Toc297048379"/>
      <w:bookmarkStart w:id="331" w:name="_Toc297216199"/>
      <w:bookmarkStart w:id="332" w:name="_Toc300934989"/>
      <w:bookmarkStart w:id="333" w:name="_Toc297123540"/>
      <w:bookmarkStart w:id="334" w:name="_Toc297120493"/>
      <w:bookmarkStart w:id="335" w:name="_Toc296347192"/>
      <w:bookmarkStart w:id="336" w:name="_Toc312678025"/>
      <w:bookmarkStart w:id="337" w:name="_Toc312677499"/>
      <w:bookmarkStart w:id="338" w:name="_Toc267251441"/>
      <w:bookmarkStart w:id="339" w:name="_Toc267251439"/>
      <w:bookmarkStart w:id="340" w:name="_Toc267251437"/>
      <w:bookmarkStart w:id="341" w:name="_Toc267251435"/>
      <w:bookmarkStart w:id="342" w:name="_Toc267251440"/>
      <w:bookmarkStart w:id="343" w:name="_Toc267251433"/>
      <w:bookmarkStart w:id="344" w:name="_Toc267251442"/>
      <w:r>
        <w:rPr>
          <w:rFonts w:hint="eastAsia" w:cs="宋体"/>
          <w:szCs w:val="21"/>
          <w:highlight w:val="none"/>
        </w:rPr>
        <w:t>0. 变更</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bookmarkEnd w:id="336"/>
    <w:bookmarkEnd w:id="337"/>
    <w:p w14:paraId="7DC73B7B">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w:t>
      </w:r>
      <w:bookmarkStart w:id="345" w:name="_Toc304295567"/>
      <w:bookmarkStart w:id="346" w:name="_Toc297120494"/>
      <w:bookmarkStart w:id="347" w:name="_Toc296944533"/>
      <w:bookmarkStart w:id="348" w:name="_Toc297216200"/>
      <w:bookmarkStart w:id="349" w:name="_Toc297048380"/>
      <w:bookmarkStart w:id="350" w:name="_Toc292559904"/>
      <w:bookmarkStart w:id="351" w:name="_Toc297123541"/>
      <w:bookmarkStart w:id="352" w:name="_Toc296891234"/>
      <w:bookmarkStart w:id="353" w:name="_Toc312677500"/>
      <w:bookmarkStart w:id="354" w:name="_Toc296503194"/>
      <w:bookmarkStart w:id="355" w:name="_Toc300934990"/>
      <w:bookmarkStart w:id="356" w:name="_Toc312678026"/>
      <w:bookmarkStart w:id="357" w:name="_Toc292559399"/>
      <w:bookmarkStart w:id="358" w:name="_Toc296347193"/>
      <w:bookmarkStart w:id="359" w:name="_Toc296891022"/>
      <w:bookmarkStart w:id="360" w:name="_Toc303539147"/>
      <w:bookmarkStart w:id="361" w:name="_Toc296346695"/>
      <w:r>
        <w:rPr>
          <w:rFonts w:hint="eastAsia" w:cs="宋体"/>
          <w:bCs/>
          <w:szCs w:val="21"/>
          <w:highlight w:val="none"/>
        </w:rPr>
        <w:t>0.1 变更的范围</w:t>
      </w:r>
    </w:p>
    <w:p w14:paraId="7401988B">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关于变更的范围的约定：</w:t>
      </w:r>
      <w:r>
        <w:rPr>
          <w:rFonts w:hint="eastAsia" w:cs="宋体"/>
          <w:szCs w:val="21"/>
          <w:highlight w:val="none"/>
          <w:u w:val="single"/>
        </w:rPr>
        <w:t xml:space="preserve"> </w:t>
      </w:r>
      <w:r>
        <w:rPr>
          <w:szCs w:val="21"/>
          <w:highlight w:val="none"/>
          <w:u w:val="single"/>
        </w:rPr>
        <w:t>工程设计变更是由设计单位根据工程施工实际情况对原设计图纸作出的变更。本次采购范围应含所有施工设计图纸范围，采购时已要求各供应商认真查看图纸并到现场踏勘；除发包人提出的设计变更及国家政策性调整外，其费用一律不予办理经济签证，均视为中标优惠或列入其它组价中</w:t>
      </w:r>
      <w:r>
        <w:rPr>
          <w:rFonts w:hint="eastAsia" w:cs="宋体"/>
          <w:szCs w:val="21"/>
          <w:highlight w:val="none"/>
        </w:rPr>
        <w:t>。</w:t>
      </w:r>
    </w:p>
    <w:p w14:paraId="185B58D4">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10.4 变更估价</w:t>
      </w:r>
    </w:p>
    <w:p w14:paraId="684D3062">
      <w:pPr>
        <w:adjustRightInd w:val="0"/>
        <w:snapToGrid w:val="0"/>
        <w:spacing w:line="360" w:lineRule="auto"/>
        <w:ind w:firstLine="420" w:firstLineChars="200"/>
        <w:rPr>
          <w:rFonts w:cs="宋体"/>
          <w:szCs w:val="21"/>
          <w:highlight w:val="none"/>
        </w:rPr>
      </w:pPr>
      <w:r>
        <w:rPr>
          <w:rFonts w:hint="eastAsia" w:cs="宋体"/>
          <w:szCs w:val="21"/>
          <w:highlight w:val="none"/>
        </w:rPr>
        <w:t>10.4.1 变更估价原则</w:t>
      </w:r>
    </w:p>
    <w:p w14:paraId="71951F7E">
      <w:pPr>
        <w:adjustRightInd w:val="0"/>
        <w:snapToGrid w:val="0"/>
        <w:spacing w:line="360" w:lineRule="auto"/>
        <w:ind w:firstLine="420" w:firstLineChars="200"/>
        <w:rPr>
          <w:rFonts w:cs="宋体"/>
          <w:szCs w:val="21"/>
          <w:highlight w:val="none"/>
        </w:rPr>
      </w:pPr>
      <w:r>
        <w:rPr>
          <w:rFonts w:hint="eastAsia" w:cs="宋体"/>
          <w:szCs w:val="21"/>
          <w:highlight w:val="none"/>
        </w:rPr>
        <w:t>关于变更估价的约定：</w:t>
      </w:r>
    </w:p>
    <w:p w14:paraId="0DB31E28">
      <w:pPr>
        <w:adjustRightInd w:val="0"/>
        <w:snapToGrid w:val="0"/>
        <w:spacing w:line="360" w:lineRule="auto"/>
        <w:ind w:firstLine="422" w:firstLineChars="200"/>
        <w:rPr>
          <w:rFonts w:cs="宋体"/>
          <w:b/>
          <w:szCs w:val="21"/>
          <w:highlight w:val="none"/>
        </w:rPr>
      </w:pPr>
      <w:r>
        <w:rPr>
          <w:rFonts w:hint="eastAsia" w:cs="宋体"/>
          <w:b/>
          <w:szCs w:val="21"/>
          <w:highlight w:val="none"/>
        </w:rPr>
        <w:t>10.4.1.1 因工程变更引起已标价工程量清单项目或其工程数量发生变化时，按下列规定调整：</w:t>
      </w:r>
    </w:p>
    <w:p w14:paraId="29E0DFBB">
      <w:pPr>
        <w:adjustRightInd w:val="0"/>
        <w:snapToGrid w:val="0"/>
        <w:spacing w:line="360" w:lineRule="auto"/>
        <w:ind w:firstLine="422" w:firstLineChars="200"/>
        <w:rPr>
          <w:rFonts w:cs="宋体"/>
          <w:b/>
          <w:szCs w:val="21"/>
          <w:highlight w:val="none"/>
          <w:u w:val="single"/>
        </w:rPr>
      </w:pPr>
      <w:r>
        <w:rPr>
          <w:rFonts w:hint="eastAsia" w:cs="宋体"/>
          <w:b/>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szCs w:val="21"/>
          <w:highlight w:val="none"/>
          <w:u w:val="single"/>
        </w:rPr>
        <w:t>【承包人报价浮动率L=（1—中标价/最高投标限价）×100%，下同】</w:t>
      </w:r>
      <w:r>
        <w:rPr>
          <w:rFonts w:hint="eastAsia" w:cs="宋体"/>
          <w:b/>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56A31770">
      <w:pPr>
        <w:adjustRightInd w:val="0"/>
        <w:snapToGrid w:val="0"/>
        <w:spacing w:line="360" w:lineRule="auto"/>
        <w:ind w:firstLine="422" w:firstLineChars="200"/>
        <w:rPr>
          <w:rFonts w:cs="宋体"/>
          <w:b/>
          <w:szCs w:val="21"/>
          <w:highlight w:val="none"/>
          <w:u w:val="single"/>
        </w:rPr>
      </w:pPr>
      <w:r>
        <w:rPr>
          <w:rFonts w:hint="eastAsia" w:cs="宋体"/>
          <w:b/>
          <w:szCs w:val="21"/>
          <w:highlight w:val="none"/>
        </w:rPr>
        <w:t>（2）</w:t>
      </w:r>
      <w:r>
        <w:rPr>
          <w:rFonts w:hint="eastAsia" w:cs="宋体"/>
          <w:b/>
          <w:szCs w:val="21"/>
          <w:highlight w:val="none"/>
          <w:u w:val="single"/>
        </w:rPr>
        <w:t>已标价工程量清单中没有适用但有类似于变更工程项目的，可在合理范围内参照类似项目的单价。</w:t>
      </w:r>
    </w:p>
    <w:p w14:paraId="5152E955">
      <w:pPr>
        <w:adjustRightInd w:val="0"/>
        <w:snapToGrid w:val="0"/>
        <w:spacing w:line="360" w:lineRule="auto"/>
        <w:ind w:firstLine="422" w:firstLineChars="200"/>
        <w:rPr>
          <w:rFonts w:cs="宋体"/>
          <w:b/>
          <w:szCs w:val="21"/>
          <w:highlight w:val="none"/>
          <w:u w:val="single"/>
        </w:rPr>
      </w:pPr>
      <w:r>
        <w:rPr>
          <w:rFonts w:hint="eastAsia" w:cs="宋体"/>
          <w:b/>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147A7BF3">
      <w:pPr>
        <w:adjustRightInd w:val="0"/>
        <w:snapToGrid w:val="0"/>
        <w:spacing w:line="360" w:lineRule="auto"/>
        <w:ind w:firstLine="422" w:firstLineChars="200"/>
        <w:rPr>
          <w:rFonts w:cs="宋体"/>
          <w:b/>
          <w:szCs w:val="21"/>
          <w:highlight w:val="none"/>
          <w:u w:val="single"/>
        </w:rPr>
      </w:pPr>
      <w:r>
        <w:rPr>
          <w:rFonts w:hint="eastAsia" w:cs="宋体"/>
          <w:b/>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7830D62A">
      <w:pPr>
        <w:adjustRightInd w:val="0"/>
        <w:snapToGrid w:val="0"/>
        <w:spacing w:before="93" w:beforeLines="30" w:line="360" w:lineRule="auto"/>
        <w:ind w:firstLine="422" w:firstLineChars="200"/>
        <w:rPr>
          <w:rFonts w:cs="宋体"/>
          <w:b/>
          <w:szCs w:val="21"/>
          <w:highlight w:val="none"/>
        </w:rPr>
      </w:pPr>
      <w:r>
        <w:rPr>
          <w:rFonts w:hint="eastAsia" w:cs="宋体"/>
          <w:b/>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79A91DB8">
      <w:pPr>
        <w:adjustRightInd w:val="0"/>
        <w:snapToGrid w:val="0"/>
        <w:spacing w:before="93" w:beforeLines="30" w:line="360" w:lineRule="auto"/>
        <w:ind w:firstLine="422" w:firstLineChars="200"/>
        <w:rPr>
          <w:rFonts w:cs="宋体"/>
          <w:b/>
          <w:szCs w:val="21"/>
          <w:highlight w:val="none"/>
          <w:u w:val="single"/>
        </w:rPr>
      </w:pPr>
      <w:r>
        <w:rPr>
          <w:rFonts w:hint="eastAsia" w:cs="宋体"/>
          <w:b/>
          <w:szCs w:val="21"/>
          <w:highlight w:val="none"/>
          <w:u w:val="single"/>
        </w:rPr>
        <w:t>（1）按照费率计算的措施费，应按照实际发生变化的措施项目依据原招标文件规定的费率计算；</w:t>
      </w:r>
    </w:p>
    <w:p w14:paraId="3B392CFF">
      <w:pPr>
        <w:adjustRightInd w:val="0"/>
        <w:snapToGrid w:val="0"/>
        <w:spacing w:before="93" w:beforeLines="30" w:line="360" w:lineRule="auto"/>
        <w:ind w:firstLine="422" w:firstLineChars="200"/>
        <w:jc w:val="left"/>
        <w:rPr>
          <w:rFonts w:cs="宋体"/>
          <w:b/>
          <w:szCs w:val="21"/>
          <w:highlight w:val="none"/>
          <w:u w:val="single"/>
        </w:rPr>
      </w:pPr>
      <w:r>
        <w:rPr>
          <w:rFonts w:hint="eastAsia" w:cs="宋体"/>
          <w:b/>
          <w:szCs w:val="21"/>
          <w:highlight w:val="none"/>
          <w:u w:val="single"/>
        </w:rPr>
        <w:t>（2）按照单价计算的措施项目费，应按照实际发生变化的措施项目，按本合同专业条款第10.4.1.1目计算；</w:t>
      </w:r>
    </w:p>
    <w:p w14:paraId="04736BF2">
      <w:pPr>
        <w:adjustRightInd w:val="0"/>
        <w:snapToGrid w:val="0"/>
        <w:spacing w:before="93" w:beforeLines="30" w:line="360" w:lineRule="auto"/>
        <w:ind w:firstLine="422" w:firstLineChars="200"/>
        <w:rPr>
          <w:rFonts w:cs="宋体"/>
          <w:b/>
          <w:szCs w:val="21"/>
          <w:highlight w:val="none"/>
          <w:u w:val="single"/>
        </w:rPr>
      </w:pPr>
      <w:r>
        <w:rPr>
          <w:rFonts w:hint="eastAsia" w:cs="宋体"/>
          <w:b/>
          <w:szCs w:val="21"/>
          <w:highlight w:val="none"/>
          <w:u w:val="single"/>
        </w:rPr>
        <w:t>（3）按总价（或系数）计算的措施项目费，应按照实际发生变化的措施项目和承包人报价浮动率同比下浮标准，提出新的措施项目费，作为结算的依据；</w:t>
      </w:r>
    </w:p>
    <w:p w14:paraId="2FD618F2">
      <w:pPr>
        <w:adjustRightInd w:val="0"/>
        <w:snapToGrid w:val="0"/>
        <w:spacing w:before="93" w:beforeLines="30" w:line="360" w:lineRule="auto"/>
        <w:ind w:firstLine="422" w:firstLineChars="200"/>
        <w:rPr>
          <w:rFonts w:cs="宋体"/>
          <w:b/>
          <w:strike/>
          <w:szCs w:val="21"/>
          <w:highlight w:val="none"/>
          <w:u w:val="single"/>
        </w:rPr>
      </w:pPr>
      <w:r>
        <w:rPr>
          <w:rFonts w:hint="eastAsia" w:cs="宋体"/>
          <w:b/>
          <w:szCs w:val="21"/>
          <w:highlight w:val="none"/>
          <w:u w:val="single"/>
        </w:rPr>
        <w:t>（4）如果承包人未事前将拟实施的方案提交给发包人确认，则应视为工程变更不引起措施项目费的调整或承包人放弃调整措施项目费的权利。</w:t>
      </w:r>
    </w:p>
    <w:p w14:paraId="5744D0B4">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2" w:name="_Toc296347196"/>
      <w:bookmarkStart w:id="363" w:name="_Toc292559907"/>
      <w:bookmarkStart w:id="364" w:name="_Toc300934993"/>
      <w:bookmarkStart w:id="365" w:name="_Toc296503197"/>
      <w:bookmarkStart w:id="366" w:name="_Toc296944536"/>
      <w:bookmarkStart w:id="367" w:name="_Toc297048383"/>
      <w:bookmarkStart w:id="368" w:name="_Toc296346698"/>
      <w:bookmarkStart w:id="369" w:name="_Toc297123544"/>
      <w:bookmarkStart w:id="370" w:name="_Toc297216203"/>
      <w:bookmarkStart w:id="371" w:name="_Toc296891237"/>
      <w:bookmarkStart w:id="372" w:name="_Toc292559402"/>
      <w:bookmarkStart w:id="373" w:name="_Toc303539150"/>
      <w:bookmarkStart w:id="374" w:name="_Toc296891025"/>
      <w:bookmarkStart w:id="375" w:name="_Toc297120497"/>
      <w:bookmarkStart w:id="376" w:name="_Toc304295570"/>
      <w:bookmarkStart w:id="377" w:name="_Toc312678029"/>
      <w:bookmarkStart w:id="378" w:name="_Toc312677503"/>
      <w:r>
        <w:rPr>
          <w:rFonts w:hint="eastAsia" w:cs="宋体"/>
          <w:bCs/>
          <w:szCs w:val="21"/>
          <w:highlight w:val="none"/>
        </w:rPr>
        <w:t>0.5 承</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Start w:id="379" w:name="_Toc297123545"/>
      <w:bookmarkStart w:id="380" w:name="_Toc292559408"/>
      <w:bookmarkStart w:id="381" w:name="_Toc296891031"/>
      <w:bookmarkStart w:id="382" w:name="_Toc296346704"/>
      <w:bookmarkStart w:id="383" w:name="_Toc296944542"/>
      <w:bookmarkStart w:id="384" w:name="_Toc297120503"/>
      <w:bookmarkStart w:id="385" w:name="_Toc303539151"/>
      <w:bookmarkStart w:id="386" w:name="_Toc300934994"/>
      <w:bookmarkStart w:id="387" w:name="_Toc297216204"/>
      <w:bookmarkStart w:id="388" w:name="_Toc296347202"/>
      <w:bookmarkStart w:id="389" w:name="_Toc292559913"/>
      <w:bookmarkStart w:id="390" w:name="_Toc296891243"/>
      <w:bookmarkStart w:id="391" w:name="_Toc296503203"/>
      <w:bookmarkStart w:id="392" w:name="_Toc297048389"/>
      <w:r>
        <w:rPr>
          <w:rFonts w:hint="eastAsia" w:cs="宋体"/>
          <w:bCs/>
          <w:szCs w:val="21"/>
          <w:highlight w:val="none"/>
        </w:rPr>
        <w:t>包人的合理化建议</w:t>
      </w:r>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3DCE6DE3">
      <w:pPr>
        <w:adjustRightInd w:val="0"/>
        <w:snapToGrid w:val="0"/>
        <w:spacing w:line="360" w:lineRule="auto"/>
        <w:ind w:firstLine="420" w:firstLineChars="200"/>
        <w:rPr>
          <w:rFonts w:cs="宋体"/>
          <w:szCs w:val="21"/>
          <w:highlight w:val="none"/>
          <w:u w:val="single"/>
        </w:rPr>
      </w:pPr>
      <w:r>
        <w:rPr>
          <w:rFonts w:hint="eastAsia" w:cs="宋体"/>
          <w:szCs w:val="21"/>
          <w:highlight w:val="none"/>
        </w:rPr>
        <w:t>监理人审查承包人合理化建议的期限：</w:t>
      </w:r>
      <w:r>
        <w:rPr>
          <w:rFonts w:hint="eastAsia" w:cs="宋体"/>
          <w:szCs w:val="21"/>
          <w:highlight w:val="none"/>
          <w:u w:val="single"/>
        </w:rPr>
        <w:t xml:space="preserve"> </w:t>
      </w:r>
      <w:r>
        <w:rPr>
          <w:szCs w:val="21"/>
          <w:highlight w:val="none"/>
          <w:u w:val="single"/>
        </w:rPr>
        <w:t>收到承包人提交的合理化建议后 7 天内审查完毕（执行通用条款）</w:t>
      </w:r>
      <w:r>
        <w:rPr>
          <w:rFonts w:hint="eastAsia" w:cs="宋体"/>
          <w:szCs w:val="21"/>
          <w:highlight w:val="none"/>
        </w:rPr>
        <w:t>。</w:t>
      </w:r>
    </w:p>
    <w:p w14:paraId="55EB9E2C">
      <w:pPr>
        <w:adjustRightInd w:val="0"/>
        <w:snapToGrid w:val="0"/>
        <w:spacing w:line="360" w:lineRule="auto"/>
        <w:ind w:firstLine="420" w:firstLineChars="200"/>
        <w:rPr>
          <w:rFonts w:cs="宋体"/>
          <w:szCs w:val="21"/>
          <w:highlight w:val="none"/>
        </w:rPr>
      </w:pPr>
      <w:r>
        <w:rPr>
          <w:rFonts w:hint="eastAsia" w:cs="宋体"/>
          <w:szCs w:val="21"/>
          <w:highlight w:val="none"/>
        </w:rPr>
        <w:t>发包人审批承包人合理化建议的期限：</w:t>
      </w:r>
      <w:r>
        <w:rPr>
          <w:rFonts w:hint="eastAsia" w:cs="宋体"/>
          <w:szCs w:val="21"/>
          <w:highlight w:val="none"/>
          <w:u w:val="single"/>
        </w:rPr>
        <w:t xml:space="preserve"> </w:t>
      </w:r>
      <w:r>
        <w:rPr>
          <w:szCs w:val="21"/>
          <w:highlight w:val="none"/>
          <w:u w:val="single"/>
        </w:rPr>
        <w:t>收到承包人提交的合理化建议后 7 天内审查完毕（执行通用条款）</w:t>
      </w:r>
      <w:r>
        <w:rPr>
          <w:rFonts w:hint="eastAsia" w:cs="宋体"/>
          <w:szCs w:val="21"/>
          <w:highlight w:val="none"/>
        </w:rPr>
        <w:t>。</w:t>
      </w:r>
    </w:p>
    <w:p w14:paraId="0B58B5DE">
      <w:pPr>
        <w:adjustRightInd w:val="0"/>
        <w:snapToGrid w:val="0"/>
        <w:spacing w:line="360" w:lineRule="auto"/>
        <w:ind w:firstLine="420" w:firstLineChars="200"/>
        <w:rPr>
          <w:rFonts w:cs="宋体"/>
          <w:szCs w:val="21"/>
          <w:highlight w:val="none"/>
          <w:u w:val="single"/>
        </w:rPr>
      </w:pPr>
      <w:r>
        <w:rPr>
          <w:rFonts w:hint="eastAsia" w:cs="宋体"/>
          <w:szCs w:val="21"/>
          <w:highlight w:val="none"/>
        </w:rPr>
        <w:t>承</w:t>
      </w:r>
      <w:bookmarkStart w:id="393" w:name="_Toc304295571"/>
      <w:bookmarkStart w:id="394" w:name="_Toc296944543"/>
      <w:bookmarkStart w:id="395" w:name="_Toc312678030"/>
      <w:bookmarkStart w:id="396" w:name="_Toc296891032"/>
      <w:bookmarkStart w:id="397" w:name="_Toc297123546"/>
      <w:bookmarkStart w:id="398" w:name="_Toc296347203"/>
      <w:bookmarkStart w:id="399" w:name="_Toc312677504"/>
      <w:bookmarkStart w:id="400" w:name="_Toc297048390"/>
      <w:bookmarkStart w:id="401" w:name="_Toc297120504"/>
      <w:bookmarkStart w:id="402" w:name="_Toc300934995"/>
      <w:bookmarkStart w:id="403" w:name="_Toc292559914"/>
      <w:bookmarkStart w:id="404" w:name="_Toc296503204"/>
      <w:bookmarkStart w:id="405" w:name="_Toc303539152"/>
      <w:bookmarkStart w:id="406" w:name="_Toc292559409"/>
      <w:bookmarkStart w:id="407" w:name="_Toc318581175"/>
      <w:bookmarkStart w:id="408" w:name="_Toc297216205"/>
      <w:bookmarkStart w:id="409" w:name="_Toc296346705"/>
      <w:bookmarkStart w:id="410" w:name="_Toc296891244"/>
      <w:r>
        <w:rPr>
          <w:rFonts w:hint="eastAsia" w:cs="宋体"/>
          <w:szCs w:val="21"/>
          <w:highlight w:val="none"/>
        </w:rPr>
        <w:t>包人提出的合理化建议降低了合同价格或者提高了工程经济效益的奖励的方法和金额为：</w:t>
      </w:r>
      <w:r>
        <w:rPr>
          <w:rFonts w:hint="eastAsia" w:cs="宋体"/>
          <w:szCs w:val="21"/>
          <w:highlight w:val="none"/>
          <w:u w:val="single"/>
        </w:rPr>
        <w:t xml:space="preserve"> </w:t>
      </w:r>
      <w:r>
        <w:rPr>
          <w:szCs w:val="21"/>
          <w:highlight w:val="none"/>
          <w:u w:val="single"/>
        </w:rPr>
        <w:t>不适用</w:t>
      </w:r>
      <w:r>
        <w:rPr>
          <w:rFonts w:hint="eastAsia" w:cs="宋体"/>
          <w:szCs w:val="21"/>
          <w:highlight w:val="none"/>
        </w:rPr>
        <w:t>。</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14:paraId="70F639C8">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w:t>
      </w:r>
      <w:bookmarkStart w:id="411" w:name="_Toc296346700"/>
      <w:bookmarkStart w:id="412" w:name="_Toc296891027"/>
      <w:bookmarkStart w:id="413" w:name="_Toc304295574"/>
      <w:bookmarkStart w:id="414" w:name="_Toc296944538"/>
      <w:bookmarkStart w:id="415" w:name="_Toc297120499"/>
      <w:bookmarkStart w:id="416" w:name="_Toc297216207"/>
      <w:bookmarkStart w:id="417" w:name="_Toc292559909"/>
      <w:bookmarkStart w:id="418" w:name="_Toc296891239"/>
      <w:bookmarkStart w:id="419" w:name="_Toc292559404"/>
      <w:bookmarkStart w:id="420" w:name="_Toc312677507"/>
      <w:bookmarkStart w:id="421" w:name="_Toc297123548"/>
      <w:bookmarkStart w:id="422" w:name="_Toc296347198"/>
      <w:bookmarkStart w:id="423" w:name="_Toc300934997"/>
      <w:bookmarkStart w:id="424" w:name="_Toc303539154"/>
      <w:bookmarkStart w:id="425" w:name="_Toc297048385"/>
      <w:bookmarkStart w:id="426" w:name="_Toc296503199"/>
      <w:bookmarkStart w:id="427" w:name="_Toc312678033"/>
      <w:r>
        <w:rPr>
          <w:rFonts w:hint="eastAsia" w:cs="宋体"/>
          <w:bCs/>
          <w:szCs w:val="21"/>
          <w:highlight w:val="none"/>
        </w:rPr>
        <w:t>0.7 暂估价</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14:paraId="1B2CBF9A">
      <w:pPr>
        <w:adjustRightInd w:val="0"/>
        <w:snapToGrid w:val="0"/>
        <w:spacing w:line="360" w:lineRule="auto"/>
        <w:ind w:firstLine="420" w:firstLineChars="200"/>
        <w:rPr>
          <w:rFonts w:cs="宋体"/>
          <w:szCs w:val="21"/>
          <w:highlight w:val="none"/>
        </w:rPr>
      </w:pPr>
      <w:r>
        <w:rPr>
          <w:rFonts w:hint="eastAsia" w:cs="宋体"/>
          <w:szCs w:val="21"/>
          <w:highlight w:val="none"/>
        </w:rPr>
        <w:t>暂</w:t>
      </w:r>
      <w:bookmarkStart w:id="428" w:name="_Toc312677508"/>
      <w:bookmarkStart w:id="429" w:name="_Toc318581176"/>
      <w:bookmarkStart w:id="430" w:name="_Toc312678034"/>
      <w:r>
        <w:rPr>
          <w:rFonts w:hint="eastAsia" w:cs="宋体"/>
          <w:szCs w:val="21"/>
          <w:highlight w:val="none"/>
        </w:rPr>
        <w:t>估价材料和工程设备的明细见附件12：《暂估价一览表》。</w:t>
      </w:r>
    </w:p>
    <w:bookmarkEnd w:id="428"/>
    <w:bookmarkEnd w:id="429"/>
    <w:bookmarkEnd w:id="430"/>
    <w:p w14:paraId="65365811">
      <w:pPr>
        <w:adjustRightInd w:val="0"/>
        <w:snapToGrid w:val="0"/>
        <w:spacing w:line="360" w:lineRule="auto"/>
        <w:ind w:firstLine="420" w:firstLineChars="200"/>
        <w:rPr>
          <w:rFonts w:cs="宋体"/>
          <w:szCs w:val="21"/>
          <w:highlight w:val="none"/>
        </w:rPr>
      </w:pPr>
      <w:r>
        <w:rPr>
          <w:rFonts w:hint="eastAsia" w:cs="宋体"/>
          <w:szCs w:val="21"/>
          <w:highlight w:val="none"/>
        </w:rPr>
        <w:t>1</w:t>
      </w:r>
      <w:bookmarkStart w:id="431" w:name="_Toc312677509"/>
      <w:bookmarkStart w:id="432" w:name="_Toc318581177"/>
      <w:bookmarkStart w:id="433" w:name="_Toc312678035"/>
      <w:r>
        <w:rPr>
          <w:rFonts w:hint="eastAsia" w:cs="宋体"/>
          <w:szCs w:val="21"/>
          <w:highlight w:val="none"/>
        </w:rPr>
        <w:t>0.7.1 依法必须招标的暂估价项目</w:t>
      </w:r>
    </w:p>
    <w:bookmarkEnd w:id="431"/>
    <w:bookmarkEnd w:id="432"/>
    <w:bookmarkEnd w:id="433"/>
    <w:p w14:paraId="12B42D04">
      <w:pPr>
        <w:adjustRightInd w:val="0"/>
        <w:snapToGrid w:val="0"/>
        <w:spacing w:line="360" w:lineRule="auto"/>
        <w:ind w:firstLine="420" w:firstLineChars="200"/>
        <w:rPr>
          <w:rFonts w:cs="宋体"/>
          <w:szCs w:val="21"/>
          <w:highlight w:val="none"/>
        </w:rPr>
      </w:pPr>
      <w:r>
        <w:rPr>
          <w:rFonts w:hint="eastAsia" w:cs="宋体"/>
          <w:szCs w:val="21"/>
          <w:highlight w:val="none"/>
        </w:rPr>
        <w:t>对于依法必须招标的暂估价项目的确认和批准采取第</w:t>
      </w:r>
      <w:r>
        <w:rPr>
          <w:rFonts w:hint="eastAsia" w:cs="宋体"/>
          <w:szCs w:val="21"/>
          <w:highlight w:val="none"/>
          <w:u w:val="single"/>
        </w:rPr>
        <w:t>2</w:t>
      </w:r>
      <w:r>
        <w:rPr>
          <w:rFonts w:hint="eastAsia" w:cs="宋体"/>
          <w:szCs w:val="21"/>
          <w:highlight w:val="none"/>
        </w:rPr>
        <w:t>种方式确定。</w:t>
      </w:r>
      <w:r>
        <w:rPr>
          <w:rFonts w:hint="eastAsia" w:cs="宋体"/>
          <w:b/>
          <w:szCs w:val="21"/>
          <w:highlight w:val="none"/>
          <w:u w:val="single"/>
        </w:rPr>
        <w:t>并应按相关规定进行二次招标</w:t>
      </w:r>
      <w:r>
        <w:rPr>
          <w:rFonts w:hint="eastAsia" w:cs="宋体"/>
          <w:szCs w:val="21"/>
          <w:highlight w:val="none"/>
        </w:rPr>
        <w:t>。</w:t>
      </w:r>
    </w:p>
    <w:p w14:paraId="2BF2AF03">
      <w:pPr>
        <w:adjustRightInd w:val="0"/>
        <w:snapToGrid w:val="0"/>
        <w:spacing w:line="360" w:lineRule="auto"/>
        <w:ind w:firstLine="420" w:firstLineChars="200"/>
        <w:rPr>
          <w:rFonts w:cs="宋体"/>
          <w:szCs w:val="21"/>
          <w:highlight w:val="none"/>
        </w:rPr>
      </w:pPr>
      <w:r>
        <w:rPr>
          <w:rFonts w:hint="eastAsia" w:cs="宋体"/>
          <w:szCs w:val="21"/>
          <w:highlight w:val="none"/>
        </w:rPr>
        <w:t>10.7.2 不属于依法必须招标的暂估价项目</w:t>
      </w:r>
    </w:p>
    <w:p w14:paraId="4D516273">
      <w:pPr>
        <w:adjustRightInd w:val="0"/>
        <w:snapToGrid w:val="0"/>
        <w:spacing w:line="360" w:lineRule="auto"/>
        <w:ind w:firstLine="420" w:firstLineChars="200"/>
        <w:rPr>
          <w:rFonts w:cs="宋体"/>
          <w:szCs w:val="21"/>
          <w:highlight w:val="none"/>
        </w:rPr>
      </w:pPr>
      <w:r>
        <w:rPr>
          <w:rFonts w:hint="eastAsia" w:cs="宋体"/>
          <w:szCs w:val="21"/>
          <w:highlight w:val="none"/>
        </w:rPr>
        <w:t>对于不属于依法必须招标的暂估价项目的确认和批准采取第</w:t>
      </w:r>
      <w:r>
        <w:rPr>
          <w:rFonts w:hint="eastAsia" w:cs="宋体"/>
          <w:szCs w:val="21"/>
          <w:highlight w:val="none"/>
          <w:u w:val="single"/>
        </w:rPr>
        <w:t>1</w:t>
      </w:r>
      <w:r>
        <w:rPr>
          <w:rFonts w:hint="eastAsia" w:cs="宋体"/>
          <w:szCs w:val="21"/>
          <w:highlight w:val="none"/>
        </w:rPr>
        <w:t>种方式确定。</w:t>
      </w:r>
    </w:p>
    <w:p w14:paraId="572700AE">
      <w:pPr>
        <w:adjustRightInd w:val="0"/>
        <w:snapToGrid w:val="0"/>
        <w:spacing w:line="360" w:lineRule="auto"/>
        <w:ind w:firstLine="420" w:firstLineChars="200"/>
        <w:rPr>
          <w:rFonts w:cs="宋体"/>
          <w:szCs w:val="21"/>
          <w:highlight w:val="none"/>
        </w:rPr>
      </w:pPr>
      <w:r>
        <w:rPr>
          <w:rFonts w:hint="eastAsia" w:cs="宋体"/>
          <w:szCs w:val="21"/>
          <w:highlight w:val="none"/>
        </w:rPr>
        <w:t>第3种方式：承包人直接实施的暂估价项目</w:t>
      </w:r>
    </w:p>
    <w:p w14:paraId="53456B52">
      <w:pPr>
        <w:adjustRightInd w:val="0"/>
        <w:snapToGrid w:val="0"/>
        <w:spacing w:line="360" w:lineRule="auto"/>
        <w:ind w:firstLine="420" w:firstLineChars="200"/>
        <w:rPr>
          <w:rFonts w:cs="宋体"/>
          <w:szCs w:val="21"/>
          <w:highlight w:val="none"/>
        </w:rPr>
      </w:pPr>
      <w:r>
        <w:rPr>
          <w:rFonts w:hint="eastAsia" w:cs="宋体"/>
          <w:szCs w:val="21"/>
          <w:highlight w:val="none"/>
        </w:rPr>
        <w:t>承包人直接实施的暂估价项目的约定：</w:t>
      </w:r>
      <w:r>
        <w:rPr>
          <w:rFonts w:hint="eastAsia" w:cs="宋体"/>
          <w:szCs w:val="21"/>
          <w:highlight w:val="none"/>
          <w:u w:val="single"/>
        </w:rPr>
        <w:t xml:space="preserve">  /  </w:t>
      </w:r>
      <w:r>
        <w:rPr>
          <w:rFonts w:hint="eastAsia" w:cs="宋体"/>
          <w:szCs w:val="21"/>
          <w:highlight w:val="none"/>
        </w:rPr>
        <w:t>。</w:t>
      </w:r>
    </w:p>
    <w:p w14:paraId="7BE66615">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10.8 暂列金额</w:t>
      </w:r>
    </w:p>
    <w:p w14:paraId="36A59132">
      <w:pPr>
        <w:adjustRightInd w:val="0"/>
        <w:snapToGrid w:val="0"/>
        <w:spacing w:line="360" w:lineRule="auto"/>
        <w:ind w:firstLine="420" w:firstLineChars="200"/>
        <w:rPr>
          <w:rFonts w:cs="宋体"/>
          <w:szCs w:val="21"/>
          <w:highlight w:val="none"/>
        </w:rPr>
      </w:pPr>
      <w:r>
        <w:rPr>
          <w:rFonts w:hint="eastAsia" w:cs="宋体"/>
          <w:szCs w:val="21"/>
          <w:highlight w:val="none"/>
        </w:rPr>
        <w:t>合同当事人关于暂列金额使用的约定：</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320D7838">
      <w:pPr>
        <w:snapToGrid w:val="0"/>
        <w:spacing w:before="312" w:beforeLines="100" w:after="312" w:afterLines="100" w:line="360" w:lineRule="auto"/>
        <w:outlineLvl w:val="2"/>
        <w:rPr>
          <w:rFonts w:cs="宋体"/>
          <w:szCs w:val="21"/>
          <w:highlight w:val="none"/>
        </w:rPr>
      </w:pPr>
      <w:bookmarkStart w:id="434" w:name="_Toc351203643"/>
      <w:r>
        <w:rPr>
          <w:rFonts w:hint="eastAsia" w:cs="宋体"/>
          <w:szCs w:val="21"/>
          <w:highlight w:val="none"/>
        </w:rPr>
        <w:t>11. 价格调整</w:t>
      </w:r>
      <w:bookmarkEnd w:id="434"/>
    </w:p>
    <w:p w14:paraId="52A79FEE">
      <w:pPr>
        <w:keepNext/>
        <w:keepLines/>
        <w:snapToGrid w:val="0"/>
        <w:spacing w:before="120" w:after="120" w:line="360" w:lineRule="auto"/>
        <w:ind w:firstLine="420" w:firstLineChars="200"/>
        <w:outlineLvl w:val="3"/>
        <w:rPr>
          <w:rFonts w:cs="宋体"/>
          <w:bCs/>
          <w:szCs w:val="21"/>
          <w:highlight w:val="none"/>
        </w:rPr>
      </w:pPr>
      <w:bookmarkStart w:id="435" w:name="_Toc303539157"/>
      <w:bookmarkStart w:id="436" w:name="_Toc296944540"/>
      <w:bookmarkStart w:id="437" w:name="_Toc292559911"/>
      <w:bookmarkStart w:id="438" w:name="_Toc297216209"/>
      <w:bookmarkStart w:id="439" w:name="_Toc297048387"/>
      <w:bookmarkStart w:id="440" w:name="_Toc297123550"/>
      <w:bookmarkStart w:id="441" w:name="_Toc296891241"/>
      <w:bookmarkStart w:id="442" w:name="_Toc312678039"/>
      <w:bookmarkStart w:id="443" w:name="_Toc296891029"/>
      <w:bookmarkStart w:id="444" w:name="_Toc296347200"/>
      <w:bookmarkStart w:id="445" w:name="_Toc296346702"/>
      <w:bookmarkStart w:id="446" w:name="_Toc296503201"/>
      <w:bookmarkStart w:id="447" w:name="_Toc297120501"/>
      <w:bookmarkStart w:id="448" w:name="_Toc304295577"/>
      <w:bookmarkStart w:id="449" w:name="_Toc300935000"/>
      <w:bookmarkStart w:id="450" w:name="_Toc292559406"/>
      <w:r>
        <w:rPr>
          <w:rFonts w:hint="eastAsia" w:cs="宋体"/>
          <w:bCs/>
          <w:szCs w:val="21"/>
          <w:highlight w:val="none"/>
        </w:rPr>
        <w:t>11.1 市场价格波动引起的调整</w:t>
      </w:r>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14:paraId="5B092EA7">
      <w:pPr>
        <w:adjustRightInd w:val="0"/>
        <w:snapToGrid w:val="0"/>
        <w:spacing w:line="360" w:lineRule="auto"/>
        <w:ind w:firstLine="420" w:firstLineChars="200"/>
        <w:rPr>
          <w:rFonts w:cs="宋体"/>
          <w:szCs w:val="21"/>
          <w:highlight w:val="none"/>
        </w:rPr>
      </w:pPr>
      <w:r>
        <w:rPr>
          <w:rFonts w:hint="eastAsia" w:cs="宋体"/>
          <w:szCs w:val="21"/>
          <w:highlight w:val="none"/>
        </w:rPr>
        <w:t>市场价格波动是否调整合同价格的约定：</w:t>
      </w:r>
      <w:r>
        <w:rPr>
          <w:rFonts w:hint="eastAsia" w:cs="宋体"/>
          <w:szCs w:val="21"/>
          <w:highlight w:val="none"/>
          <w:u w:val="single"/>
        </w:rPr>
        <w:t>见《专用合同条款数据表》</w:t>
      </w:r>
      <w:r>
        <w:rPr>
          <w:rFonts w:hint="eastAsia" w:cs="宋体"/>
          <w:szCs w:val="21"/>
          <w:highlight w:val="none"/>
        </w:rPr>
        <w:t>。</w:t>
      </w:r>
    </w:p>
    <w:p w14:paraId="15E77857">
      <w:pPr>
        <w:adjustRightInd w:val="0"/>
        <w:snapToGrid w:val="0"/>
        <w:spacing w:line="360" w:lineRule="auto"/>
        <w:ind w:firstLine="420" w:firstLineChars="200"/>
        <w:rPr>
          <w:rFonts w:cs="宋体"/>
          <w:szCs w:val="21"/>
          <w:highlight w:val="none"/>
        </w:rPr>
      </w:pPr>
      <w:r>
        <w:rPr>
          <w:rFonts w:hint="eastAsia" w:cs="宋体"/>
          <w:szCs w:val="21"/>
          <w:highlight w:val="none"/>
        </w:rPr>
        <w:t>因市场价格波动调整合同价格，采用以下第</w:t>
      </w:r>
      <w:r>
        <w:rPr>
          <w:rFonts w:hint="eastAsia" w:cs="宋体"/>
          <w:szCs w:val="21"/>
          <w:highlight w:val="none"/>
          <w:u w:val="single"/>
        </w:rPr>
        <w:t xml:space="preserve">  /  </w:t>
      </w:r>
      <w:r>
        <w:rPr>
          <w:rFonts w:hint="eastAsia" w:cs="宋体"/>
          <w:szCs w:val="21"/>
          <w:highlight w:val="none"/>
        </w:rPr>
        <w:t>种方式对合同价格进行调整：</w:t>
      </w:r>
    </w:p>
    <w:p w14:paraId="3BF747D9">
      <w:pPr>
        <w:adjustRightInd w:val="0"/>
        <w:snapToGrid w:val="0"/>
        <w:spacing w:line="360" w:lineRule="auto"/>
        <w:ind w:firstLine="420" w:firstLineChars="200"/>
        <w:rPr>
          <w:rFonts w:cs="宋体"/>
          <w:szCs w:val="21"/>
          <w:highlight w:val="none"/>
        </w:rPr>
      </w:pPr>
      <w:r>
        <w:rPr>
          <w:rFonts w:hint="eastAsia" w:cs="宋体"/>
          <w:szCs w:val="21"/>
          <w:highlight w:val="none"/>
        </w:rPr>
        <w:t>第1种方式：采用价格指数进行价格调整。</w:t>
      </w:r>
    </w:p>
    <w:p w14:paraId="0EF37E13">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关于各可调因子、定值和变值权重，以及基本价格指数及其来源的约定：</w:t>
      </w:r>
      <w:r>
        <w:rPr>
          <w:rFonts w:hint="eastAsia" w:cs="宋体"/>
          <w:szCs w:val="21"/>
          <w:highlight w:val="none"/>
          <w:u w:val="single"/>
        </w:rPr>
        <w:t xml:space="preserve">  /  </w:t>
      </w:r>
      <w:r>
        <w:rPr>
          <w:rFonts w:hint="eastAsia" w:cs="宋体"/>
          <w:szCs w:val="21"/>
          <w:highlight w:val="none"/>
        </w:rPr>
        <w:t xml:space="preserve">； </w:t>
      </w:r>
    </w:p>
    <w:p w14:paraId="424E333C">
      <w:pPr>
        <w:adjustRightInd w:val="0"/>
        <w:snapToGrid w:val="0"/>
        <w:spacing w:line="360" w:lineRule="auto"/>
        <w:ind w:firstLine="420" w:firstLineChars="200"/>
        <w:rPr>
          <w:rFonts w:cs="宋体"/>
          <w:szCs w:val="21"/>
          <w:highlight w:val="none"/>
        </w:rPr>
      </w:pPr>
      <w:r>
        <w:rPr>
          <w:rFonts w:hint="eastAsia" w:cs="宋体"/>
          <w:szCs w:val="21"/>
          <w:highlight w:val="none"/>
        </w:rPr>
        <w:t>第2种方式：采用造价信息进行价格调整。</w:t>
      </w:r>
    </w:p>
    <w:p w14:paraId="1B6531AB">
      <w:pPr>
        <w:adjustRightInd w:val="0"/>
        <w:snapToGrid w:val="0"/>
        <w:spacing w:line="360" w:lineRule="auto"/>
        <w:ind w:firstLine="420" w:firstLineChars="200"/>
        <w:rPr>
          <w:rFonts w:cs="宋体"/>
          <w:szCs w:val="21"/>
          <w:highlight w:val="none"/>
        </w:rPr>
      </w:pPr>
      <w:r>
        <w:rPr>
          <w:rFonts w:hint="eastAsia" w:cs="宋体"/>
          <w:szCs w:val="21"/>
          <w:highlight w:val="none"/>
        </w:rPr>
        <w:t>（1）可调整价格的主要材料范围的约定：</w:t>
      </w:r>
      <w:r>
        <w:rPr>
          <w:rFonts w:hint="eastAsia" w:cs="宋体"/>
          <w:szCs w:val="21"/>
          <w:highlight w:val="none"/>
          <w:u w:val="single"/>
        </w:rPr>
        <w:t xml:space="preserve">   /   </w:t>
      </w:r>
      <w:r>
        <w:rPr>
          <w:rFonts w:hint="eastAsia" w:cs="宋体"/>
          <w:szCs w:val="21"/>
          <w:highlight w:val="none"/>
        </w:rPr>
        <w:t>；</w:t>
      </w:r>
    </w:p>
    <w:p w14:paraId="07F6E716">
      <w:pPr>
        <w:adjustRightInd w:val="0"/>
        <w:snapToGrid w:val="0"/>
        <w:spacing w:line="360" w:lineRule="auto"/>
        <w:ind w:firstLine="420" w:firstLineChars="200"/>
        <w:rPr>
          <w:rFonts w:cs="宋体"/>
          <w:szCs w:val="21"/>
          <w:highlight w:val="none"/>
        </w:rPr>
      </w:pPr>
      <w:r>
        <w:rPr>
          <w:rFonts w:hint="eastAsia" w:cs="宋体"/>
          <w:szCs w:val="21"/>
          <w:highlight w:val="none"/>
        </w:rPr>
        <w:t>（2）主要材料价差调整周期的约定：</w:t>
      </w:r>
      <w:r>
        <w:rPr>
          <w:rFonts w:hint="eastAsia" w:cs="宋体"/>
          <w:szCs w:val="21"/>
          <w:highlight w:val="none"/>
          <w:u w:val="single"/>
        </w:rPr>
        <w:t xml:space="preserve">   /   </w:t>
      </w:r>
      <w:r>
        <w:rPr>
          <w:rFonts w:hint="eastAsia" w:cs="宋体"/>
          <w:szCs w:val="21"/>
          <w:highlight w:val="none"/>
        </w:rPr>
        <w:t>；</w:t>
      </w:r>
    </w:p>
    <w:p w14:paraId="42DA0005">
      <w:pPr>
        <w:adjustRightInd w:val="0"/>
        <w:snapToGrid w:val="0"/>
        <w:spacing w:line="360" w:lineRule="auto"/>
        <w:ind w:firstLine="420" w:firstLineChars="200"/>
        <w:rPr>
          <w:rFonts w:cs="宋体"/>
          <w:szCs w:val="21"/>
          <w:highlight w:val="none"/>
        </w:rPr>
      </w:pPr>
      <w:r>
        <w:rPr>
          <w:rFonts w:hint="eastAsia" w:cs="宋体"/>
          <w:szCs w:val="21"/>
          <w:highlight w:val="none"/>
        </w:rPr>
        <w:t>（3）主要材料价差调整计算方法的约定：</w:t>
      </w:r>
      <w:r>
        <w:rPr>
          <w:rFonts w:hint="eastAsia" w:cs="宋体"/>
          <w:szCs w:val="21"/>
          <w:highlight w:val="none"/>
          <w:u w:val="single"/>
        </w:rPr>
        <w:t xml:space="preserve">   /   </w:t>
      </w:r>
      <w:r>
        <w:rPr>
          <w:rFonts w:hint="eastAsia" w:cs="宋体"/>
          <w:szCs w:val="21"/>
          <w:highlight w:val="none"/>
        </w:rPr>
        <w:t>；</w:t>
      </w:r>
    </w:p>
    <w:p w14:paraId="77BF3EE9">
      <w:pPr>
        <w:adjustRightInd w:val="0"/>
        <w:snapToGrid w:val="0"/>
        <w:spacing w:line="360" w:lineRule="auto"/>
        <w:ind w:firstLine="420" w:firstLineChars="200"/>
        <w:rPr>
          <w:rFonts w:cs="宋体"/>
          <w:szCs w:val="21"/>
          <w:highlight w:val="none"/>
        </w:rPr>
      </w:pPr>
      <w:r>
        <w:rPr>
          <w:rFonts w:hint="eastAsia" w:cs="宋体"/>
          <w:szCs w:val="21"/>
          <w:highlight w:val="none"/>
        </w:rPr>
        <w:t>（4）主要材料价差调整时间的约定：</w:t>
      </w:r>
      <w:r>
        <w:rPr>
          <w:rFonts w:hint="eastAsia" w:cs="宋体"/>
          <w:szCs w:val="21"/>
          <w:highlight w:val="none"/>
          <w:u w:val="single"/>
        </w:rPr>
        <w:t xml:space="preserve">   /   </w:t>
      </w:r>
      <w:r>
        <w:rPr>
          <w:rFonts w:hint="eastAsia" w:cs="宋体"/>
          <w:szCs w:val="21"/>
          <w:highlight w:val="none"/>
        </w:rPr>
        <w:t>。</w:t>
      </w:r>
    </w:p>
    <w:p w14:paraId="22C55EDA">
      <w:pPr>
        <w:adjustRightInd w:val="0"/>
        <w:snapToGrid w:val="0"/>
        <w:spacing w:line="360" w:lineRule="auto"/>
        <w:ind w:firstLine="420" w:firstLineChars="200"/>
        <w:rPr>
          <w:rFonts w:cs="宋体"/>
          <w:szCs w:val="21"/>
          <w:highlight w:val="none"/>
        </w:rPr>
      </w:pPr>
      <w:r>
        <w:rPr>
          <w:rFonts w:hint="eastAsia" w:cs="宋体"/>
          <w:szCs w:val="21"/>
          <w:highlight w:val="none"/>
        </w:rPr>
        <w:t>（2）关于基准价格的约定：</w:t>
      </w:r>
      <w:r>
        <w:rPr>
          <w:rFonts w:hint="eastAsia" w:cs="宋体"/>
          <w:szCs w:val="21"/>
          <w:highlight w:val="none"/>
          <w:u w:val="single"/>
        </w:rPr>
        <w:t xml:space="preserve">  /  </w:t>
      </w:r>
      <w:r>
        <w:rPr>
          <w:rFonts w:hint="eastAsia" w:cs="宋体"/>
          <w:szCs w:val="21"/>
          <w:highlight w:val="none"/>
        </w:rPr>
        <w:t>。</w:t>
      </w:r>
    </w:p>
    <w:p w14:paraId="3A451065">
      <w:pPr>
        <w:adjustRightInd w:val="0"/>
        <w:snapToGrid w:val="0"/>
        <w:spacing w:line="360" w:lineRule="auto"/>
        <w:ind w:firstLine="420" w:firstLineChars="200"/>
        <w:rPr>
          <w:rFonts w:cs="宋体"/>
          <w:szCs w:val="21"/>
          <w:highlight w:val="none"/>
        </w:rPr>
      </w:pPr>
      <w:r>
        <w:rPr>
          <w:rFonts w:hint="eastAsia" w:cs="宋体"/>
          <w:szCs w:val="21"/>
          <w:highlight w:val="none"/>
        </w:rPr>
        <w:t>①承包人在已标价工程量清单或预算书中载明的材料单价低于基准价格的：专用合同条款合同履行期间材料单价涨幅以基准价格为基础超过</w:t>
      </w:r>
      <w:r>
        <w:rPr>
          <w:rFonts w:hint="eastAsia" w:cs="宋体"/>
          <w:szCs w:val="21"/>
          <w:highlight w:val="none"/>
          <w:u w:val="single"/>
        </w:rPr>
        <w:t xml:space="preserve">  /  </w:t>
      </w:r>
      <w:r>
        <w:rPr>
          <w:rFonts w:hint="eastAsia" w:cs="宋体"/>
          <w:szCs w:val="21"/>
          <w:highlight w:val="none"/>
        </w:rPr>
        <w:t>%时，或材料单价跌幅以已标价工程量清单或预算书中载明材料单价为基础超过</w:t>
      </w:r>
      <w:r>
        <w:rPr>
          <w:rFonts w:hint="eastAsia" w:cs="宋体"/>
          <w:szCs w:val="21"/>
          <w:highlight w:val="none"/>
          <w:u w:val="single"/>
        </w:rPr>
        <w:t xml:space="preserve">  /  </w:t>
      </w:r>
      <w:r>
        <w:rPr>
          <w:rFonts w:hint="eastAsia" w:cs="宋体"/>
          <w:szCs w:val="21"/>
          <w:highlight w:val="none"/>
        </w:rPr>
        <w:t>%时，其超过部分据实调整。</w:t>
      </w:r>
    </w:p>
    <w:p w14:paraId="2F46CEB0">
      <w:pPr>
        <w:adjustRightInd w:val="0"/>
        <w:snapToGrid w:val="0"/>
        <w:spacing w:line="360" w:lineRule="auto"/>
        <w:ind w:firstLine="420" w:firstLineChars="200"/>
        <w:rPr>
          <w:rFonts w:cs="宋体"/>
          <w:szCs w:val="21"/>
          <w:highlight w:val="none"/>
        </w:rPr>
      </w:pPr>
      <w:r>
        <w:rPr>
          <w:rFonts w:hint="eastAsia" w:cs="宋体"/>
          <w:szCs w:val="21"/>
          <w:highlight w:val="none"/>
        </w:rPr>
        <w:t>②承包人在已标价工程量清单或预算书中载明的材料单价高于基准价格的：专用合同条款合同履行期间材料单价跌幅以基准价格为基础超过</w:t>
      </w:r>
      <w:r>
        <w:rPr>
          <w:rFonts w:hint="eastAsia" w:cs="宋体"/>
          <w:szCs w:val="21"/>
          <w:highlight w:val="none"/>
          <w:u w:val="single"/>
        </w:rPr>
        <w:t xml:space="preserve">  /  </w:t>
      </w:r>
      <w:r>
        <w:rPr>
          <w:rFonts w:hint="eastAsia" w:cs="宋体"/>
          <w:szCs w:val="21"/>
          <w:highlight w:val="none"/>
        </w:rPr>
        <w:t>%时，材料单价涨幅以已标价工程量清单或预算书中载明材料单价为基础超过</w:t>
      </w:r>
      <w:r>
        <w:rPr>
          <w:rFonts w:hint="eastAsia" w:cs="宋体"/>
          <w:szCs w:val="21"/>
          <w:highlight w:val="none"/>
          <w:u w:val="single"/>
        </w:rPr>
        <w:t xml:space="preserve">  /  </w:t>
      </w:r>
      <w:r>
        <w:rPr>
          <w:rFonts w:hint="eastAsia" w:cs="宋体"/>
          <w:szCs w:val="21"/>
          <w:highlight w:val="none"/>
        </w:rPr>
        <w:t>%时，其超过部分据实调整。</w:t>
      </w:r>
    </w:p>
    <w:p w14:paraId="1CCBECE8">
      <w:pPr>
        <w:adjustRightInd w:val="0"/>
        <w:snapToGrid w:val="0"/>
        <w:spacing w:line="360" w:lineRule="auto"/>
        <w:ind w:firstLine="420" w:firstLineChars="200"/>
        <w:rPr>
          <w:rFonts w:cs="宋体"/>
          <w:szCs w:val="21"/>
          <w:highlight w:val="none"/>
        </w:rPr>
      </w:pPr>
      <w:r>
        <w:rPr>
          <w:rFonts w:hint="eastAsia" w:cs="宋体"/>
          <w:szCs w:val="21"/>
          <w:highlight w:val="none"/>
        </w:rPr>
        <w:t>③承包人在已标价工程量清单或预算书中载明的材料单价等于基准单价的：专用合同条款合同履行期间材料单价涨跌幅以基准单价为基础超过±</w:t>
      </w:r>
      <w:r>
        <w:rPr>
          <w:rFonts w:hint="eastAsia" w:cs="宋体"/>
          <w:szCs w:val="21"/>
          <w:highlight w:val="none"/>
          <w:u w:val="single"/>
        </w:rPr>
        <w:t xml:space="preserve">  /  </w:t>
      </w:r>
      <w:r>
        <w:rPr>
          <w:rFonts w:hint="eastAsia" w:cs="宋体"/>
          <w:szCs w:val="21"/>
          <w:highlight w:val="none"/>
        </w:rPr>
        <w:t>%时，其超过部分据实调整。</w:t>
      </w:r>
    </w:p>
    <w:p w14:paraId="52DCF33A">
      <w:pPr>
        <w:adjustRightInd w:val="0"/>
        <w:snapToGrid w:val="0"/>
        <w:spacing w:line="360" w:lineRule="auto"/>
        <w:ind w:firstLine="420" w:firstLineChars="200"/>
        <w:rPr>
          <w:rFonts w:cs="宋体"/>
          <w:szCs w:val="21"/>
          <w:highlight w:val="none"/>
          <w:u w:val="single"/>
        </w:rPr>
      </w:pPr>
      <w:r>
        <w:rPr>
          <w:rFonts w:hint="eastAsia" w:cs="宋体"/>
          <w:szCs w:val="21"/>
          <w:highlight w:val="none"/>
        </w:rPr>
        <w:t>第3种方式：其他价格调整方式：</w:t>
      </w:r>
      <w:r>
        <w:rPr>
          <w:rFonts w:hint="eastAsia" w:cs="宋体"/>
          <w:szCs w:val="21"/>
          <w:highlight w:val="none"/>
          <w:u w:val="single"/>
        </w:rPr>
        <w:t xml:space="preserve">     /      </w:t>
      </w:r>
      <w:r>
        <w:rPr>
          <w:rFonts w:hint="eastAsia" w:cs="宋体"/>
          <w:szCs w:val="21"/>
          <w:highlight w:val="none"/>
        </w:rPr>
        <w:t>。</w:t>
      </w:r>
    </w:p>
    <w:bookmarkEnd w:id="338"/>
    <w:bookmarkEnd w:id="339"/>
    <w:bookmarkEnd w:id="340"/>
    <w:bookmarkEnd w:id="341"/>
    <w:bookmarkEnd w:id="342"/>
    <w:bookmarkEnd w:id="343"/>
    <w:p w14:paraId="6FC47747">
      <w:pPr>
        <w:snapToGrid w:val="0"/>
        <w:spacing w:before="312" w:beforeLines="100" w:after="312" w:afterLines="100" w:line="360" w:lineRule="auto"/>
        <w:outlineLvl w:val="2"/>
        <w:rPr>
          <w:rFonts w:cs="宋体"/>
          <w:szCs w:val="21"/>
          <w:highlight w:val="none"/>
        </w:rPr>
      </w:pPr>
      <w:bookmarkStart w:id="451" w:name="_Toc296944544"/>
      <w:bookmarkStart w:id="452" w:name="_Toc297048391"/>
      <w:bookmarkStart w:id="453" w:name="_Toc296346706"/>
      <w:bookmarkStart w:id="454" w:name="_Toc296503205"/>
      <w:bookmarkStart w:id="455" w:name="_Toc292559410"/>
      <w:bookmarkStart w:id="456" w:name="_Toc297120505"/>
      <w:bookmarkStart w:id="457" w:name="_Toc292559915"/>
      <w:bookmarkStart w:id="458" w:name="_Toc296347204"/>
      <w:bookmarkStart w:id="459" w:name="_Toc296891245"/>
      <w:bookmarkStart w:id="460" w:name="_Toc296891033"/>
      <w:bookmarkStart w:id="461" w:name="_Toc351203644"/>
      <w:bookmarkStart w:id="462" w:name="_Toc304295579"/>
      <w:bookmarkStart w:id="463" w:name="_Toc297123552"/>
      <w:bookmarkStart w:id="464" w:name="_Toc303539159"/>
      <w:bookmarkStart w:id="465" w:name="_Toc297216211"/>
      <w:bookmarkStart w:id="466" w:name="_Toc312678040"/>
      <w:bookmarkStart w:id="467" w:name="_Toc300935002"/>
      <w:r>
        <w:rPr>
          <w:rFonts w:hint="eastAsia" w:cs="宋体"/>
          <w:szCs w:val="21"/>
          <w:highlight w:val="none"/>
        </w:rPr>
        <w:t xml:space="preserve">12. </w:t>
      </w:r>
      <w:bookmarkEnd w:id="451"/>
      <w:bookmarkEnd w:id="452"/>
      <w:bookmarkEnd w:id="453"/>
      <w:bookmarkEnd w:id="454"/>
      <w:bookmarkEnd w:id="455"/>
      <w:bookmarkEnd w:id="456"/>
      <w:bookmarkEnd w:id="457"/>
      <w:bookmarkEnd w:id="458"/>
      <w:bookmarkEnd w:id="459"/>
      <w:bookmarkEnd w:id="460"/>
      <w:r>
        <w:rPr>
          <w:rFonts w:hint="eastAsia" w:cs="宋体"/>
          <w:szCs w:val="21"/>
          <w:highlight w:val="none"/>
        </w:rPr>
        <w:t>合同价格、计量与支付</w:t>
      </w:r>
      <w:bookmarkEnd w:id="461"/>
    </w:p>
    <w:bookmarkEnd w:id="462"/>
    <w:bookmarkEnd w:id="463"/>
    <w:bookmarkEnd w:id="464"/>
    <w:bookmarkEnd w:id="465"/>
    <w:bookmarkEnd w:id="466"/>
    <w:bookmarkEnd w:id="467"/>
    <w:p w14:paraId="2884A374">
      <w:pPr>
        <w:keepNext/>
        <w:keepLines/>
        <w:snapToGrid w:val="0"/>
        <w:spacing w:before="120" w:after="120" w:line="360" w:lineRule="auto"/>
        <w:ind w:firstLine="420" w:firstLineChars="200"/>
        <w:outlineLvl w:val="3"/>
        <w:rPr>
          <w:rFonts w:cs="宋体"/>
          <w:bCs/>
          <w:szCs w:val="21"/>
          <w:highlight w:val="none"/>
        </w:rPr>
      </w:pPr>
      <w:bookmarkStart w:id="468" w:name="_Toc267251461"/>
      <w:bookmarkStart w:id="469" w:name="_Toc292559916"/>
      <w:bookmarkStart w:id="470" w:name="_Toc292559411"/>
      <w:bookmarkStart w:id="471" w:name="_Toc297120506"/>
      <w:bookmarkStart w:id="472" w:name="_Toc296346707"/>
      <w:bookmarkStart w:id="473" w:name="_Toc296891034"/>
      <w:bookmarkStart w:id="474" w:name="_Toc296944545"/>
      <w:bookmarkStart w:id="475" w:name="_Toc297048392"/>
      <w:bookmarkStart w:id="476" w:name="_Toc296891246"/>
      <w:bookmarkStart w:id="477" w:name="_Toc296347205"/>
      <w:bookmarkStart w:id="478" w:name="_Toc296503206"/>
      <w:bookmarkStart w:id="479" w:name="_Toc300935003"/>
      <w:bookmarkStart w:id="480" w:name="_Toc297123553"/>
      <w:bookmarkStart w:id="481" w:name="_Toc304295580"/>
      <w:bookmarkStart w:id="482" w:name="_Toc312678041"/>
      <w:bookmarkStart w:id="483" w:name="_Toc297216212"/>
      <w:bookmarkStart w:id="484" w:name="_Toc303539160"/>
      <w:r>
        <w:rPr>
          <w:rFonts w:hint="eastAsia" w:cs="宋体"/>
          <w:bCs/>
          <w:szCs w:val="21"/>
          <w:highlight w:val="none"/>
        </w:rPr>
        <w:t>12.1 合</w:t>
      </w:r>
      <w:bookmarkEnd w:id="468"/>
      <w:bookmarkEnd w:id="469"/>
      <w:bookmarkEnd w:id="470"/>
      <w:r>
        <w:rPr>
          <w:rFonts w:hint="eastAsia" w:cs="宋体"/>
          <w:bCs/>
          <w:szCs w:val="21"/>
          <w:highlight w:val="none"/>
        </w:rPr>
        <w:t>同价</w:t>
      </w:r>
      <w:bookmarkEnd w:id="471"/>
      <w:bookmarkEnd w:id="472"/>
      <w:bookmarkEnd w:id="473"/>
      <w:bookmarkEnd w:id="474"/>
      <w:bookmarkEnd w:id="475"/>
      <w:bookmarkEnd w:id="476"/>
      <w:bookmarkEnd w:id="477"/>
      <w:bookmarkEnd w:id="478"/>
      <w:r>
        <w:rPr>
          <w:rFonts w:hint="eastAsia" w:cs="宋体"/>
          <w:bCs/>
          <w:szCs w:val="21"/>
          <w:highlight w:val="none"/>
        </w:rPr>
        <w:t>格形式</w:t>
      </w:r>
    </w:p>
    <w:bookmarkEnd w:id="479"/>
    <w:bookmarkEnd w:id="480"/>
    <w:bookmarkEnd w:id="481"/>
    <w:bookmarkEnd w:id="482"/>
    <w:bookmarkEnd w:id="483"/>
    <w:bookmarkEnd w:id="484"/>
    <w:p w14:paraId="3D32815F">
      <w:pPr>
        <w:adjustRightInd w:val="0"/>
        <w:snapToGrid w:val="0"/>
        <w:spacing w:line="360" w:lineRule="auto"/>
        <w:ind w:firstLine="420" w:firstLineChars="200"/>
        <w:rPr>
          <w:rFonts w:cs="宋体"/>
          <w:szCs w:val="21"/>
          <w:highlight w:val="none"/>
        </w:rPr>
      </w:pPr>
      <w:r>
        <w:rPr>
          <w:rFonts w:hint="eastAsia" w:cs="宋体"/>
          <w:szCs w:val="21"/>
          <w:highlight w:val="none"/>
        </w:rPr>
        <w:t>（1）单价合同。</w:t>
      </w:r>
    </w:p>
    <w:p w14:paraId="64174E21">
      <w:pPr>
        <w:adjustRightInd w:val="0"/>
        <w:snapToGrid w:val="0"/>
        <w:spacing w:line="360" w:lineRule="auto"/>
        <w:ind w:firstLine="420" w:firstLineChars="200"/>
        <w:rPr>
          <w:rFonts w:cs="宋体"/>
          <w:szCs w:val="21"/>
          <w:highlight w:val="none"/>
          <w:u w:val="single"/>
        </w:rPr>
      </w:pPr>
      <w:r>
        <w:rPr>
          <w:rFonts w:hint="eastAsia" w:cs="宋体"/>
          <w:szCs w:val="21"/>
          <w:highlight w:val="none"/>
        </w:rPr>
        <w:t>综合单价包含的风险范围：</w:t>
      </w:r>
      <w:r>
        <w:rPr>
          <w:rFonts w:hint="eastAsia" w:cs="宋体"/>
          <w:szCs w:val="21"/>
          <w:highlight w:val="none"/>
          <w:u w:val="single"/>
        </w:rPr>
        <w:t>见《专用合同条款数据表》</w:t>
      </w:r>
      <w:r>
        <w:rPr>
          <w:rFonts w:hint="eastAsia" w:cs="宋体"/>
          <w:szCs w:val="21"/>
          <w:highlight w:val="none"/>
        </w:rPr>
        <w:t>。</w:t>
      </w:r>
    </w:p>
    <w:p w14:paraId="77E3B742">
      <w:pPr>
        <w:adjustRightInd w:val="0"/>
        <w:snapToGrid w:val="0"/>
        <w:spacing w:line="360" w:lineRule="auto"/>
        <w:ind w:firstLine="420" w:firstLineChars="200"/>
        <w:rPr>
          <w:rFonts w:cs="宋体"/>
          <w:szCs w:val="21"/>
          <w:highlight w:val="none"/>
          <w:u w:val="single"/>
        </w:rPr>
      </w:pPr>
      <w:r>
        <w:rPr>
          <w:rFonts w:hint="eastAsia" w:cs="宋体"/>
          <w:szCs w:val="21"/>
          <w:highlight w:val="none"/>
        </w:rPr>
        <w:t>风险费用的计算方法：</w:t>
      </w:r>
      <w:r>
        <w:rPr>
          <w:rFonts w:hint="eastAsia" w:cs="宋体"/>
          <w:szCs w:val="21"/>
          <w:highlight w:val="none"/>
          <w:u w:val="single"/>
        </w:rPr>
        <w:t>见《专用合同条款数据表》</w:t>
      </w:r>
      <w:r>
        <w:rPr>
          <w:rFonts w:hint="eastAsia" w:cs="宋体"/>
          <w:szCs w:val="21"/>
          <w:highlight w:val="none"/>
        </w:rPr>
        <w:t>。</w:t>
      </w:r>
    </w:p>
    <w:p w14:paraId="76673CDF">
      <w:pPr>
        <w:adjustRightInd w:val="0"/>
        <w:snapToGrid w:val="0"/>
        <w:spacing w:line="360" w:lineRule="auto"/>
        <w:ind w:firstLine="420" w:firstLineChars="200"/>
        <w:rPr>
          <w:rFonts w:cs="宋体"/>
          <w:szCs w:val="21"/>
          <w:highlight w:val="none"/>
        </w:rPr>
      </w:pPr>
      <w:r>
        <w:rPr>
          <w:rFonts w:hint="eastAsia" w:cs="宋体"/>
          <w:szCs w:val="21"/>
          <w:highlight w:val="none"/>
        </w:rPr>
        <w:t>风险范围以外合同价格的调整方法：</w:t>
      </w:r>
      <w:r>
        <w:rPr>
          <w:rFonts w:hint="eastAsia" w:cs="宋体"/>
          <w:szCs w:val="21"/>
          <w:highlight w:val="none"/>
          <w:u w:val="single"/>
        </w:rPr>
        <w:t>见《专用合同条款数据表》</w:t>
      </w:r>
      <w:r>
        <w:rPr>
          <w:rFonts w:hint="eastAsia" w:cs="宋体"/>
          <w:szCs w:val="21"/>
          <w:highlight w:val="none"/>
        </w:rPr>
        <w:t>。</w:t>
      </w:r>
    </w:p>
    <w:p w14:paraId="192C4C42">
      <w:pPr>
        <w:adjustRightInd w:val="0"/>
        <w:snapToGrid w:val="0"/>
        <w:spacing w:line="360" w:lineRule="auto"/>
        <w:ind w:firstLine="420" w:firstLineChars="200"/>
        <w:rPr>
          <w:rFonts w:cs="宋体"/>
          <w:szCs w:val="21"/>
          <w:highlight w:val="none"/>
        </w:rPr>
      </w:pPr>
      <w:r>
        <w:rPr>
          <w:rFonts w:hint="eastAsia" w:cs="宋体"/>
          <w:szCs w:val="21"/>
          <w:highlight w:val="none"/>
        </w:rPr>
        <w:t>（2）总价合同。</w:t>
      </w:r>
    </w:p>
    <w:p w14:paraId="1958D8BD">
      <w:pPr>
        <w:adjustRightInd w:val="0"/>
        <w:snapToGrid w:val="0"/>
        <w:spacing w:line="360" w:lineRule="auto"/>
        <w:ind w:firstLine="420" w:firstLineChars="200"/>
        <w:rPr>
          <w:rFonts w:cs="宋体"/>
          <w:b/>
          <w:szCs w:val="21"/>
          <w:highlight w:val="none"/>
        </w:rPr>
      </w:pPr>
      <w:r>
        <w:rPr>
          <w:rFonts w:hint="eastAsia" w:cs="宋体"/>
          <w:szCs w:val="21"/>
          <w:highlight w:val="none"/>
        </w:rPr>
        <w:t>总价包含的风险范围：</w:t>
      </w:r>
      <w:r>
        <w:rPr>
          <w:rFonts w:hint="eastAsia" w:cs="宋体"/>
          <w:szCs w:val="21"/>
          <w:highlight w:val="none"/>
          <w:u w:val="single"/>
        </w:rPr>
        <w:t>见《专用合同条款数据表》</w:t>
      </w:r>
      <w:r>
        <w:rPr>
          <w:rFonts w:hint="eastAsia" w:cs="宋体"/>
          <w:szCs w:val="21"/>
          <w:highlight w:val="none"/>
        </w:rPr>
        <w:t>。</w:t>
      </w:r>
    </w:p>
    <w:p w14:paraId="5918273F">
      <w:pPr>
        <w:adjustRightInd w:val="0"/>
        <w:snapToGrid w:val="0"/>
        <w:spacing w:line="360" w:lineRule="auto"/>
        <w:ind w:firstLine="420" w:firstLineChars="200"/>
        <w:rPr>
          <w:rFonts w:cs="宋体"/>
          <w:szCs w:val="21"/>
          <w:highlight w:val="none"/>
          <w:u w:val="single"/>
        </w:rPr>
      </w:pPr>
      <w:r>
        <w:rPr>
          <w:rFonts w:hint="eastAsia" w:cs="宋体"/>
          <w:szCs w:val="21"/>
          <w:highlight w:val="none"/>
        </w:rPr>
        <w:t>风险费用的计算方法：</w:t>
      </w:r>
      <w:r>
        <w:rPr>
          <w:rFonts w:hint="eastAsia" w:cs="宋体"/>
          <w:szCs w:val="21"/>
          <w:highlight w:val="none"/>
          <w:u w:val="single"/>
        </w:rPr>
        <w:t>见《专用合同条款数据表》</w:t>
      </w:r>
      <w:r>
        <w:rPr>
          <w:rFonts w:hint="eastAsia" w:cs="宋体"/>
          <w:szCs w:val="21"/>
          <w:highlight w:val="none"/>
        </w:rPr>
        <w:t>。</w:t>
      </w:r>
    </w:p>
    <w:p w14:paraId="40649561">
      <w:pPr>
        <w:adjustRightInd w:val="0"/>
        <w:snapToGrid w:val="0"/>
        <w:spacing w:line="360" w:lineRule="auto"/>
        <w:ind w:firstLine="420" w:firstLineChars="200"/>
        <w:rPr>
          <w:rFonts w:cs="宋体"/>
          <w:szCs w:val="21"/>
          <w:highlight w:val="none"/>
        </w:rPr>
      </w:pPr>
      <w:r>
        <w:rPr>
          <w:rFonts w:hint="eastAsia" w:cs="宋体"/>
          <w:szCs w:val="21"/>
          <w:highlight w:val="none"/>
        </w:rPr>
        <w:t>风险范围以外合同价格的调整方法：</w:t>
      </w:r>
      <w:r>
        <w:rPr>
          <w:rFonts w:hint="eastAsia" w:cs="宋体"/>
          <w:szCs w:val="21"/>
          <w:highlight w:val="none"/>
          <w:u w:val="single"/>
        </w:rPr>
        <w:t>见《专用合同条款数据表》</w:t>
      </w:r>
      <w:r>
        <w:rPr>
          <w:rFonts w:hint="eastAsia" w:cs="宋体"/>
          <w:szCs w:val="21"/>
          <w:highlight w:val="none"/>
        </w:rPr>
        <w:t>。</w:t>
      </w:r>
    </w:p>
    <w:p w14:paraId="4EA6FBA2">
      <w:pPr>
        <w:adjustRightInd w:val="0"/>
        <w:snapToGrid w:val="0"/>
        <w:spacing w:line="360" w:lineRule="auto"/>
        <w:ind w:firstLine="420" w:firstLineChars="200"/>
        <w:rPr>
          <w:rFonts w:cs="宋体"/>
          <w:szCs w:val="21"/>
          <w:highlight w:val="none"/>
          <w:u w:val="single"/>
        </w:rPr>
      </w:pPr>
      <w:r>
        <w:rPr>
          <w:rFonts w:hint="eastAsia" w:cs="宋体"/>
          <w:szCs w:val="21"/>
          <w:highlight w:val="none"/>
        </w:rPr>
        <w:t>（3）其他价格方式：</w:t>
      </w:r>
      <w:r>
        <w:rPr>
          <w:rFonts w:hint="eastAsia" w:cs="宋体"/>
          <w:szCs w:val="21"/>
          <w:highlight w:val="none"/>
          <w:u w:val="single"/>
        </w:rPr>
        <w:t>见《专用合同条款数据表》</w:t>
      </w:r>
      <w:r>
        <w:rPr>
          <w:rFonts w:hint="eastAsia" w:cs="宋体"/>
          <w:szCs w:val="21"/>
          <w:highlight w:val="none"/>
        </w:rPr>
        <w:t>。</w:t>
      </w:r>
    </w:p>
    <w:p w14:paraId="2309B868">
      <w:pPr>
        <w:keepNext/>
        <w:keepLines/>
        <w:snapToGrid w:val="0"/>
        <w:spacing w:before="120" w:after="120" w:line="360" w:lineRule="auto"/>
        <w:ind w:firstLine="420" w:firstLineChars="200"/>
        <w:outlineLvl w:val="3"/>
        <w:rPr>
          <w:rFonts w:cs="宋体"/>
          <w:bCs/>
          <w:szCs w:val="21"/>
          <w:highlight w:val="none"/>
        </w:rPr>
      </w:pPr>
      <w:bookmarkStart w:id="485" w:name="_Toc297216213"/>
      <w:bookmarkStart w:id="486" w:name="_Toc303539161"/>
      <w:bookmarkStart w:id="487" w:name="_Toc297123554"/>
      <w:bookmarkStart w:id="488" w:name="_Toc312678042"/>
      <w:bookmarkStart w:id="489" w:name="_Toc300935004"/>
      <w:bookmarkStart w:id="490" w:name="_Toc304295581"/>
      <w:bookmarkStart w:id="491" w:name="_Toc297120507"/>
      <w:bookmarkStart w:id="492" w:name="_Toc296503207"/>
      <w:bookmarkStart w:id="493" w:name="_Toc296891247"/>
      <w:bookmarkStart w:id="494" w:name="_Toc292559917"/>
      <w:bookmarkStart w:id="495" w:name="_Toc296347206"/>
      <w:bookmarkStart w:id="496" w:name="_Toc296891035"/>
      <w:bookmarkStart w:id="497" w:name="_Toc292559412"/>
      <w:bookmarkStart w:id="498" w:name="_Toc297048393"/>
      <w:bookmarkStart w:id="499" w:name="_Toc296346708"/>
      <w:bookmarkStart w:id="500" w:name="_Toc296944546"/>
      <w:r>
        <w:rPr>
          <w:rFonts w:hint="eastAsia" w:cs="宋体"/>
          <w:bCs/>
          <w:szCs w:val="21"/>
          <w:highlight w:val="none"/>
        </w:rPr>
        <w:t>12.2 预付款</w:t>
      </w:r>
    </w:p>
    <w:bookmarkEnd w:id="485"/>
    <w:bookmarkEnd w:id="486"/>
    <w:bookmarkEnd w:id="487"/>
    <w:bookmarkEnd w:id="488"/>
    <w:bookmarkEnd w:id="489"/>
    <w:bookmarkEnd w:id="490"/>
    <w:p w14:paraId="102AB1F0">
      <w:pPr>
        <w:adjustRightInd w:val="0"/>
        <w:snapToGrid w:val="0"/>
        <w:spacing w:line="360" w:lineRule="auto"/>
        <w:ind w:firstLine="420" w:firstLineChars="200"/>
        <w:rPr>
          <w:rFonts w:cs="宋体"/>
          <w:szCs w:val="21"/>
          <w:highlight w:val="none"/>
        </w:rPr>
      </w:pPr>
      <w:r>
        <w:rPr>
          <w:rFonts w:hint="eastAsia" w:cs="宋体"/>
          <w:szCs w:val="21"/>
          <w:highlight w:val="none"/>
        </w:rPr>
        <w:t>12.2.1 预付款的支付</w:t>
      </w:r>
    </w:p>
    <w:p w14:paraId="24021CCF">
      <w:pPr>
        <w:adjustRightInd w:val="0"/>
        <w:snapToGrid w:val="0"/>
        <w:spacing w:line="360" w:lineRule="auto"/>
        <w:ind w:firstLine="420" w:firstLineChars="200"/>
        <w:rPr>
          <w:rFonts w:cs="宋体"/>
          <w:szCs w:val="21"/>
          <w:highlight w:val="none"/>
        </w:rPr>
      </w:pPr>
      <w:r>
        <w:rPr>
          <w:rFonts w:hint="eastAsia" w:cs="宋体"/>
          <w:szCs w:val="21"/>
          <w:highlight w:val="none"/>
        </w:rPr>
        <w:t>预付款支付比例或金额：</w:t>
      </w:r>
      <w:r>
        <w:rPr>
          <w:rFonts w:hint="eastAsia" w:cs="宋体"/>
          <w:szCs w:val="21"/>
          <w:highlight w:val="none"/>
          <w:u w:val="single"/>
        </w:rPr>
        <w:t>见《专用合同条款数据表》</w:t>
      </w:r>
      <w:r>
        <w:rPr>
          <w:rFonts w:hint="eastAsia" w:cs="宋体"/>
          <w:szCs w:val="21"/>
          <w:highlight w:val="none"/>
        </w:rPr>
        <w:t>。</w:t>
      </w:r>
    </w:p>
    <w:p w14:paraId="1CC2208F">
      <w:pPr>
        <w:adjustRightInd w:val="0"/>
        <w:snapToGrid w:val="0"/>
        <w:spacing w:line="360" w:lineRule="auto"/>
        <w:ind w:firstLine="420" w:firstLineChars="200"/>
        <w:rPr>
          <w:rFonts w:cs="宋体"/>
          <w:szCs w:val="21"/>
          <w:highlight w:val="none"/>
        </w:rPr>
      </w:pPr>
      <w:r>
        <w:rPr>
          <w:rFonts w:hint="eastAsia" w:cs="宋体"/>
          <w:szCs w:val="21"/>
          <w:highlight w:val="none"/>
        </w:rPr>
        <w:t>预付款支付期限：</w:t>
      </w:r>
      <w:r>
        <w:rPr>
          <w:rFonts w:hint="eastAsia" w:cs="宋体"/>
          <w:szCs w:val="21"/>
          <w:highlight w:val="none"/>
          <w:u w:val="single"/>
        </w:rPr>
        <w:t>见《专用合同条款数据表》</w:t>
      </w:r>
      <w:r>
        <w:rPr>
          <w:rFonts w:hint="eastAsia" w:cs="宋体"/>
          <w:szCs w:val="21"/>
          <w:highlight w:val="none"/>
        </w:rPr>
        <w:t>。</w:t>
      </w:r>
    </w:p>
    <w:p w14:paraId="130C6525">
      <w:pPr>
        <w:adjustRightInd w:val="0"/>
        <w:snapToGrid w:val="0"/>
        <w:spacing w:line="360" w:lineRule="auto"/>
        <w:ind w:firstLine="420" w:firstLineChars="200"/>
        <w:rPr>
          <w:rFonts w:cs="宋体"/>
          <w:szCs w:val="21"/>
          <w:highlight w:val="none"/>
        </w:rPr>
      </w:pPr>
      <w:r>
        <w:rPr>
          <w:rFonts w:hint="eastAsia" w:cs="宋体"/>
          <w:szCs w:val="21"/>
          <w:highlight w:val="none"/>
        </w:rPr>
        <w:t>预付款扣回的方式：</w:t>
      </w:r>
      <w:r>
        <w:rPr>
          <w:rFonts w:hint="eastAsia" w:cs="宋体"/>
          <w:szCs w:val="21"/>
          <w:highlight w:val="none"/>
          <w:u w:val="single"/>
        </w:rPr>
        <w:t>见《专用合同条款数据表》</w:t>
      </w:r>
      <w:r>
        <w:rPr>
          <w:rFonts w:hint="eastAsia" w:cs="宋体"/>
          <w:szCs w:val="21"/>
          <w:highlight w:val="none"/>
        </w:rPr>
        <w:t>。</w:t>
      </w:r>
    </w:p>
    <w:p w14:paraId="5E1A9BF9">
      <w:pPr>
        <w:adjustRightInd w:val="0"/>
        <w:snapToGrid w:val="0"/>
        <w:spacing w:line="360" w:lineRule="auto"/>
        <w:ind w:firstLine="420" w:firstLineChars="200"/>
        <w:rPr>
          <w:rFonts w:cs="宋体"/>
          <w:szCs w:val="21"/>
          <w:highlight w:val="none"/>
        </w:rPr>
      </w:pPr>
      <w:r>
        <w:rPr>
          <w:rFonts w:hint="eastAsia" w:cs="宋体"/>
          <w:szCs w:val="21"/>
          <w:highlight w:val="none"/>
        </w:rPr>
        <w:t>12.2.2 预付款担保</w:t>
      </w:r>
    </w:p>
    <w:p w14:paraId="75D8FB75">
      <w:pPr>
        <w:adjustRightInd w:val="0"/>
        <w:snapToGrid w:val="0"/>
        <w:spacing w:line="360" w:lineRule="auto"/>
        <w:ind w:firstLine="420" w:firstLineChars="200"/>
        <w:rPr>
          <w:rFonts w:cs="宋体"/>
          <w:szCs w:val="21"/>
          <w:highlight w:val="none"/>
        </w:rPr>
      </w:pPr>
      <w:r>
        <w:rPr>
          <w:rFonts w:hint="eastAsia" w:cs="宋体"/>
          <w:szCs w:val="21"/>
          <w:highlight w:val="none"/>
        </w:rPr>
        <w:t>承包人提交预付款担保的期限：</w:t>
      </w:r>
      <w:r>
        <w:rPr>
          <w:rFonts w:hint="eastAsia" w:cs="宋体"/>
          <w:szCs w:val="21"/>
          <w:highlight w:val="none"/>
          <w:u w:val="single"/>
        </w:rPr>
        <w:t>见《专用合同条款数据表》</w:t>
      </w:r>
      <w:r>
        <w:rPr>
          <w:rFonts w:hint="eastAsia" w:cs="宋体"/>
          <w:szCs w:val="21"/>
          <w:highlight w:val="none"/>
        </w:rPr>
        <w:t>。</w:t>
      </w:r>
    </w:p>
    <w:p w14:paraId="181CC672">
      <w:pPr>
        <w:adjustRightInd w:val="0"/>
        <w:snapToGrid w:val="0"/>
        <w:spacing w:line="360" w:lineRule="auto"/>
        <w:ind w:firstLine="420" w:firstLineChars="200"/>
        <w:rPr>
          <w:rFonts w:cs="宋体"/>
          <w:szCs w:val="21"/>
          <w:highlight w:val="none"/>
        </w:rPr>
      </w:pPr>
      <w:r>
        <w:rPr>
          <w:rFonts w:hint="eastAsia" w:cs="宋体"/>
          <w:szCs w:val="21"/>
          <w:highlight w:val="none"/>
        </w:rPr>
        <w:t>预付款担保的形式为：</w:t>
      </w:r>
      <w:r>
        <w:rPr>
          <w:rFonts w:hint="eastAsia" w:cs="宋体"/>
          <w:szCs w:val="21"/>
          <w:highlight w:val="none"/>
          <w:u w:val="single"/>
        </w:rPr>
        <w:t>见《专用合同条款数据表》</w:t>
      </w:r>
      <w:r>
        <w:rPr>
          <w:rFonts w:hint="eastAsia" w:cs="宋体"/>
          <w:szCs w:val="21"/>
          <w:highlight w:val="none"/>
        </w:rPr>
        <w:t>。</w:t>
      </w:r>
    </w:p>
    <w:bookmarkEnd w:id="491"/>
    <w:bookmarkEnd w:id="492"/>
    <w:bookmarkEnd w:id="493"/>
    <w:bookmarkEnd w:id="494"/>
    <w:bookmarkEnd w:id="495"/>
    <w:bookmarkEnd w:id="496"/>
    <w:bookmarkEnd w:id="497"/>
    <w:bookmarkEnd w:id="498"/>
    <w:bookmarkEnd w:id="499"/>
    <w:bookmarkEnd w:id="500"/>
    <w:p w14:paraId="3BBBFD24">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12.3 计量</w:t>
      </w:r>
    </w:p>
    <w:p w14:paraId="675DDB18">
      <w:pPr>
        <w:adjustRightInd w:val="0"/>
        <w:snapToGrid w:val="0"/>
        <w:spacing w:line="360" w:lineRule="auto"/>
        <w:ind w:firstLine="420" w:firstLineChars="200"/>
        <w:rPr>
          <w:rFonts w:cs="宋体"/>
          <w:szCs w:val="21"/>
          <w:highlight w:val="none"/>
        </w:rPr>
      </w:pPr>
      <w:r>
        <w:rPr>
          <w:rFonts w:hint="eastAsia" w:cs="宋体"/>
          <w:szCs w:val="21"/>
          <w:highlight w:val="none"/>
        </w:rPr>
        <w:t>12.3.1 计量原则</w:t>
      </w:r>
    </w:p>
    <w:p w14:paraId="16D9F5AF">
      <w:pPr>
        <w:adjustRightInd w:val="0"/>
        <w:snapToGrid w:val="0"/>
        <w:spacing w:line="360" w:lineRule="auto"/>
        <w:ind w:firstLine="420" w:firstLineChars="200"/>
        <w:rPr>
          <w:rFonts w:cs="宋体"/>
          <w:b/>
          <w:szCs w:val="21"/>
          <w:highlight w:val="none"/>
        </w:rPr>
      </w:pPr>
      <w:r>
        <w:rPr>
          <w:rFonts w:hint="eastAsia" w:cs="宋体"/>
          <w:szCs w:val="21"/>
          <w:highlight w:val="none"/>
        </w:rPr>
        <w:t>工程量计算规则：</w:t>
      </w:r>
      <w:r>
        <w:rPr>
          <w:rFonts w:hint="eastAsia" w:cs="宋体"/>
          <w:szCs w:val="21"/>
          <w:highlight w:val="none"/>
          <w:u w:val="single"/>
        </w:rPr>
        <w:t>按招标工程量清单及最高投标限价所采用的工程量清单计价规范及配套文件等</w:t>
      </w:r>
      <w:r>
        <w:rPr>
          <w:rFonts w:hint="eastAsia" w:cs="宋体"/>
          <w:b/>
          <w:szCs w:val="21"/>
          <w:highlight w:val="none"/>
        </w:rPr>
        <w:t>。</w:t>
      </w:r>
    </w:p>
    <w:p w14:paraId="243278DB">
      <w:pPr>
        <w:adjustRightInd w:val="0"/>
        <w:snapToGrid w:val="0"/>
        <w:spacing w:line="360" w:lineRule="auto"/>
        <w:ind w:firstLine="420" w:firstLineChars="200"/>
        <w:rPr>
          <w:rFonts w:cs="宋体"/>
          <w:szCs w:val="21"/>
          <w:highlight w:val="none"/>
        </w:rPr>
      </w:pPr>
      <w:r>
        <w:rPr>
          <w:rFonts w:hint="eastAsia" w:cs="宋体"/>
          <w:szCs w:val="21"/>
          <w:highlight w:val="none"/>
        </w:rPr>
        <w:t>12.3.2 计量周期</w:t>
      </w:r>
    </w:p>
    <w:p w14:paraId="77F1BAF5">
      <w:pPr>
        <w:adjustRightInd w:val="0"/>
        <w:snapToGrid w:val="0"/>
        <w:spacing w:line="360" w:lineRule="auto"/>
        <w:ind w:firstLine="420" w:firstLineChars="200"/>
        <w:rPr>
          <w:rFonts w:cs="宋体"/>
          <w:b/>
          <w:szCs w:val="21"/>
          <w:highlight w:val="none"/>
        </w:rPr>
      </w:pPr>
      <w:r>
        <w:rPr>
          <w:rFonts w:hint="eastAsia" w:cs="宋体"/>
          <w:szCs w:val="21"/>
          <w:highlight w:val="none"/>
        </w:rPr>
        <w:t>关于计量周期的约定</w:t>
      </w:r>
      <w:r>
        <w:rPr>
          <w:rFonts w:hint="eastAsia" w:cs="宋体"/>
          <w:b/>
          <w:szCs w:val="21"/>
          <w:highlight w:val="none"/>
        </w:rPr>
        <w:t>：</w:t>
      </w:r>
      <w:r>
        <w:rPr>
          <w:rFonts w:hint="eastAsia" w:cs="宋体"/>
          <w:szCs w:val="21"/>
          <w:highlight w:val="none"/>
          <w:u w:val="single"/>
        </w:rPr>
        <w:t xml:space="preserve"> </w:t>
      </w:r>
      <w:r>
        <w:rPr>
          <w:szCs w:val="21"/>
          <w:highlight w:val="none"/>
          <w:u w:val="single"/>
        </w:rPr>
        <w:t>工程量的计量按月进行（执行通用条款）</w:t>
      </w:r>
      <w:r>
        <w:rPr>
          <w:rFonts w:hint="eastAsia" w:cs="宋体"/>
          <w:b/>
          <w:szCs w:val="21"/>
          <w:highlight w:val="none"/>
        </w:rPr>
        <w:t>。</w:t>
      </w:r>
    </w:p>
    <w:p w14:paraId="284732E9">
      <w:pPr>
        <w:adjustRightInd w:val="0"/>
        <w:snapToGrid w:val="0"/>
        <w:spacing w:line="360" w:lineRule="auto"/>
        <w:ind w:firstLine="420" w:firstLineChars="200"/>
        <w:rPr>
          <w:rFonts w:cs="宋体"/>
          <w:szCs w:val="21"/>
          <w:highlight w:val="none"/>
        </w:rPr>
      </w:pPr>
      <w:r>
        <w:rPr>
          <w:rFonts w:hint="eastAsia" w:cs="宋体"/>
          <w:szCs w:val="21"/>
          <w:highlight w:val="none"/>
        </w:rPr>
        <w:t>12.3.3 单价合同的计量</w:t>
      </w:r>
    </w:p>
    <w:p w14:paraId="187C3CCF">
      <w:pPr>
        <w:adjustRightInd w:val="0"/>
        <w:snapToGrid w:val="0"/>
        <w:spacing w:line="360" w:lineRule="auto"/>
        <w:ind w:firstLine="420" w:firstLineChars="200"/>
        <w:rPr>
          <w:rFonts w:cs="宋体"/>
          <w:szCs w:val="21"/>
          <w:highlight w:val="none"/>
        </w:rPr>
      </w:pPr>
      <w:r>
        <w:rPr>
          <w:rFonts w:hint="eastAsia" w:cs="宋体"/>
          <w:szCs w:val="21"/>
          <w:highlight w:val="none"/>
        </w:rPr>
        <w:t>关于单价合同计量的约定：</w:t>
      </w:r>
      <w:r>
        <w:rPr>
          <w:rFonts w:hint="eastAsia" w:cs="宋体"/>
          <w:szCs w:val="21"/>
          <w:highlight w:val="none"/>
          <w:u w:val="single"/>
        </w:rPr>
        <w:t xml:space="preserve">  /  </w:t>
      </w:r>
      <w:r>
        <w:rPr>
          <w:rFonts w:hint="eastAsia" w:cs="宋体"/>
          <w:szCs w:val="21"/>
          <w:highlight w:val="none"/>
        </w:rPr>
        <w:t>。</w:t>
      </w:r>
    </w:p>
    <w:p w14:paraId="349AA36D">
      <w:pPr>
        <w:adjustRightInd w:val="0"/>
        <w:snapToGrid w:val="0"/>
        <w:spacing w:line="360" w:lineRule="auto"/>
        <w:ind w:firstLine="420" w:firstLineChars="200"/>
        <w:rPr>
          <w:rFonts w:cs="宋体"/>
          <w:szCs w:val="21"/>
          <w:highlight w:val="none"/>
        </w:rPr>
      </w:pPr>
      <w:r>
        <w:rPr>
          <w:rFonts w:hint="eastAsia" w:cs="宋体"/>
          <w:szCs w:val="21"/>
          <w:highlight w:val="none"/>
        </w:rPr>
        <w:t>12.3.4 总价合同的计量</w:t>
      </w:r>
    </w:p>
    <w:p w14:paraId="70C9BC11">
      <w:pPr>
        <w:adjustRightInd w:val="0"/>
        <w:snapToGrid w:val="0"/>
        <w:spacing w:line="360" w:lineRule="auto"/>
        <w:ind w:firstLine="420" w:firstLineChars="200"/>
        <w:rPr>
          <w:rFonts w:cs="宋体"/>
          <w:szCs w:val="21"/>
          <w:highlight w:val="none"/>
        </w:rPr>
      </w:pPr>
      <w:r>
        <w:rPr>
          <w:rFonts w:hint="eastAsia" w:cs="宋体"/>
          <w:szCs w:val="21"/>
          <w:highlight w:val="none"/>
        </w:rPr>
        <w:t>关于总价合同计量的约定：</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320C357A">
      <w:pPr>
        <w:adjustRightInd w:val="0"/>
        <w:snapToGrid w:val="0"/>
        <w:spacing w:line="360" w:lineRule="auto"/>
        <w:ind w:firstLine="420" w:firstLineChars="200"/>
        <w:rPr>
          <w:rFonts w:cs="宋体"/>
          <w:szCs w:val="21"/>
          <w:highlight w:val="none"/>
        </w:rPr>
      </w:pPr>
      <w:r>
        <w:rPr>
          <w:rFonts w:hint="eastAsia" w:cs="宋体"/>
          <w:szCs w:val="21"/>
          <w:highlight w:val="none"/>
        </w:rPr>
        <w:t>12.3.5 总价合同采用支付分解表计量支付的，是否适用第12.3.4项〔总价合同的计量〕约定进行计量：</w:t>
      </w:r>
      <w:r>
        <w:rPr>
          <w:rFonts w:hint="eastAsia" w:cs="宋体"/>
          <w:szCs w:val="21"/>
          <w:highlight w:val="none"/>
          <w:u w:val="single"/>
        </w:rPr>
        <w:t xml:space="preserve"> </w:t>
      </w:r>
      <w:r>
        <w:rPr>
          <w:szCs w:val="21"/>
          <w:highlight w:val="none"/>
          <w:u w:val="single"/>
        </w:rPr>
        <w:t>不适用</w:t>
      </w:r>
      <w:r>
        <w:rPr>
          <w:rFonts w:hint="eastAsia" w:cs="宋体"/>
          <w:b/>
          <w:szCs w:val="21"/>
          <w:highlight w:val="none"/>
        </w:rPr>
        <w:t>。</w:t>
      </w:r>
    </w:p>
    <w:p w14:paraId="0260CBCC">
      <w:pPr>
        <w:adjustRightInd w:val="0"/>
        <w:snapToGrid w:val="0"/>
        <w:spacing w:line="360" w:lineRule="auto"/>
        <w:ind w:firstLine="420" w:firstLineChars="200"/>
        <w:rPr>
          <w:rFonts w:cs="宋体"/>
          <w:szCs w:val="21"/>
          <w:highlight w:val="none"/>
        </w:rPr>
      </w:pPr>
      <w:r>
        <w:rPr>
          <w:rFonts w:hint="eastAsia" w:cs="宋体"/>
          <w:szCs w:val="21"/>
          <w:highlight w:val="none"/>
        </w:rPr>
        <w:t>12.3.6 其他价格形式合同的计量</w:t>
      </w:r>
    </w:p>
    <w:p w14:paraId="737037F5">
      <w:pPr>
        <w:adjustRightInd w:val="0"/>
        <w:snapToGrid w:val="0"/>
        <w:spacing w:line="360" w:lineRule="auto"/>
        <w:ind w:firstLine="420" w:firstLineChars="200"/>
        <w:rPr>
          <w:rFonts w:cs="宋体"/>
          <w:szCs w:val="21"/>
          <w:highlight w:val="none"/>
          <w:u w:val="single"/>
        </w:rPr>
      </w:pPr>
      <w:r>
        <w:rPr>
          <w:rFonts w:hint="eastAsia" w:cs="宋体"/>
          <w:szCs w:val="21"/>
          <w:highlight w:val="none"/>
        </w:rPr>
        <w:t>其他价格形式的计量方式和程序：</w:t>
      </w:r>
      <w:r>
        <w:rPr>
          <w:rFonts w:hint="eastAsia" w:cs="宋体"/>
          <w:szCs w:val="21"/>
          <w:highlight w:val="none"/>
          <w:u w:val="single"/>
        </w:rPr>
        <w:t xml:space="preserve"> </w:t>
      </w:r>
      <w:r>
        <w:rPr>
          <w:szCs w:val="21"/>
          <w:highlight w:val="none"/>
          <w:u w:val="single"/>
        </w:rPr>
        <w:t>不适用</w:t>
      </w:r>
      <w:r>
        <w:rPr>
          <w:rFonts w:hint="eastAsia" w:cs="宋体"/>
          <w:szCs w:val="21"/>
          <w:highlight w:val="none"/>
        </w:rPr>
        <w:t>。</w:t>
      </w:r>
    </w:p>
    <w:p w14:paraId="10F47AB7">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12.4 工程进度款支付</w:t>
      </w:r>
    </w:p>
    <w:p w14:paraId="543F399E">
      <w:pPr>
        <w:adjustRightInd w:val="0"/>
        <w:snapToGrid w:val="0"/>
        <w:spacing w:line="360" w:lineRule="auto"/>
        <w:ind w:firstLine="420" w:firstLineChars="200"/>
        <w:rPr>
          <w:rFonts w:cs="宋体"/>
          <w:szCs w:val="21"/>
          <w:highlight w:val="none"/>
        </w:rPr>
      </w:pPr>
      <w:bookmarkStart w:id="501" w:name="_Toc297216215"/>
      <w:bookmarkStart w:id="502" w:name="_Toc297048397"/>
      <w:bookmarkStart w:id="503" w:name="_Toc296346712"/>
      <w:bookmarkStart w:id="504" w:name="_Toc297123556"/>
      <w:bookmarkStart w:id="505" w:name="_Toc303539163"/>
      <w:bookmarkStart w:id="506" w:name="_Toc297120511"/>
      <w:bookmarkStart w:id="507" w:name="_Toc300935006"/>
      <w:bookmarkStart w:id="508" w:name="_Toc296891251"/>
      <w:bookmarkStart w:id="509" w:name="_Toc292559921"/>
      <w:bookmarkStart w:id="510" w:name="_Toc296944550"/>
      <w:bookmarkStart w:id="511" w:name="_Toc296503211"/>
      <w:bookmarkStart w:id="512" w:name="_Toc292559416"/>
      <w:bookmarkStart w:id="513" w:name="_Toc296891039"/>
      <w:bookmarkStart w:id="514" w:name="_Toc296347210"/>
      <w:r>
        <w:rPr>
          <w:rFonts w:hint="eastAsia" w:cs="宋体"/>
          <w:szCs w:val="21"/>
          <w:highlight w:val="none"/>
        </w:rPr>
        <w:t>12.4.1 付款周期</w:t>
      </w:r>
    </w:p>
    <w:p w14:paraId="3DBE3306">
      <w:pPr>
        <w:adjustRightInd w:val="0"/>
        <w:snapToGrid w:val="0"/>
        <w:spacing w:line="360" w:lineRule="auto"/>
        <w:ind w:firstLine="420" w:firstLineChars="200"/>
        <w:rPr>
          <w:rFonts w:cs="宋体"/>
          <w:szCs w:val="21"/>
          <w:highlight w:val="none"/>
        </w:rPr>
      </w:pPr>
      <w:r>
        <w:rPr>
          <w:rFonts w:hint="eastAsia" w:cs="宋体"/>
          <w:szCs w:val="21"/>
          <w:highlight w:val="none"/>
        </w:rPr>
        <w:t>关于付款周期的约定：</w:t>
      </w:r>
      <w:r>
        <w:rPr>
          <w:rFonts w:hint="eastAsia" w:cs="宋体"/>
          <w:szCs w:val="21"/>
          <w:highlight w:val="none"/>
          <w:u w:val="single"/>
        </w:rPr>
        <w:t>见《专用合同条款数据表》</w:t>
      </w:r>
      <w:r>
        <w:rPr>
          <w:rFonts w:hint="eastAsia" w:cs="宋体"/>
          <w:szCs w:val="21"/>
          <w:highlight w:val="none"/>
        </w:rPr>
        <w:t>。</w:t>
      </w:r>
    </w:p>
    <w:p w14:paraId="57D8C60D">
      <w:pPr>
        <w:adjustRightInd w:val="0"/>
        <w:snapToGrid w:val="0"/>
        <w:spacing w:line="360" w:lineRule="auto"/>
        <w:ind w:firstLine="420" w:firstLineChars="200"/>
        <w:rPr>
          <w:rFonts w:cs="宋体"/>
          <w:szCs w:val="21"/>
          <w:highlight w:val="none"/>
        </w:rPr>
      </w:pPr>
      <w:r>
        <w:rPr>
          <w:rFonts w:hint="eastAsia" w:cs="宋体"/>
          <w:szCs w:val="21"/>
          <w:highlight w:val="none"/>
        </w:rPr>
        <w:t>12.4.2 进度付款申请单的编制</w:t>
      </w:r>
    </w:p>
    <w:p w14:paraId="7D4D9F74">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关于进度付款申请单编制的约定：</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5F0391D1">
      <w:pPr>
        <w:adjustRightInd w:val="0"/>
        <w:snapToGrid w:val="0"/>
        <w:spacing w:line="360" w:lineRule="auto"/>
        <w:ind w:firstLine="420" w:firstLineChars="200"/>
        <w:rPr>
          <w:rFonts w:cs="宋体"/>
          <w:szCs w:val="21"/>
          <w:highlight w:val="none"/>
        </w:rPr>
      </w:pPr>
      <w:r>
        <w:rPr>
          <w:rFonts w:hint="eastAsia" w:cs="宋体"/>
          <w:szCs w:val="21"/>
          <w:highlight w:val="none"/>
        </w:rPr>
        <w:t>1</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rFonts w:hint="eastAsia" w:cs="宋体"/>
          <w:szCs w:val="21"/>
          <w:highlight w:val="none"/>
        </w:rPr>
        <w:t>2.4.3 进度付款申请单的提交</w:t>
      </w:r>
    </w:p>
    <w:p w14:paraId="502AF287">
      <w:pPr>
        <w:adjustRightInd w:val="0"/>
        <w:snapToGrid w:val="0"/>
        <w:spacing w:line="360" w:lineRule="auto"/>
        <w:ind w:firstLine="420" w:firstLineChars="200"/>
        <w:rPr>
          <w:rFonts w:cs="宋体"/>
          <w:szCs w:val="21"/>
          <w:highlight w:val="none"/>
        </w:rPr>
      </w:pPr>
      <w:r>
        <w:rPr>
          <w:rFonts w:hint="eastAsia" w:cs="宋体"/>
          <w:szCs w:val="21"/>
          <w:highlight w:val="none"/>
        </w:rPr>
        <w:t>（1）单价合同进度付款申请单提交的约定：</w:t>
      </w:r>
      <w:r>
        <w:rPr>
          <w:rFonts w:hint="eastAsia" w:cs="宋体"/>
          <w:szCs w:val="21"/>
          <w:highlight w:val="none"/>
          <w:u w:val="single"/>
        </w:rPr>
        <w:t xml:space="preserve">  /  </w:t>
      </w:r>
      <w:r>
        <w:rPr>
          <w:rFonts w:hint="eastAsia" w:cs="宋体"/>
          <w:szCs w:val="21"/>
          <w:highlight w:val="none"/>
        </w:rPr>
        <w:t>。</w:t>
      </w:r>
    </w:p>
    <w:p w14:paraId="45390D27">
      <w:pPr>
        <w:adjustRightInd w:val="0"/>
        <w:snapToGrid w:val="0"/>
        <w:spacing w:line="360" w:lineRule="auto"/>
        <w:ind w:firstLine="420" w:firstLineChars="200"/>
        <w:rPr>
          <w:rFonts w:cs="宋体"/>
          <w:szCs w:val="21"/>
          <w:highlight w:val="none"/>
        </w:rPr>
      </w:pPr>
      <w:r>
        <w:rPr>
          <w:rFonts w:hint="eastAsia" w:cs="宋体"/>
          <w:szCs w:val="21"/>
          <w:highlight w:val="none"/>
        </w:rPr>
        <w:t>（2）总价合同进度付款申请单提交的约定：</w:t>
      </w:r>
      <w:r>
        <w:rPr>
          <w:rFonts w:hint="eastAsia" w:cs="宋体"/>
          <w:szCs w:val="21"/>
          <w:highlight w:val="none"/>
          <w:u w:val="single"/>
        </w:rPr>
        <w:t xml:space="preserve"> </w:t>
      </w:r>
      <w:r>
        <w:rPr>
          <w:szCs w:val="21"/>
          <w:highlight w:val="none"/>
          <w:u w:val="single"/>
        </w:rPr>
        <w:t>执行通用条款</w:t>
      </w:r>
      <w:r>
        <w:rPr>
          <w:rFonts w:hint="eastAsia" w:cs="宋体"/>
          <w:szCs w:val="21"/>
          <w:highlight w:val="none"/>
        </w:rPr>
        <w:t>。</w:t>
      </w:r>
    </w:p>
    <w:p w14:paraId="5C035A92">
      <w:pPr>
        <w:adjustRightInd w:val="0"/>
        <w:snapToGrid w:val="0"/>
        <w:spacing w:line="360" w:lineRule="auto"/>
        <w:ind w:firstLine="420" w:firstLineChars="200"/>
        <w:rPr>
          <w:rFonts w:cs="宋体"/>
          <w:szCs w:val="21"/>
          <w:highlight w:val="none"/>
          <w:u w:val="single"/>
        </w:rPr>
      </w:pPr>
      <w:r>
        <w:rPr>
          <w:rFonts w:hint="eastAsia" w:cs="宋体"/>
          <w:szCs w:val="21"/>
          <w:highlight w:val="none"/>
        </w:rPr>
        <w:t>（3）其他价格形式合同进度付款申请单提交的约定：</w:t>
      </w:r>
      <w:r>
        <w:rPr>
          <w:rFonts w:hint="eastAsia" w:cs="宋体"/>
          <w:szCs w:val="21"/>
          <w:highlight w:val="none"/>
          <w:u w:val="single"/>
        </w:rPr>
        <w:t xml:space="preserve">  /  </w:t>
      </w:r>
      <w:r>
        <w:rPr>
          <w:rFonts w:hint="eastAsia" w:cs="宋体"/>
          <w:szCs w:val="21"/>
          <w:highlight w:val="none"/>
        </w:rPr>
        <w:t>。</w:t>
      </w:r>
    </w:p>
    <w:p w14:paraId="2C857AA0">
      <w:pPr>
        <w:adjustRightInd w:val="0"/>
        <w:snapToGrid w:val="0"/>
        <w:spacing w:line="360" w:lineRule="auto"/>
        <w:ind w:firstLine="420" w:firstLineChars="200"/>
        <w:rPr>
          <w:rFonts w:cs="宋体"/>
          <w:szCs w:val="21"/>
          <w:highlight w:val="none"/>
        </w:rPr>
      </w:pPr>
      <w:r>
        <w:rPr>
          <w:rFonts w:hint="eastAsia" w:cs="宋体"/>
          <w:szCs w:val="21"/>
          <w:highlight w:val="none"/>
        </w:rPr>
        <w:t>12.4.4 进度款审核和支付</w:t>
      </w:r>
    </w:p>
    <w:p w14:paraId="1041DF8E">
      <w:pPr>
        <w:adjustRightInd w:val="0"/>
        <w:snapToGrid w:val="0"/>
        <w:spacing w:line="360" w:lineRule="auto"/>
        <w:ind w:firstLine="420" w:firstLineChars="200"/>
        <w:rPr>
          <w:rFonts w:cs="宋体"/>
          <w:b/>
          <w:szCs w:val="21"/>
          <w:highlight w:val="none"/>
          <w:u w:val="single"/>
        </w:rPr>
      </w:pPr>
      <w:r>
        <w:rPr>
          <w:rFonts w:hint="eastAsia" w:cs="宋体"/>
          <w:szCs w:val="21"/>
          <w:highlight w:val="none"/>
        </w:rPr>
        <w:t>（1）监理人审查并报送发包人的期限：</w:t>
      </w:r>
      <w:r>
        <w:rPr>
          <w:rFonts w:hint="eastAsia" w:cs="宋体"/>
          <w:szCs w:val="21"/>
          <w:highlight w:val="none"/>
          <w:u w:val="single"/>
        </w:rPr>
        <w:t xml:space="preserve"> </w:t>
      </w:r>
      <w:r>
        <w:rPr>
          <w:szCs w:val="21"/>
          <w:highlight w:val="none"/>
          <w:u w:val="single"/>
        </w:rPr>
        <w:t>收到承包人进度付款申请单以及相关资料后 7 天内完成审查并报送发包人（执行通用条款）</w:t>
      </w:r>
      <w:r>
        <w:rPr>
          <w:rFonts w:hint="eastAsia" w:cs="宋体"/>
          <w:szCs w:val="21"/>
          <w:highlight w:val="none"/>
        </w:rPr>
        <w:t>。</w:t>
      </w:r>
    </w:p>
    <w:p w14:paraId="76031566">
      <w:pPr>
        <w:adjustRightInd w:val="0"/>
        <w:snapToGrid w:val="0"/>
        <w:spacing w:line="360" w:lineRule="auto"/>
        <w:ind w:firstLine="420" w:firstLineChars="200"/>
        <w:rPr>
          <w:rFonts w:cs="宋体"/>
          <w:b/>
          <w:szCs w:val="21"/>
          <w:highlight w:val="none"/>
          <w:u w:val="single"/>
        </w:rPr>
      </w:pPr>
      <w:r>
        <w:rPr>
          <w:rFonts w:hint="eastAsia" w:cs="宋体"/>
          <w:szCs w:val="21"/>
          <w:highlight w:val="none"/>
        </w:rPr>
        <w:t>发包人完成审批并签发进度款支付证书的期限：</w:t>
      </w:r>
      <w:r>
        <w:rPr>
          <w:rFonts w:hint="eastAsia" w:cs="宋体"/>
          <w:szCs w:val="21"/>
          <w:highlight w:val="none"/>
          <w:u w:val="single"/>
        </w:rPr>
        <w:t xml:space="preserve"> </w:t>
      </w:r>
      <w:r>
        <w:rPr>
          <w:szCs w:val="21"/>
          <w:highlight w:val="none"/>
          <w:u w:val="single"/>
        </w:rPr>
        <w:t>收到监理人报送的进度付款申请单及相关资料后 7 天内（执行通用条款）</w:t>
      </w:r>
      <w:r>
        <w:rPr>
          <w:rFonts w:hint="eastAsia" w:cs="宋体"/>
          <w:szCs w:val="21"/>
          <w:highlight w:val="none"/>
        </w:rPr>
        <w:t>。</w:t>
      </w:r>
    </w:p>
    <w:p w14:paraId="7F16AE2A">
      <w:pPr>
        <w:adjustRightInd w:val="0"/>
        <w:snapToGrid w:val="0"/>
        <w:spacing w:line="360" w:lineRule="auto"/>
        <w:ind w:firstLine="420" w:firstLineChars="200"/>
        <w:rPr>
          <w:rFonts w:cs="宋体"/>
          <w:b/>
          <w:szCs w:val="21"/>
          <w:highlight w:val="none"/>
        </w:rPr>
      </w:pPr>
      <w:r>
        <w:rPr>
          <w:rFonts w:hint="eastAsia" w:cs="宋体"/>
          <w:szCs w:val="21"/>
          <w:highlight w:val="none"/>
        </w:rPr>
        <w:t>（2）发包人支付进度款的期限：</w:t>
      </w:r>
      <w:r>
        <w:rPr>
          <w:rFonts w:hint="eastAsia" w:cs="宋体"/>
          <w:szCs w:val="21"/>
          <w:highlight w:val="none"/>
          <w:u w:val="single"/>
        </w:rPr>
        <w:t xml:space="preserve"> </w:t>
      </w:r>
      <w:r>
        <w:rPr>
          <w:szCs w:val="21"/>
          <w:highlight w:val="none"/>
          <w:u w:val="single"/>
        </w:rPr>
        <w:t>发包人应在进度款支付证书或临时进度款支付证书签发后 28 天内完成支付</w:t>
      </w:r>
      <w:r>
        <w:rPr>
          <w:rFonts w:hint="eastAsia" w:cs="宋体"/>
          <w:szCs w:val="21"/>
          <w:highlight w:val="none"/>
        </w:rPr>
        <w:t>。</w:t>
      </w:r>
    </w:p>
    <w:p w14:paraId="0305182C">
      <w:pPr>
        <w:adjustRightInd w:val="0"/>
        <w:snapToGrid w:val="0"/>
        <w:spacing w:line="360" w:lineRule="auto"/>
        <w:ind w:firstLine="420" w:firstLineChars="200"/>
        <w:rPr>
          <w:rFonts w:cs="宋体"/>
          <w:szCs w:val="21"/>
          <w:highlight w:val="none"/>
          <w:u w:val="single"/>
        </w:rPr>
      </w:pPr>
      <w:r>
        <w:rPr>
          <w:rFonts w:hint="eastAsia" w:cs="宋体"/>
          <w:szCs w:val="21"/>
          <w:highlight w:val="none"/>
        </w:rPr>
        <w:t>发包人逾期支付进度款的违约金的计算方式</w:t>
      </w:r>
      <w:r>
        <w:rPr>
          <w:rFonts w:hint="eastAsia" w:cs="宋体"/>
          <w:szCs w:val="21"/>
          <w:highlight w:val="none"/>
          <w:u w:val="single"/>
        </w:rPr>
        <w:t xml:space="preserve"> </w:t>
      </w:r>
      <w:r>
        <w:rPr>
          <w:highlight w:val="none"/>
          <w:u w:val="single"/>
        </w:rPr>
        <w:t>双方另行协商</w:t>
      </w:r>
      <w:r>
        <w:rPr>
          <w:rFonts w:hint="eastAsia" w:cs="宋体"/>
          <w:szCs w:val="21"/>
          <w:highlight w:val="none"/>
        </w:rPr>
        <w:t>。</w:t>
      </w:r>
    </w:p>
    <w:p w14:paraId="15B21FEF">
      <w:pPr>
        <w:adjustRightInd w:val="0"/>
        <w:snapToGrid w:val="0"/>
        <w:spacing w:line="360" w:lineRule="auto"/>
        <w:ind w:firstLine="420" w:firstLineChars="200"/>
        <w:rPr>
          <w:rFonts w:cs="宋体"/>
          <w:szCs w:val="21"/>
          <w:highlight w:val="none"/>
        </w:rPr>
      </w:pPr>
      <w:r>
        <w:rPr>
          <w:rFonts w:hint="eastAsia" w:cs="宋体"/>
          <w:szCs w:val="21"/>
          <w:highlight w:val="none"/>
        </w:rPr>
        <w:t>12.4.6 支付分解表的编制</w:t>
      </w:r>
    </w:p>
    <w:p w14:paraId="4AA0EBF1">
      <w:pPr>
        <w:adjustRightInd w:val="0"/>
        <w:snapToGrid w:val="0"/>
        <w:spacing w:line="360" w:lineRule="auto"/>
        <w:ind w:firstLine="420" w:firstLineChars="200"/>
        <w:rPr>
          <w:rFonts w:cs="宋体"/>
          <w:szCs w:val="21"/>
          <w:highlight w:val="none"/>
          <w:u w:val="single"/>
        </w:rPr>
      </w:pPr>
      <w:r>
        <w:rPr>
          <w:rFonts w:hint="eastAsia" w:cs="宋体"/>
          <w:szCs w:val="21"/>
          <w:highlight w:val="none"/>
        </w:rPr>
        <w:t>（2）总价合同支付分解表的编制与审批：</w:t>
      </w:r>
      <w:r>
        <w:rPr>
          <w:rFonts w:hint="eastAsia" w:cs="宋体"/>
          <w:szCs w:val="21"/>
          <w:highlight w:val="none"/>
          <w:u w:val="single"/>
        </w:rPr>
        <w:t xml:space="preserve">  /  </w:t>
      </w:r>
      <w:r>
        <w:rPr>
          <w:rFonts w:hint="eastAsia" w:cs="宋体"/>
          <w:szCs w:val="21"/>
          <w:highlight w:val="none"/>
        </w:rPr>
        <w:t>。</w:t>
      </w:r>
    </w:p>
    <w:p w14:paraId="42B42551">
      <w:pPr>
        <w:adjustRightInd w:val="0"/>
        <w:snapToGrid w:val="0"/>
        <w:spacing w:line="360" w:lineRule="auto"/>
        <w:ind w:firstLine="420" w:firstLineChars="200"/>
        <w:rPr>
          <w:rFonts w:cs="宋体"/>
          <w:szCs w:val="21"/>
          <w:highlight w:val="none"/>
        </w:rPr>
      </w:pPr>
      <w:r>
        <w:rPr>
          <w:rFonts w:hint="eastAsia" w:cs="宋体"/>
          <w:szCs w:val="21"/>
          <w:highlight w:val="none"/>
        </w:rPr>
        <w:t>（3）单价合同的总价项目支付分解表的编制与审批：</w:t>
      </w:r>
      <w:r>
        <w:rPr>
          <w:rFonts w:hint="eastAsia" w:cs="宋体"/>
          <w:szCs w:val="21"/>
          <w:highlight w:val="none"/>
          <w:u w:val="single"/>
        </w:rPr>
        <w:t xml:space="preserve">  /  </w:t>
      </w:r>
      <w:r>
        <w:rPr>
          <w:rFonts w:hint="eastAsia" w:cs="宋体"/>
          <w:szCs w:val="21"/>
          <w:highlight w:val="none"/>
        </w:rPr>
        <w:t>。</w:t>
      </w:r>
    </w:p>
    <w:p w14:paraId="3C6E71FC">
      <w:pPr>
        <w:adjustRightInd w:val="0"/>
        <w:snapToGrid w:val="0"/>
        <w:spacing w:line="360" w:lineRule="auto"/>
        <w:ind w:firstLine="420" w:firstLineChars="200"/>
        <w:rPr>
          <w:rFonts w:cs="宋体"/>
          <w:bCs/>
          <w:szCs w:val="21"/>
          <w:highlight w:val="none"/>
        </w:rPr>
      </w:pPr>
      <w:r>
        <w:rPr>
          <w:rFonts w:hint="eastAsia" w:cs="宋体"/>
          <w:bCs/>
          <w:szCs w:val="21"/>
          <w:highlight w:val="none"/>
        </w:rPr>
        <w:t>12.4.7 农民工工资管理</w:t>
      </w:r>
    </w:p>
    <w:p w14:paraId="6D13F17F">
      <w:pPr>
        <w:adjustRightInd w:val="0"/>
        <w:snapToGrid w:val="0"/>
        <w:spacing w:line="360" w:lineRule="auto"/>
        <w:ind w:firstLine="420" w:firstLineChars="200"/>
        <w:rPr>
          <w:rFonts w:cs="宋体"/>
          <w:bCs/>
          <w:szCs w:val="21"/>
          <w:highlight w:val="none"/>
        </w:rPr>
      </w:pPr>
      <w:r>
        <w:rPr>
          <w:rFonts w:hint="eastAsia" w:cs="宋体"/>
          <w:szCs w:val="21"/>
          <w:highlight w:val="none"/>
        </w:rPr>
        <w:t>（1）</w:t>
      </w:r>
      <w:r>
        <w:rPr>
          <w:rFonts w:hint="eastAsia" w:cs="宋体"/>
          <w:bCs/>
          <w:szCs w:val="21"/>
          <w:highlight w:val="none"/>
        </w:rPr>
        <w:t>本工程农民工工资实行专用账户管理，承包人设立的专用账户开户行为</w:t>
      </w:r>
      <w:r>
        <w:rPr>
          <w:rFonts w:hint="eastAsia" w:cs="宋体"/>
          <w:bCs/>
          <w:szCs w:val="21"/>
          <w:highlight w:val="none"/>
          <w:u w:val="single"/>
        </w:rPr>
        <w:t xml:space="preserve">：        </w:t>
      </w:r>
      <w:r>
        <w:rPr>
          <w:rFonts w:hint="eastAsia" w:cs="宋体"/>
          <w:bCs/>
          <w:szCs w:val="21"/>
          <w:highlight w:val="none"/>
        </w:rPr>
        <w:t>，账号：</w:t>
      </w:r>
      <w:r>
        <w:rPr>
          <w:rFonts w:hint="eastAsia" w:cs="宋体"/>
          <w:bCs/>
          <w:szCs w:val="21"/>
          <w:highlight w:val="none"/>
          <w:u w:val="single"/>
        </w:rPr>
        <w:t xml:space="preserve">              </w:t>
      </w:r>
      <w:r>
        <w:rPr>
          <w:rFonts w:hint="eastAsia" w:cs="宋体"/>
          <w:bCs/>
          <w:szCs w:val="21"/>
          <w:highlight w:val="none"/>
        </w:rPr>
        <w:t>;</w:t>
      </w:r>
    </w:p>
    <w:p w14:paraId="16D603AE">
      <w:pPr>
        <w:adjustRightInd w:val="0"/>
        <w:snapToGrid w:val="0"/>
        <w:spacing w:line="360" w:lineRule="auto"/>
        <w:ind w:firstLine="420" w:firstLineChars="200"/>
        <w:rPr>
          <w:rFonts w:cs="宋体"/>
          <w:bCs/>
          <w:szCs w:val="21"/>
          <w:highlight w:val="none"/>
        </w:rPr>
      </w:pPr>
      <w:r>
        <w:rPr>
          <w:rFonts w:hint="eastAsia" w:cs="宋体"/>
          <w:szCs w:val="21"/>
          <w:highlight w:val="none"/>
        </w:rPr>
        <w:t>（2）</w:t>
      </w:r>
      <w:r>
        <w:rPr>
          <w:rFonts w:hint="eastAsia" w:cs="宋体"/>
          <w:bCs/>
          <w:szCs w:val="21"/>
          <w:highlight w:val="none"/>
        </w:rPr>
        <w:t>本工程工资性工程款</w:t>
      </w:r>
      <w:r>
        <w:rPr>
          <w:rFonts w:hint="eastAsia" w:cs="宋体"/>
          <w:bCs/>
          <w:szCs w:val="21"/>
          <w:highlight w:val="none"/>
          <w:u w:val="single"/>
        </w:rPr>
        <w:t xml:space="preserve">         </w:t>
      </w:r>
      <w:r>
        <w:rPr>
          <w:rFonts w:hint="eastAsia" w:cs="宋体"/>
          <w:bCs/>
          <w:szCs w:val="21"/>
          <w:highlight w:val="none"/>
        </w:rPr>
        <w:t>元。</w:t>
      </w:r>
    </w:p>
    <w:p w14:paraId="6C9D5629">
      <w:pPr>
        <w:adjustRightInd w:val="0"/>
        <w:snapToGrid w:val="0"/>
        <w:spacing w:line="360" w:lineRule="auto"/>
        <w:ind w:firstLine="420" w:firstLineChars="200"/>
        <w:rPr>
          <w:rFonts w:cs="宋体"/>
          <w:bCs/>
          <w:szCs w:val="21"/>
          <w:highlight w:val="none"/>
        </w:rPr>
      </w:pPr>
      <w:r>
        <w:rPr>
          <w:rFonts w:hint="eastAsia" w:cs="宋体"/>
          <w:szCs w:val="21"/>
          <w:highlight w:val="none"/>
        </w:rPr>
        <w:t>（3）</w:t>
      </w:r>
      <w:r>
        <w:rPr>
          <w:rFonts w:hint="eastAsia" w:cs="宋体"/>
          <w:bCs/>
          <w:szCs w:val="21"/>
          <w:highlight w:val="none"/>
        </w:rPr>
        <w:t>发包人于每月25日前将工资性工程进度款转入农民工工资专用账户。</w:t>
      </w:r>
    </w:p>
    <w:p w14:paraId="73D42DEC">
      <w:pPr>
        <w:adjustRightInd w:val="0"/>
        <w:snapToGrid w:val="0"/>
        <w:spacing w:line="360" w:lineRule="auto"/>
        <w:ind w:firstLine="420" w:firstLineChars="200"/>
        <w:rPr>
          <w:rFonts w:cs="宋体"/>
          <w:bCs/>
          <w:szCs w:val="21"/>
          <w:highlight w:val="none"/>
        </w:rPr>
      </w:pPr>
      <w:r>
        <w:rPr>
          <w:rFonts w:hint="eastAsia" w:cs="宋体"/>
          <w:szCs w:val="21"/>
          <w:highlight w:val="none"/>
        </w:rPr>
        <w:t>（4）</w:t>
      </w:r>
      <w:r>
        <w:rPr>
          <w:rFonts w:hint="eastAsia" w:cs="宋体"/>
          <w:bCs/>
          <w:szCs w:val="21"/>
          <w:highlight w:val="none"/>
        </w:rPr>
        <w:t>承包人每月25日前上报本工程农民工工资清单，每月10日前委托开设农民工工资专用账户的银行支付农民工工资。</w:t>
      </w:r>
    </w:p>
    <w:p w14:paraId="64AC1F73">
      <w:pPr>
        <w:adjustRightInd w:val="0"/>
        <w:snapToGrid w:val="0"/>
        <w:spacing w:line="360" w:lineRule="auto"/>
        <w:ind w:firstLine="420" w:firstLineChars="200"/>
        <w:rPr>
          <w:rFonts w:cs="宋体"/>
          <w:b/>
          <w:szCs w:val="21"/>
          <w:highlight w:val="none"/>
        </w:rPr>
      </w:pPr>
      <w:r>
        <w:rPr>
          <w:rFonts w:hint="eastAsia" w:cs="宋体"/>
          <w:szCs w:val="21"/>
          <w:highlight w:val="none"/>
        </w:rPr>
        <w:t>（5）</w:t>
      </w:r>
      <w:r>
        <w:rPr>
          <w:rFonts w:hint="eastAsia" w:cs="宋体"/>
          <w:bCs/>
          <w:szCs w:val="21"/>
          <w:highlight w:val="none"/>
        </w:rPr>
        <w:t>工程竣工后，经项目部农民工维权组确认无农民工工资拖欠后，发、承双方办理农民工工资专用账户撤销手续，农民工工资专用账户余额划至本合同约定的承包人账户。</w:t>
      </w:r>
    </w:p>
    <w:bookmarkEnd w:id="344"/>
    <w:p w14:paraId="6E502966">
      <w:pPr>
        <w:snapToGrid w:val="0"/>
        <w:spacing w:before="312" w:beforeLines="100" w:after="312" w:afterLines="100" w:line="360" w:lineRule="auto"/>
        <w:outlineLvl w:val="2"/>
        <w:rPr>
          <w:rFonts w:cs="宋体"/>
          <w:szCs w:val="21"/>
          <w:highlight w:val="none"/>
        </w:rPr>
      </w:pPr>
      <w:bookmarkStart w:id="515" w:name="_Toc351203645"/>
      <w:bookmarkStart w:id="516" w:name="_Toc296891047"/>
      <w:bookmarkStart w:id="517" w:name="_Toc296944558"/>
      <w:bookmarkStart w:id="518" w:name="_Toc312678053"/>
      <w:bookmarkStart w:id="519" w:name="_Toc297216223"/>
      <w:bookmarkStart w:id="520" w:name="_Toc304295593"/>
      <w:bookmarkStart w:id="521" w:name="_Toc300935015"/>
      <w:bookmarkStart w:id="522" w:name="_Toc296891259"/>
      <w:bookmarkStart w:id="523" w:name="_Toc297123564"/>
      <w:bookmarkStart w:id="524" w:name="_Toc292559424"/>
      <w:bookmarkStart w:id="525" w:name="_Toc296346720"/>
      <w:bookmarkStart w:id="526" w:name="_Toc296347218"/>
      <w:bookmarkStart w:id="527" w:name="_Toc292559929"/>
      <w:bookmarkStart w:id="528" w:name="_Toc303539172"/>
      <w:bookmarkStart w:id="529" w:name="_Toc296503219"/>
      <w:bookmarkStart w:id="530" w:name="_Toc297048405"/>
      <w:bookmarkStart w:id="531" w:name="_Toc297120519"/>
      <w:r>
        <w:rPr>
          <w:rFonts w:hint="eastAsia" w:cs="宋体"/>
          <w:szCs w:val="21"/>
          <w:highlight w:val="none"/>
        </w:rPr>
        <w:t>13. 验收和工程试车</w:t>
      </w:r>
      <w:bookmarkEnd w:id="515"/>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7C489333">
      <w:pPr>
        <w:keepNext/>
        <w:keepLines/>
        <w:snapToGrid w:val="0"/>
        <w:spacing w:before="120" w:after="120" w:line="360" w:lineRule="auto"/>
        <w:jc w:val="left"/>
        <w:outlineLvl w:val="2"/>
        <w:rPr>
          <w:rFonts w:cs="宋体"/>
          <w:bCs/>
          <w:szCs w:val="21"/>
          <w:highlight w:val="none"/>
        </w:rPr>
      </w:pPr>
      <w:r>
        <w:rPr>
          <w:rFonts w:hint="eastAsia" w:cs="宋体"/>
          <w:bCs/>
          <w:szCs w:val="21"/>
          <w:highlight w:val="none"/>
        </w:rPr>
        <w:t>13.1 分部分项工程验收</w:t>
      </w:r>
    </w:p>
    <w:p w14:paraId="603C4812">
      <w:pPr>
        <w:adjustRightInd w:val="0"/>
        <w:snapToGrid w:val="0"/>
        <w:spacing w:line="360" w:lineRule="auto"/>
        <w:ind w:firstLine="420" w:firstLineChars="200"/>
        <w:rPr>
          <w:rFonts w:cs="宋体"/>
          <w:szCs w:val="21"/>
          <w:highlight w:val="none"/>
        </w:rPr>
      </w:pPr>
      <w:r>
        <w:rPr>
          <w:rFonts w:hint="eastAsia" w:cs="宋体"/>
          <w:szCs w:val="21"/>
          <w:highlight w:val="none"/>
        </w:rPr>
        <w:t>13.1.2 监理人不能按时进行验收时，应提前</w:t>
      </w:r>
      <w:r>
        <w:rPr>
          <w:rFonts w:hint="eastAsia" w:cs="宋体"/>
          <w:szCs w:val="21"/>
          <w:highlight w:val="none"/>
          <w:u w:val="single"/>
        </w:rPr>
        <w:t>24</w:t>
      </w:r>
      <w:r>
        <w:rPr>
          <w:rFonts w:hint="eastAsia" w:cs="宋体"/>
          <w:szCs w:val="21"/>
          <w:highlight w:val="none"/>
        </w:rPr>
        <w:t>小时提交书面延期要求。</w:t>
      </w:r>
    </w:p>
    <w:p w14:paraId="224C6871">
      <w:pPr>
        <w:adjustRightInd w:val="0"/>
        <w:snapToGrid w:val="0"/>
        <w:spacing w:line="360" w:lineRule="auto"/>
        <w:ind w:firstLine="420" w:firstLineChars="200"/>
        <w:rPr>
          <w:rFonts w:cs="宋体"/>
          <w:b/>
          <w:szCs w:val="21"/>
          <w:highlight w:val="none"/>
        </w:rPr>
      </w:pPr>
      <w:r>
        <w:rPr>
          <w:rFonts w:hint="eastAsia" w:cs="宋体"/>
          <w:szCs w:val="21"/>
          <w:highlight w:val="none"/>
        </w:rPr>
        <w:t>关于延期最长不得超过：</w:t>
      </w:r>
      <w:r>
        <w:rPr>
          <w:rFonts w:hint="eastAsia" w:cs="宋体"/>
          <w:szCs w:val="21"/>
          <w:highlight w:val="none"/>
          <w:u w:val="single"/>
        </w:rPr>
        <w:t>48</w:t>
      </w:r>
      <w:r>
        <w:rPr>
          <w:rFonts w:hint="eastAsia" w:cs="宋体"/>
          <w:szCs w:val="21"/>
          <w:highlight w:val="none"/>
        </w:rPr>
        <w:t>小时。</w:t>
      </w:r>
    </w:p>
    <w:p w14:paraId="228E3B66">
      <w:pPr>
        <w:keepNext/>
        <w:keepLines/>
        <w:snapToGrid w:val="0"/>
        <w:spacing w:before="120" w:after="120" w:line="360" w:lineRule="auto"/>
        <w:ind w:firstLine="420" w:firstLineChars="200"/>
        <w:outlineLvl w:val="3"/>
        <w:rPr>
          <w:rFonts w:cs="宋体"/>
          <w:bCs/>
          <w:szCs w:val="21"/>
          <w:highlight w:val="none"/>
        </w:rPr>
      </w:pPr>
      <w:bookmarkStart w:id="532" w:name="_Toc297123565"/>
      <w:bookmarkStart w:id="533" w:name="_Toc296891051"/>
      <w:bookmarkStart w:id="534" w:name="_Toc292559933"/>
      <w:bookmarkStart w:id="535" w:name="_Toc303539173"/>
      <w:bookmarkStart w:id="536" w:name="_Toc296503223"/>
      <w:bookmarkStart w:id="537" w:name="_Toc296891263"/>
      <w:bookmarkStart w:id="538" w:name="_Toc304295596"/>
      <w:bookmarkStart w:id="539" w:name="_Toc297120523"/>
      <w:bookmarkStart w:id="540" w:name="_Toc292559428"/>
      <w:bookmarkStart w:id="541" w:name="_Toc312678056"/>
      <w:bookmarkStart w:id="542" w:name="_Toc300935016"/>
      <w:bookmarkStart w:id="543" w:name="_Toc297048409"/>
      <w:bookmarkStart w:id="544" w:name="_Toc297216224"/>
      <w:bookmarkStart w:id="545" w:name="_Toc296346724"/>
      <w:bookmarkStart w:id="546" w:name="_Toc296944562"/>
      <w:bookmarkStart w:id="547" w:name="_Toc296347222"/>
      <w:bookmarkStart w:id="548" w:name="_Toc267251470"/>
      <w:bookmarkStart w:id="549" w:name="_Toc267251473"/>
      <w:bookmarkStart w:id="550" w:name="_Toc267251475"/>
      <w:bookmarkStart w:id="551" w:name="_Toc267251472"/>
      <w:bookmarkStart w:id="552" w:name="_Toc267251471"/>
      <w:bookmarkStart w:id="553" w:name="_Toc267251476"/>
      <w:bookmarkStart w:id="554" w:name="_Toc267251474"/>
      <w:r>
        <w:rPr>
          <w:rFonts w:hint="eastAsia" w:cs="宋体"/>
          <w:bCs/>
          <w:szCs w:val="21"/>
          <w:highlight w:val="none"/>
        </w:rPr>
        <w:t>13.2 竣工验收</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14:paraId="0CF73600">
      <w:pPr>
        <w:adjustRightInd w:val="0"/>
        <w:snapToGrid w:val="0"/>
        <w:spacing w:line="360" w:lineRule="auto"/>
        <w:ind w:firstLine="420" w:firstLineChars="200"/>
        <w:rPr>
          <w:rFonts w:cs="宋体"/>
          <w:szCs w:val="21"/>
          <w:highlight w:val="none"/>
        </w:rPr>
      </w:pPr>
      <w:bookmarkStart w:id="555" w:name="_Toc280868704"/>
      <w:bookmarkStart w:id="556" w:name="_Toc280868705"/>
      <w:bookmarkStart w:id="557" w:name="_Toc280868706"/>
      <w:bookmarkStart w:id="558" w:name="_Toc280868707"/>
      <w:bookmarkStart w:id="559" w:name="_Toc280868708"/>
      <w:bookmarkStart w:id="560" w:name="_Toc280868709"/>
      <w:r>
        <w:rPr>
          <w:rFonts w:hint="eastAsia" w:cs="宋体"/>
          <w:szCs w:val="21"/>
          <w:highlight w:val="none"/>
        </w:rPr>
        <w:t>13.2.2 竣工验收程序</w:t>
      </w:r>
    </w:p>
    <w:bookmarkEnd w:id="555"/>
    <w:p w14:paraId="49B03FAE">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关于竣工验收程序的约定：</w:t>
      </w:r>
      <w:r>
        <w:rPr>
          <w:rFonts w:hint="eastAsia" w:cs="宋体"/>
          <w:szCs w:val="21"/>
          <w:highlight w:val="none"/>
          <w:u w:val="single"/>
        </w:rPr>
        <w:t>执行通用条款</w:t>
      </w:r>
      <w:r>
        <w:rPr>
          <w:rFonts w:hint="eastAsia" w:cs="宋体"/>
          <w:szCs w:val="21"/>
          <w:highlight w:val="none"/>
        </w:rPr>
        <w:t>。</w:t>
      </w:r>
    </w:p>
    <w:p w14:paraId="7510515A">
      <w:pPr>
        <w:adjustRightInd w:val="0"/>
        <w:snapToGrid w:val="0"/>
        <w:spacing w:line="360" w:lineRule="auto"/>
        <w:ind w:firstLine="420" w:firstLineChars="200"/>
        <w:rPr>
          <w:rFonts w:cs="宋体"/>
          <w:szCs w:val="21"/>
          <w:highlight w:val="none"/>
          <w:u w:val="single"/>
        </w:rPr>
      </w:pPr>
      <w:r>
        <w:rPr>
          <w:rFonts w:hint="eastAsia" w:cs="宋体"/>
          <w:szCs w:val="21"/>
          <w:highlight w:val="none"/>
        </w:rPr>
        <w:t>发包人不按照本项约定组织竣工验收、颁发工程接收证书的违约金的计算方法：</w:t>
      </w:r>
      <w:r>
        <w:rPr>
          <w:rFonts w:hint="eastAsia" w:cs="宋体"/>
          <w:szCs w:val="21"/>
          <w:highlight w:val="none"/>
          <w:u w:val="single"/>
        </w:rPr>
        <w:t>执行通用条款</w:t>
      </w:r>
      <w:r>
        <w:rPr>
          <w:rFonts w:hint="eastAsia" w:cs="宋体"/>
          <w:szCs w:val="21"/>
          <w:highlight w:val="none"/>
        </w:rPr>
        <w:t>。</w:t>
      </w:r>
    </w:p>
    <w:bookmarkEnd w:id="556"/>
    <w:p w14:paraId="1896C7AE">
      <w:pPr>
        <w:adjustRightInd w:val="0"/>
        <w:snapToGrid w:val="0"/>
        <w:spacing w:line="360" w:lineRule="auto"/>
        <w:ind w:firstLine="420" w:firstLineChars="200"/>
        <w:rPr>
          <w:rFonts w:cs="宋体"/>
          <w:szCs w:val="21"/>
          <w:highlight w:val="none"/>
        </w:rPr>
      </w:pPr>
      <w:r>
        <w:rPr>
          <w:rFonts w:hint="eastAsia" w:cs="宋体"/>
          <w:szCs w:val="21"/>
          <w:highlight w:val="none"/>
        </w:rPr>
        <w:t>13.2.5 移交、接收全部与部分工程</w:t>
      </w:r>
    </w:p>
    <w:bookmarkEnd w:id="557"/>
    <w:p w14:paraId="7543FB35">
      <w:pPr>
        <w:adjustRightInd w:val="0"/>
        <w:snapToGrid w:val="0"/>
        <w:spacing w:line="360" w:lineRule="auto"/>
        <w:ind w:firstLine="420" w:firstLineChars="200"/>
        <w:rPr>
          <w:rFonts w:cs="宋体"/>
          <w:szCs w:val="21"/>
          <w:highlight w:val="none"/>
        </w:rPr>
      </w:pPr>
      <w:r>
        <w:rPr>
          <w:rFonts w:hint="eastAsia" w:cs="宋体"/>
          <w:szCs w:val="21"/>
          <w:highlight w:val="none"/>
        </w:rPr>
        <w:t>承包人向发包人移交工程的期限：</w:t>
      </w:r>
      <w:r>
        <w:rPr>
          <w:rFonts w:hint="eastAsia" w:cs="宋体"/>
          <w:szCs w:val="21"/>
          <w:highlight w:val="none"/>
          <w:u w:val="single"/>
        </w:rPr>
        <w:t>颁发工程接收证书后7天内完成工程的移交</w:t>
      </w:r>
      <w:r>
        <w:rPr>
          <w:rFonts w:hint="eastAsia" w:cs="宋体"/>
          <w:szCs w:val="21"/>
          <w:highlight w:val="none"/>
        </w:rPr>
        <w:t>。</w:t>
      </w:r>
    </w:p>
    <w:p w14:paraId="6BFC76D4">
      <w:pPr>
        <w:adjustRightInd w:val="0"/>
        <w:snapToGrid w:val="0"/>
        <w:spacing w:line="360" w:lineRule="auto"/>
        <w:ind w:firstLine="420" w:firstLineChars="200"/>
        <w:rPr>
          <w:rFonts w:cs="宋体"/>
          <w:szCs w:val="21"/>
          <w:highlight w:val="none"/>
          <w:u w:val="single"/>
        </w:rPr>
      </w:pPr>
      <w:r>
        <w:rPr>
          <w:rFonts w:hint="eastAsia" w:cs="宋体"/>
          <w:szCs w:val="21"/>
          <w:highlight w:val="none"/>
        </w:rPr>
        <w:t>发包人未按本合同约定接收全部或部分工程的，违约金的计算方法为：</w:t>
      </w:r>
      <w:r>
        <w:rPr>
          <w:rFonts w:hint="eastAsia" w:cs="宋体"/>
          <w:szCs w:val="21"/>
          <w:highlight w:val="none"/>
          <w:u w:val="single"/>
        </w:rPr>
        <w:t>发包人自应当接收工程之日起，承担工程照管、成品保护、保管等与工程有关的各项费用</w:t>
      </w:r>
      <w:r>
        <w:rPr>
          <w:rFonts w:hint="eastAsia" w:cs="宋体"/>
          <w:szCs w:val="21"/>
          <w:highlight w:val="none"/>
        </w:rPr>
        <w:t>。</w:t>
      </w:r>
    </w:p>
    <w:bookmarkEnd w:id="558"/>
    <w:p w14:paraId="1DC306C6">
      <w:pPr>
        <w:adjustRightInd w:val="0"/>
        <w:snapToGrid w:val="0"/>
        <w:spacing w:line="360" w:lineRule="auto"/>
        <w:ind w:firstLine="420" w:firstLineChars="200"/>
        <w:rPr>
          <w:rFonts w:cs="宋体"/>
          <w:szCs w:val="21"/>
          <w:highlight w:val="none"/>
          <w:u w:val="single"/>
        </w:rPr>
      </w:pPr>
      <w:r>
        <w:rPr>
          <w:rFonts w:hint="eastAsia" w:cs="宋体"/>
          <w:szCs w:val="21"/>
          <w:highlight w:val="none"/>
        </w:rPr>
        <w:t>承包人未按时移交工程的，违约金的计算方法为：</w:t>
      </w:r>
      <w:r>
        <w:rPr>
          <w:rFonts w:hint="eastAsia" w:cs="宋体"/>
          <w:szCs w:val="21"/>
          <w:highlight w:val="none"/>
          <w:u w:val="single"/>
        </w:rPr>
        <w:t>承包人应承担工程照管、成品保护、保管等与工程有关的各项费用</w:t>
      </w:r>
      <w:r>
        <w:rPr>
          <w:rFonts w:hint="eastAsia" w:cs="宋体"/>
          <w:szCs w:val="21"/>
          <w:highlight w:val="none"/>
        </w:rPr>
        <w:t>。</w:t>
      </w:r>
    </w:p>
    <w:p w14:paraId="37F12F88">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13.3 工程试车</w:t>
      </w:r>
    </w:p>
    <w:bookmarkEnd w:id="559"/>
    <w:p w14:paraId="58AF955E">
      <w:pPr>
        <w:adjustRightInd w:val="0"/>
        <w:snapToGrid w:val="0"/>
        <w:spacing w:line="360" w:lineRule="auto"/>
        <w:ind w:firstLine="420" w:firstLineChars="200"/>
        <w:rPr>
          <w:rFonts w:cs="宋体"/>
          <w:szCs w:val="21"/>
          <w:highlight w:val="none"/>
        </w:rPr>
      </w:pPr>
      <w:r>
        <w:rPr>
          <w:rFonts w:hint="eastAsia" w:cs="宋体"/>
          <w:szCs w:val="21"/>
          <w:highlight w:val="none"/>
        </w:rPr>
        <w:t>13.3.1 试车程序</w:t>
      </w:r>
    </w:p>
    <w:p w14:paraId="41725C9F">
      <w:pPr>
        <w:adjustRightInd w:val="0"/>
        <w:snapToGrid w:val="0"/>
        <w:spacing w:line="360" w:lineRule="auto"/>
        <w:ind w:firstLine="420" w:firstLineChars="200"/>
        <w:rPr>
          <w:rFonts w:cs="宋体"/>
          <w:szCs w:val="21"/>
          <w:highlight w:val="none"/>
          <w:u w:val="single"/>
        </w:rPr>
      </w:pPr>
      <w:r>
        <w:rPr>
          <w:rFonts w:hint="eastAsia" w:cs="宋体"/>
          <w:szCs w:val="21"/>
          <w:highlight w:val="none"/>
        </w:rPr>
        <w:t>工程试车内容：</w:t>
      </w:r>
      <w:r>
        <w:rPr>
          <w:rFonts w:hint="eastAsia" w:cs="宋体"/>
          <w:szCs w:val="21"/>
          <w:highlight w:val="none"/>
          <w:u w:val="single"/>
        </w:rPr>
        <w:t xml:space="preserve">                 </w:t>
      </w:r>
      <w:r>
        <w:rPr>
          <w:highlight w:val="none"/>
          <w:u w:val="single"/>
        </w:rPr>
        <w:t>双方另行约定</w:t>
      </w:r>
      <w:r>
        <w:rPr>
          <w:rFonts w:hint="eastAsia" w:cs="宋体"/>
          <w:szCs w:val="21"/>
          <w:highlight w:val="none"/>
          <w:u w:val="single"/>
        </w:rPr>
        <w:t xml:space="preserve">                 </w:t>
      </w:r>
      <w:r>
        <w:rPr>
          <w:rFonts w:hint="eastAsia" w:cs="宋体"/>
          <w:szCs w:val="21"/>
          <w:highlight w:val="none"/>
        </w:rPr>
        <w:t>。</w:t>
      </w:r>
    </w:p>
    <w:p w14:paraId="158F8E84">
      <w:pPr>
        <w:adjustRightInd w:val="0"/>
        <w:snapToGrid w:val="0"/>
        <w:spacing w:line="360" w:lineRule="auto"/>
        <w:ind w:firstLine="420" w:firstLineChars="200"/>
        <w:rPr>
          <w:rFonts w:cs="宋体"/>
          <w:szCs w:val="21"/>
          <w:highlight w:val="none"/>
        </w:rPr>
      </w:pPr>
      <w:r>
        <w:rPr>
          <w:rFonts w:hint="eastAsia" w:cs="宋体"/>
          <w:szCs w:val="21"/>
          <w:highlight w:val="none"/>
        </w:rPr>
        <w:t>（1）单机无负荷试车费用由</w:t>
      </w:r>
      <w:r>
        <w:rPr>
          <w:rFonts w:hint="eastAsia" w:cs="宋体"/>
          <w:szCs w:val="21"/>
          <w:highlight w:val="none"/>
          <w:u w:val="single"/>
        </w:rPr>
        <w:t>试车消耗的生产性原材料由发包人承担；试车其他费用（包括试车所需水电油等费用）由承包人在投标报价中综合考虑并</w:t>
      </w:r>
      <w:r>
        <w:rPr>
          <w:rFonts w:hint="eastAsia" w:cs="宋体"/>
          <w:szCs w:val="21"/>
          <w:highlight w:val="none"/>
        </w:rPr>
        <w:t>承担；</w:t>
      </w:r>
    </w:p>
    <w:p w14:paraId="4F5D2056">
      <w:pPr>
        <w:adjustRightInd w:val="0"/>
        <w:snapToGrid w:val="0"/>
        <w:spacing w:line="360" w:lineRule="auto"/>
        <w:ind w:firstLine="420" w:firstLineChars="200"/>
        <w:rPr>
          <w:rFonts w:cs="宋体"/>
          <w:szCs w:val="21"/>
          <w:highlight w:val="none"/>
        </w:rPr>
      </w:pPr>
      <w:r>
        <w:rPr>
          <w:rFonts w:hint="eastAsia" w:cs="宋体"/>
          <w:szCs w:val="21"/>
          <w:highlight w:val="none"/>
        </w:rPr>
        <w:t>（2）无负荷联动试车费用由</w:t>
      </w:r>
      <w:r>
        <w:rPr>
          <w:rFonts w:hint="eastAsia" w:cs="宋体"/>
          <w:szCs w:val="21"/>
          <w:highlight w:val="none"/>
          <w:u w:val="single"/>
        </w:rPr>
        <w:t>试车消耗的生产性原材料由发包人承担；试车其他费用（包括试车所需水电油等费用）由承包人在投标报价中综合考虑并</w:t>
      </w:r>
      <w:r>
        <w:rPr>
          <w:rFonts w:hint="eastAsia" w:cs="宋体"/>
          <w:szCs w:val="21"/>
          <w:highlight w:val="none"/>
        </w:rPr>
        <w:t>承担。</w:t>
      </w:r>
    </w:p>
    <w:p w14:paraId="37797DA6">
      <w:pPr>
        <w:adjustRightInd w:val="0"/>
        <w:snapToGrid w:val="0"/>
        <w:spacing w:line="360" w:lineRule="auto"/>
        <w:ind w:firstLine="420" w:firstLineChars="200"/>
        <w:rPr>
          <w:rFonts w:cs="宋体"/>
          <w:szCs w:val="21"/>
          <w:highlight w:val="none"/>
        </w:rPr>
      </w:pPr>
      <w:r>
        <w:rPr>
          <w:rFonts w:hint="eastAsia" w:cs="宋体"/>
          <w:szCs w:val="21"/>
          <w:highlight w:val="none"/>
        </w:rPr>
        <w:t>13.3.3 投料试车</w:t>
      </w:r>
    </w:p>
    <w:p w14:paraId="489E7337">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关于投料试车相关事项的约定：</w:t>
      </w:r>
      <w:r>
        <w:rPr>
          <w:rFonts w:hint="eastAsia" w:cs="宋体"/>
          <w:szCs w:val="21"/>
          <w:highlight w:val="none"/>
          <w:u w:val="single"/>
        </w:rPr>
        <w:t>执行通用条款</w:t>
      </w:r>
      <w:r>
        <w:rPr>
          <w:rFonts w:hint="eastAsia" w:cs="宋体"/>
          <w:szCs w:val="21"/>
          <w:highlight w:val="none"/>
        </w:rPr>
        <w:t>。</w:t>
      </w:r>
    </w:p>
    <w:p w14:paraId="282200E1">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13.6 竣工退场</w:t>
      </w:r>
    </w:p>
    <w:p w14:paraId="3FDD7316">
      <w:pPr>
        <w:adjustRightInd w:val="0"/>
        <w:snapToGrid w:val="0"/>
        <w:spacing w:line="360" w:lineRule="auto"/>
        <w:ind w:firstLine="420" w:firstLineChars="200"/>
        <w:rPr>
          <w:rFonts w:cs="宋体"/>
          <w:szCs w:val="21"/>
          <w:highlight w:val="none"/>
        </w:rPr>
      </w:pPr>
      <w:r>
        <w:rPr>
          <w:rFonts w:hint="eastAsia" w:cs="宋体"/>
          <w:szCs w:val="21"/>
          <w:highlight w:val="none"/>
        </w:rPr>
        <w:t>13.6.1 竣工退场</w:t>
      </w:r>
    </w:p>
    <w:p w14:paraId="03AEF834">
      <w:pPr>
        <w:adjustRightInd w:val="0"/>
        <w:snapToGrid w:val="0"/>
        <w:spacing w:line="360" w:lineRule="auto"/>
        <w:ind w:firstLine="420" w:firstLineChars="200"/>
        <w:rPr>
          <w:rFonts w:cs="宋体"/>
          <w:szCs w:val="21"/>
          <w:highlight w:val="none"/>
        </w:rPr>
      </w:pPr>
      <w:r>
        <w:rPr>
          <w:rFonts w:hint="eastAsia" w:cs="宋体"/>
          <w:szCs w:val="21"/>
          <w:highlight w:val="none"/>
        </w:rPr>
        <w:t>承包人完成竣工退场的期限：</w:t>
      </w:r>
      <w:r>
        <w:rPr>
          <w:rFonts w:hint="eastAsia" w:cs="宋体"/>
          <w:szCs w:val="21"/>
          <w:highlight w:val="none"/>
          <w:u w:val="single"/>
        </w:rPr>
        <w:t xml:space="preserve"> </w:t>
      </w:r>
      <w:r>
        <w:rPr>
          <w:highlight w:val="none"/>
          <w:u w:val="single"/>
        </w:rPr>
        <w:t>承包人竣工后将项目移交给发包人后3日内</w:t>
      </w:r>
      <w:r>
        <w:rPr>
          <w:rFonts w:hint="eastAsia" w:cs="宋体"/>
          <w:szCs w:val="21"/>
          <w:highlight w:val="none"/>
        </w:rPr>
        <w:t>。</w:t>
      </w:r>
    </w:p>
    <w:p w14:paraId="62F05962">
      <w:pPr>
        <w:snapToGrid w:val="0"/>
        <w:spacing w:before="312" w:beforeLines="100" w:after="312" w:afterLines="100" w:line="360" w:lineRule="auto"/>
        <w:outlineLvl w:val="2"/>
        <w:rPr>
          <w:rFonts w:cs="宋体"/>
          <w:szCs w:val="21"/>
          <w:highlight w:val="none"/>
        </w:rPr>
      </w:pPr>
      <w:bookmarkStart w:id="561" w:name="_Toc351203646"/>
      <w:r>
        <w:rPr>
          <w:rFonts w:hint="eastAsia" w:cs="宋体"/>
          <w:szCs w:val="21"/>
          <w:highlight w:val="none"/>
        </w:rPr>
        <w:t>14. 竣工结算</w:t>
      </w:r>
      <w:bookmarkEnd w:id="561"/>
    </w:p>
    <w:p w14:paraId="74E05EDF">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14.1 竣工结算申请</w:t>
      </w:r>
    </w:p>
    <w:p w14:paraId="71FCF1E2">
      <w:pPr>
        <w:adjustRightInd w:val="0"/>
        <w:snapToGrid w:val="0"/>
        <w:spacing w:line="360" w:lineRule="auto"/>
        <w:ind w:firstLine="420" w:firstLineChars="200"/>
        <w:rPr>
          <w:rFonts w:cs="宋体"/>
          <w:szCs w:val="21"/>
          <w:highlight w:val="none"/>
        </w:rPr>
      </w:pPr>
      <w:r>
        <w:rPr>
          <w:rFonts w:hint="eastAsia" w:cs="宋体"/>
          <w:szCs w:val="21"/>
          <w:highlight w:val="none"/>
        </w:rPr>
        <w:t>承包人提交竣工结算申请单的期限：</w:t>
      </w:r>
      <w:r>
        <w:rPr>
          <w:rFonts w:hint="eastAsia" w:cs="宋体"/>
          <w:szCs w:val="21"/>
          <w:highlight w:val="none"/>
          <w:u w:val="single"/>
        </w:rPr>
        <w:t>承包人应在工程竣工验收合格后28天内</w:t>
      </w:r>
      <w:r>
        <w:rPr>
          <w:rFonts w:hint="eastAsia" w:cs="宋体"/>
          <w:szCs w:val="21"/>
          <w:highlight w:val="none"/>
        </w:rPr>
        <w:t>。</w:t>
      </w:r>
    </w:p>
    <w:p w14:paraId="7E6951D2">
      <w:pPr>
        <w:adjustRightInd w:val="0"/>
        <w:snapToGrid w:val="0"/>
        <w:spacing w:line="360" w:lineRule="auto"/>
        <w:ind w:firstLine="420" w:firstLineChars="200"/>
        <w:rPr>
          <w:rFonts w:cs="宋体"/>
          <w:szCs w:val="21"/>
          <w:highlight w:val="none"/>
          <w:u w:val="single"/>
        </w:rPr>
      </w:pPr>
      <w:r>
        <w:rPr>
          <w:rFonts w:hint="eastAsia" w:cs="宋体"/>
          <w:szCs w:val="21"/>
          <w:highlight w:val="none"/>
        </w:rPr>
        <w:t>竣工结算申请单应包括的内容：</w:t>
      </w:r>
      <w:r>
        <w:rPr>
          <w:rFonts w:hint="eastAsia" w:cs="宋体"/>
          <w:szCs w:val="21"/>
          <w:highlight w:val="none"/>
          <w:u w:val="single"/>
        </w:rPr>
        <w:t>执行通用条款</w:t>
      </w:r>
      <w:r>
        <w:rPr>
          <w:rFonts w:hint="eastAsia" w:cs="宋体"/>
          <w:szCs w:val="21"/>
          <w:highlight w:val="none"/>
        </w:rPr>
        <w:t>。</w:t>
      </w:r>
    </w:p>
    <w:p w14:paraId="7EF2AC0F">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14.2 竣工结算审核</w:t>
      </w:r>
    </w:p>
    <w:p w14:paraId="7AFE9EE6">
      <w:pPr>
        <w:adjustRightInd w:val="0"/>
        <w:snapToGrid w:val="0"/>
        <w:spacing w:line="360" w:lineRule="auto"/>
        <w:ind w:firstLine="420" w:firstLineChars="200"/>
        <w:rPr>
          <w:rFonts w:cs="宋体"/>
          <w:szCs w:val="21"/>
          <w:highlight w:val="none"/>
        </w:rPr>
      </w:pPr>
      <w:r>
        <w:rPr>
          <w:rFonts w:hint="eastAsia" w:cs="宋体"/>
          <w:szCs w:val="21"/>
          <w:highlight w:val="none"/>
        </w:rPr>
        <w:t>发包人审批竣工付款申请单的期限：</w:t>
      </w:r>
      <w:r>
        <w:rPr>
          <w:rFonts w:hint="eastAsia" w:cs="宋体"/>
          <w:szCs w:val="21"/>
          <w:highlight w:val="none"/>
          <w:u w:val="single"/>
        </w:rPr>
        <w:t>发包人应在收到监理人提交的经审核的竣工结算申请单后14天内完成审批</w:t>
      </w:r>
      <w:r>
        <w:rPr>
          <w:rFonts w:hint="eastAsia" w:cs="宋体"/>
          <w:szCs w:val="21"/>
          <w:highlight w:val="none"/>
        </w:rPr>
        <w:t>。</w:t>
      </w:r>
    </w:p>
    <w:p w14:paraId="21DCA037">
      <w:pPr>
        <w:adjustRightInd w:val="0"/>
        <w:snapToGrid w:val="0"/>
        <w:spacing w:line="360" w:lineRule="auto"/>
        <w:ind w:firstLine="420" w:firstLineChars="200"/>
        <w:rPr>
          <w:rFonts w:cs="宋体"/>
          <w:szCs w:val="21"/>
          <w:highlight w:val="none"/>
          <w:u w:val="single"/>
        </w:rPr>
      </w:pPr>
      <w:r>
        <w:rPr>
          <w:rFonts w:hint="eastAsia" w:cs="宋体"/>
          <w:szCs w:val="21"/>
          <w:highlight w:val="none"/>
        </w:rPr>
        <w:t>发包人完成竣工付款的期限：</w:t>
      </w:r>
      <w:r>
        <w:rPr>
          <w:rFonts w:hint="eastAsia" w:cs="宋体"/>
          <w:szCs w:val="21"/>
          <w:highlight w:val="none"/>
          <w:u w:val="single"/>
        </w:rPr>
        <w:t>发包人应在签发竣工付款证书后的14 天内，完成对承包人的竣工付款</w:t>
      </w:r>
      <w:r>
        <w:rPr>
          <w:rFonts w:hint="eastAsia" w:cs="宋体"/>
          <w:szCs w:val="21"/>
          <w:highlight w:val="none"/>
        </w:rPr>
        <w:t>。</w:t>
      </w:r>
    </w:p>
    <w:p w14:paraId="5E2A0223">
      <w:pPr>
        <w:adjustRightInd w:val="0"/>
        <w:snapToGrid w:val="0"/>
        <w:spacing w:line="360" w:lineRule="auto"/>
        <w:ind w:firstLine="420" w:firstLineChars="200"/>
        <w:rPr>
          <w:rFonts w:cs="宋体"/>
          <w:szCs w:val="21"/>
          <w:highlight w:val="none"/>
          <w:u w:val="single"/>
        </w:rPr>
      </w:pPr>
      <w:r>
        <w:rPr>
          <w:rFonts w:hint="eastAsia" w:cs="宋体"/>
          <w:szCs w:val="21"/>
          <w:highlight w:val="none"/>
        </w:rPr>
        <w:t>关于竣工付款证书异议部分复核的方式和程序：</w:t>
      </w:r>
      <w:r>
        <w:rPr>
          <w:rFonts w:hint="eastAsia" w:cs="宋体"/>
          <w:szCs w:val="21"/>
          <w:highlight w:val="none"/>
          <w:u w:val="single"/>
        </w:rPr>
        <w:t>执行通用条款</w:t>
      </w:r>
      <w:r>
        <w:rPr>
          <w:rFonts w:hint="eastAsia" w:cs="宋体"/>
          <w:szCs w:val="21"/>
          <w:highlight w:val="none"/>
        </w:rPr>
        <w:t>。</w:t>
      </w:r>
    </w:p>
    <w:p w14:paraId="4B5DF05F">
      <w:pPr>
        <w:adjustRightInd w:val="0"/>
        <w:snapToGrid w:val="0"/>
        <w:spacing w:line="360" w:lineRule="auto"/>
        <w:ind w:firstLine="420" w:firstLineChars="200"/>
        <w:rPr>
          <w:rFonts w:cs="宋体"/>
          <w:szCs w:val="21"/>
          <w:highlight w:val="none"/>
        </w:rPr>
      </w:pPr>
      <w:r>
        <w:rPr>
          <w:rFonts w:hint="eastAsia" w:cs="宋体"/>
          <w:szCs w:val="21"/>
          <w:highlight w:val="none"/>
        </w:rPr>
        <w:t>14.4 最终结清</w:t>
      </w:r>
    </w:p>
    <w:p w14:paraId="257CB6F5">
      <w:pPr>
        <w:adjustRightInd w:val="0"/>
        <w:snapToGrid w:val="0"/>
        <w:spacing w:line="360" w:lineRule="auto"/>
        <w:ind w:firstLine="420" w:firstLineChars="200"/>
        <w:rPr>
          <w:rFonts w:cs="宋体"/>
          <w:szCs w:val="21"/>
          <w:highlight w:val="none"/>
        </w:rPr>
      </w:pPr>
      <w:r>
        <w:rPr>
          <w:rFonts w:hint="eastAsia" w:cs="宋体"/>
          <w:szCs w:val="21"/>
          <w:highlight w:val="none"/>
        </w:rPr>
        <w:t>14.4.1 最终结清申请单</w:t>
      </w:r>
    </w:p>
    <w:p w14:paraId="6017C67D">
      <w:pPr>
        <w:adjustRightInd w:val="0"/>
        <w:snapToGrid w:val="0"/>
        <w:spacing w:line="360" w:lineRule="auto"/>
        <w:ind w:firstLine="420" w:firstLineChars="200"/>
        <w:rPr>
          <w:rFonts w:cs="宋体"/>
          <w:szCs w:val="21"/>
          <w:highlight w:val="none"/>
        </w:rPr>
      </w:pPr>
      <w:r>
        <w:rPr>
          <w:rFonts w:hint="eastAsia" w:cs="宋体"/>
          <w:szCs w:val="21"/>
          <w:highlight w:val="none"/>
        </w:rPr>
        <w:t>承包人提交最终结清申请单的份数：</w:t>
      </w:r>
      <w:r>
        <w:rPr>
          <w:rFonts w:hint="eastAsia" w:cs="宋体"/>
          <w:szCs w:val="21"/>
          <w:highlight w:val="none"/>
          <w:u w:val="single"/>
        </w:rPr>
        <w:t xml:space="preserve">       肆份         </w:t>
      </w:r>
      <w:r>
        <w:rPr>
          <w:rFonts w:hint="eastAsia" w:cs="宋体"/>
          <w:szCs w:val="21"/>
          <w:highlight w:val="none"/>
        </w:rPr>
        <w:t>。</w:t>
      </w:r>
    </w:p>
    <w:p w14:paraId="36D48AD2">
      <w:pPr>
        <w:adjustRightInd w:val="0"/>
        <w:snapToGrid w:val="0"/>
        <w:spacing w:line="360" w:lineRule="auto"/>
        <w:ind w:firstLine="420" w:firstLineChars="200"/>
        <w:rPr>
          <w:rFonts w:cs="宋体"/>
          <w:szCs w:val="21"/>
          <w:highlight w:val="none"/>
        </w:rPr>
      </w:pPr>
      <w:r>
        <w:rPr>
          <w:rFonts w:hint="eastAsia" w:cs="宋体"/>
          <w:szCs w:val="21"/>
          <w:highlight w:val="none"/>
        </w:rPr>
        <w:t>承包人提交最终结算申请单的期限：</w:t>
      </w:r>
      <w:r>
        <w:rPr>
          <w:rFonts w:hint="eastAsia" w:cs="宋体"/>
          <w:szCs w:val="21"/>
          <w:highlight w:val="none"/>
          <w:u w:val="single"/>
        </w:rPr>
        <w:t>缺陷责任期终止证书颁发后7天内</w:t>
      </w:r>
      <w:r>
        <w:rPr>
          <w:rFonts w:hint="eastAsia" w:cs="宋体"/>
          <w:szCs w:val="21"/>
          <w:highlight w:val="none"/>
        </w:rPr>
        <w:t xml:space="preserve">。 </w:t>
      </w:r>
    </w:p>
    <w:p w14:paraId="0A7CEB79">
      <w:pPr>
        <w:adjustRightInd w:val="0"/>
        <w:snapToGrid w:val="0"/>
        <w:spacing w:line="360" w:lineRule="auto"/>
        <w:ind w:firstLine="420" w:firstLineChars="200"/>
        <w:rPr>
          <w:rFonts w:cs="宋体"/>
          <w:szCs w:val="21"/>
          <w:highlight w:val="none"/>
        </w:rPr>
      </w:pPr>
      <w:r>
        <w:rPr>
          <w:rFonts w:hint="eastAsia" w:cs="宋体"/>
          <w:szCs w:val="21"/>
          <w:highlight w:val="none"/>
        </w:rPr>
        <w:t>14.4.2 最终结清证书和支付</w:t>
      </w:r>
    </w:p>
    <w:p w14:paraId="3834CE21">
      <w:pPr>
        <w:adjustRightInd w:val="0"/>
        <w:snapToGrid w:val="0"/>
        <w:spacing w:line="360" w:lineRule="auto"/>
        <w:ind w:firstLine="420" w:firstLineChars="200"/>
        <w:rPr>
          <w:rFonts w:cs="宋体"/>
          <w:szCs w:val="21"/>
          <w:highlight w:val="none"/>
        </w:rPr>
      </w:pPr>
      <w:r>
        <w:rPr>
          <w:rFonts w:hint="eastAsia" w:cs="宋体"/>
          <w:szCs w:val="21"/>
          <w:highlight w:val="none"/>
        </w:rPr>
        <w:t>（1）发包人完成最终结清申请单的审批并颁发最终结清证书的期限：</w:t>
      </w:r>
      <w:r>
        <w:rPr>
          <w:rFonts w:hint="eastAsia" w:cs="宋体"/>
          <w:szCs w:val="21"/>
          <w:highlight w:val="none"/>
          <w:u w:val="single"/>
        </w:rPr>
        <w:t>收到承包人提交的最终结清申请单后14天内</w:t>
      </w:r>
      <w:r>
        <w:rPr>
          <w:rFonts w:hint="eastAsia" w:cs="宋体"/>
          <w:szCs w:val="21"/>
          <w:highlight w:val="none"/>
        </w:rPr>
        <w:t>。</w:t>
      </w:r>
    </w:p>
    <w:p w14:paraId="028CEA36">
      <w:pPr>
        <w:adjustRightInd w:val="0"/>
        <w:snapToGrid w:val="0"/>
        <w:spacing w:line="360" w:lineRule="auto"/>
        <w:ind w:firstLine="420" w:firstLineChars="200"/>
        <w:rPr>
          <w:rFonts w:cs="宋体"/>
          <w:szCs w:val="21"/>
          <w:highlight w:val="none"/>
        </w:rPr>
      </w:pPr>
      <w:r>
        <w:rPr>
          <w:rFonts w:hint="eastAsia" w:cs="宋体"/>
          <w:szCs w:val="21"/>
          <w:highlight w:val="none"/>
        </w:rPr>
        <w:t>（2）发包人完成支付的期限：</w:t>
      </w:r>
      <w:r>
        <w:rPr>
          <w:rFonts w:hint="eastAsia" w:cs="宋体"/>
          <w:szCs w:val="21"/>
          <w:highlight w:val="none"/>
          <w:u w:val="single"/>
        </w:rPr>
        <w:t>颁发最终结清证书后7天内完成支付</w:t>
      </w:r>
      <w:r>
        <w:rPr>
          <w:rFonts w:hint="eastAsia" w:cs="宋体"/>
          <w:szCs w:val="21"/>
          <w:highlight w:val="none"/>
        </w:rPr>
        <w:t>。</w:t>
      </w:r>
    </w:p>
    <w:bookmarkEnd w:id="548"/>
    <w:bookmarkEnd w:id="549"/>
    <w:bookmarkEnd w:id="550"/>
    <w:bookmarkEnd w:id="551"/>
    <w:bookmarkEnd w:id="552"/>
    <w:bookmarkEnd w:id="553"/>
    <w:bookmarkEnd w:id="554"/>
    <w:bookmarkEnd w:id="560"/>
    <w:p w14:paraId="60AE9594">
      <w:pPr>
        <w:snapToGrid w:val="0"/>
        <w:spacing w:before="312" w:beforeLines="100" w:after="312" w:afterLines="100" w:line="360" w:lineRule="auto"/>
        <w:outlineLvl w:val="2"/>
        <w:rPr>
          <w:rFonts w:cs="宋体"/>
          <w:szCs w:val="21"/>
          <w:highlight w:val="none"/>
        </w:rPr>
      </w:pPr>
      <w:bookmarkStart w:id="562" w:name="_Toc351203647"/>
      <w:bookmarkStart w:id="563" w:name="_Toc267251483"/>
      <w:bookmarkStart w:id="564" w:name="_Toc267251482"/>
      <w:bookmarkStart w:id="565" w:name="_Toc267251484"/>
      <w:bookmarkStart w:id="566" w:name="_Toc267251485"/>
      <w:bookmarkStart w:id="567" w:name="_Toc267251486"/>
      <w:bookmarkStart w:id="568" w:name="_Toc267251488"/>
      <w:bookmarkStart w:id="569" w:name="_Toc267251490"/>
      <w:bookmarkStart w:id="570" w:name="_Toc267251489"/>
      <w:bookmarkStart w:id="571" w:name="_Toc267251503"/>
      <w:bookmarkStart w:id="572" w:name="_Toc267251497"/>
      <w:bookmarkStart w:id="573" w:name="_Toc267251495"/>
      <w:bookmarkStart w:id="574" w:name="_Toc267251496"/>
      <w:bookmarkStart w:id="575" w:name="_Toc267251499"/>
      <w:bookmarkStart w:id="576" w:name="_Toc267251491"/>
      <w:bookmarkStart w:id="577" w:name="_Toc267251502"/>
      <w:bookmarkStart w:id="578" w:name="_Toc267251494"/>
      <w:bookmarkStart w:id="579" w:name="_Toc267251501"/>
      <w:bookmarkStart w:id="580" w:name="_Toc267251498"/>
      <w:bookmarkStart w:id="581" w:name="_Toc267251492"/>
      <w:bookmarkStart w:id="582" w:name="_Toc267251493"/>
      <w:bookmarkStart w:id="583" w:name="_Toc267251506"/>
      <w:bookmarkStart w:id="584" w:name="_Toc267251504"/>
      <w:bookmarkStart w:id="585" w:name="_Toc267251507"/>
      <w:bookmarkStart w:id="586" w:name="_Toc267251508"/>
      <w:bookmarkStart w:id="587" w:name="_Toc267251515"/>
      <w:bookmarkStart w:id="588" w:name="_Toc267251514"/>
      <w:bookmarkStart w:id="589" w:name="_Toc267251509"/>
      <w:bookmarkStart w:id="590" w:name="_Toc267251510"/>
      <w:bookmarkStart w:id="591" w:name="_Toc267251511"/>
      <w:bookmarkStart w:id="592" w:name="_Toc267251513"/>
      <w:r>
        <w:rPr>
          <w:rFonts w:hint="eastAsia" w:cs="宋体"/>
          <w:szCs w:val="21"/>
          <w:highlight w:val="none"/>
        </w:rPr>
        <w:t>15. 缺陷责任期与保修</w:t>
      </w:r>
      <w:bookmarkEnd w:id="562"/>
    </w:p>
    <w:p w14:paraId="3719B024">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15.2 缺陷责任期</w:t>
      </w:r>
      <w:bookmarkEnd w:id="563"/>
    </w:p>
    <w:p w14:paraId="6A064458">
      <w:pPr>
        <w:adjustRightInd w:val="0"/>
        <w:snapToGrid w:val="0"/>
        <w:spacing w:line="360" w:lineRule="auto"/>
        <w:ind w:firstLine="420" w:firstLineChars="200"/>
        <w:rPr>
          <w:rFonts w:cs="宋体"/>
          <w:szCs w:val="21"/>
          <w:highlight w:val="none"/>
          <w:u w:val="single"/>
        </w:rPr>
      </w:pPr>
      <w:r>
        <w:rPr>
          <w:rFonts w:hint="eastAsia" w:cs="宋体"/>
          <w:szCs w:val="21"/>
          <w:highlight w:val="none"/>
        </w:rPr>
        <w:t>缺陷责任期的具体期限：</w:t>
      </w:r>
      <w:r>
        <w:rPr>
          <w:rFonts w:hint="eastAsia" w:cs="宋体"/>
          <w:szCs w:val="21"/>
          <w:highlight w:val="none"/>
          <w:u w:val="single"/>
        </w:rPr>
        <w:t>见《专用合同条款数据表》</w:t>
      </w:r>
      <w:r>
        <w:rPr>
          <w:rFonts w:hint="eastAsia" w:cs="宋体"/>
          <w:szCs w:val="21"/>
          <w:highlight w:val="none"/>
        </w:rPr>
        <w:t>。</w:t>
      </w:r>
    </w:p>
    <w:p w14:paraId="74C26BBB">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15.3 质量保证金</w:t>
      </w:r>
    </w:p>
    <w:p w14:paraId="3CABBD38">
      <w:pPr>
        <w:adjustRightInd w:val="0"/>
        <w:snapToGrid w:val="0"/>
        <w:spacing w:line="360" w:lineRule="auto"/>
        <w:ind w:firstLine="420" w:firstLineChars="200"/>
        <w:rPr>
          <w:rFonts w:cs="宋体"/>
          <w:szCs w:val="21"/>
          <w:highlight w:val="none"/>
        </w:rPr>
      </w:pPr>
      <w:r>
        <w:rPr>
          <w:rFonts w:hint="eastAsia" w:cs="宋体"/>
          <w:szCs w:val="21"/>
          <w:highlight w:val="none"/>
        </w:rPr>
        <w:t>关于是否扣留质量保证金的约定：</w:t>
      </w:r>
      <w:r>
        <w:rPr>
          <w:rFonts w:hint="eastAsia" w:cs="宋体"/>
          <w:szCs w:val="21"/>
          <w:highlight w:val="none"/>
          <w:u w:val="single"/>
        </w:rPr>
        <w:t xml:space="preserve"> </w:t>
      </w:r>
      <w:r>
        <w:rPr>
          <w:szCs w:val="21"/>
          <w:highlight w:val="none"/>
          <w:u w:val="single"/>
        </w:rPr>
        <w:t>扣留质量保证金</w:t>
      </w:r>
      <w:r>
        <w:rPr>
          <w:rFonts w:hint="eastAsia" w:cs="宋体"/>
          <w:szCs w:val="21"/>
          <w:highlight w:val="none"/>
        </w:rPr>
        <w:t>。在工程项目竣工前，承包人按专用合同条款第3.7款提供履约保证金的，发包人不得同时预留工程质量保证金。</w:t>
      </w:r>
    </w:p>
    <w:p w14:paraId="10051B50">
      <w:pPr>
        <w:adjustRightInd w:val="0"/>
        <w:snapToGrid w:val="0"/>
        <w:spacing w:line="360" w:lineRule="auto"/>
        <w:ind w:firstLine="420" w:firstLineChars="200"/>
        <w:rPr>
          <w:rFonts w:cs="宋体"/>
          <w:szCs w:val="21"/>
          <w:highlight w:val="none"/>
        </w:rPr>
      </w:pPr>
      <w:r>
        <w:rPr>
          <w:rFonts w:hint="eastAsia" w:cs="宋体"/>
          <w:szCs w:val="21"/>
          <w:highlight w:val="none"/>
        </w:rPr>
        <w:t>15.3.1 承包人提供质量保证金的方式</w:t>
      </w:r>
    </w:p>
    <w:p w14:paraId="564AEC5F">
      <w:pPr>
        <w:adjustRightInd w:val="0"/>
        <w:snapToGrid w:val="0"/>
        <w:spacing w:line="360" w:lineRule="auto"/>
        <w:ind w:firstLine="420" w:firstLineChars="200"/>
        <w:rPr>
          <w:rFonts w:cs="宋体"/>
          <w:szCs w:val="21"/>
          <w:highlight w:val="none"/>
        </w:rPr>
      </w:pPr>
      <w:r>
        <w:rPr>
          <w:rFonts w:hint="eastAsia" w:cs="宋体"/>
          <w:szCs w:val="21"/>
          <w:highlight w:val="none"/>
        </w:rPr>
        <w:t>质量保证金可采用以下任意一种方式：</w:t>
      </w:r>
    </w:p>
    <w:p w14:paraId="43057B82">
      <w:pPr>
        <w:adjustRightInd w:val="0"/>
        <w:snapToGrid w:val="0"/>
        <w:spacing w:line="360" w:lineRule="auto"/>
        <w:ind w:firstLine="420" w:firstLineChars="200"/>
        <w:rPr>
          <w:rFonts w:cs="宋体"/>
          <w:szCs w:val="21"/>
          <w:highlight w:val="none"/>
        </w:rPr>
      </w:pPr>
      <w:r>
        <w:rPr>
          <w:rFonts w:hint="eastAsia" w:cs="宋体"/>
          <w:szCs w:val="21"/>
          <w:highlight w:val="none"/>
        </w:rPr>
        <w:t>（1）由银行业金融机构、工程担保公司、保险机构出具银行保函、工程质量保险等担保方式，担保/保证金额为：</w:t>
      </w:r>
      <w:r>
        <w:rPr>
          <w:rFonts w:hint="eastAsia" w:cs="宋体"/>
          <w:szCs w:val="21"/>
          <w:highlight w:val="none"/>
          <w:u w:val="single"/>
        </w:rPr>
        <w:t>见《专用合同条款数据表》</w:t>
      </w:r>
      <w:r>
        <w:rPr>
          <w:rFonts w:hint="eastAsia" w:cs="宋体"/>
          <w:szCs w:val="21"/>
          <w:highlight w:val="none"/>
        </w:rPr>
        <w:t>；</w:t>
      </w:r>
    </w:p>
    <w:p w14:paraId="201FEECF">
      <w:pPr>
        <w:adjustRightInd w:val="0"/>
        <w:snapToGrid w:val="0"/>
        <w:spacing w:line="360" w:lineRule="auto"/>
        <w:ind w:firstLine="420" w:firstLineChars="200"/>
        <w:rPr>
          <w:rFonts w:cs="宋体"/>
          <w:szCs w:val="21"/>
          <w:highlight w:val="none"/>
        </w:rPr>
      </w:pPr>
      <w:r>
        <w:rPr>
          <w:rFonts w:hint="eastAsia" w:cs="宋体"/>
          <w:szCs w:val="21"/>
          <w:highlight w:val="none"/>
        </w:rPr>
        <w:t>（2）</w:t>
      </w:r>
      <w:r>
        <w:rPr>
          <w:rFonts w:hint="eastAsia" w:cs="宋体"/>
          <w:szCs w:val="21"/>
          <w:highlight w:val="none"/>
          <w:u w:val="single"/>
        </w:rPr>
        <w:t>见《专用合同条款数据表》</w:t>
      </w:r>
      <w:r>
        <w:rPr>
          <w:rFonts w:hint="eastAsia" w:cs="宋体"/>
          <w:szCs w:val="21"/>
          <w:highlight w:val="none"/>
        </w:rPr>
        <w:t>；</w:t>
      </w:r>
    </w:p>
    <w:p w14:paraId="44735B97">
      <w:pPr>
        <w:adjustRightInd w:val="0"/>
        <w:snapToGrid w:val="0"/>
        <w:spacing w:line="360" w:lineRule="auto"/>
        <w:ind w:firstLine="420" w:firstLineChars="200"/>
        <w:rPr>
          <w:rFonts w:cs="宋体"/>
          <w:szCs w:val="21"/>
          <w:highlight w:val="none"/>
        </w:rPr>
      </w:pPr>
      <w:r>
        <w:rPr>
          <w:rFonts w:hint="eastAsia" w:cs="宋体"/>
          <w:szCs w:val="21"/>
          <w:highlight w:val="none"/>
        </w:rPr>
        <w:t>（3）其他方式：</w:t>
      </w:r>
      <w:r>
        <w:rPr>
          <w:rFonts w:hint="eastAsia" w:cs="宋体"/>
          <w:szCs w:val="21"/>
          <w:highlight w:val="none"/>
          <w:u w:val="single"/>
        </w:rPr>
        <w:t>见《专用合同条款数据表》</w:t>
      </w:r>
      <w:r>
        <w:rPr>
          <w:rFonts w:hint="eastAsia" w:cs="宋体"/>
          <w:szCs w:val="21"/>
          <w:highlight w:val="none"/>
        </w:rPr>
        <w:t>。</w:t>
      </w:r>
    </w:p>
    <w:p w14:paraId="77F2F07A">
      <w:pPr>
        <w:adjustRightInd w:val="0"/>
        <w:snapToGrid w:val="0"/>
        <w:spacing w:line="360" w:lineRule="auto"/>
        <w:ind w:firstLine="420" w:firstLineChars="200"/>
        <w:rPr>
          <w:rFonts w:cs="宋体"/>
          <w:szCs w:val="21"/>
          <w:highlight w:val="none"/>
        </w:rPr>
      </w:pPr>
      <w:r>
        <w:rPr>
          <w:rFonts w:hint="eastAsia" w:cs="宋体"/>
          <w:szCs w:val="21"/>
          <w:highlight w:val="none"/>
        </w:rPr>
        <w:t xml:space="preserve">15.3.2 质量保证金的扣留 </w:t>
      </w:r>
    </w:p>
    <w:p w14:paraId="4206A0D2">
      <w:pPr>
        <w:adjustRightInd w:val="0"/>
        <w:snapToGrid w:val="0"/>
        <w:spacing w:line="360" w:lineRule="auto"/>
        <w:ind w:firstLine="420" w:firstLineChars="200"/>
        <w:rPr>
          <w:rFonts w:cs="宋体"/>
          <w:szCs w:val="21"/>
          <w:highlight w:val="none"/>
        </w:rPr>
      </w:pPr>
      <w:r>
        <w:rPr>
          <w:rFonts w:hint="eastAsia" w:cs="宋体"/>
          <w:szCs w:val="21"/>
          <w:highlight w:val="none"/>
        </w:rPr>
        <w:t>质量保证金的扣留采取以下第</w:t>
      </w:r>
      <w:r>
        <w:rPr>
          <w:rFonts w:hint="eastAsia" w:cs="宋体"/>
          <w:szCs w:val="21"/>
          <w:highlight w:val="none"/>
          <w:u w:val="single"/>
        </w:rPr>
        <w:t xml:space="preserve"> （3） </w:t>
      </w:r>
      <w:r>
        <w:rPr>
          <w:rFonts w:hint="eastAsia" w:cs="宋体"/>
          <w:szCs w:val="21"/>
          <w:highlight w:val="none"/>
        </w:rPr>
        <w:t>种方式：</w:t>
      </w:r>
    </w:p>
    <w:p w14:paraId="62A143C4">
      <w:pPr>
        <w:adjustRightInd w:val="0"/>
        <w:snapToGrid w:val="0"/>
        <w:spacing w:line="360" w:lineRule="auto"/>
        <w:ind w:firstLine="420" w:firstLineChars="200"/>
        <w:rPr>
          <w:rFonts w:cs="宋体"/>
          <w:szCs w:val="21"/>
          <w:highlight w:val="none"/>
        </w:rPr>
      </w:pPr>
      <w:r>
        <w:rPr>
          <w:rFonts w:hint="eastAsia" w:cs="宋体"/>
          <w:szCs w:val="21"/>
          <w:highlight w:val="none"/>
        </w:rPr>
        <w:t>（1）在支付工程进度款时逐次扣留，在此情形下，质量保证金的计算基数不包括预付款的支付、扣回以及价格调整的金额；</w:t>
      </w:r>
    </w:p>
    <w:p w14:paraId="6DD56210">
      <w:pPr>
        <w:adjustRightInd w:val="0"/>
        <w:snapToGrid w:val="0"/>
        <w:spacing w:line="360" w:lineRule="auto"/>
        <w:ind w:firstLine="420" w:firstLineChars="200"/>
        <w:rPr>
          <w:rFonts w:cs="宋体"/>
          <w:szCs w:val="21"/>
          <w:highlight w:val="none"/>
        </w:rPr>
      </w:pPr>
      <w:r>
        <w:rPr>
          <w:rFonts w:hint="eastAsia" w:cs="宋体"/>
          <w:szCs w:val="21"/>
          <w:highlight w:val="none"/>
        </w:rPr>
        <w:t>（2）工程竣工结算时一次性扣留质量保证金；</w:t>
      </w:r>
    </w:p>
    <w:p w14:paraId="33B879FA">
      <w:pPr>
        <w:adjustRightInd w:val="0"/>
        <w:snapToGrid w:val="0"/>
        <w:spacing w:line="360" w:lineRule="auto"/>
        <w:ind w:firstLine="420" w:firstLineChars="200"/>
        <w:rPr>
          <w:rFonts w:cs="宋体"/>
          <w:szCs w:val="21"/>
          <w:highlight w:val="none"/>
        </w:rPr>
      </w:pPr>
      <w:r>
        <w:rPr>
          <w:rFonts w:hint="eastAsia" w:cs="宋体"/>
          <w:szCs w:val="21"/>
          <w:highlight w:val="none"/>
        </w:rPr>
        <w:t>（3）其他扣留方式：</w:t>
      </w:r>
      <w:r>
        <w:rPr>
          <w:rFonts w:hint="eastAsia" w:cs="宋体"/>
          <w:szCs w:val="21"/>
          <w:highlight w:val="none"/>
          <w:u w:val="single"/>
        </w:rPr>
        <w:t xml:space="preserve"> </w:t>
      </w:r>
      <w:r>
        <w:rPr>
          <w:kern w:val="0"/>
          <w:highlight w:val="none"/>
          <w:u w:val="single"/>
        </w:rPr>
        <w:t>审定价3%，</w:t>
      </w:r>
      <w:r>
        <w:rPr>
          <w:rFonts w:hint="eastAsia"/>
          <w:highlight w:val="none"/>
          <w:u w:val="single"/>
        </w:rPr>
        <w:t>转账/电汇、银行保函、第三方担保</w:t>
      </w:r>
      <w:r>
        <w:rPr>
          <w:rFonts w:hint="eastAsia" w:cs="宋体"/>
          <w:szCs w:val="21"/>
          <w:highlight w:val="none"/>
        </w:rPr>
        <w:t>。</w:t>
      </w:r>
    </w:p>
    <w:p w14:paraId="73D6768B">
      <w:pPr>
        <w:adjustRightInd w:val="0"/>
        <w:snapToGrid w:val="0"/>
        <w:spacing w:line="360" w:lineRule="auto"/>
        <w:ind w:firstLine="420" w:firstLineChars="200"/>
        <w:rPr>
          <w:rFonts w:cs="宋体"/>
          <w:szCs w:val="21"/>
          <w:highlight w:val="none"/>
        </w:rPr>
      </w:pPr>
      <w:r>
        <w:rPr>
          <w:rFonts w:hint="eastAsia" w:cs="宋体"/>
          <w:szCs w:val="21"/>
          <w:highlight w:val="none"/>
        </w:rPr>
        <w:t>关于质量保证金的补充约定：</w:t>
      </w:r>
    </w:p>
    <w:p w14:paraId="195A8055">
      <w:pPr>
        <w:adjustRightInd w:val="0"/>
        <w:snapToGrid w:val="0"/>
        <w:spacing w:line="360" w:lineRule="auto"/>
        <w:ind w:firstLine="420" w:firstLineChars="200"/>
        <w:rPr>
          <w:rFonts w:cs="宋体"/>
          <w:szCs w:val="21"/>
          <w:highlight w:val="none"/>
          <w:u w:val="single"/>
        </w:rPr>
      </w:pPr>
      <w:r>
        <w:rPr>
          <w:rFonts w:hint="eastAsia" w:cs="宋体"/>
          <w:szCs w:val="21"/>
          <w:highlight w:val="none"/>
          <w:u w:val="single"/>
        </w:rPr>
        <w:t>①在工程项目竣工前，承包人按专用合同条款第3.7款提供履约保证金的，可在工程进入缺陷责任期时按照多退少补原则转为质量保证金；</w:t>
      </w:r>
    </w:p>
    <w:bookmarkEnd w:id="564"/>
    <w:bookmarkEnd w:id="565"/>
    <w:p w14:paraId="0CE63E13">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15.4 保修</w:t>
      </w:r>
    </w:p>
    <w:bookmarkEnd w:id="566"/>
    <w:p w14:paraId="3FB4EB94">
      <w:pPr>
        <w:adjustRightInd w:val="0"/>
        <w:snapToGrid w:val="0"/>
        <w:spacing w:line="360" w:lineRule="auto"/>
        <w:ind w:firstLine="420" w:firstLineChars="200"/>
        <w:rPr>
          <w:rFonts w:cs="宋体"/>
          <w:szCs w:val="21"/>
          <w:highlight w:val="none"/>
        </w:rPr>
      </w:pPr>
      <w:r>
        <w:rPr>
          <w:rFonts w:hint="eastAsia" w:cs="宋体"/>
          <w:szCs w:val="21"/>
          <w:highlight w:val="none"/>
        </w:rPr>
        <w:t>15.4.1 保修责任</w:t>
      </w:r>
    </w:p>
    <w:p w14:paraId="083EEC59">
      <w:pPr>
        <w:adjustRightInd w:val="0"/>
        <w:snapToGrid w:val="0"/>
        <w:spacing w:line="360" w:lineRule="auto"/>
        <w:ind w:firstLine="420" w:firstLineChars="200"/>
        <w:rPr>
          <w:rFonts w:cs="宋体"/>
          <w:szCs w:val="21"/>
          <w:highlight w:val="none"/>
          <w:u w:val="single"/>
        </w:rPr>
      </w:pPr>
      <w:r>
        <w:rPr>
          <w:rFonts w:hint="eastAsia" w:cs="宋体"/>
          <w:szCs w:val="21"/>
          <w:highlight w:val="none"/>
        </w:rPr>
        <w:t>工程保修期为：</w:t>
      </w:r>
      <w:r>
        <w:rPr>
          <w:rFonts w:hint="eastAsia" w:cs="宋体"/>
          <w:szCs w:val="21"/>
          <w:highlight w:val="none"/>
          <w:u w:val="single"/>
        </w:rPr>
        <w:t>执行《工程质量保修书》规定</w:t>
      </w:r>
      <w:r>
        <w:rPr>
          <w:rFonts w:hint="eastAsia" w:cs="宋体"/>
          <w:szCs w:val="21"/>
          <w:highlight w:val="none"/>
        </w:rPr>
        <w:t>。</w:t>
      </w:r>
    </w:p>
    <w:p w14:paraId="1A72E0A4">
      <w:pPr>
        <w:adjustRightInd w:val="0"/>
        <w:snapToGrid w:val="0"/>
        <w:spacing w:line="360" w:lineRule="auto"/>
        <w:ind w:firstLine="420" w:firstLineChars="200"/>
        <w:rPr>
          <w:rFonts w:cs="宋体"/>
          <w:szCs w:val="21"/>
          <w:highlight w:val="none"/>
        </w:rPr>
      </w:pPr>
      <w:r>
        <w:rPr>
          <w:rFonts w:hint="eastAsia" w:cs="宋体"/>
          <w:szCs w:val="21"/>
          <w:highlight w:val="none"/>
        </w:rPr>
        <w:t>15.4.3 修复通知</w:t>
      </w:r>
    </w:p>
    <w:p w14:paraId="45204037">
      <w:pPr>
        <w:adjustRightInd w:val="0"/>
        <w:snapToGrid w:val="0"/>
        <w:spacing w:line="360" w:lineRule="auto"/>
        <w:ind w:firstLine="420" w:firstLineChars="200"/>
        <w:rPr>
          <w:rFonts w:cs="宋体"/>
          <w:szCs w:val="21"/>
          <w:highlight w:val="none"/>
          <w:u w:val="single"/>
        </w:rPr>
      </w:pPr>
      <w:r>
        <w:rPr>
          <w:rFonts w:hint="eastAsia" w:cs="宋体"/>
          <w:szCs w:val="21"/>
          <w:highlight w:val="none"/>
        </w:rPr>
        <w:t>承包人收到保修通知并到达工程现场的合理时间：</w:t>
      </w:r>
      <w:r>
        <w:rPr>
          <w:rFonts w:hint="eastAsia" w:cs="宋体"/>
          <w:szCs w:val="21"/>
          <w:highlight w:val="none"/>
          <w:u w:val="single"/>
        </w:rPr>
        <w:t xml:space="preserve"> </w:t>
      </w:r>
      <w:r>
        <w:rPr>
          <w:kern w:val="0"/>
          <w:highlight w:val="none"/>
          <w:u w:val="single"/>
        </w:rPr>
        <w:t>24小时内</w:t>
      </w:r>
      <w:r>
        <w:rPr>
          <w:rFonts w:hint="eastAsia" w:cs="宋体"/>
          <w:szCs w:val="21"/>
          <w:highlight w:val="none"/>
        </w:rPr>
        <w:t>。</w:t>
      </w:r>
    </w:p>
    <w:bookmarkEnd w:id="567"/>
    <w:bookmarkEnd w:id="568"/>
    <w:bookmarkEnd w:id="569"/>
    <w:bookmarkEnd w:id="570"/>
    <w:p w14:paraId="39C60E6F">
      <w:pPr>
        <w:snapToGrid w:val="0"/>
        <w:spacing w:before="312" w:beforeLines="100" w:after="312" w:afterLines="100" w:line="360" w:lineRule="auto"/>
        <w:outlineLvl w:val="2"/>
        <w:rPr>
          <w:rFonts w:cs="宋体"/>
          <w:szCs w:val="21"/>
          <w:highlight w:val="none"/>
        </w:rPr>
      </w:pPr>
      <w:bookmarkStart w:id="593" w:name="_Toc351203648"/>
      <w:bookmarkStart w:id="594" w:name="_Toc280868717"/>
      <w:bookmarkStart w:id="595" w:name="_Toc280868718"/>
      <w:r>
        <w:rPr>
          <w:rFonts w:hint="eastAsia" w:cs="宋体"/>
          <w:szCs w:val="21"/>
          <w:highlight w:val="none"/>
        </w:rPr>
        <w:t>16. 违约</w:t>
      </w:r>
      <w:bookmarkEnd w:id="593"/>
    </w:p>
    <w:p w14:paraId="526C6CC7">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16.1 发包人违约</w:t>
      </w:r>
    </w:p>
    <w:p w14:paraId="19B9D93D">
      <w:pPr>
        <w:adjustRightInd w:val="0"/>
        <w:snapToGrid w:val="0"/>
        <w:spacing w:line="360" w:lineRule="auto"/>
        <w:ind w:firstLine="420" w:firstLineChars="200"/>
        <w:rPr>
          <w:rFonts w:cs="宋体"/>
          <w:szCs w:val="21"/>
          <w:highlight w:val="none"/>
        </w:rPr>
      </w:pPr>
      <w:r>
        <w:rPr>
          <w:rFonts w:hint="eastAsia" w:cs="宋体"/>
          <w:szCs w:val="21"/>
          <w:highlight w:val="none"/>
        </w:rPr>
        <w:t>16.1.1 发包人违约的情形</w:t>
      </w:r>
    </w:p>
    <w:p w14:paraId="05B433D8">
      <w:pPr>
        <w:adjustRightInd w:val="0"/>
        <w:snapToGrid w:val="0"/>
        <w:spacing w:line="360" w:lineRule="auto"/>
        <w:ind w:firstLine="420" w:firstLineChars="200"/>
        <w:rPr>
          <w:rFonts w:cs="宋体"/>
          <w:szCs w:val="21"/>
          <w:highlight w:val="none"/>
          <w:u w:val="single"/>
        </w:rPr>
      </w:pPr>
      <w:r>
        <w:rPr>
          <w:rFonts w:hint="eastAsia" w:cs="宋体"/>
          <w:szCs w:val="21"/>
          <w:highlight w:val="none"/>
        </w:rPr>
        <w:t>发包人违约的其他情形：</w:t>
      </w:r>
      <w:r>
        <w:rPr>
          <w:rFonts w:hint="eastAsia" w:cs="宋体"/>
          <w:szCs w:val="21"/>
          <w:highlight w:val="none"/>
          <w:u w:val="single"/>
        </w:rPr>
        <w:t xml:space="preserve">                </w:t>
      </w:r>
      <w:r>
        <w:rPr>
          <w:kern w:val="0"/>
          <w:highlight w:val="none"/>
          <w:u w:val="single"/>
        </w:rPr>
        <w:t>无</w:t>
      </w:r>
      <w:r>
        <w:rPr>
          <w:rFonts w:hint="eastAsia" w:cs="宋体"/>
          <w:szCs w:val="21"/>
          <w:highlight w:val="none"/>
          <w:u w:val="single"/>
        </w:rPr>
        <w:t xml:space="preserve">                 </w:t>
      </w:r>
      <w:r>
        <w:rPr>
          <w:rFonts w:hint="eastAsia" w:cs="宋体"/>
          <w:szCs w:val="21"/>
          <w:highlight w:val="none"/>
        </w:rPr>
        <w:t>。</w:t>
      </w:r>
    </w:p>
    <w:p w14:paraId="22B57EB4">
      <w:pPr>
        <w:adjustRightInd w:val="0"/>
        <w:snapToGrid w:val="0"/>
        <w:spacing w:line="360" w:lineRule="auto"/>
        <w:ind w:firstLine="420" w:firstLineChars="200"/>
        <w:rPr>
          <w:rFonts w:cs="宋体"/>
          <w:szCs w:val="21"/>
          <w:highlight w:val="none"/>
        </w:rPr>
      </w:pPr>
      <w:r>
        <w:rPr>
          <w:rFonts w:hint="eastAsia" w:cs="宋体"/>
          <w:szCs w:val="21"/>
          <w:highlight w:val="none"/>
        </w:rPr>
        <w:t>16.1.2 发包人违约的责任</w:t>
      </w:r>
    </w:p>
    <w:p w14:paraId="5DD78369">
      <w:pPr>
        <w:adjustRightInd w:val="0"/>
        <w:snapToGrid w:val="0"/>
        <w:spacing w:line="360" w:lineRule="auto"/>
        <w:ind w:firstLine="420" w:firstLineChars="200"/>
        <w:rPr>
          <w:rFonts w:cs="宋体"/>
          <w:szCs w:val="21"/>
          <w:highlight w:val="none"/>
        </w:rPr>
      </w:pPr>
      <w:r>
        <w:rPr>
          <w:rFonts w:hint="eastAsia" w:cs="宋体"/>
          <w:szCs w:val="21"/>
          <w:highlight w:val="none"/>
        </w:rPr>
        <w:t>发包人违约责任的承担方式和计算方法：</w:t>
      </w:r>
    </w:p>
    <w:p w14:paraId="6A26BDDA">
      <w:pPr>
        <w:adjustRightInd w:val="0"/>
        <w:snapToGrid w:val="0"/>
        <w:spacing w:line="360" w:lineRule="auto"/>
        <w:ind w:firstLine="420" w:firstLineChars="200"/>
        <w:rPr>
          <w:rFonts w:cs="宋体"/>
          <w:szCs w:val="21"/>
          <w:highlight w:val="none"/>
        </w:rPr>
      </w:pPr>
      <w:r>
        <w:rPr>
          <w:rFonts w:hint="eastAsia" w:cs="宋体"/>
          <w:szCs w:val="21"/>
          <w:highlight w:val="none"/>
        </w:rPr>
        <w:t>（1）因发包人原因未能在计划开工日期前7天内下达开工通知的违约责任：</w:t>
      </w:r>
      <w:r>
        <w:rPr>
          <w:szCs w:val="21"/>
          <w:highlight w:val="none"/>
          <w:u w:val="single"/>
        </w:rPr>
        <w:t>工期顺延</w:t>
      </w:r>
      <w:r>
        <w:rPr>
          <w:rFonts w:hint="eastAsia" w:cs="宋体"/>
          <w:szCs w:val="21"/>
          <w:highlight w:val="none"/>
        </w:rPr>
        <w:t>。</w:t>
      </w:r>
    </w:p>
    <w:p w14:paraId="78EE00A3">
      <w:pPr>
        <w:adjustRightInd w:val="0"/>
        <w:snapToGrid w:val="0"/>
        <w:spacing w:line="360" w:lineRule="auto"/>
        <w:ind w:firstLine="420" w:firstLineChars="200"/>
        <w:rPr>
          <w:rFonts w:cs="宋体"/>
          <w:szCs w:val="21"/>
          <w:highlight w:val="none"/>
          <w:u w:val="single"/>
        </w:rPr>
      </w:pPr>
      <w:r>
        <w:rPr>
          <w:rFonts w:hint="eastAsia" w:cs="宋体"/>
          <w:szCs w:val="21"/>
          <w:highlight w:val="none"/>
        </w:rPr>
        <w:t>（2）因发包人原因未能按合同约定支付合同价款的违约责任：</w:t>
      </w:r>
      <w:r>
        <w:rPr>
          <w:szCs w:val="21"/>
          <w:highlight w:val="none"/>
          <w:u w:val="single"/>
        </w:rPr>
        <w:t>双方协商解决</w:t>
      </w:r>
      <w:r>
        <w:rPr>
          <w:rFonts w:hint="eastAsia" w:cs="宋体"/>
          <w:szCs w:val="21"/>
          <w:highlight w:val="none"/>
        </w:rPr>
        <w:t>。</w:t>
      </w:r>
    </w:p>
    <w:p w14:paraId="456BE969">
      <w:pPr>
        <w:adjustRightInd w:val="0"/>
        <w:snapToGrid w:val="0"/>
        <w:spacing w:line="360" w:lineRule="auto"/>
        <w:ind w:firstLine="420" w:firstLineChars="200"/>
        <w:rPr>
          <w:rFonts w:cs="宋体"/>
          <w:b/>
          <w:szCs w:val="21"/>
          <w:highlight w:val="none"/>
          <w:u w:val="single"/>
        </w:rPr>
      </w:pPr>
      <w:r>
        <w:rPr>
          <w:rFonts w:hint="eastAsia" w:cs="宋体"/>
          <w:szCs w:val="21"/>
          <w:highlight w:val="none"/>
        </w:rPr>
        <w:t>（3）发包人违反第10.1款〔变更的范围〕第（2）项约定，自行实施被取消的工作或转由他人实施的违约责任：</w:t>
      </w:r>
      <w:r>
        <w:rPr>
          <w:szCs w:val="21"/>
          <w:highlight w:val="none"/>
          <w:u w:val="single"/>
        </w:rPr>
        <w:t>双方协商解决</w:t>
      </w:r>
      <w:r>
        <w:rPr>
          <w:rFonts w:hint="eastAsia" w:cs="宋体"/>
          <w:szCs w:val="21"/>
          <w:highlight w:val="none"/>
        </w:rPr>
        <w:t>。</w:t>
      </w:r>
    </w:p>
    <w:p w14:paraId="647FE1EC">
      <w:pPr>
        <w:adjustRightInd w:val="0"/>
        <w:snapToGrid w:val="0"/>
        <w:spacing w:line="360" w:lineRule="auto"/>
        <w:ind w:firstLine="420" w:firstLineChars="200"/>
        <w:rPr>
          <w:rFonts w:cs="宋体"/>
          <w:szCs w:val="21"/>
          <w:highlight w:val="none"/>
        </w:rPr>
      </w:pPr>
      <w:r>
        <w:rPr>
          <w:rFonts w:hint="eastAsia" w:cs="宋体"/>
          <w:szCs w:val="21"/>
          <w:highlight w:val="none"/>
        </w:rPr>
        <w:t>（4）发包人提供的材料、工程设备的规格、数量或质量不符合合同约定，或因发包人原因导致交货日期延误或交货地点变更等情况的违约责任：</w:t>
      </w:r>
      <w:r>
        <w:rPr>
          <w:szCs w:val="21"/>
          <w:highlight w:val="none"/>
          <w:u w:val="single"/>
        </w:rPr>
        <w:t>双方协商解决</w:t>
      </w:r>
      <w:r>
        <w:rPr>
          <w:rFonts w:hint="eastAsia" w:cs="宋体"/>
          <w:szCs w:val="21"/>
          <w:highlight w:val="none"/>
        </w:rPr>
        <w:t>。</w:t>
      </w:r>
    </w:p>
    <w:p w14:paraId="7703CC43">
      <w:pPr>
        <w:adjustRightInd w:val="0"/>
        <w:snapToGrid w:val="0"/>
        <w:spacing w:line="360" w:lineRule="auto"/>
        <w:ind w:firstLine="420" w:firstLineChars="200"/>
        <w:rPr>
          <w:rFonts w:cs="宋体"/>
          <w:szCs w:val="21"/>
          <w:highlight w:val="none"/>
          <w:u w:val="single"/>
        </w:rPr>
      </w:pPr>
      <w:r>
        <w:rPr>
          <w:rFonts w:hint="eastAsia" w:cs="宋体"/>
          <w:szCs w:val="21"/>
          <w:highlight w:val="none"/>
        </w:rPr>
        <w:t>（5）因发包人违反合同约定造成暂停施工的违约责任：</w:t>
      </w:r>
      <w:r>
        <w:rPr>
          <w:rFonts w:hint="eastAsia" w:cs="宋体"/>
          <w:szCs w:val="21"/>
          <w:highlight w:val="none"/>
          <w:u w:val="single"/>
        </w:rPr>
        <w:t xml:space="preserve"> </w:t>
      </w:r>
      <w:r>
        <w:rPr>
          <w:szCs w:val="21"/>
          <w:highlight w:val="none"/>
          <w:u w:val="single"/>
        </w:rPr>
        <w:t>工期顺延</w:t>
      </w:r>
      <w:r>
        <w:rPr>
          <w:rFonts w:hint="eastAsia" w:cs="宋体"/>
          <w:szCs w:val="21"/>
          <w:highlight w:val="none"/>
        </w:rPr>
        <w:t>。</w:t>
      </w:r>
    </w:p>
    <w:p w14:paraId="56A3B127">
      <w:pPr>
        <w:adjustRightInd w:val="0"/>
        <w:snapToGrid w:val="0"/>
        <w:spacing w:line="360" w:lineRule="auto"/>
        <w:ind w:firstLine="420" w:firstLineChars="200"/>
        <w:rPr>
          <w:rFonts w:cs="宋体"/>
          <w:szCs w:val="21"/>
          <w:highlight w:val="none"/>
        </w:rPr>
      </w:pPr>
      <w:r>
        <w:rPr>
          <w:rFonts w:hint="eastAsia" w:cs="宋体"/>
          <w:szCs w:val="21"/>
          <w:highlight w:val="none"/>
        </w:rPr>
        <w:t>（6）发包人无正当理由没有在约定期限内发出复工指示，导致承包人无法复工的违约责任：</w:t>
      </w:r>
      <w:r>
        <w:rPr>
          <w:rFonts w:hint="eastAsia" w:cs="宋体"/>
          <w:szCs w:val="21"/>
          <w:highlight w:val="none"/>
          <w:u w:val="single"/>
        </w:rPr>
        <w:t xml:space="preserve"> </w:t>
      </w:r>
      <w:r>
        <w:rPr>
          <w:szCs w:val="21"/>
          <w:highlight w:val="none"/>
          <w:u w:val="single"/>
        </w:rPr>
        <w:t>工期顺延，费用不予索赔</w:t>
      </w:r>
      <w:r>
        <w:rPr>
          <w:rFonts w:hint="eastAsia" w:cs="宋体"/>
          <w:szCs w:val="21"/>
          <w:highlight w:val="none"/>
        </w:rPr>
        <w:t>。</w:t>
      </w:r>
    </w:p>
    <w:p w14:paraId="76E54D2F">
      <w:pPr>
        <w:adjustRightInd w:val="0"/>
        <w:snapToGrid w:val="0"/>
        <w:spacing w:line="360" w:lineRule="auto"/>
        <w:ind w:firstLine="420" w:firstLineChars="200"/>
        <w:rPr>
          <w:rFonts w:cs="宋体"/>
          <w:szCs w:val="21"/>
          <w:highlight w:val="none"/>
        </w:rPr>
      </w:pPr>
      <w:r>
        <w:rPr>
          <w:rFonts w:hint="eastAsia" w:cs="宋体"/>
          <w:szCs w:val="21"/>
          <w:highlight w:val="none"/>
        </w:rPr>
        <w:t>（7）其他：</w:t>
      </w:r>
      <w:r>
        <w:rPr>
          <w:rFonts w:hint="eastAsia" w:cs="宋体"/>
          <w:szCs w:val="21"/>
          <w:highlight w:val="none"/>
          <w:u w:val="single"/>
        </w:rPr>
        <w:t xml:space="preserve"> </w:t>
      </w:r>
      <w:r>
        <w:rPr>
          <w:szCs w:val="21"/>
          <w:highlight w:val="none"/>
          <w:u w:val="single"/>
        </w:rPr>
        <w:t>双方协商解决</w:t>
      </w:r>
      <w:r>
        <w:rPr>
          <w:rFonts w:hint="eastAsia" w:cs="宋体"/>
          <w:szCs w:val="21"/>
          <w:highlight w:val="none"/>
        </w:rPr>
        <w:t>。</w:t>
      </w:r>
    </w:p>
    <w:p w14:paraId="7AFCC0EB">
      <w:pPr>
        <w:adjustRightInd w:val="0"/>
        <w:snapToGrid w:val="0"/>
        <w:spacing w:line="360" w:lineRule="auto"/>
        <w:ind w:firstLine="420" w:firstLineChars="200"/>
        <w:rPr>
          <w:rFonts w:cs="宋体"/>
          <w:szCs w:val="21"/>
          <w:highlight w:val="none"/>
        </w:rPr>
      </w:pPr>
      <w:r>
        <w:rPr>
          <w:rFonts w:hint="eastAsia" w:cs="宋体"/>
          <w:szCs w:val="21"/>
          <w:highlight w:val="none"/>
        </w:rPr>
        <w:t>16.1.3 因发包人违约解除合同</w:t>
      </w:r>
    </w:p>
    <w:p w14:paraId="325D0082">
      <w:pPr>
        <w:adjustRightInd w:val="0"/>
        <w:snapToGrid w:val="0"/>
        <w:spacing w:line="360" w:lineRule="auto"/>
        <w:ind w:firstLine="420" w:firstLineChars="200"/>
        <w:rPr>
          <w:rFonts w:cs="宋体"/>
          <w:szCs w:val="21"/>
          <w:highlight w:val="none"/>
        </w:rPr>
      </w:pPr>
      <w:r>
        <w:rPr>
          <w:rFonts w:hint="eastAsia" w:cs="宋体"/>
          <w:szCs w:val="21"/>
          <w:highlight w:val="none"/>
        </w:rPr>
        <w:t>承包人按16.1.1项〔发包人违约的情形〕约定暂停施工满</w:t>
      </w:r>
      <w:r>
        <w:rPr>
          <w:rFonts w:hint="eastAsia" w:cs="宋体"/>
          <w:szCs w:val="21"/>
          <w:highlight w:val="none"/>
          <w:u w:val="single"/>
        </w:rPr>
        <w:t>28</w:t>
      </w:r>
      <w:r>
        <w:rPr>
          <w:rFonts w:hint="eastAsia" w:cs="宋体"/>
          <w:szCs w:val="21"/>
          <w:highlight w:val="none"/>
        </w:rPr>
        <w:t>天后发包人仍不纠正其违约行为并致使合同目的不能实现的，承包人有权解除合同。</w:t>
      </w:r>
    </w:p>
    <w:p w14:paraId="272FF097">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16.2 承包人违约</w:t>
      </w:r>
    </w:p>
    <w:p w14:paraId="6D1DA7B7">
      <w:pPr>
        <w:adjustRightInd w:val="0"/>
        <w:snapToGrid w:val="0"/>
        <w:spacing w:line="360" w:lineRule="auto"/>
        <w:ind w:firstLine="420" w:firstLineChars="200"/>
        <w:rPr>
          <w:rFonts w:cs="宋体"/>
          <w:szCs w:val="21"/>
          <w:highlight w:val="none"/>
        </w:rPr>
      </w:pPr>
      <w:r>
        <w:rPr>
          <w:rFonts w:hint="eastAsia" w:cs="宋体"/>
          <w:szCs w:val="21"/>
          <w:highlight w:val="none"/>
        </w:rPr>
        <w:t>16.2.1 承包人违约的情形</w:t>
      </w:r>
    </w:p>
    <w:p w14:paraId="2DBED1F4">
      <w:pPr>
        <w:wordWrap w:val="0"/>
        <w:adjustRightInd w:val="0"/>
        <w:spacing w:line="360" w:lineRule="auto"/>
        <w:ind w:firstLine="420" w:firstLineChars="200"/>
        <w:rPr>
          <w:kern w:val="0"/>
          <w:highlight w:val="none"/>
          <w:u w:val="single"/>
        </w:rPr>
      </w:pPr>
      <w:r>
        <w:rPr>
          <w:rFonts w:hint="eastAsia" w:cs="宋体"/>
          <w:szCs w:val="21"/>
          <w:highlight w:val="none"/>
        </w:rPr>
        <w:t>承包人违约的其他情形：</w:t>
      </w:r>
      <w:r>
        <w:rPr>
          <w:kern w:val="0"/>
          <w:highlight w:val="none"/>
          <w:u w:val="single"/>
        </w:rPr>
        <w:t>（1）承包人转包或违反合同约定进行分包的；</w:t>
      </w:r>
    </w:p>
    <w:p w14:paraId="52828041">
      <w:pPr>
        <w:wordWrap w:val="0"/>
        <w:adjustRightInd w:val="0"/>
        <w:spacing w:line="360" w:lineRule="auto"/>
        <w:ind w:firstLine="420" w:firstLineChars="200"/>
        <w:rPr>
          <w:kern w:val="0"/>
          <w:highlight w:val="none"/>
          <w:u w:val="single"/>
        </w:rPr>
      </w:pPr>
      <w:r>
        <w:rPr>
          <w:kern w:val="0"/>
          <w:highlight w:val="none"/>
          <w:u w:val="single"/>
        </w:rPr>
        <w:t>（2）承包人采购和使用不合格的材料和工程设备的；</w:t>
      </w:r>
    </w:p>
    <w:p w14:paraId="4B388CD1">
      <w:pPr>
        <w:wordWrap w:val="0"/>
        <w:adjustRightInd w:val="0"/>
        <w:spacing w:line="360" w:lineRule="auto"/>
        <w:ind w:firstLine="420" w:firstLineChars="200"/>
        <w:rPr>
          <w:kern w:val="0"/>
          <w:highlight w:val="none"/>
          <w:u w:val="single"/>
        </w:rPr>
      </w:pPr>
      <w:r>
        <w:rPr>
          <w:kern w:val="0"/>
          <w:highlight w:val="none"/>
          <w:u w:val="single"/>
        </w:rPr>
        <w:t>（3）因承包人原因导致工程质量不符合合同要求的；</w:t>
      </w:r>
    </w:p>
    <w:p w14:paraId="3AB4F523">
      <w:pPr>
        <w:wordWrap w:val="0"/>
        <w:adjustRightInd w:val="0"/>
        <w:spacing w:line="360" w:lineRule="auto"/>
        <w:ind w:firstLine="420" w:firstLineChars="200"/>
        <w:rPr>
          <w:kern w:val="0"/>
          <w:highlight w:val="none"/>
          <w:u w:val="single"/>
        </w:rPr>
      </w:pPr>
      <w:r>
        <w:rPr>
          <w:kern w:val="0"/>
          <w:highlight w:val="none"/>
          <w:u w:val="single"/>
        </w:rPr>
        <w:t>（4）承包人违反第 8.9 款“材料与设备专用要求”的约定，未经批准，私自将已按照合同约定进入施工现场的材料或设备撤离施工现场的；</w:t>
      </w:r>
    </w:p>
    <w:p w14:paraId="3D1FA64C">
      <w:pPr>
        <w:wordWrap w:val="0"/>
        <w:adjustRightInd w:val="0"/>
        <w:spacing w:line="360" w:lineRule="auto"/>
        <w:ind w:firstLine="420" w:firstLineChars="200"/>
        <w:rPr>
          <w:kern w:val="0"/>
          <w:highlight w:val="none"/>
          <w:u w:val="single"/>
        </w:rPr>
      </w:pPr>
      <w:r>
        <w:rPr>
          <w:kern w:val="0"/>
          <w:highlight w:val="none"/>
          <w:u w:val="single"/>
        </w:rPr>
        <w:t>（5）承包人未能按施工进度计划及时完成合同约定的工作，造成工期延误的；</w:t>
      </w:r>
    </w:p>
    <w:p w14:paraId="76D60565">
      <w:pPr>
        <w:wordWrap w:val="0"/>
        <w:adjustRightInd w:val="0"/>
        <w:spacing w:line="360" w:lineRule="auto"/>
        <w:ind w:firstLine="420" w:firstLineChars="200"/>
        <w:rPr>
          <w:kern w:val="0"/>
          <w:highlight w:val="none"/>
          <w:u w:val="single"/>
        </w:rPr>
      </w:pPr>
      <w:r>
        <w:rPr>
          <w:kern w:val="0"/>
          <w:highlight w:val="none"/>
          <w:u w:val="single"/>
        </w:rPr>
        <w:t>（6）承包人在缺陷责任期及保修期内，未能在合理期限对工程缺陷进行修复，或拒绝按发包人要求进行修复的；</w:t>
      </w:r>
    </w:p>
    <w:p w14:paraId="7759309E">
      <w:pPr>
        <w:wordWrap w:val="0"/>
        <w:adjustRightInd w:val="0"/>
        <w:spacing w:line="360" w:lineRule="auto"/>
        <w:ind w:firstLine="420" w:firstLineChars="200"/>
        <w:rPr>
          <w:kern w:val="0"/>
          <w:highlight w:val="none"/>
          <w:u w:val="single"/>
        </w:rPr>
      </w:pPr>
      <w:r>
        <w:rPr>
          <w:kern w:val="0"/>
          <w:highlight w:val="none"/>
          <w:u w:val="single"/>
        </w:rPr>
        <w:t>（7）承包人明确表示或者以其行为表明不履行合同主要义务的；</w:t>
      </w:r>
    </w:p>
    <w:p w14:paraId="1C99FD5C">
      <w:pPr>
        <w:wordWrap w:val="0"/>
        <w:adjustRightInd w:val="0"/>
        <w:spacing w:line="360" w:lineRule="auto"/>
        <w:ind w:firstLine="420" w:firstLineChars="200"/>
        <w:rPr>
          <w:kern w:val="0"/>
          <w:highlight w:val="none"/>
          <w:u w:val="single"/>
        </w:rPr>
      </w:pPr>
      <w:r>
        <w:rPr>
          <w:kern w:val="0"/>
          <w:highlight w:val="none"/>
          <w:u w:val="single"/>
        </w:rPr>
        <w:t>（8）承包人未能按照合同约定履行其他义务的。</w:t>
      </w:r>
    </w:p>
    <w:p w14:paraId="631B9B3F">
      <w:pPr>
        <w:wordWrap w:val="0"/>
        <w:adjustRightInd w:val="0"/>
        <w:spacing w:line="360" w:lineRule="auto"/>
        <w:ind w:firstLine="420" w:firstLineChars="200"/>
        <w:rPr>
          <w:rFonts w:cs="宋体"/>
          <w:szCs w:val="21"/>
          <w:highlight w:val="none"/>
          <w:u w:val="single"/>
        </w:rPr>
      </w:pPr>
      <w:r>
        <w:rPr>
          <w:kern w:val="0"/>
          <w:highlight w:val="none"/>
          <w:u w:val="single"/>
        </w:rPr>
        <w:t xml:space="preserve">承包人发生除本项第（7）目约定以外的其他违约情况时，监理人可向承包人发出整改通知，要求其在指定的期限内改正    </w:t>
      </w:r>
      <w:r>
        <w:rPr>
          <w:rFonts w:hint="eastAsia" w:cs="宋体"/>
          <w:szCs w:val="21"/>
          <w:highlight w:val="none"/>
        </w:rPr>
        <w:t>。</w:t>
      </w:r>
    </w:p>
    <w:p w14:paraId="087E1577">
      <w:pPr>
        <w:adjustRightInd w:val="0"/>
        <w:snapToGrid w:val="0"/>
        <w:spacing w:line="360" w:lineRule="auto"/>
        <w:ind w:firstLine="420" w:firstLineChars="200"/>
        <w:rPr>
          <w:rFonts w:cs="宋体"/>
          <w:szCs w:val="21"/>
          <w:highlight w:val="none"/>
        </w:rPr>
      </w:pPr>
      <w:r>
        <w:rPr>
          <w:rFonts w:hint="eastAsia" w:cs="宋体"/>
          <w:szCs w:val="21"/>
          <w:highlight w:val="none"/>
        </w:rPr>
        <w:t>16.2.2 承包人违约的责任</w:t>
      </w:r>
    </w:p>
    <w:p w14:paraId="4CD81C55">
      <w:pPr>
        <w:wordWrap w:val="0"/>
        <w:adjustRightInd w:val="0"/>
        <w:spacing w:line="360" w:lineRule="auto"/>
        <w:ind w:firstLine="420" w:firstLineChars="200"/>
        <w:rPr>
          <w:bCs/>
          <w:highlight w:val="none"/>
          <w:u w:val="single"/>
        </w:rPr>
      </w:pPr>
      <w:r>
        <w:rPr>
          <w:rFonts w:hint="eastAsia" w:cs="宋体"/>
          <w:szCs w:val="21"/>
          <w:highlight w:val="none"/>
        </w:rPr>
        <w:t>承包人违约责任的承担方式和计算方法：</w:t>
      </w:r>
      <w:r>
        <w:rPr>
          <w:bCs/>
          <w:highlight w:val="none"/>
          <w:u w:val="single"/>
        </w:rPr>
        <w:t>（1）如果因承包人原因工程质量达不到约定的质量标准，经承包人免费修补仍达不到约定的质量标准，或者质量问题严重无法修补，发包人有权终止合同，给发包人造成的损失由承包人负责；</w:t>
      </w:r>
    </w:p>
    <w:p w14:paraId="3276C9EB">
      <w:pPr>
        <w:wordWrap w:val="0"/>
        <w:adjustRightInd w:val="0"/>
        <w:spacing w:line="360" w:lineRule="auto"/>
        <w:ind w:firstLine="420" w:firstLineChars="200"/>
        <w:rPr>
          <w:bCs/>
          <w:highlight w:val="none"/>
          <w:u w:val="single"/>
        </w:rPr>
      </w:pPr>
      <w:r>
        <w:rPr>
          <w:bCs/>
          <w:highlight w:val="none"/>
          <w:u w:val="single"/>
        </w:rPr>
        <w:t>（2）承包人不能按合同履约，发包人有权责令承包人限期改正，并暂停支付工程进度款。若承包人在期限内未进行改正的，发包人有权</w:t>
      </w:r>
      <w:r>
        <w:rPr>
          <w:rStyle w:val="63"/>
          <w:highlight w:val="none"/>
        </w:rPr>
        <w:t>解除</w:t>
      </w:r>
      <w:r>
        <w:rPr>
          <w:bCs/>
          <w:highlight w:val="none"/>
          <w:u w:val="single"/>
        </w:rPr>
        <w:t>合同并追究承包人违约责任；</w:t>
      </w:r>
    </w:p>
    <w:p w14:paraId="76884996">
      <w:pPr>
        <w:adjustRightInd w:val="0"/>
        <w:snapToGrid w:val="0"/>
        <w:spacing w:line="360" w:lineRule="auto"/>
        <w:ind w:firstLine="420" w:firstLineChars="200"/>
        <w:rPr>
          <w:rFonts w:cs="宋体"/>
          <w:szCs w:val="21"/>
          <w:highlight w:val="none"/>
          <w:u w:val="single"/>
        </w:rPr>
      </w:pPr>
      <w:r>
        <w:rPr>
          <w:bCs/>
          <w:highlight w:val="none"/>
          <w:u w:val="single"/>
        </w:rPr>
        <w:t>（3）承包人违反任何一条合同约定一次，都应按合同约定支付违约金，并在限期内改正。若承包人违约累计三次以上或经两次通知仍拒不改正的，发包人有权暂停支付工程款或单方解除合同，承包人承担由此造成的一切责任</w:t>
      </w:r>
      <w:r>
        <w:rPr>
          <w:bCs/>
          <w:highlight w:val="none"/>
        </w:rPr>
        <w:t>。</w:t>
      </w:r>
    </w:p>
    <w:p w14:paraId="3BC77A5C">
      <w:pPr>
        <w:adjustRightInd w:val="0"/>
        <w:snapToGrid w:val="0"/>
        <w:spacing w:line="360" w:lineRule="auto"/>
        <w:ind w:firstLine="420" w:firstLineChars="200"/>
        <w:rPr>
          <w:rFonts w:cs="宋体"/>
          <w:szCs w:val="21"/>
          <w:highlight w:val="none"/>
        </w:rPr>
      </w:pPr>
      <w:r>
        <w:rPr>
          <w:rFonts w:hint="eastAsia" w:cs="宋体"/>
          <w:szCs w:val="21"/>
          <w:highlight w:val="none"/>
        </w:rPr>
        <w:t>16.2.3 因承包人违约解除合同</w:t>
      </w:r>
    </w:p>
    <w:p w14:paraId="3F5AB4B5">
      <w:pPr>
        <w:wordWrap w:val="0"/>
        <w:adjustRightInd w:val="0"/>
        <w:spacing w:line="360" w:lineRule="auto"/>
        <w:ind w:firstLine="420" w:firstLineChars="200"/>
        <w:rPr>
          <w:kern w:val="0"/>
          <w:highlight w:val="none"/>
          <w:u w:val="single"/>
        </w:rPr>
      </w:pPr>
      <w:r>
        <w:rPr>
          <w:rFonts w:hint="eastAsia" w:cs="宋体"/>
          <w:szCs w:val="21"/>
          <w:highlight w:val="none"/>
        </w:rPr>
        <w:t>关于承包人违约解除合同的特别约定：</w:t>
      </w:r>
      <w:r>
        <w:rPr>
          <w:kern w:val="0"/>
          <w:highlight w:val="none"/>
          <w:u w:val="single"/>
        </w:rPr>
        <w:t>（1）承包人违约导致发包人单方解除（终止）合同的，承包人必须按签约合同价的3%支付违约金；造成发包人损失的，还应赔偿发包人的损失。</w:t>
      </w:r>
    </w:p>
    <w:p w14:paraId="1592EE67">
      <w:pPr>
        <w:wordWrap w:val="0"/>
        <w:adjustRightInd w:val="0"/>
        <w:spacing w:line="360" w:lineRule="auto"/>
        <w:ind w:firstLine="420" w:firstLineChars="200"/>
        <w:rPr>
          <w:kern w:val="0"/>
          <w:highlight w:val="none"/>
          <w:u w:val="single"/>
        </w:rPr>
      </w:pPr>
      <w:r>
        <w:rPr>
          <w:kern w:val="0"/>
          <w:highlight w:val="none"/>
          <w:u w:val="single"/>
        </w:rPr>
        <w:t>（2）合同解除（终止）后，承包人必须在发包人规定的期限内无条件退场，并采取保护措施，确保已建成建安工程完好，全部清理，交付发包人，并在10日内移交全部施工资料，保证发包人可以据此继续施工，承包人行为导致发包人有经济损失的，发包人有权对承包人现场财产进行扣留和法律保全。未按规定期限退场造成的损失由承包人承担；若承包人拒不退场的，发包人有权请求法院强制其退场。</w:t>
      </w:r>
    </w:p>
    <w:p w14:paraId="4CFFB5C9">
      <w:pPr>
        <w:wordWrap w:val="0"/>
        <w:adjustRightInd w:val="0"/>
        <w:spacing w:line="360" w:lineRule="auto"/>
        <w:ind w:firstLine="420" w:firstLineChars="200"/>
        <w:rPr>
          <w:kern w:val="0"/>
          <w:highlight w:val="none"/>
          <w:u w:val="single"/>
        </w:rPr>
      </w:pPr>
      <w:r>
        <w:rPr>
          <w:kern w:val="0"/>
          <w:highlight w:val="none"/>
          <w:u w:val="single"/>
        </w:rPr>
        <w:t>（3）合同解除（终止）后，双方在5日内共同对承包人已完工程进行证据保全。若承包人不予配合的，按发包人持有的证据为准。发包人按已完成合格工程的工程量50%支付工程款；且发包人应支付承包人的工程款必须待工程竣工验收后进行结算，由于解除（终止）合同产生的一切损失均由承包人承担。</w:t>
      </w:r>
    </w:p>
    <w:p w14:paraId="48176240">
      <w:pPr>
        <w:adjustRightInd w:val="0"/>
        <w:snapToGrid w:val="0"/>
        <w:spacing w:line="360" w:lineRule="auto"/>
        <w:ind w:firstLine="420" w:firstLineChars="200"/>
        <w:rPr>
          <w:rFonts w:cs="宋体"/>
          <w:szCs w:val="21"/>
          <w:highlight w:val="none"/>
          <w:u w:val="single"/>
        </w:rPr>
      </w:pPr>
      <w:r>
        <w:rPr>
          <w:kern w:val="0"/>
          <w:highlight w:val="none"/>
          <w:u w:val="single"/>
        </w:rPr>
        <w:t>（4）若解除（终止）合同后，承包人仍继续施工的，通知发出后施工的工程量不得计入承包人已完工程范围内，发包人对该部分工程不予计量、不予结算、不予支付工程款</w:t>
      </w:r>
      <w:r>
        <w:rPr>
          <w:kern w:val="0"/>
          <w:highlight w:val="none"/>
        </w:rPr>
        <w:t>。</w:t>
      </w:r>
    </w:p>
    <w:p w14:paraId="5F734CAC">
      <w:pPr>
        <w:adjustRightInd w:val="0"/>
        <w:snapToGrid w:val="0"/>
        <w:spacing w:line="360" w:lineRule="auto"/>
        <w:ind w:firstLine="420" w:firstLineChars="200"/>
        <w:rPr>
          <w:rFonts w:cs="宋体"/>
          <w:szCs w:val="21"/>
          <w:highlight w:val="none"/>
        </w:rPr>
      </w:pPr>
      <w:r>
        <w:rPr>
          <w:rFonts w:hint="eastAsia" w:cs="宋体"/>
          <w:szCs w:val="21"/>
          <w:highlight w:val="none"/>
        </w:rPr>
        <w:t>发包人继续使用承包人在施工现场的材料、设备、临时工程、承包人文件和由承包人或以其名义编制的其他文件的费用承担方式：</w:t>
      </w:r>
      <w:r>
        <w:rPr>
          <w:rFonts w:hint="eastAsia" w:cs="宋体"/>
          <w:szCs w:val="21"/>
          <w:highlight w:val="none"/>
          <w:u w:val="single"/>
        </w:rPr>
        <w:t xml:space="preserve"> </w:t>
      </w:r>
      <w:r>
        <w:rPr>
          <w:kern w:val="0"/>
          <w:highlight w:val="none"/>
          <w:u w:val="single"/>
        </w:rPr>
        <w:t>包含在已支付工程进度款内，发包人不再支付任何额外的费用</w:t>
      </w:r>
      <w:r>
        <w:rPr>
          <w:rFonts w:hint="eastAsia" w:cs="宋体"/>
          <w:szCs w:val="21"/>
          <w:highlight w:val="none"/>
        </w:rPr>
        <w:t>。</w:t>
      </w:r>
    </w:p>
    <w:p w14:paraId="0AF4A62A">
      <w:pPr>
        <w:snapToGrid w:val="0"/>
        <w:spacing w:before="312" w:beforeLines="100" w:after="312" w:afterLines="100" w:line="360" w:lineRule="auto"/>
        <w:outlineLvl w:val="2"/>
        <w:rPr>
          <w:rFonts w:cs="宋体"/>
          <w:szCs w:val="21"/>
          <w:highlight w:val="none"/>
        </w:rPr>
      </w:pPr>
      <w:bookmarkStart w:id="596" w:name="_Toc351203649"/>
      <w:r>
        <w:rPr>
          <w:rFonts w:hint="eastAsia" w:cs="宋体"/>
          <w:szCs w:val="21"/>
          <w:highlight w:val="none"/>
        </w:rPr>
        <w:t>17. 不可抗力</w:t>
      </w:r>
      <w:bookmarkEnd w:id="596"/>
      <w:r>
        <w:rPr>
          <w:rFonts w:hint="eastAsia" w:cs="宋体"/>
          <w:szCs w:val="21"/>
          <w:highlight w:val="none"/>
        </w:rPr>
        <w:t xml:space="preserve"> </w:t>
      </w:r>
      <w:bookmarkEnd w:id="594"/>
    </w:p>
    <w:p w14:paraId="7B0DFE08">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17.1 不可抗力的确认</w:t>
      </w:r>
    </w:p>
    <w:p w14:paraId="43C86B1A">
      <w:pPr>
        <w:adjustRightInd w:val="0"/>
        <w:snapToGrid w:val="0"/>
        <w:spacing w:line="360" w:lineRule="auto"/>
        <w:ind w:firstLine="420" w:firstLineChars="200"/>
        <w:rPr>
          <w:rFonts w:cs="宋体"/>
          <w:b/>
          <w:szCs w:val="21"/>
          <w:highlight w:val="none"/>
          <w:u w:val="single"/>
        </w:rPr>
      </w:pPr>
      <w:r>
        <w:rPr>
          <w:rFonts w:hint="eastAsia" w:cs="宋体"/>
          <w:szCs w:val="21"/>
          <w:highlight w:val="none"/>
        </w:rPr>
        <w:t>除通用合同条款约定的不可抗力事件之外，视为不可抗力的其他情形：</w:t>
      </w:r>
      <w:r>
        <w:rPr>
          <w:rFonts w:hint="eastAsia" w:cs="宋体"/>
          <w:szCs w:val="21"/>
          <w:highlight w:val="none"/>
          <w:u w:val="single"/>
        </w:rPr>
        <w:t>执行通用条款</w:t>
      </w:r>
      <w:r>
        <w:rPr>
          <w:rFonts w:hint="eastAsia" w:cs="宋体"/>
          <w:szCs w:val="21"/>
          <w:highlight w:val="none"/>
        </w:rPr>
        <w:t>。</w:t>
      </w:r>
    </w:p>
    <w:p w14:paraId="47596651">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17.4 因不可抗力解除合同</w:t>
      </w:r>
    </w:p>
    <w:p w14:paraId="4E9DB9C5">
      <w:pPr>
        <w:adjustRightInd w:val="0"/>
        <w:snapToGrid w:val="0"/>
        <w:spacing w:line="360" w:lineRule="auto"/>
        <w:ind w:firstLine="420" w:firstLineChars="200"/>
        <w:rPr>
          <w:rFonts w:cs="宋体"/>
          <w:szCs w:val="21"/>
          <w:highlight w:val="none"/>
        </w:rPr>
      </w:pPr>
      <w:r>
        <w:rPr>
          <w:rFonts w:hint="eastAsia" w:cs="宋体"/>
          <w:szCs w:val="21"/>
          <w:highlight w:val="none"/>
        </w:rPr>
        <w:t>合同解除后，发包人应在商定或确定发包人应支付款项后</w:t>
      </w:r>
      <w:r>
        <w:rPr>
          <w:rFonts w:hint="eastAsia" w:cs="宋体"/>
          <w:szCs w:val="21"/>
          <w:highlight w:val="none"/>
          <w:u w:val="single"/>
        </w:rPr>
        <w:t>28</w:t>
      </w:r>
      <w:r>
        <w:rPr>
          <w:rFonts w:hint="eastAsia" w:cs="宋体"/>
          <w:szCs w:val="21"/>
          <w:highlight w:val="none"/>
        </w:rPr>
        <w:t>天内完成款项的支付。</w:t>
      </w:r>
    </w:p>
    <w:p w14:paraId="098DB71C">
      <w:pPr>
        <w:snapToGrid w:val="0"/>
        <w:spacing w:before="312" w:beforeLines="100" w:after="312" w:afterLines="100" w:line="360" w:lineRule="auto"/>
        <w:outlineLvl w:val="2"/>
        <w:rPr>
          <w:rFonts w:cs="宋体"/>
          <w:szCs w:val="21"/>
          <w:highlight w:val="none"/>
        </w:rPr>
      </w:pPr>
      <w:bookmarkStart w:id="597" w:name="_Toc351203650"/>
      <w:r>
        <w:rPr>
          <w:rFonts w:hint="eastAsia" w:cs="宋体"/>
          <w:szCs w:val="21"/>
          <w:highlight w:val="none"/>
        </w:rPr>
        <w:t>18. 保险</w:t>
      </w:r>
      <w:bookmarkEnd w:id="597"/>
    </w:p>
    <w:bookmarkEnd w:id="595"/>
    <w:p w14:paraId="0B185307">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18.1 工程保险</w:t>
      </w:r>
    </w:p>
    <w:p w14:paraId="33C9E705">
      <w:pPr>
        <w:adjustRightInd w:val="0"/>
        <w:snapToGrid w:val="0"/>
        <w:spacing w:line="360" w:lineRule="auto"/>
        <w:ind w:firstLine="420" w:firstLineChars="200"/>
        <w:rPr>
          <w:rFonts w:cs="宋体"/>
          <w:b/>
          <w:szCs w:val="21"/>
          <w:highlight w:val="none"/>
        </w:rPr>
      </w:pPr>
      <w:r>
        <w:rPr>
          <w:rFonts w:hint="eastAsia" w:cs="宋体"/>
          <w:szCs w:val="21"/>
          <w:highlight w:val="none"/>
        </w:rPr>
        <w:t>关于工程保险的特别约定：</w:t>
      </w:r>
      <w:r>
        <w:rPr>
          <w:rFonts w:hint="eastAsia" w:cs="宋体"/>
          <w:b/>
          <w:szCs w:val="21"/>
          <w:highlight w:val="none"/>
          <w:u w:val="single"/>
        </w:rPr>
        <w:t xml:space="preserve"> </w:t>
      </w:r>
      <w:r>
        <w:rPr>
          <w:bCs/>
          <w:kern w:val="0"/>
          <w:highlight w:val="none"/>
          <w:u w:val="single"/>
        </w:rPr>
        <w:t>承包人应投保建筑工程一切险或安装工程一切险</w:t>
      </w:r>
      <w:r>
        <w:rPr>
          <w:rFonts w:hint="eastAsia" w:cs="宋体"/>
          <w:b/>
          <w:szCs w:val="21"/>
          <w:highlight w:val="none"/>
        </w:rPr>
        <w:t>。</w:t>
      </w:r>
    </w:p>
    <w:p w14:paraId="5D936AB2">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18.3 其他保险</w:t>
      </w:r>
    </w:p>
    <w:p w14:paraId="7D9E74A8">
      <w:pPr>
        <w:adjustRightInd w:val="0"/>
        <w:snapToGrid w:val="0"/>
        <w:spacing w:line="360" w:lineRule="auto"/>
        <w:ind w:firstLine="420" w:firstLineChars="200"/>
        <w:rPr>
          <w:rFonts w:cs="宋体"/>
          <w:szCs w:val="21"/>
          <w:highlight w:val="none"/>
        </w:rPr>
      </w:pPr>
      <w:r>
        <w:rPr>
          <w:rFonts w:hint="eastAsia" w:cs="宋体"/>
          <w:szCs w:val="21"/>
          <w:highlight w:val="none"/>
        </w:rPr>
        <w:t>关于其他保险的约定：</w:t>
      </w:r>
      <w:r>
        <w:rPr>
          <w:rFonts w:hint="eastAsia" w:cs="宋体"/>
          <w:szCs w:val="21"/>
          <w:highlight w:val="none"/>
          <w:u w:val="single"/>
        </w:rPr>
        <w:t>承包人须为其施工现场的全部人员办理意外伤害保险并支付保险费，包括其员工及为履行合同聘请的第三方的人员</w:t>
      </w:r>
      <w:r>
        <w:rPr>
          <w:rFonts w:hint="eastAsia" w:cs="宋体"/>
          <w:szCs w:val="21"/>
          <w:highlight w:val="none"/>
        </w:rPr>
        <w:t>。</w:t>
      </w:r>
    </w:p>
    <w:p w14:paraId="23CB5664">
      <w:pPr>
        <w:adjustRightInd w:val="0"/>
        <w:snapToGrid w:val="0"/>
        <w:spacing w:line="360" w:lineRule="auto"/>
        <w:ind w:firstLine="420" w:firstLineChars="200"/>
        <w:rPr>
          <w:rFonts w:cs="宋体"/>
          <w:szCs w:val="21"/>
          <w:highlight w:val="none"/>
          <w:u w:val="single"/>
        </w:rPr>
      </w:pPr>
      <w:r>
        <w:rPr>
          <w:rFonts w:hint="eastAsia" w:cs="宋体"/>
          <w:szCs w:val="21"/>
          <w:highlight w:val="none"/>
        </w:rPr>
        <w:t>承包人是否应为其施工设备等办理财产保险：</w:t>
      </w:r>
      <w:r>
        <w:rPr>
          <w:rFonts w:hint="eastAsia" w:cs="宋体"/>
          <w:szCs w:val="21"/>
          <w:highlight w:val="none"/>
          <w:u w:val="single"/>
        </w:rPr>
        <w:t>执行通用条款</w:t>
      </w:r>
      <w:r>
        <w:rPr>
          <w:rFonts w:hint="eastAsia" w:cs="宋体"/>
          <w:szCs w:val="21"/>
          <w:highlight w:val="none"/>
        </w:rPr>
        <w:t>。</w:t>
      </w:r>
    </w:p>
    <w:p w14:paraId="2D0E51D2">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18.7 通知义务</w:t>
      </w:r>
    </w:p>
    <w:p w14:paraId="1A37A271">
      <w:pPr>
        <w:adjustRightInd w:val="0"/>
        <w:snapToGrid w:val="0"/>
        <w:spacing w:line="360" w:lineRule="auto"/>
        <w:ind w:firstLine="420" w:firstLineChars="200"/>
        <w:rPr>
          <w:rFonts w:cs="宋体"/>
          <w:b/>
          <w:szCs w:val="21"/>
          <w:highlight w:val="none"/>
          <w:u w:val="single"/>
        </w:rPr>
      </w:pPr>
      <w:r>
        <w:rPr>
          <w:rFonts w:hint="eastAsia" w:cs="宋体"/>
          <w:szCs w:val="21"/>
          <w:highlight w:val="none"/>
        </w:rPr>
        <w:t>关于变更保险合同时的通知义务的约定：</w:t>
      </w:r>
      <w:r>
        <w:rPr>
          <w:rFonts w:hint="eastAsia" w:cs="宋体"/>
          <w:szCs w:val="21"/>
          <w:highlight w:val="none"/>
          <w:u w:val="single"/>
        </w:rPr>
        <w:t>执行通用条款</w:t>
      </w:r>
      <w:r>
        <w:rPr>
          <w:rFonts w:hint="eastAsia" w:cs="宋体"/>
          <w:szCs w:val="21"/>
          <w:highlight w:val="none"/>
        </w:rPr>
        <w:t>。</w:t>
      </w:r>
    </w:p>
    <w:bookmarkEnd w:id="571"/>
    <w:bookmarkEnd w:id="572"/>
    <w:bookmarkEnd w:id="573"/>
    <w:bookmarkEnd w:id="574"/>
    <w:bookmarkEnd w:id="575"/>
    <w:bookmarkEnd w:id="576"/>
    <w:bookmarkEnd w:id="577"/>
    <w:bookmarkEnd w:id="578"/>
    <w:bookmarkEnd w:id="579"/>
    <w:bookmarkEnd w:id="580"/>
    <w:bookmarkEnd w:id="581"/>
    <w:bookmarkEnd w:id="582"/>
    <w:p w14:paraId="191AC630">
      <w:pPr>
        <w:snapToGrid w:val="0"/>
        <w:spacing w:before="312" w:beforeLines="100" w:after="312" w:afterLines="100" w:line="360" w:lineRule="auto"/>
        <w:outlineLvl w:val="2"/>
        <w:rPr>
          <w:rFonts w:cs="宋体"/>
          <w:szCs w:val="21"/>
          <w:highlight w:val="none"/>
        </w:rPr>
      </w:pPr>
      <w:bookmarkStart w:id="598" w:name="_Toc351203651"/>
      <w:r>
        <w:rPr>
          <w:rFonts w:hint="eastAsia" w:cs="宋体"/>
          <w:szCs w:val="21"/>
          <w:highlight w:val="none"/>
        </w:rPr>
        <w:t>20. 争议解决</w:t>
      </w:r>
      <w:bookmarkEnd w:id="598"/>
    </w:p>
    <w:bookmarkEnd w:id="583"/>
    <w:bookmarkEnd w:id="584"/>
    <w:p w14:paraId="436FE85D">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20.3 争</w:t>
      </w:r>
      <w:bookmarkEnd w:id="585"/>
      <w:r>
        <w:rPr>
          <w:rFonts w:hint="eastAsia" w:cs="宋体"/>
          <w:bCs/>
          <w:szCs w:val="21"/>
          <w:highlight w:val="none"/>
        </w:rPr>
        <w:t>议评审</w:t>
      </w:r>
    </w:p>
    <w:p w14:paraId="27187EB0">
      <w:pPr>
        <w:adjustRightInd w:val="0"/>
        <w:snapToGrid w:val="0"/>
        <w:spacing w:line="360" w:lineRule="auto"/>
        <w:ind w:firstLine="420" w:firstLineChars="200"/>
        <w:rPr>
          <w:rFonts w:cs="宋体"/>
          <w:szCs w:val="21"/>
          <w:highlight w:val="none"/>
          <w:u w:val="single"/>
        </w:rPr>
      </w:pPr>
      <w:r>
        <w:rPr>
          <w:rFonts w:hint="eastAsia" w:cs="宋体"/>
          <w:szCs w:val="21"/>
          <w:highlight w:val="none"/>
        </w:rPr>
        <w:t>合同当事人是否同意将工程争议提交争议评审小组决定：</w:t>
      </w:r>
      <w:r>
        <w:rPr>
          <w:rFonts w:hint="eastAsia" w:cs="宋体"/>
          <w:szCs w:val="21"/>
          <w:highlight w:val="none"/>
          <w:u w:val="single"/>
        </w:rPr>
        <w:t xml:space="preserve">         否      </w:t>
      </w:r>
      <w:r>
        <w:rPr>
          <w:rFonts w:hint="eastAsia" w:cs="宋体"/>
          <w:szCs w:val="21"/>
          <w:highlight w:val="none"/>
        </w:rPr>
        <w:t>。</w:t>
      </w:r>
    </w:p>
    <w:p w14:paraId="52118B4A">
      <w:pPr>
        <w:adjustRightInd w:val="0"/>
        <w:snapToGrid w:val="0"/>
        <w:spacing w:line="360" w:lineRule="auto"/>
        <w:ind w:firstLine="420" w:firstLineChars="200"/>
        <w:rPr>
          <w:rFonts w:cs="宋体"/>
          <w:szCs w:val="21"/>
          <w:highlight w:val="none"/>
        </w:rPr>
      </w:pPr>
      <w:r>
        <w:rPr>
          <w:rFonts w:hint="eastAsia" w:cs="宋体"/>
          <w:szCs w:val="21"/>
          <w:highlight w:val="none"/>
        </w:rPr>
        <w:t>20.3.1 争议评审小组的确定</w:t>
      </w:r>
    </w:p>
    <w:p w14:paraId="2397DDC0">
      <w:pPr>
        <w:adjustRightInd w:val="0"/>
        <w:snapToGrid w:val="0"/>
        <w:spacing w:line="360" w:lineRule="auto"/>
        <w:ind w:firstLine="420" w:firstLineChars="200"/>
        <w:rPr>
          <w:rFonts w:cs="宋体"/>
          <w:szCs w:val="21"/>
          <w:highlight w:val="none"/>
          <w:u w:val="single"/>
        </w:rPr>
      </w:pPr>
      <w:r>
        <w:rPr>
          <w:rFonts w:hint="eastAsia" w:cs="宋体"/>
          <w:szCs w:val="21"/>
          <w:highlight w:val="none"/>
        </w:rPr>
        <w:t>争议评审小组成员的确定：</w:t>
      </w:r>
      <w:r>
        <w:rPr>
          <w:rFonts w:hint="eastAsia" w:cs="宋体"/>
          <w:szCs w:val="21"/>
          <w:highlight w:val="none"/>
          <w:u w:val="single"/>
        </w:rPr>
        <w:t xml:space="preserve">              /               </w:t>
      </w:r>
      <w:r>
        <w:rPr>
          <w:rFonts w:hint="eastAsia" w:cs="宋体"/>
          <w:szCs w:val="21"/>
          <w:highlight w:val="none"/>
        </w:rPr>
        <w:t>。</w:t>
      </w:r>
    </w:p>
    <w:p w14:paraId="5203D18C">
      <w:pPr>
        <w:adjustRightInd w:val="0"/>
        <w:snapToGrid w:val="0"/>
        <w:spacing w:line="360" w:lineRule="auto"/>
        <w:ind w:firstLine="420" w:firstLineChars="200"/>
        <w:rPr>
          <w:rFonts w:cs="宋体"/>
          <w:szCs w:val="21"/>
          <w:highlight w:val="none"/>
        </w:rPr>
      </w:pPr>
      <w:r>
        <w:rPr>
          <w:rFonts w:hint="eastAsia" w:cs="宋体"/>
          <w:szCs w:val="21"/>
          <w:highlight w:val="none"/>
        </w:rPr>
        <w:t>选定争议评审员的期限：</w:t>
      </w:r>
      <w:r>
        <w:rPr>
          <w:rFonts w:hint="eastAsia" w:cs="宋体"/>
          <w:szCs w:val="21"/>
          <w:highlight w:val="none"/>
          <w:u w:val="single"/>
        </w:rPr>
        <w:t xml:space="preserve">                /               </w:t>
      </w:r>
      <w:r>
        <w:rPr>
          <w:rFonts w:hint="eastAsia" w:cs="宋体"/>
          <w:szCs w:val="21"/>
          <w:highlight w:val="none"/>
        </w:rPr>
        <w:t>。</w:t>
      </w:r>
    </w:p>
    <w:p w14:paraId="00774199">
      <w:pPr>
        <w:adjustRightInd w:val="0"/>
        <w:snapToGrid w:val="0"/>
        <w:spacing w:line="360" w:lineRule="auto"/>
        <w:ind w:firstLine="420" w:firstLineChars="200"/>
        <w:rPr>
          <w:rFonts w:cs="宋体"/>
          <w:szCs w:val="21"/>
          <w:highlight w:val="none"/>
        </w:rPr>
      </w:pPr>
      <w:r>
        <w:rPr>
          <w:rFonts w:hint="eastAsia" w:cs="宋体"/>
          <w:szCs w:val="21"/>
          <w:highlight w:val="none"/>
        </w:rPr>
        <w:t>争议评审小组成员的报酬承担方式：</w:t>
      </w:r>
      <w:r>
        <w:rPr>
          <w:rFonts w:hint="eastAsia" w:cs="宋体"/>
          <w:szCs w:val="21"/>
          <w:highlight w:val="none"/>
          <w:u w:val="single"/>
        </w:rPr>
        <w:t xml:space="preserve">      /               </w:t>
      </w:r>
      <w:r>
        <w:rPr>
          <w:rFonts w:hint="eastAsia" w:cs="宋体"/>
          <w:szCs w:val="21"/>
          <w:highlight w:val="none"/>
        </w:rPr>
        <w:t>。</w:t>
      </w:r>
    </w:p>
    <w:p w14:paraId="73235DA3">
      <w:pPr>
        <w:adjustRightInd w:val="0"/>
        <w:snapToGrid w:val="0"/>
        <w:spacing w:line="360" w:lineRule="auto"/>
        <w:ind w:firstLine="420" w:firstLineChars="200"/>
        <w:rPr>
          <w:rFonts w:cs="宋体"/>
          <w:szCs w:val="21"/>
          <w:highlight w:val="none"/>
        </w:rPr>
      </w:pPr>
      <w:r>
        <w:rPr>
          <w:rFonts w:hint="eastAsia" w:cs="宋体"/>
          <w:szCs w:val="21"/>
          <w:highlight w:val="none"/>
        </w:rPr>
        <w:t>其他事项的约定：</w:t>
      </w:r>
      <w:r>
        <w:rPr>
          <w:rFonts w:hint="eastAsia" w:cs="宋体"/>
          <w:szCs w:val="21"/>
          <w:highlight w:val="none"/>
          <w:u w:val="single"/>
        </w:rPr>
        <w:t xml:space="preserve">                      /               </w:t>
      </w:r>
      <w:r>
        <w:rPr>
          <w:rFonts w:hint="eastAsia" w:cs="宋体"/>
          <w:szCs w:val="21"/>
          <w:highlight w:val="none"/>
        </w:rPr>
        <w:t>。</w:t>
      </w:r>
    </w:p>
    <w:p w14:paraId="6C4FEB28">
      <w:pPr>
        <w:adjustRightInd w:val="0"/>
        <w:snapToGrid w:val="0"/>
        <w:spacing w:line="360" w:lineRule="auto"/>
        <w:ind w:firstLine="420" w:firstLineChars="200"/>
        <w:rPr>
          <w:rFonts w:cs="宋体"/>
          <w:szCs w:val="21"/>
          <w:highlight w:val="none"/>
        </w:rPr>
      </w:pPr>
      <w:r>
        <w:rPr>
          <w:rFonts w:hint="eastAsia" w:cs="宋体"/>
          <w:szCs w:val="21"/>
          <w:highlight w:val="none"/>
        </w:rPr>
        <w:t>20.3.2 争议评审小组的决定</w:t>
      </w:r>
    </w:p>
    <w:p w14:paraId="60B732E1">
      <w:pPr>
        <w:adjustRightInd w:val="0"/>
        <w:snapToGrid w:val="0"/>
        <w:spacing w:line="360" w:lineRule="auto"/>
        <w:ind w:firstLine="420" w:firstLineChars="200"/>
        <w:rPr>
          <w:rFonts w:cs="宋体"/>
          <w:szCs w:val="21"/>
          <w:highlight w:val="none"/>
        </w:rPr>
      </w:pPr>
      <w:r>
        <w:rPr>
          <w:rFonts w:hint="eastAsia" w:cs="宋体"/>
          <w:szCs w:val="21"/>
          <w:highlight w:val="none"/>
        </w:rPr>
        <w:t>合同当事人关于本项的约定：</w:t>
      </w:r>
      <w:r>
        <w:rPr>
          <w:rFonts w:hint="eastAsia" w:cs="宋体"/>
          <w:szCs w:val="21"/>
          <w:highlight w:val="none"/>
          <w:u w:val="single"/>
        </w:rPr>
        <w:t xml:space="preserve">            /               </w:t>
      </w:r>
      <w:r>
        <w:rPr>
          <w:rFonts w:hint="eastAsia" w:cs="宋体"/>
          <w:szCs w:val="21"/>
          <w:highlight w:val="none"/>
        </w:rPr>
        <w:t>。</w:t>
      </w:r>
    </w:p>
    <w:p w14:paraId="043A0676">
      <w:pPr>
        <w:keepNext/>
        <w:keepLines/>
        <w:snapToGrid w:val="0"/>
        <w:spacing w:before="120" w:after="120" w:line="360" w:lineRule="auto"/>
        <w:ind w:firstLine="420" w:firstLineChars="200"/>
        <w:outlineLvl w:val="3"/>
        <w:rPr>
          <w:rFonts w:cs="宋体"/>
          <w:bCs/>
          <w:szCs w:val="21"/>
          <w:highlight w:val="none"/>
        </w:rPr>
      </w:pPr>
      <w:r>
        <w:rPr>
          <w:rFonts w:hint="eastAsia" w:cs="宋体"/>
          <w:bCs/>
          <w:szCs w:val="21"/>
          <w:highlight w:val="none"/>
        </w:rPr>
        <w:t>20.4 仲裁或诉讼</w:t>
      </w:r>
      <w:bookmarkEnd w:id="586"/>
    </w:p>
    <w:bookmarkEnd w:id="587"/>
    <w:bookmarkEnd w:id="588"/>
    <w:bookmarkEnd w:id="589"/>
    <w:bookmarkEnd w:id="590"/>
    <w:bookmarkEnd w:id="591"/>
    <w:bookmarkEnd w:id="592"/>
    <w:p w14:paraId="160D56C5">
      <w:pPr>
        <w:adjustRightInd w:val="0"/>
        <w:snapToGrid w:val="0"/>
        <w:spacing w:line="360" w:lineRule="auto"/>
        <w:ind w:firstLine="420" w:firstLineChars="200"/>
        <w:rPr>
          <w:rFonts w:cs="宋体"/>
          <w:szCs w:val="21"/>
          <w:highlight w:val="none"/>
        </w:rPr>
      </w:pPr>
      <w:r>
        <w:rPr>
          <w:rFonts w:hint="eastAsia" w:cs="宋体"/>
          <w:szCs w:val="21"/>
          <w:highlight w:val="none"/>
        </w:rPr>
        <w:t>因合同及合同有关事项发生的争议，按下列</w:t>
      </w:r>
      <w:r>
        <w:rPr>
          <w:rFonts w:hint="eastAsia" w:cs="宋体"/>
          <w:b/>
          <w:bCs/>
          <w:szCs w:val="21"/>
          <w:highlight w:val="none"/>
        </w:rPr>
        <w:t>第</w:t>
      </w:r>
      <w:r>
        <w:rPr>
          <w:rFonts w:hint="eastAsia" w:cs="宋体"/>
          <w:b/>
          <w:bCs/>
          <w:szCs w:val="21"/>
          <w:highlight w:val="none"/>
          <w:u w:val="single"/>
        </w:rPr>
        <w:t xml:space="preserve"> 2 </w:t>
      </w:r>
      <w:r>
        <w:rPr>
          <w:rFonts w:hint="eastAsia" w:cs="宋体"/>
          <w:b/>
          <w:bCs/>
          <w:szCs w:val="21"/>
          <w:highlight w:val="none"/>
        </w:rPr>
        <w:t>种</w:t>
      </w:r>
      <w:r>
        <w:rPr>
          <w:rFonts w:hint="eastAsia" w:cs="宋体"/>
          <w:szCs w:val="21"/>
          <w:highlight w:val="none"/>
        </w:rPr>
        <w:t>方式解决：</w:t>
      </w:r>
    </w:p>
    <w:p w14:paraId="492EF798">
      <w:pPr>
        <w:numPr>
          <w:ilvl w:val="0"/>
          <w:numId w:val="6"/>
        </w:numPr>
        <w:adjustRightInd w:val="0"/>
        <w:snapToGrid w:val="0"/>
        <w:spacing w:line="360" w:lineRule="auto"/>
        <w:ind w:firstLine="420" w:firstLineChars="200"/>
        <w:rPr>
          <w:rFonts w:cs="宋体"/>
          <w:szCs w:val="21"/>
          <w:highlight w:val="none"/>
        </w:rPr>
      </w:pPr>
      <w:r>
        <w:rPr>
          <w:rFonts w:hint="eastAsia" w:cs="宋体"/>
          <w:szCs w:val="21"/>
          <w:highlight w:val="none"/>
        </w:rPr>
        <w:t>向</w:t>
      </w:r>
      <w:r>
        <w:rPr>
          <w:rFonts w:hint="eastAsia" w:cs="宋体"/>
          <w:szCs w:val="21"/>
          <w:highlight w:val="none"/>
          <w:u w:val="single"/>
        </w:rPr>
        <w:t xml:space="preserve"> 合肥 </w:t>
      </w:r>
      <w:r>
        <w:rPr>
          <w:rFonts w:hint="eastAsia" w:cs="宋体"/>
          <w:szCs w:val="21"/>
          <w:highlight w:val="none"/>
        </w:rPr>
        <w:t>仲裁委员会申请仲裁；</w:t>
      </w:r>
    </w:p>
    <w:p w14:paraId="7507FEF6">
      <w:pPr>
        <w:adjustRightInd w:val="0"/>
        <w:snapToGrid w:val="0"/>
        <w:spacing w:line="360" w:lineRule="auto"/>
        <w:ind w:firstLine="420" w:firstLineChars="200"/>
        <w:rPr>
          <w:rFonts w:cs="宋体"/>
          <w:szCs w:val="21"/>
          <w:highlight w:val="none"/>
        </w:rPr>
      </w:pPr>
      <w:r>
        <w:rPr>
          <w:rFonts w:hint="eastAsia" w:cs="宋体"/>
          <w:szCs w:val="21"/>
          <w:highlight w:val="none"/>
        </w:rPr>
        <w:t>（2）向</w:t>
      </w:r>
      <w:r>
        <w:rPr>
          <w:rFonts w:hint="eastAsia" w:cs="宋体"/>
          <w:szCs w:val="21"/>
          <w:highlight w:val="none"/>
          <w:u w:val="single"/>
        </w:rPr>
        <w:t>工程所在地</w:t>
      </w:r>
      <w:r>
        <w:rPr>
          <w:rFonts w:hint="eastAsia" w:cs="宋体"/>
          <w:szCs w:val="21"/>
          <w:highlight w:val="none"/>
        </w:rPr>
        <w:t>人民法院起诉。</w:t>
      </w:r>
    </w:p>
    <w:p w14:paraId="59F47328">
      <w:pPr>
        <w:snapToGrid w:val="0"/>
        <w:spacing w:line="360" w:lineRule="auto"/>
        <w:outlineLvl w:val="2"/>
        <w:rPr>
          <w:rFonts w:cs="宋体"/>
          <w:szCs w:val="21"/>
          <w:highlight w:val="none"/>
        </w:rPr>
      </w:pPr>
      <w:r>
        <w:rPr>
          <w:rFonts w:hint="eastAsia" w:cs="宋体"/>
          <w:szCs w:val="21"/>
          <w:highlight w:val="none"/>
        </w:rPr>
        <w:t xml:space="preserve">21. 补充条款 </w:t>
      </w:r>
    </w:p>
    <w:p w14:paraId="1296B122">
      <w:pPr>
        <w:keepNext/>
        <w:keepLines/>
        <w:wordWrap w:val="0"/>
        <w:spacing w:line="360" w:lineRule="auto"/>
        <w:ind w:firstLine="420" w:firstLineChars="200"/>
        <w:outlineLvl w:val="3"/>
        <w:rPr>
          <w:bCs/>
          <w:szCs w:val="28"/>
          <w:highlight w:val="none"/>
        </w:rPr>
      </w:pPr>
      <w:r>
        <w:rPr>
          <w:bCs/>
          <w:szCs w:val="28"/>
          <w:highlight w:val="none"/>
        </w:rPr>
        <w:t>21.1 人员及职责</w:t>
      </w:r>
    </w:p>
    <w:p w14:paraId="6B76AEEC">
      <w:pPr>
        <w:wordWrap w:val="0"/>
        <w:adjustRightInd w:val="0"/>
        <w:spacing w:line="360" w:lineRule="auto"/>
        <w:ind w:firstLine="420" w:firstLineChars="200"/>
        <w:rPr>
          <w:kern w:val="0"/>
          <w:highlight w:val="none"/>
        </w:rPr>
      </w:pPr>
      <w:r>
        <w:rPr>
          <w:kern w:val="0"/>
          <w:highlight w:val="none"/>
        </w:rPr>
        <w:t>21.1.1 发包人委派的发包人代表或监理工程师（以下简称“工程师”）无权更改合同，也无权解除发包人和承包人的义务和责任。</w:t>
      </w:r>
    </w:p>
    <w:p w14:paraId="4E6263D1">
      <w:pPr>
        <w:wordWrap w:val="0"/>
        <w:adjustRightInd w:val="0"/>
        <w:spacing w:line="360" w:lineRule="auto"/>
        <w:ind w:firstLine="420" w:firstLineChars="200"/>
        <w:rPr>
          <w:kern w:val="0"/>
          <w:highlight w:val="none"/>
        </w:rPr>
      </w:pPr>
      <w:r>
        <w:rPr>
          <w:kern w:val="0"/>
          <w:highlight w:val="none"/>
        </w:rPr>
        <w:t>21.1.2 发包人代表的任何批准、检查、证书、同意、通知、建议、检验、指令和要求等不解除承包人在合同中的责任。</w:t>
      </w:r>
    </w:p>
    <w:p w14:paraId="3DF0F5C9">
      <w:pPr>
        <w:wordWrap w:val="0"/>
        <w:adjustRightInd w:val="0"/>
        <w:spacing w:line="360" w:lineRule="auto"/>
        <w:ind w:firstLine="420" w:firstLineChars="200"/>
        <w:rPr>
          <w:kern w:val="0"/>
          <w:highlight w:val="none"/>
        </w:rPr>
      </w:pPr>
      <w:r>
        <w:rPr>
          <w:kern w:val="0"/>
          <w:highlight w:val="none"/>
        </w:rPr>
        <w:t>21.1.3 承包人只能从发包人代表或其授权代表处接受指令。</w:t>
      </w:r>
    </w:p>
    <w:p w14:paraId="0E20019E">
      <w:pPr>
        <w:wordWrap w:val="0"/>
        <w:adjustRightInd w:val="0"/>
        <w:spacing w:line="360" w:lineRule="auto"/>
        <w:ind w:firstLine="420" w:firstLineChars="200"/>
        <w:rPr>
          <w:kern w:val="0"/>
          <w:highlight w:val="none"/>
        </w:rPr>
      </w:pPr>
      <w:r>
        <w:rPr>
          <w:kern w:val="0"/>
          <w:highlight w:val="none"/>
        </w:rPr>
        <w:t>21.1.4 发包人如需更换发包人代表须提前7天通知承包人。</w:t>
      </w:r>
    </w:p>
    <w:p w14:paraId="7496C516">
      <w:pPr>
        <w:wordWrap w:val="0"/>
        <w:adjustRightInd w:val="0"/>
        <w:spacing w:line="360" w:lineRule="auto"/>
        <w:ind w:firstLine="420" w:firstLineChars="200"/>
        <w:rPr>
          <w:kern w:val="0"/>
          <w:highlight w:val="none"/>
        </w:rPr>
      </w:pPr>
      <w:r>
        <w:rPr>
          <w:kern w:val="0"/>
          <w:highlight w:val="none"/>
        </w:rPr>
        <w:t>21.1.5 供应商委任的项目经理、各专业负责人（其他主要管理人员和技术人员）及施工机械等在整个项目施工期内必须在位。</w:t>
      </w:r>
    </w:p>
    <w:p w14:paraId="1E4647F1">
      <w:pPr>
        <w:wordWrap w:val="0"/>
        <w:adjustRightInd w:val="0"/>
        <w:spacing w:line="360" w:lineRule="auto"/>
        <w:ind w:firstLine="420" w:firstLineChars="200"/>
        <w:rPr>
          <w:kern w:val="0"/>
          <w:highlight w:val="none"/>
        </w:rPr>
      </w:pPr>
      <w:r>
        <w:rPr>
          <w:kern w:val="0"/>
          <w:highlight w:val="none"/>
        </w:rPr>
        <w:t>承包人的项目经理离开现场的，须经发包人代表同意，并书面指定临时代表，代为行使项目经理的权力；该临时代表的一切行为，甲方均认为是项目经理的行为。</w:t>
      </w:r>
    </w:p>
    <w:p w14:paraId="67631256">
      <w:pPr>
        <w:wordWrap w:val="0"/>
        <w:adjustRightInd w:val="0"/>
        <w:spacing w:line="360" w:lineRule="auto"/>
        <w:ind w:firstLine="420" w:firstLineChars="200"/>
        <w:rPr>
          <w:highlight w:val="none"/>
        </w:rPr>
      </w:pPr>
      <w:r>
        <w:rPr>
          <w:highlight w:val="none"/>
        </w:rPr>
        <w:t>21.1.6 承包人提交发包人的任何文件，发包人都认为该文件已经承包人内部程序批准；承包人提交的文件发生修改的，应及时将最新版本提交发包人代表。</w:t>
      </w:r>
    </w:p>
    <w:p w14:paraId="2B789853">
      <w:pPr>
        <w:wordWrap w:val="0"/>
        <w:adjustRightInd w:val="0"/>
        <w:spacing w:line="360" w:lineRule="auto"/>
        <w:ind w:firstLine="420" w:firstLineChars="200"/>
        <w:rPr>
          <w:highlight w:val="none"/>
        </w:rPr>
      </w:pPr>
      <w:r>
        <w:rPr>
          <w:highlight w:val="none"/>
        </w:rPr>
        <w:t>21.1.7 承包人应始终采取一切合理防范措施来避免在项目人员内部发生违法、动乱或妨碍治安的行为，保持项目的安定；并保护好现场和周围的人员和财产安全。</w:t>
      </w:r>
    </w:p>
    <w:p w14:paraId="03292EEA">
      <w:pPr>
        <w:wordWrap w:val="0"/>
        <w:adjustRightInd w:val="0"/>
        <w:spacing w:line="360" w:lineRule="auto"/>
        <w:ind w:firstLine="420" w:firstLineChars="200"/>
        <w:rPr>
          <w:highlight w:val="none"/>
        </w:rPr>
      </w:pPr>
      <w:r>
        <w:rPr>
          <w:highlight w:val="none"/>
        </w:rPr>
        <w:t>21.1.8 承包人雇佣职员或工人应遵守相关法律法规的规定。</w:t>
      </w:r>
    </w:p>
    <w:p w14:paraId="2FCCA0BC">
      <w:pPr>
        <w:wordWrap w:val="0"/>
        <w:adjustRightInd w:val="0"/>
        <w:spacing w:line="360" w:lineRule="auto"/>
        <w:ind w:firstLine="420" w:firstLineChars="200"/>
        <w:rPr>
          <w:highlight w:val="none"/>
        </w:rPr>
      </w:pPr>
      <w:r>
        <w:rPr>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38CBFBD3">
      <w:pPr>
        <w:wordWrap w:val="0"/>
        <w:adjustRightInd w:val="0"/>
        <w:spacing w:line="360" w:lineRule="auto"/>
        <w:ind w:firstLine="420" w:firstLineChars="200"/>
        <w:rPr>
          <w:bCs/>
          <w:szCs w:val="28"/>
          <w:highlight w:val="none"/>
        </w:rPr>
      </w:pPr>
      <w:r>
        <w:rPr>
          <w:bCs/>
          <w:szCs w:val="28"/>
          <w:highlight w:val="none"/>
        </w:rPr>
        <w:t>21.2 变更与调整</w:t>
      </w:r>
    </w:p>
    <w:p w14:paraId="0C9FB939">
      <w:pPr>
        <w:wordWrap w:val="0"/>
        <w:adjustRightInd w:val="0"/>
        <w:spacing w:line="360" w:lineRule="auto"/>
        <w:ind w:firstLine="420" w:firstLineChars="200"/>
        <w:rPr>
          <w:kern w:val="0"/>
          <w:highlight w:val="none"/>
        </w:rPr>
      </w:pPr>
      <w:r>
        <w:rPr>
          <w:kern w:val="0"/>
          <w:highlight w:val="none"/>
        </w:rPr>
        <w:t>21.2.1 在工程移交前，发包人代表有权签发变更指令，承包人应按照指令来实施变更，并进行工期和费用的估算，提交发包人代表。</w:t>
      </w:r>
    </w:p>
    <w:p w14:paraId="72E450E8">
      <w:pPr>
        <w:wordWrap w:val="0"/>
        <w:adjustRightInd w:val="0"/>
        <w:spacing w:line="360" w:lineRule="auto"/>
        <w:ind w:firstLine="420" w:firstLineChars="200"/>
        <w:rPr>
          <w:kern w:val="0"/>
          <w:highlight w:val="none"/>
        </w:rPr>
      </w:pPr>
      <w:r>
        <w:rPr>
          <w:kern w:val="0"/>
          <w:highlight w:val="none"/>
        </w:rPr>
        <w:t>21.2.2 发包人代表收到承包人的估算后，可以决定撤销、修改或确认实施该项变更。</w:t>
      </w:r>
    </w:p>
    <w:p w14:paraId="201BBF9A">
      <w:pPr>
        <w:wordWrap w:val="0"/>
        <w:adjustRightInd w:val="0"/>
        <w:spacing w:line="360" w:lineRule="auto"/>
        <w:ind w:firstLine="420" w:firstLineChars="200"/>
        <w:rPr>
          <w:kern w:val="0"/>
          <w:highlight w:val="none"/>
        </w:rPr>
      </w:pPr>
      <w:r>
        <w:rPr>
          <w:kern w:val="0"/>
          <w:highlight w:val="none"/>
        </w:rPr>
        <w:t>21.2.3 如果承包人认为自己的建议能缩短工期、降低工程实施或运营成本，或对业主产生其他利益，可以向发包人代表提交建议书；建议书的编制费用自理。</w:t>
      </w:r>
    </w:p>
    <w:p w14:paraId="2E0783EB">
      <w:pPr>
        <w:wordWrap w:val="0"/>
        <w:adjustRightInd w:val="0"/>
        <w:spacing w:line="360" w:lineRule="auto"/>
        <w:ind w:firstLine="420" w:firstLineChars="200"/>
        <w:rPr>
          <w:kern w:val="0"/>
          <w:highlight w:val="none"/>
        </w:rPr>
      </w:pPr>
      <w:r>
        <w:rPr>
          <w:kern w:val="0"/>
          <w:highlight w:val="none"/>
        </w:rPr>
        <w:t>21.2.4 如果发包人采纳承包人的建议节省了工程费用，将给予承包人节约费用适当比例的奖励。</w:t>
      </w:r>
    </w:p>
    <w:p w14:paraId="33A3C3F7">
      <w:pPr>
        <w:wordWrap w:val="0"/>
        <w:adjustRightInd w:val="0"/>
        <w:spacing w:line="360" w:lineRule="auto"/>
        <w:ind w:firstLine="420" w:firstLineChars="200"/>
        <w:rPr>
          <w:kern w:val="0"/>
          <w:highlight w:val="none"/>
        </w:rPr>
      </w:pPr>
      <w:r>
        <w:rPr>
          <w:kern w:val="0"/>
          <w:highlight w:val="none"/>
        </w:rPr>
        <w:t>21.2.5 上一款中节省费用的计算方法为：降低的合同额度减去因变更而引起在工程质量、寿命、以及运营效率等方面为发包人带来的潜在损失。</w:t>
      </w:r>
    </w:p>
    <w:p w14:paraId="56C95460">
      <w:pPr>
        <w:wordWrap w:val="0"/>
        <w:adjustRightInd w:val="0"/>
        <w:spacing w:line="360" w:lineRule="auto"/>
        <w:ind w:firstLine="420" w:firstLineChars="200"/>
        <w:rPr>
          <w:kern w:val="0"/>
          <w:highlight w:val="none"/>
        </w:rPr>
      </w:pPr>
      <w:r>
        <w:rPr>
          <w:kern w:val="0"/>
          <w:highlight w:val="none"/>
        </w:rPr>
        <w:t>21.2.6 任何变更指令都应由发包人代表签发给承包人，承包人收到后应回函说明；涉及到费用调整的，按照相关条款执行。</w:t>
      </w:r>
    </w:p>
    <w:p w14:paraId="6D33D5F7">
      <w:pPr>
        <w:wordWrap w:val="0"/>
        <w:adjustRightInd w:val="0"/>
        <w:spacing w:line="360" w:lineRule="auto"/>
        <w:ind w:firstLine="420" w:firstLineChars="200"/>
        <w:rPr>
          <w:kern w:val="0"/>
          <w:highlight w:val="none"/>
        </w:rPr>
      </w:pPr>
      <w:r>
        <w:rPr>
          <w:kern w:val="0"/>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16FEA60C">
      <w:pPr>
        <w:wordWrap w:val="0"/>
        <w:adjustRightInd w:val="0"/>
        <w:spacing w:line="360" w:lineRule="auto"/>
        <w:ind w:firstLine="420" w:firstLineChars="200"/>
        <w:rPr>
          <w:kern w:val="0"/>
          <w:highlight w:val="none"/>
        </w:rPr>
      </w:pPr>
      <w:r>
        <w:rPr>
          <w:kern w:val="0"/>
          <w:highlight w:val="none"/>
        </w:rPr>
        <w:t>21.2.8 未经发包人代表批准，承包人不得对工程进行任何变更。</w:t>
      </w:r>
    </w:p>
    <w:p w14:paraId="4846FE03">
      <w:pPr>
        <w:keepNext/>
        <w:keepLines/>
        <w:wordWrap w:val="0"/>
        <w:spacing w:before="120" w:after="120" w:line="360" w:lineRule="auto"/>
        <w:ind w:firstLine="420" w:firstLineChars="200"/>
        <w:outlineLvl w:val="3"/>
        <w:rPr>
          <w:bCs/>
          <w:szCs w:val="28"/>
          <w:highlight w:val="none"/>
        </w:rPr>
      </w:pPr>
      <w:r>
        <w:rPr>
          <w:bCs/>
          <w:szCs w:val="28"/>
          <w:highlight w:val="none"/>
        </w:rPr>
        <w:t>21.3 结算</w:t>
      </w:r>
    </w:p>
    <w:p w14:paraId="3F654CE4">
      <w:pPr>
        <w:wordWrap w:val="0"/>
        <w:adjustRightInd w:val="0"/>
        <w:spacing w:line="360" w:lineRule="auto"/>
        <w:ind w:firstLine="420" w:firstLineChars="200"/>
        <w:rPr>
          <w:kern w:val="0"/>
          <w:highlight w:val="none"/>
        </w:rPr>
      </w:pPr>
      <w:r>
        <w:rPr>
          <w:kern w:val="0"/>
          <w:highlight w:val="none"/>
        </w:rPr>
        <w:t>21.3.1 承包人的响应报价（合同价款）是承包人基于业主提供的资料和现场数据及承包人的解释和现场考察计算出来的，覆盖了完成合同义务所包括的一切工作，不得以漏项或考虑不周提出索赔。</w:t>
      </w:r>
    </w:p>
    <w:p w14:paraId="5A863CF4">
      <w:pPr>
        <w:wordWrap w:val="0"/>
        <w:adjustRightInd w:val="0"/>
        <w:spacing w:line="360" w:lineRule="auto"/>
        <w:ind w:firstLine="420" w:firstLineChars="200"/>
        <w:rPr>
          <w:kern w:val="0"/>
          <w:highlight w:val="none"/>
        </w:rPr>
      </w:pPr>
      <w:r>
        <w:rPr>
          <w:kern w:val="0"/>
          <w:highlight w:val="none"/>
        </w:rPr>
        <w:t>21.3.2 水电费的结算：工程施工用水电由承包人安装水电表进行计量，整个工程施工水电费由承包人直接支付。</w:t>
      </w:r>
    </w:p>
    <w:p w14:paraId="5A89E574">
      <w:pPr>
        <w:wordWrap w:val="0"/>
        <w:adjustRightInd w:val="0"/>
        <w:spacing w:line="360" w:lineRule="auto"/>
        <w:ind w:firstLine="420" w:firstLineChars="200"/>
        <w:rPr>
          <w:kern w:val="0"/>
          <w:highlight w:val="none"/>
        </w:rPr>
      </w:pPr>
      <w:r>
        <w:rPr>
          <w:kern w:val="0"/>
          <w:highlight w:val="none"/>
        </w:rPr>
        <w:t>21.3.3 对于发包人提供的工程量清单中工程量的错误，承包人未在采购文件规定的异议截止日期前提出异议并附计算书的，工程结算时不再调整。</w:t>
      </w:r>
    </w:p>
    <w:p w14:paraId="06C3CD47">
      <w:pPr>
        <w:wordWrap w:val="0"/>
        <w:adjustRightInd w:val="0"/>
        <w:spacing w:line="360" w:lineRule="auto"/>
        <w:ind w:firstLine="420" w:firstLineChars="200"/>
        <w:rPr>
          <w:kern w:val="0"/>
          <w:highlight w:val="none"/>
        </w:rPr>
      </w:pPr>
      <w:r>
        <w:rPr>
          <w:kern w:val="0"/>
          <w:highlight w:val="none"/>
        </w:rPr>
        <w:t>21.3.4 对于发包人提供的工程量清单中的单项子目，承包人没有报价的，发包人认为视同该项价格已经包括在其他项目中。</w:t>
      </w:r>
    </w:p>
    <w:p w14:paraId="62811904">
      <w:pPr>
        <w:keepNext/>
        <w:keepLines/>
        <w:wordWrap w:val="0"/>
        <w:spacing w:before="120" w:after="120" w:line="360" w:lineRule="auto"/>
        <w:ind w:firstLine="420" w:firstLineChars="200"/>
        <w:outlineLvl w:val="3"/>
        <w:rPr>
          <w:bCs/>
          <w:szCs w:val="28"/>
          <w:highlight w:val="none"/>
        </w:rPr>
      </w:pPr>
      <w:r>
        <w:rPr>
          <w:bCs/>
          <w:szCs w:val="28"/>
          <w:highlight w:val="none"/>
        </w:rPr>
        <w:t>21.4 其他</w:t>
      </w:r>
    </w:p>
    <w:p w14:paraId="37A54E5E">
      <w:pPr>
        <w:wordWrap w:val="0"/>
        <w:adjustRightInd w:val="0"/>
        <w:spacing w:line="360" w:lineRule="auto"/>
        <w:ind w:firstLine="420" w:firstLineChars="200"/>
        <w:rPr>
          <w:bCs/>
          <w:kern w:val="0"/>
          <w:highlight w:val="none"/>
        </w:rPr>
      </w:pPr>
      <w:r>
        <w:rPr>
          <w:bCs/>
          <w:kern w:val="0"/>
          <w:highlight w:val="none"/>
        </w:rPr>
        <w:t>21.4.1 工程结算审计核减额超过报审金额10%的，其超过10%以上部分的审计咨询费用由承包人承担，建设单位在支付工程结算款时予以代扣，并支付给审计委托的工程造价咨询单位。</w:t>
      </w:r>
    </w:p>
    <w:p w14:paraId="7A070410">
      <w:pPr>
        <w:wordWrap w:val="0"/>
        <w:adjustRightInd w:val="0"/>
        <w:spacing w:line="360" w:lineRule="auto"/>
        <w:ind w:firstLine="420" w:firstLineChars="200"/>
        <w:rPr>
          <w:bCs/>
          <w:kern w:val="0"/>
          <w:highlight w:val="none"/>
        </w:rPr>
      </w:pPr>
      <w:r>
        <w:rPr>
          <w:bCs/>
          <w:kern w:val="0"/>
          <w:highlight w:val="none"/>
        </w:rPr>
        <w:t>21.4.2承包人进场后应进行成品保护。施工中不得影响原有建筑的安全性和使用功能。施工过程中如造成损坏或遗失，承包人应自行修复，相关费用由承包人自行考虑在响应报价中，发包人不另行支付。</w:t>
      </w:r>
    </w:p>
    <w:p w14:paraId="2DA90CDD">
      <w:pPr>
        <w:pStyle w:val="2"/>
        <w:ind w:firstLine="420" w:firstLineChars="200"/>
        <w:rPr>
          <w:rFonts w:eastAsia="@微软简标宋"/>
          <w:highlight w:val="none"/>
        </w:rPr>
      </w:pPr>
    </w:p>
    <w:p w14:paraId="42C3AA4C">
      <w:pPr>
        <w:snapToGrid w:val="0"/>
        <w:spacing w:line="360" w:lineRule="auto"/>
        <w:rPr>
          <w:rFonts w:cs="宋体"/>
          <w:b/>
          <w:szCs w:val="21"/>
          <w:highlight w:val="none"/>
        </w:rPr>
      </w:pPr>
    </w:p>
    <w:p w14:paraId="67760FE3">
      <w:pPr>
        <w:snapToGrid w:val="0"/>
        <w:spacing w:line="360" w:lineRule="auto"/>
        <w:rPr>
          <w:rFonts w:cs="宋体"/>
          <w:szCs w:val="21"/>
          <w:highlight w:val="none"/>
        </w:rPr>
      </w:pPr>
      <w:r>
        <w:rPr>
          <w:rFonts w:hint="eastAsia" w:cs="宋体"/>
          <w:szCs w:val="21"/>
          <w:highlight w:val="none"/>
        </w:rPr>
        <w:t>发包人：  （公章）                           承包人：  （公章）</w:t>
      </w:r>
    </w:p>
    <w:p w14:paraId="00B6462B">
      <w:pPr>
        <w:snapToGrid w:val="0"/>
        <w:spacing w:line="360" w:lineRule="auto"/>
        <w:rPr>
          <w:rFonts w:cs="宋体"/>
          <w:szCs w:val="21"/>
          <w:highlight w:val="none"/>
        </w:rPr>
      </w:pPr>
      <w:r>
        <w:rPr>
          <w:rFonts w:hint="eastAsia" w:cs="宋体"/>
          <w:szCs w:val="21"/>
          <w:highlight w:val="none"/>
        </w:rPr>
        <w:t>法定代表人或其委托代理人：                 法定代表人或其委托代理人：</w:t>
      </w:r>
    </w:p>
    <w:p w14:paraId="330FB8BD">
      <w:pPr>
        <w:snapToGrid w:val="0"/>
        <w:spacing w:line="360" w:lineRule="auto"/>
        <w:rPr>
          <w:rFonts w:cs="宋体"/>
          <w:szCs w:val="21"/>
          <w:highlight w:val="none"/>
        </w:rPr>
      </w:pPr>
      <w:r>
        <w:rPr>
          <w:rFonts w:hint="eastAsia" w:cs="宋体"/>
          <w:szCs w:val="21"/>
          <w:highlight w:val="none"/>
        </w:rPr>
        <w:t>（签字）                                  （签字）</w:t>
      </w:r>
    </w:p>
    <w:p w14:paraId="32F62101">
      <w:pPr>
        <w:snapToGrid w:val="0"/>
        <w:spacing w:line="360" w:lineRule="auto"/>
        <w:rPr>
          <w:rFonts w:cs="宋体"/>
          <w:szCs w:val="21"/>
          <w:highlight w:val="none"/>
        </w:rPr>
      </w:pPr>
      <w:r>
        <w:rPr>
          <w:rFonts w:hint="eastAsia" w:cs="宋体"/>
          <w:szCs w:val="21"/>
          <w:highlight w:val="none"/>
        </w:rPr>
        <w:t>组织机构代码：</w:t>
      </w:r>
      <w:r>
        <w:rPr>
          <w:rFonts w:hint="eastAsia" w:cs="宋体"/>
          <w:szCs w:val="21"/>
          <w:highlight w:val="none"/>
          <w:u w:val="single"/>
        </w:rPr>
        <w:t xml:space="preserve">       </w:t>
      </w:r>
      <w:r>
        <w:rPr>
          <w:rFonts w:hint="eastAsia" w:cs="宋体"/>
          <w:szCs w:val="21"/>
          <w:highlight w:val="none"/>
        </w:rPr>
        <w:t xml:space="preserve">                组织机构代码：</w:t>
      </w:r>
      <w:r>
        <w:rPr>
          <w:rFonts w:hint="eastAsia" w:cs="宋体"/>
          <w:szCs w:val="21"/>
          <w:highlight w:val="none"/>
          <w:u w:val="single"/>
        </w:rPr>
        <w:t xml:space="preserve">          </w:t>
      </w:r>
      <w:r>
        <w:rPr>
          <w:rFonts w:hint="eastAsia" w:cs="宋体"/>
          <w:szCs w:val="21"/>
          <w:highlight w:val="none"/>
        </w:rPr>
        <w:t xml:space="preserve"> </w:t>
      </w:r>
    </w:p>
    <w:p w14:paraId="77323A9B">
      <w:pPr>
        <w:snapToGrid w:val="0"/>
        <w:spacing w:line="360" w:lineRule="auto"/>
        <w:rPr>
          <w:rFonts w:cs="宋体"/>
          <w:szCs w:val="21"/>
          <w:highlight w:val="none"/>
        </w:rPr>
      </w:pPr>
      <w:r>
        <w:rPr>
          <w:rFonts w:hint="eastAsia" w:cs="宋体"/>
          <w:szCs w:val="21"/>
          <w:highlight w:val="none"/>
        </w:rPr>
        <w:t>地  址：</w:t>
      </w:r>
      <w:r>
        <w:rPr>
          <w:rFonts w:hint="eastAsia" w:cs="宋体"/>
          <w:szCs w:val="21"/>
          <w:highlight w:val="none"/>
          <w:u w:val="single"/>
        </w:rPr>
        <w:t xml:space="preserve">     </w:t>
      </w:r>
      <w:r>
        <w:rPr>
          <w:rFonts w:hint="eastAsia" w:cs="宋体"/>
          <w:szCs w:val="21"/>
          <w:highlight w:val="none"/>
        </w:rPr>
        <w:t xml:space="preserve">                地  址：</w:t>
      </w:r>
      <w:r>
        <w:rPr>
          <w:rFonts w:hint="eastAsia" w:cs="宋体"/>
          <w:szCs w:val="21"/>
          <w:highlight w:val="none"/>
          <w:u w:val="single"/>
        </w:rPr>
        <w:t xml:space="preserve">        </w:t>
      </w:r>
    </w:p>
    <w:p w14:paraId="7D823A53">
      <w:pPr>
        <w:snapToGrid w:val="0"/>
        <w:spacing w:line="360" w:lineRule="auto"/>
        <w:rPr>
          <w:rFonts w:cs="宋体"/>
          <w:szCs w:val="21"/>
          <w:highlight w:val="none"/>
        </w:rPr>
      </w:pPr>
      <w:r>
        <w:rPr>
          <w:rFonts w:hint="eastAsia" w:cs="宋体"/>
          <w:szCs w:val="21"/>
          <w:highlight w:val="none"/>
        </w:rPr>
        <w:t>邮政编码：</w:t>
      </w:r>
      <w:r>
        <w:rPr>
          <w:rFonts w:hint="eastAsia" w:cs="宋体"/>
          <w:szCs w:val="21"/>
          <w:highlight w:val="none"/>
          <w:u w:val="single"/>
        </w:rPr>
        <w:t xml:space="preserve">      </w:t>
      </w:r>
      <w:r>
        <w:rPr>
          <w:rFonts w:hint="eastAsia" w:cs="宋体"/>
          <w:szCs w:val="21"/>
          <w:highlight w:val="none"/>
        </w:rPr>
        <w:t xml:space="preserve">               邮政编码：</w:t>
      </w:r>
      <w:r>
        <w:rPr>
          <w:rFonts w:hint="eastAsia" w:cs="宋体"/>
          <w:szCs w:val="21"/>
          <w:highlight w:val="none"/>
          <w:u w:val="single"/>
        </w:rPr>
        <w:t xml:space="preserve">   </w:t>
      </w:r>
    </w:p>
    <w:p w14:paraId="571FAF7D">
      <w:pPr>
        <w:snapToGrid w:val="0"/>
        <w:spacing w:line="360" w:lineRule="auto"/>
        <w:rPr>
          <w:rFonts w:cs="宋体"/>
          <w:szCs w:val="21"/>
          <w:highlight w:val="none"/>
        </w:rPr>
      </w:pPr>
      <w:r>
        <w:rPr>
          <w:rFonts w:hint="eastAsia" w:cs="宋体"/>
          <w:szCs w:val="21"/>
          <w:highlight w:val="none"/>
        </w:rPr>
        <w:t>法定代表人：</w:t>
      </w:r>
      <w:r>
        <w:rPr>
          <w:rFonts w:hint="eastAsia" w:cs="宋体"/>
          <w:szCs w:val="21"/>
          <w:highlight w:val="none"/>
          <w:u w:val="single"/>
        </w:rPr>
        <w:t xml:space="preserve">           </w:t>
      </w:r>
      <w:r>
        <w:rPr>
          <w:rFonts w:hint="eastAsia" w:cs="宋体"/>
          <w:szCs w:val="21"/>
          <w:highlight w:val="none"/>
        </w:rPr>
        <w:t xml:space="preserve">                法定代表人：</w:t>
      </w:r>
      <w:r>
        <w:rPr>
          <w:rFonts w:hint="eastAsia" w:cs="宋体"/>
          <w:szCs w:val="21"/>
          <w:highlight w:val="none"/>
          <w:u w:val="single"/>
        </w:rPr>
        <w:t xml:space="preserve">             </w:t>
      </w:r>
    </w:p>
    <w:p w14:paraId="1B225207">
      <w:pPr>
        <w:snapToGrid w:val="0"/>
        <w:spacing w:line="360" w:lineRule="auto"/>
        <w:rPr>
          <w:rFonts w:cs="宋体"/>
          <w:szCs w:val="21"/>
          <w:highlight w:val="none"/>
        </w:rPr>
      </w:pPr>
      <w:r>
        <w:rPr>
          <w:rFonts w:hint="eastAsia" w:cs="宋体"/>
          <w:szCs w:val="21"/>
          <w:highlight w:val="none"/>
        </w:rPr>
        <w:t>委托代理人：</w:t>
      </w:r>
      <w:r>
        <w:rPr>
          <w:rFonts w:hint="eastAsia" w:cs="宋体"/>
          <w:szCs w:val="21"/>
          <w:highlight w:val="none"/>
          <w:u w:val="single"/>
        </w:rPr>
        <w:t xml:space="preserve">           </w:t>
      </w:r>
      <w:r>
        <w:rPr>
          <w:rFonts w:hint="eastAsia" w:cs="宋体"/>
          <w:szCs w:val="21"/>
          <w:highlight w:val="none"/>
        </w:rPr>
        <w:t xml:space="preserve">                委托代理人：</w:t>
      </w:r>
      <w:r>
        <w:rPr>
          <w:rFonts w:hint="eastAsia" w:cs="宋体"/>
          <w:szCs w:val="21"/>
          <w:highlight w:val="none"/>
          <w:u w:val="single"/>
        </w:rPr>
        <w:t xml:space="preserve">             </w:t>
      </w:r>
    </w:p>
    <w:p w14:paraId="52E97FCB">
      <w:pPr>
        <w:snapToGrid w:val="0"/>
        <w:spacing w:line="360" w:lineRule="auto"/>
        <w:rPr>
          <w:rFonts w:cs="宋体"/>
          <w:szCs w:val="21"/>
          <w:highlight w:val="none"/>
        </w:rPr>
      </w:pPr>
      <w:r>
        <w:rPr>
          <w:rFonts w:hint="eastAsia" w:cs="宋体"/>
          <w:szCs w:val="21"/>
          <w:highlight w:val="none"/>
        </w:rPr>
        <w:t>电  话：</w:t>
      </w:r>
      <w:r>
        <w:rPr>
          <w:rFonts w:hint="eastAsia" w:cs="宋体"/>
          <w:szCs w:val="21"/>
          <w:highlight w:val="none"/>
          <w:u w:val="single"/>
        </w:rPr>
        <w:t xml:space="preserve">   </w:t>
      </w:r>
      <w:r>
        <w:rPr>
          <w:rFonts w:hint="eastAsia" w:cs="宋体"/>
          <w:szCs w:val="21"/>
          <w:highlight w:val="none"/>
        </w:rPr>
        <w:t xml:space="preserve">                电  话：</w:t>
      </w:r>
      <w:r>
        <w:rPr>
          <w:rFonts w:hint="eastAsia" w:cs="宋体"/>
          <w:szCs w:val="21"/>
          <w:highlight w:val="none"/>
          <w:u w:val="single"/>
        </w:rPr>
        <w:t xml:space="preserve">     </w:t>
      </w:r>
    </w:p>
    <w:p w14:paraId="4BBDC03B">
      <w:pPr>
        <w:snapToGrid w:val="0"/>
        <w:spacing w:line="360" w:lineRule="auto"/>
        <w:rPr>
          <w:rFonts w:cs="宋体"/>
          <w:szCs w:val="21"/>
          <w:highlight w:val="none"/>
        </w:rPr>
      </w:pPr>
      <w:r>
        <w:rPr>
          <w:rFonts w:hint="eastAsia" w:cs="宋体"/>
          <w:szCs w:val="21"/>
          <w:highlight w:val="none"/>
        </w:rPr>
        <w:t>传  真：</w:t>
      </w:r>
      <w:r>
        <w:rPr>
          <w:rFonts w:hint="eastAsia" w:cs="宋体"/>
          <w:szCs w:val="21"/>
          <w:highlight w:val="none"/>
          <w:u w:val="single"/>
        </w:rPr>
        <w:t xml:space="preserve">   </w:t>
      </w:r>
      <w:r>
        <w:rPr>
          <w:rFonts w:hint="eastAsia" w:cs="宋体"/>
          <w:szCs w:val="21"/>
          <w:highlight w:val="none"/>
        </w:rPr>
        <w:t xml:space="preserve">                传  真：</w:t>
      </w:r>
      <w:r>
        <w:rPr>
          <w:rFonts w:hint="eastAsia" w:cs="宋体"/>
          <w:szCs w:val="21"/>
          <w:highlight w:val="none"/>
          <w:u w:val="single"/>
        </w:rPr>
        <w:t xml:space="preserve">     </w:t>
      </w:r>
    </w:p>
    <w:p w14:paraId="0374EC15">
      <w:pPr>
        <w:snapToGrid w:val="0"/>
        <w:spacing w:line="360" w:lineRule="auto"/>
        <w:rPr>
          <w:rFonts w:cs="宋体"/>
          <w:szCs w:val="21"/>
          <w:highlight w:val="none"/>
        </w:rPr>
      </w:pPr>
      <w:r>
        <w:rPr>
          <w:rFonts w:hint="eastAsia" w:cs="宋体"/>
          <w:szCs w:val="21"/>
          <w:highlight w:val="none"/>
        </w:rPr>
        <w:t>电子信箱：</w:t>
      </w:r>
      <w:r>
        <w:rPr>
          <w:rFonts w:hint="eastAsia" w:cs="宋体"/>
          <w:szCs w:val="21"/>
          <w:highlight w:val="none"/>
          <w:u w:val="single"/>
        </w:rPr>
        <w:t xml:space="preserve">                 </w:t>
      </w:r>
      <w:r>
        <w:rPr>
          <w:rFonts w:hint="eastAsia" w:cs="宋体"/>
          <w:szCs w:val="21"/>
          <w:highlight w:val="none"/>
        </w:rPr>
        <w:t xml:space="preserve">                电子信箱：</w:t>
      </w:r>
      <w:r>
        <w:rPr>
          <w:rFonts w:hint="eastAsia" w:cs="宋体"/>
          <w:szCs w:val="21"/>
          <w:highlight w:val="none"/>
          <w:u w:val="single"/>
        </w:rPr>
        <w:t xml:space="preserve">   </w:t>
      </w:r>
    </w:p>
    <w:p w14:paraId="5A1F5F73">
      <w:pPr>
        <w:snapToGrid w:val="0"/>
        <w:spacing w:line="360" w:lineRule="auto"/>
        <w:rPr>
          <w:rFonts w:cs="宋体"/>
          <w:szCs w:val="21"/>
          <w:highlight w:val="none"/>
        </w:rPr>
      </w:pPr>
      <w:r>
        <w:rPr>
          <w:rFonts w:hint="eastAsia" w:cs="宋体"/>
          <w:szCs w:val="21"/>
          <w:highlight w:val="none"/>
        </w:rPr>
        <w:t>开户银行：</w:t>
      </w:r>
      <w:r>
        <w:rPr>
          <w:rFonts w:hint="eastAsia" w:cs="宋体"/>
          <w:szCs w:val="21"/>
          <w:highlight w:val="none"/>
          <w:u w:val="single"/>
        </w:rPr>
        <w:t xml:space="preserve">   </w:t>
      </w:r>
      <w:r>
        <w:rPr>
          <w:rFonts w:hint="eastAsia" w:cs="宋体"/>
          <w:szCs w:val="21"/>
          <w:highlight w:val="none"/>
        </w:rPr>
        <w:t xml:space="preserve">                开户银行：</w:t>
      </w:r>
      <w:r>
        <w:rPr>
          <w:rFonts w:hint="eastAsia" w:cs="宋体"/>
          <w:szCs w:val="21"/>
          <w:highlight w:val="none"/>
          <w:u w:val="single"/>
        </w:rPr>
        <w:t xml:space="preserve">   </w:t>
      </w:r>
    </w:p>
    <w:p w14:paraId="52D61366">
      <w:pPr>
        <w:snapToGrid w:val="0"/>
        <w:spacing w:line="360" w:lineRule="auto"/>
        <w:rPr>
          <w:rFonts w:cs="宋体"/>
          <w:szCs w:val="21"/>
          <w:highlight w:val="none"/>
        </w:rPr>
      </w:pPr>
      <w:r>
        <w:rPr>
          <w:rFonts w:hint="eastAsia" w:cs="宋体"/>
          <w:szCs w:val="21"/>
          <w:highlight w:val="none"/>
        </w:rPr>
        <w:t>账  号：</w:t>
      </w:r>
      <w:r>
        <w:rPr>
          <w:rFonts w:hint="eastAsia" w:cs="宋体"/>
          <w:szCs w:val="21"/>
          <w:highlight w:val="none"/>
          <w:u w:val="single"/>
        </w:rPr>
        <w:t xml:space="preserve">       </w:t>
      </w:r>
      <w:r>
        <w:rPr>
          <w:rFonts w:hint="eastAsia" w:cs="宋体"/>
          <w:szCs w:val="21"/>
          <w:highlight w:val="none"/>
        </w:rPr>
        <w:t xml:space="preserve">                账  号：</w:t>
      </w:r>
      <w:r>
        <w:rPr>
          <w:rFonts w:hint="eastAsia" w:cs="宋体"/>
          <w:szCs w:val="21"/>
          <w:highlight w:val="none"/>
          <w:u w:val="single"/>
        </w:rPr>
        <w:t xml:space="preserve">     </w:t>
      </w:r>
    </w:p>
    <w:bookmarkEnd w:id="65"/>
    <w:p w14:paraId="0F6A6510">
      <w:pPr>
        <w:rPr>
          <w:rFonts w:cs="宋体"/>
          <w:b/>
          <w:szCs w:val="21"/>
          <w:highlight w:val="none"/>
        </w:rPr>
      </w:pPr>
      <w:r>
        <w:rPr>
          <w:rFonts w:hint="eastAsia" w:cs="宋体"/>
          <w:b/>
          <w:szCs w:val="21"/>
          <w:highlight w:val="none"/>
        </w:rPr>
        <w:br w:type="page"/>
      </w:r>
    </w:p>
    <w:p w14:paraId="40AC0F3C">
      <w:pPr>
        <w:snapToGrid w:val="0"/>
        <w:spacing w:line="360" w:lineRule="auto"/>
        <w:rPr>
          <w:rFonts w:cs="宋体"/>
          <w:b/>
          <w:szCs w:val="21"/>
          <w:highlight w:val="none"/>
        </w:rPr>
      </w:pPr>
      <w:r>
        <w:rPr>
          <w:rFonts w:hint="eastAsia" w:cs="宋体"/>
          <w:b/>
          <w:szCs w:val="21"/>
          <w:highlight w:val="none"/>
        </w:rPr>
        <w:t>附件</w:t>
      </w:r>
    </w:p>
    <w:p w14:paraId="19DA0708">
      <w:pPr>
        <w:snapToGrid w:val="0"/>
        <w:spacing w:line="360" w:lineRule="auto"/>
        <w:rPr>
          <w:rFonts w:cs="宋体"/>
          <w:szCs w:val="21"/>
          <w:highlight w:val="none"/>
        </w:rPr>
      </w:pPr>
      <w:r>
        <w:rPr>
          <w:rFonts w:hint="eastAsia" w:cs="宋体"/>
          <w:szCs w:val="21"/>
          <w:highlight w:val="none"/>
        </w:rPr>
        <w:t>协议书附件：</w:t>
      </w:r>
    </w:p>
    <w:p w14:paraId="6976B223">
      <w:pPr>
        <w:snapToGrid w:val="0"/>
        <w:spacing w:line="360" w:lineRule="auto"/>
        <w:rPr>
          <w:rFonts w:cs="宋体"/>
          <w:szCs w:val="21"/>
          <w:highlight w:val="none"/>
        </w:rPr>
      </w:pPr>
      <w:bookmarkStart w:id="599" w:name="_Toc128950221"/>
      <w:r>
        <w:rPr>
          <w:rFonts w:hint="eastAsia" w:cs="宋体"/>
          <w:szCs w:val="21"/>
          <w:highlight w:val="none"/>
        </w:rPr>
        <w:t>附件1：承包人承揽工程项目一览表</w:t>
      </w:r>
      <w:bookmarkEnd w:id="599"/>
    </w:p>
    <w:p w14:paraId="55CB2B28">
      <w:pPr>
        <w:snapToGrid w:val="0"/>
        <w:spacing w:line="360" w:lineRule="auto"/>
        <w:rPr>
          <w:rFonts w:cs="宋体"/>
          <w:szCs w:val="21"/>
          <w:highlight w:val="none"/>
        </w:rPr>
      </w:pPr>
    </w:p>
    <w:p w14:paraId="456C0F37">
      <w:pPr>
        <w:snapToGrid w:val="0"/>
        <w:spacing w:line="360" w:lineRule="auto"/>
        <w:rPr>
          <w:rFonts w:cs="宋体"/>
          <w:szCs w:val="21"/>
          <w:highlight w:val="none"/>
        </w:rPr>
      </w:pPr>
      <w:r>
        <w:rPr>
          <w:rFonts w:hint="eastAsia" w:cs="宋体"/>
          <w:szCs w:val="21"/>
          <w:highlight w:val="none"/>
        </w:rPr>
        <w:t>专用合同条款附件：</w:t>
      </w:r>
    </w:p>
    <w:p w14:paraId="5C4F9791">
      <w:pPr>
        <w:snapToGrid w:val="0"/>
        <w:spacing w:line="360" w:lineRule="auto"/>
        <w:rPr>
          <w:rFonts w:cs="宋体"/>
          <w:szCs w:val="21"/>
          <w:highlight w:val="none"/>
        </w:rPr>
      </w:pPr>
      <w:bookmarkStart w:id="600" w:name="_Toc128950222"/>
      <w:r>
        <w:rPr>
          <w:rFonts w:hint="eastAsia" w:cs="宋体"/>
          <w:szCs w:val="21"/>
          <w:highlight w:val="none"/>
        </w:rPr>
        <w:t>附件2：发包人供应材料设备一览表</w:t>
      </w:r>
      <w:bookmarkEnd w:id="600"/>
    </w:p>
    <w:p w14:paraId="06BBD51D">
      <w:pPr>
        <w:snapToGrid w:val="0"/>
        <w:spacing w:line="360" w:lineRule="auto"/>
        <w:rPr>
          <w:rFonts w:cs="宋体"/>
          <w:szCs w:val="21"/>
          <w:highlight w:val="none"/>
        </w:rPr>
      </w:pPr>
      <w:bookmarkStart w:id="601" w:name="_Toc128950223"/>
      <w:r>
        <w:rPr>
          <w:rFonts w:hint="eastAsia" w:cs="宋体"/>
          <w:szCs w:val="21"/>
          <w:highlight w:val="none"/>
        </w:rPr>
        <w:t>附件3：工程质量保修书</w:t>
      </w:r>
      <w:bookmarkEnd w:id="601"/>
    </w:p>
    <w:p w14:paraId="45548143">
      <w:pPr>
        <w:snapToGrid w:val="0"/>
        <w:spacing w:line="360" w:lineRule="auto"/>
        <w:rPr>
          <w:rFonts w:cs="宋体"/>
          <w:szCs w:val="21"/>
          <w:highlight w:val="none"/>
        </w:rPr>
      </w:pPr>
      <w:bookmarkStart w:id="602" w:name="_Toc128950224"/>
      <w:r>
        <w:rPr>
          <w:rFonts w:hint="eastAsia" w:cs="宋体"/>
          <w:szCs w:val="21"/>
          <w:highlight w:val="none"/>
        </w:rPr>
        <w:t>附件4：主要建设工程文件目录</w:t>
      </w:r>
      <w:bookmarkEnd w:id="602"/>
    </w:p>
    <w:p w14:paraId="52990450">
      <w:pPr>
        <w:snapToGrid w:val="0"/>
        <w:spacing w:line="360" w:lineRule="auto"/>
        <w:rPr>
          <w:rFonts w:cs="宋体"/>
          <w:szCs w:val="21"/>
          <w:highlight w:val="none"/>
        </w:rPr>
      </w:pPr>
      <w:bookmarkStart w:id="603" w:name="_Toc128950225"/>
      <w:r>
        <w:rPr>
          <w:rFonts w:hint="eastAsia" w:cs="宋体"/>
          <w:szCs w:val="21"/>
          <w:highlight w:val="none"/>
        </w:rPr>
        <w:t>附件5：承包人用于本工程施工的机械设备表</w:t>
      </w:r>
      <w:bookmarkEnd w:id="603"/>
    </w:p>
    <w:p w14:paraId="5CE304AF">
      <w:pPr>
        <w:snapToGrid w:val="0"/>
        <w:spacing w:line="360" w:lineRule="auto"/>
        <w:rPr>
          <w:rFonts w:cs="宋体"/>
          <w:szCs w:val="21"/>
          <w:highlight w:val="none"/>
        </w:rPr>
      </w:pPr>
      <w:bookmarkStart w:id="604" w:name="_Toc128950226"/>
      <w:r>
        <w:rPr>
          <w:rFonts w:hint="eastAsia" w:cs="宋体"/>
          <w:szCs w:val="21"/>
          <w:highlight w:val="none"/>
        </w:rPr>
        <w:t>附件6：承包人主要施工管理人员表</w:t>
      </w:r>
      <w:bookmarkEnd w:id="604"/>
    </w:p>
    <w:p w14:paraId="646F1298">
      <w:pPr>
        <w:snapToGrid w:val="0"/>
        <w:spacing w:line="360" w:lineRule="auto"/>
        <w:rPr>
          <w:rFonts w:cs="宋体"/>
          <w:szCs w:val="21"/>
          <w:highlight w:val="none"/>
        </w:rPr>
      </w:pPr>
      <w:bookmarkStart w:id="605" w:name="_Toc128950227"/>
      <w:r>
        <w:rPr>
          <w:rFonts w:hint="eastAsia" w:cs="宋体"/>
          <w:szCs w:val="21"/>
          <w:highlight w:val="none"/>
        </w:rPr>
        <w:t>附件7：分包人主要施工管理人员表</w:t>
      </w:r>
      <w:bookmarkEnd w:id="605"/>
    </w:p>
    <w:p w14:paraId="0EFDA1B8">
      <w:pPr>
        <w:snapToGrid w:val="0"/>
        <w:spacing w:line="360" w:lineRule="auto"/>
        <w:rPr>
          <w:rFonts w:cs="宋体"/>
          <w:szCs w:val="21"/>
          <w:highlight w:val="none"/>
        </w:rPr>
      </w:pPr>
      <w:bookmarkStart w:id="606" w:name="_Toc128950228"/>
      <w:r>
        <w:rPr>
          <w:rFonts w:hint="eastAsia" w:cs="宋体"/>
          <w:szCs w:val="21"/>
          <w:highlight w:val="none"/>
        </w:rPr>
        <w:t>附件8：廉政协议</w:t>
      </w:r>
      <w:bookmarkEnd w:id="606"/>
    </w:p>
    <w:p w14:paraId="7F02CDC5">
      <w:pPr>
        <w:snapToGrid w:val="0"/>
        <w:spacing w:line="360" w:lineRule="auto"/>
        <w:rPr>
          <w:rFonts w:cs="宋体"/>
          <w:szCs w:val="21"/>
          <w:highlight w:val="none"/>
        </w:rPr>
      </w:pPr>
      <w:bookmarkStart w:id="607" w:name="_Toc128950229"/>
      <w:r>
        <w:rPr>
          <w:rFonts w:hint="eastAsia" w:cs="宋体"/>
          <w:szCs w:val="21"/>
          <w:highlight w:val="none"/>
        </w:rPr>
        <w:t>附件9：履约保证金格式</w:t>
      </w:r>
      <w:bookmarkEnd w:id="607"/>
    </w:p>
    <w:p w14:paraId="5F797B1D">
      <w:pPr>
        <w:snapToGrid w:val="0"/>
        <w:spacing w:line="360" w:lineRule="auto"/>
        <w:rPr>
          <w:rFonts w:cs="宋体"/>
          <w:szCs w:val="21"/>
          <w:highlight w:val="none"/>
        </w:rPr>
      </w:pPr>
      <w:bookmarkStart w:id="608" w:name="_Toc128950230"/>
      <w:r>
        <w:rPr>
          <w:rFonts w:hint="eastAsia" w:cs="宋体"/>
          <w:szCs w:val="21"/>
          <w:highlight w:val="none"/>
        </w:rPr>
        <w:t>附件10：预付款担保格式</w:t>
      </w:r>
      <w:bookmarkEnd w:id="608"/>
    </w:p>
    <w:p w14:paraId="2B2F6B9D">
      <w:pPr>
        <w:snapToGrid w:val="0"/>
        <w:spacing w:line="360" w:lineRule="auto"/>
        <w:rPr>
          <w:rFonts w:cs="宋体"/>
          <w:szCs w:val="21"/>
          <w:highlight w:val="none"/>
        </w:rPr>
      </w:pPr>
      <w:bookmarkStart w:id="609" w:name="_Toc128950231"/>
      <w:r>
        <w:rPr>
          <w:rFonts w:hint="eastAsia" w:cs="宋体"/>
          <w:szCs w:val="21"/>
          <w:highlight w:val="none"/>
        </w:rPr>
        <w:t>附件11：支付担保格式</w:t>
      </w:r>
      <w:bookmarkEnd w:id="609"/>
    </w:p>
    <w:p w14:paraId="6D05AA8F">
      <w:pPr>
        <w:snapToGrid w:val="0"/>
        <w:spacing w:line="360" w:lineRule="auto"/>
        <w:rPr>
          <w:rFonts w:cs="宋体"/>
          <w:szCs w:val="21"/>
          <w:highlight w:val="none"/>
        </w:rPr>
      </w:pPr>
      <w:bookmarkStart w:id="610" w:name="_Toc128950232"/>
      <w:r>
        <w:rPr>
          <w:rFonts w:hint="eastAsia" w:cs="宋体"/>
          <w:szCs w:val="21"/>
          <w:highlight w:val="none"/>
        </w:rPr>
        <w:t>附件12：暂估价一览表</w:t>
      </w:r>
      <w:bookmarkEnd w:id="610"/>
    </w:p>
    <w:p w14:paraId="578F206E">
      <w:pPr>
        <w:snapToGrid w:val="0"/>
        <w:spacing w:line="360" w:lineRule="auto"/>
        <w:rPr>
          <w:rFonts w:cs="宋体"/>
          <w:szCs w:val="21"/>
          <w:highlight w:val="none"/>
        </w:rPr>
      </w:pPr>
      <w:bookmarkStart w:id="611" w:name="_Toc128950233"/>
      <w:r>
        <w:rPr>
          <w:rFonts w:hint="eastAsia" w:cs="宋体"/>
          <w:szCs w:val="21"/>
          <w:highlight w:val="none"/>
        </w:rPr>
        <w:t>附件13：安全生产合同</w:t>
      </w:r>
      <w:bookmarkEnd w:id="611"/>
    </w:p>
    <w:p w14:paraId="23A5714E">
      <w:pPr>
        <w:snapToGrid w:val="0"/>
        <w:spacing w:line="360" w:lineRule="auto"/>
        <w:rPr>
          <w:rFonts w:cs="宋体"/>
          <w:szCs w:val="21"/>
          <w:highlight w:val="none"/>
        </w:rPr>
      </w:pPr>
      <w:bookmarkStart w:id="612" w:name="_Toc128950234"/>
      <w:r>
        <w:rPr>
          <w:rFonts w:hint="eastAsia" w:cs="宋体"/>
          <w:szCs w:val="21"/>
          <w:highlight w:val="none"/>
        </w:rPr>
        <w:t>附件14：项目经理质量终身责任制承诺</w:t>
      </w:r>
      <w:bookmarkEnd w:id="612"/>
    </w:p>
    <w:p w14:paraId="6E61D043">
      <w:pPr>
        <w:snapToGrid w:val="0"/>
        <w:spacing w:before="312" w:beforeLines="100" w:after="312" w:afterLines="100" w:line="360" w:lineRule="auto"/>
        <w:outlineLvl w:val="2"/>
        <w:rPr>
          <w:rFonts w:ascii="Times New Roman" w:eastAsia="黑体"/>
          <w:highlight w:val="none"/>
        </w:rPr>
      </w:pPr>
      <w:r>
        <w:rPr>
          <w:rFonts w:hint="eastAsia" w:cs="宋体"/>
          <w:bCs/>
          <w:szCs w:val="21"/>
          <w:highlight w:val="none"/>
        </w:rPr>
        <w:br w:type="page"/>
      </w:r>
      <w:bookmarkStart w:id="613" w:name="_Toc128950235"/>
      <w:r>
        <w:rPr>
          <w:rFonts w:hint="eastAsia" w:ascii="Times New Roman" w:eastAsia="黑体"/>
          <w:highlight w:val="none"/>
        </w:rPr>
        <w:t>附件</w:t>
      </w:r>
      <w:r>
        <w:rPr>
          <w:rFonts w:ascii="Times New Roman" w:eastAsia="黑体"/>
          <w:highlight w:val="none"/>
        </w:rPr>
        <w:t>1</w:t>
      </w:r>
      <w:r>
        <w:rPr>
          <w:rFonts w:hint="eastAsia" w:ascii="Times New Roman" w:eastAsia="黑体"/>
          <w:highlight w:val="none"/>
        </w:rPr>
        <w:t>：承包人承揽工程项目一览表</w:t>
      </w:r>
      <w:bookmarkEnd w:id="613"/>
    </w:p>
    <w:p w14:paraId="6062B72E">
      <w:pPr>
        <w:spacing w:line="360" w:lineRule="auto"/>
        <w:jc w:val="center"/>
        <w:rPr>
          <w:rFonts w:cs="宋体"/>
          <w:sz w:val="22"/>
          <w:szCs w:val="21"/>
          <w:highlight w:val="none"/>
        </w:rPr>
      </w:pPr>
      <w:r>
        <w:rPr>
          <w:rFonts w:hint="eastAsia" w:cs="宋体"/>
          <w:sz w:val="22"/>
          <w:szCs w:val="21"/>
          <w:highlight w:val="none"/>
        </w:rPr>
        <w:t>承包人承揽工程项目一览表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4FC3C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0AC917E7">
            <w:pPr>
              <w:keepNext/>
              <w:snapToGrid w:val="0"/>
              <w:spacing w:line="360" w:lineRule="auto"/>
              <w:jc w:val="center"/>
              <w:rPr>
                <w:rFonts w:cs="宋体"/>
                <w:sz w:val="22"/>
                <w:szCs w:val="21"/>
                <w:highlight w:val="none"/>
              </w:rPr>
            </w:pPr>
            <w:r>
              <w:rPr>
                <w:rFonts w:hint="eastAsia" w:cs="宋体"/>
                <w:sz w:val="22"/>
                <w:szCs w:val="21"/>
                <w:highlight w:val="none"/>
              </w:rPr>
              <w:t>单位工程名称</w:t>
            </w:r>
          </w:p>
        </w:tc>
        <w:tc>
          <w:tcPr>
            <w:tcW w:w="413" w:type="pct"/>
            <w:tcBorders>
              <w:top w:val="single" w:color="auto" w:sz="12" w:space="0"/>
              <w:bottom w:val="double" w:color="auto" w:sz="6" w:space="0"/>
            </w:tcBorders>
            <w:vAlign w:val="center"/>
          </w:tcPr>
          <w:p w14:paraId="3E767586">
            <w:pPr>
              <w:keepNext/>
              <w:snapToGrid w:val="0"/>
              <w:spacing w:line="360" w:lineRule="auto"/>
              <w:jc w:val="center"/>
              <w:rPr>
                <w:rFonts w:cs="宋体"/>
                <w:sz w:val="22"/>
                <w:szCs w:val="21"/>
                <w:highlight w:val="none"/>
              </w:rPr>
            </w:pPr>
            <w:r>
              <w:rPr>
                <w:rFonts w:hint="eastAsia" w:cs="宋体"/>
                <w:sz w:val="22"/>
                <w:szCs w:val="21"/>
                <w:highlight w:val="none"/>
              </w:rPr>
              <w:t>建设规模</w:t>
            </w:r>
          </w:p>
        </w:tc>
        <w:tc>
          <w:tcPr>
            <w:tcW w:w="778" w:type="pct"/>
            <w:tcBorders>
              <w:top w:val="single" w:color="auto" w:sz="12" w:space="0"/>
              <w:bottom w:val="double" w:color="auto" w:sz="6" w:space="0"/>
            </w:tcBorders>
            <w:vAlign w:val="center"/>
          </w:tcPr>
          <w:p w14:paraId="6D5ED1D2">
            <w:pPr>
              <w:keepNext/>
              <w:snapToGrid w:val="0"/>
              <w:spacing w:line="360" w:lineRule="auto"/>
              <w:jc w:val="center"/>
              <w:rPr>
                <w:rFonts w:cs="宋体"/>
                <w:sz w:val="22"/>
                <w:szCs w:val="21"/>
                <w:highlight w:val="none"/>
              </w:rPr>
            </w:pPr>
            <w:r>
              <w:rPr>
                <w:rFonts w:hint="eastAsia" w:cs="宋体"/>
                <w:sz w:val="22"/>
                <w:szCs w:val="21"/>
                <w:highlight w:val="none"/>
              </w:rPr>
              <w:t>建筑面积（平方米）</w:t>
            </w:r>
          </w:p>
        </w:tc>
        <w:tc>
          <w:tcPr>
            <w:tcW w:w="413" w:type="pct"/>
            <w:tcBorders>
              <w:top w:val="single" w:color="auto" w:sz="12" w:space="0"/>
              <w:bottom w:val="double" w:color="auto" w:sz="6" w:space="0"/>
            </w:tcBorders>
            <w:vAlign w:val="center"/>
          </w:tcPr>
          <w:p w14:paraId="41B776F8">
            <w:pPr>
              <w:keepNext/>
              <w:snapToGrid w:val="0"/>
              <w:spacing w:line="360" w:lineRule="auto"/>
              <w:jc w:val="center"/>
              <w:rPr>
                <w:rFonts w:cs="宋体"/>
                <w:sz w:val="22"/>
                <w:szCs w:val="21"/>
                <w:highlight w:val="none"/>
              </w:rPr>
            </w:pPr>
            <w:r>
              <w:rPr>
                <w:rFonts w:hint="eastAsia" w:cs="宋体"/>
                <w:sz w:val="22"/>
                <w:szCs w:val="21"/>
                <w:highlight w:val="none"/>
              </w:rPr>
              <w:t>结构形式</w:t>
            </w:r>
          </w:p>
        </w:tc>
        <w:tc>
          <w:tcPr>
            <w:tcW w:w="240" w:type="pct"/>
            <w:tcBorders>
              <w:top w:val="single" w:color="auto" w:sz="12" w:space="0"/>
              <w:bottom w:val="double" w:color="auto" w:sz="6" w:space="0"/>
            </w:tcBorders>
            <w:vAlign w:val="center"/>
          </w:tcPr>
          <w:p w14:paraId="73C16403">
            <w:pPr>
              <w:keepNext/>
              <w:snapToGrid w:val="0"/>
              <w:spacing w:line="360" w:lineRule="auto"/>
              <w:jc w:val="center"/>
              <w:rPr>
                <w:rFonts w:cs="宋体"/>
                <w:sz w:val="22"/>
                <w:szCs w:val="21"/>
                <w:highlight w:val="none"/>
              </w:rPr>
            </w:pPr>
            <w:r>
              <w:rPr>
                <w:rFonts w:hint="eastAsia" w:cs="宋体"/>
                <w:sz w:val="22"/>
                <w:szCs w:val="21"/>
                <w:highlight w:val="none"/>
              </w:rPr>
              <w:t>层数</w:t>
            </w:r>
          </w:p>
        </w:tc>
        <w:tc>
          <w:tcPr>
            <w:tcW w:w="413" w:type="pct"/>
            <w:tcBorders>
              <w:top w:val="single" w:color="auto" w:sz="12" w:space="0"/>
              <w:bottom w:val="double" w:color="auto" w:sz="6" w:space="0"/>
            </w:tcBorders>
            <w:vAlign w:val="center"/>
          </w:tcPr>
          <w:p w14:paraId="35DCE616">
            <w:pPr>
              <w:keepNext/>
              <w:snapToGrid w:val="0"/>
              <w:spacing w:line="360" w:lineRule="auto"/>
              <w:jc w:val="center"/>
              <w:rPr>
                <w:rFonts w:cs="宋体"/>
                <w:sz w:val="22"/>
                <w:szCs w:val="21"/>
                <w:highlight w:val="none"/>
              </w:rPr>
            </w:pPr>
            <w:r>
              <w:rPr>
                <w:rFonts w:hint="eastAsia" w:cs="宋体"/>
                <w:sz w:val="22"/>
                <w:szCs w:val="21"/>
                <w:highlight w:val="none"/>
              </w:rPr>
              <w:t>生产能力</w:t>
            </w:r>
          </w:p>
        </w:tc>
        <w:tc>
          <w:tcPr>
            <w:tcW w:w="587" w:type="pct"/>
            <w:tcBorders>
              <w:top w:val="single" w:color="auto" w:sz="12" w:space="0"/>
              <w:bottom w:val="double" w:color="auto" w:sz="6" w:space="0"/>
            </w:tcBorders>
            <w:vAlign w:val="center"/>
          </w:tcPr>
          <w:p w14:paraId="77C7BE80">
            <w:pPr>
              <w:keepNext/>
              <w:snapToGrid w:val="0"/>
              <w:spacing w:line="360" w:lineRule="auto"/>
              <w:jc w:val="center"/>
              <w:rPr>
                <w:rFonts w:cs="宋体"/>
                <w:sz w:val="22"/>
                <w:szCs w:val="21"/>
                <w:highlight w:val="none"/>
              </w:rPr>
            </w:pPr>
            <w:r>
              <w:rPr>
                <w:rFonts w:hint="eastAsia" w:cs="宋体"/>
                <w:sz w:val="22"/>
                <w:szCs w:val="21"/>
                <w:highlight w:val="none"/>
              </w:rPr>
              <w:t>设备安装内容</w:t>
            </w:r>
          </w:p>
        </w:tc>
        <w:tc>
          <w:tcPr>
            <w:tcW w:w="744" w:type="pct"/>
            <w:tcBorders>
              <w:top w:val="single" w:color="auto" w:sz="12" w:space="0"/>
              <w:bottom w:val="double" w:color="auto" w:sz="6" w:space="0"/>
            </w:tcBorders>
            <w:vAlign w:val="center"/>
          </w:tcPr>
          <w:p w14:paraId="6E9FD624">
            <w:pPr>
              <w:keepNext/>
              <w:snapToGrid w:val="0"/>
              <w:spacing w:line="360" w:lineRule="auto"/>
              <w:jc w:val="center"/>
              <w:rPr>
                <w:rFonts w:cs="宋体"/>
                <w:sz w:val="22"/>
                <w:szCs w:val="21"/>
                <w:highlight w:val="none"/>
              </w:rPr>
            </w:pPr>
            <w:r>
              <w:rPr>
                <w:rFonts w:hint="eastAsia" w:cs="宋体"/>
                <w:sz w:val="22"/>
                <w:szCs w:val="21"/>
                <w:highlight w:val="none"/>
              </w:rPr>
              <w:t>合同价格（元）</w:t>
            </w:r>
          </w:p>
        </w:tc>
        <w:tc>
          <w:tcPr>
            <w:tcW w:w="413" w:type="pct"/>
            <w:tcBorders>
              <w:top w:val="single" w:color="auto" w:sz="12" w:space="0"/>
              <w:bottom w:val="double" w:color="auto" w:sz="6" w:space="0"/>
            </w:tcBorders>
            <w:vAlign w:val="center"/>
          </w:tcPr>
          <w:p w14:paraId="1FC75E95">
            <w:pPr>
              <w:keepNext/>
              <w:snapToGrid w:val="0"/>
              <w:spacing w:line="360" w:lineRule="auto"/>
              <w:jc w:val="center"/>
              <w:rPr>
                <w:rFonts w:cs="宋体"/>
                <w:sz w:val="22"/>
                <w:szCs w:val="21"/>
                <w:highlight w:val="none"/>
              </w:rPr>
            </w:pPr>
            <w:r>
              <w:rPr>
                <w:rFonts w:hint="eastAsia" w:cs="宋体"/>
                <w:sz w:val="22"/>
                <w:szCs w:val="21"/>
                <w:highlight w:val="none"/>
              </w:rPr>
              <w:t>开工日期</w:t>
            </w:r>
          </w:p>
        </w:tc>
        <w:tc>
          <w:tcPr>
            <w:tcW w:w="413" w:type="pct"/>
            <w:tcBorders>
              <w:top w:val="single" w:color="auto" w:sz="12" w:space="0"/>
              <w:bottom w:val="double" w:color="auto" w:sz="6" w:space="0"/>
            </w:tcBorders>
            <w:vAlign w:val="center"/>
          </w:tcPr>
          <w:p w14:paraId="65E683CC">
            <w:pPr>
              <w:keepNext/>
              <w:snapToGrid w:val="0"/>
              <w:spacing w:line="360" w:lineRule="auto"/>
              <w:jc w:val="center"/>
              <w:rPr>
                <w:rFonts w:cs="宋体"/>
                <w:sz w:val="22"/>
                <w:szCs w:val="21"/>
                <w:highlight w:val="none"/>
              </w:rPr>
            </w:pPr>
            <w:r>
              <w:rPr>
                <w:rFonts w:hint="eastAsia" w:cs="宋体"/>
                <w:sz w:val="22"/>
                <w:szCs w:val="21"/>
                <w:highlight w:val="none"/>
              </w:rPr>
              <w:t>竣工日期</w:t>
            </w:r>
          </w:p>
        </w:tc>
      </w:tr>
      <w:tr w14:paraId="56EBB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6F0084D0">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2BB579C8">
            <w:pPr>
              <w:keepNext/>
              <w:snapToGrid w:val="0"/>
              <w:spacing w:line="360" w:lineRule="auto"/>
              <w:jc w:val="center"/>
              <w:rPr>
                <w:rFonts w:cs="宋体"/>
                <w:sz w:val="22"/>
                <w:szCs w:val="21"/>
                <w:highlight w:val="none"/>
              </w:rPr>
            </w:pPr>
          </w:p>
        </w:tc>
        <w:tc>
          <w:tcPr>
            <w:tcW w:w="778" w:type="pct"/>
            <w:tcBorders>
              <w:top w:val="double" w:color="auto" w:sz="6" w:space="0"/>
            </w:tcBorders>
            <w:vAlign w:val="center"/>
          </w:tcPr>
          <w:p w14:paraId="2A22570A">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12263ADE">
            <w:pPr>
              <w:keepNext/>
              <w:snapToGrid w:val="0"/>
              <w:spacing w:line="360" w:lineRule="auto"/>
              <w:jc w:val="center"/>
              <w:rPr>
                <w:rFonts w:cs="宋体"/>
                <w:sz w:val="22"/>
                <w:szCs w:val="21"/>
                <w:highlight w:val="none"/>
              </w:rPr>
            </w:pPr>
          </w:p>
        </w:tc>
        <w:tc>
          <w:tcPr>
            <w:tcW w:w="240" w:type="pct"/>
            <w:tcBorders>
              <w:top w:val="double" w:color="auto" w:sz="6" w:space="0"/>
            </w:tcBorders>
            <w:vAlign w:val="center"/>
          </w:tcPr>
          <w:p w14:paraId="432BD342">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0AEC7CC5">
            <w:pPr>
              <w:keepNext/>
              <w:snapToGrid w:val="0"/>
              <w:spacing w:line="360" w:lineRule="auto"/>
              <w:jc w:val="center"/>
              <w:rPr>
                <w:rFonts w:cs="宋体"/>
                <w:sz w:val="22"/>
                <w:szCs w:val="21"/>
                <w:highlight w:val="none"/>
              </w:rPr>
            </w:pPr>
          </w:p>
        </w:tc>
        <w:tc>
          <w:tcPr>
            <w:tcW w:w="587" w:type="pct"/>
            <w:tcBorders>
              <w:top w:val="double" w:color="auto" w:sz="6" w:space="0"/>
            </w:tcBorders>
            <w:vAlign w:val="center"/>
          </w:tcPr>
          <w:p w14:paraId="5C42019A">
            <w:pPr>
              <w:keepNext/>
              <w:snapToGrid w:val="0"/>
              <w:spacing w:line="360" w:lineRule="auto"/>
              <w:jc w:val="center"/>
              <w:rPr>
                <w:rFonts w:cs="宋体"/>
                <w:sz w:val="22"/>
                <w:szCs w:val="21"/>
                <w:highlight w:val="none"/>
              </w:rPr>
            </w:pPr>
          </w:p>
        </w:tc>
        <w:tc>
          <w:tcPr>
            <w:tcW w:w="744" w:type="pct"/>
            <w:tcBorders>
              <w:top w:val="double" w:color="auto" w:sz="6" w:space="0"/>
            </w:tcBorders>
            <w:vAlign w:val="center"/>
          </w:tcPr>
          <w:p w14:paraId="474D899C">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0EC93E57">
            <w:pPr>
              <w:keepNext/>
              <w:snapToGrid w:val="0"/>
              <w:spacing w:line="360" w:lineRule="auto"/>
              <w:jc w:val="center"/>
              <w:rPr>
                <w:rFonts w:cs="宋体"/>
                <w:sz w:val="22"/>
                <w:szCs w:val="21"/>
                <w:highlight w:val="none"/>
              </w:rPr>
            </w:pPr>
          </w:p>
        </w:tc>
        <w:tc>
          <w:tcPr>
            <w:tcW w:w="413" w:type="pct"/>
            <w:tcBorders>
              <w:top w:val="double" w:color="auto" w:sz="6" w:space="0"/>
            </w:tcBorders>
            <w:vAlign w:val="center"/>
          </w:tcPr>
          <w:p w14:paraId="47B0A6B0">
            <w:pPr>
              <w:keepNext/>
              <w:snapToGrid w:val="0"/>
              <w:spacing w:line="360" w:lineRule="auto"/>
              <w:jc w:val="center"/>
              <w:rPr>
                <w:rFonts w:cs="宋体"/>
                <w:sz w:val="22"/>
                <w:szCs w:val="21"/>
                <w:highlight w:val="none"/>
              </w:rPr>
            </w:pPr>
          </w:p>
        </w:tc>
      </w:tr>
      <w:tr w14:paraId="4B4B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088CB2BD">
            <w:pPr>
              <w:keepNext/>
              <w:snapToGrid w:val="0"/>
              <w:spacing w:line="360" w:lineRule="auto"/>
              <w:jc w:val="center"/>
              <w:rPr>
                <w:rFonts w:cs="宋体"/>
                <w:sz w:val="22"/>
                <w:szCs w:val="21"/>
                <w:highlight w:val="none"/>
              </w:rPr>
            </w:pPr>
          </w:p>
        </w:tc>
        <w:tc>
          <w:tcPr>
            <w:tcW w:w="413" w:type="pct"/>
            <w:tcBorders>
              <w:top w:val="nil"/>
            </w:tcBorders>
            <w:vAlign w:val="center"/>
          </w:tcPr>
          <w:p w14:paraId="0EA045E8">
            <w:pPr>
              <w:keepNext/>
              <w:snapToGrid w:val="0"/>
              <w:spacing w:line="360" w:lineRule="auto"/>
              <w:jc w:val="center"/>
              <w:rPr>
                <w:rFonts w:cs="宋体"/>
                <w:sz w:val="22"/>
                <w:szCs w:val="21"/>
                <w:highlight w:val="none"/>
              </w:rPr>
            </w:pPr>
          </w:p>
        </w:tc>
        <w:tc>
          <w:tcPr>
            <w:tcW w:w="778" w:type="pct"/>
            <w:tcBorders>
              <w:top w:val="nil"/>
            </w:tcBorders>
            <w:vAlign w:val="center"/>
          </w:tcPr>
          <w:p w14:paraId="1E0E0857">
            <w:pPr>
              <w:keepNext/>
              <w:snapToGrid w:val="0"/>
              <w:spacing w:line="360" w:lineRule="auto"/>
              <w:jc w:val="center"/>
              <w:rPr>
                <w:rFonts w:cs="宋体"/>
                <w:sz w:val="22"/>
                <w:szCs w:val="21"/>
                <w:highlight w:val="none"/>
              </w:rPr>
            </w:pPr>
          </w:p>
        </w:tc>
        <w:tc>
          <w:tcPr>
            <w:tcW w:w="413" w:type="pct"/>
            <w:tcBorders>
              <w:top w:val="nil"/>
            </w:tcBorders>
            <w:vAlign w:val="center"/>
          </w:tcPr>
          <w:p w14:paraId="2E093597">
            <w:pPr>
              <w:keepNext/>
              <w:snapToGrid w:val="0"/>
              <w:spacing w:line="360" w:lineRule="auto"/>
              <w:jc w:val="center"/>
              <w:rPr>
                <w:rFonts w:cs="宋体"/>
                <w:sz w:val="22"/>
                <w:szCs w:val="21"/>
                <w:highlight w:val="none"/>
              </w:rPr>
            </w:pPr>
          </w:p>
        </w:tc>
        <w:tc>
          <w:tcPr>
            <w:tcW w:w="240" w:type="pct"/>
            <w:tcBorders>
              <w:top w:val="nil"/>
            </w:tcBorders>
            <w:vAlign w:val="center"/>
          </w:tcPr>
          <w:p w14:paraId="68C9FEC3">
            <w:pPr>
              <w:keepNext/>
              <w:snapToGrid w:val="0"/>
              <w:spacing w:line="360" w:lineRule="auto"/>
              <w:jc w:val="center"/>
              <w:rPr>
                <w:rFonts w:cs="宋体"/>
                <w:sz w:val="22"/>
                <w:szCs w:val="21"/>
                <w:highlight w:val="none"/>
              </w:rPr>
            </w:pPr>
          </w:p>
        </w:tc>
        <w:tc>
          <w:tcPr>
            <w:tcW w:w="413" w:type="pct"/>
            <w:tcBorders>
              <w:top w:val="nil"/>
            </w:tcBorders>
            <w:vAlign w:val="center"/>
          </w:tcPr>
          <w:p w14:paraId="6142A9B8">
            <w:pPr>
              <w:keepNext/>
              <w:snapToGrid w:val="0"/>
              <w:spacing w:line="360" w:lineRule="auto"/>
              <w:jc w:val="center"/>
              <w:rPr>
                <w:rFonts w:cs="宋体"/>
                <w:sz w:val="22"/>
                <w:szCs w:val="21"/>
                <w:highlight w:val="none"/>
              </w:rPr>
            </w:pPr>
          </w:p>
        </w:tc>
        <w:tc>
          <w:tcPr>
            <w:tcW w:w="587" w:type="pct"/>
            <w:tcBorders>
              <w:top w:val="nil"/>
            </w:tcBorders>
            <w:vAlign w:val="center"/>
          </w:tcPr>
          <w:p w14:paraId="27C78A59">
            <w:pPr>
              <w:keepNext/>
              <w:snapToGrid w:val="0"/>
              <w:spacing w:line="360" w:lineRule="auto"/>
              <w:jc w:val="center"/>
              <w:rPr>
                <w:rFonts w:cs="宋体"/>
                <w:sz w:val="22"/>
                <w:szCs w:val="21"/>
                <w:highlight w:val="none"/>
              </w:rPr>
            </w:pPr>
          </w:p>
        </w:tc>
        <w:tc>
          <w:tcPr>
            <w:tcW w:w="744" w:type="pct"/>
            <w:tcBorders>
              <w:top w:val="nil"/>
            </w:tcBorders>
            <w:vAlign w:val="center"/>
          </w:tcPr>
          <w:p w14:paraId="5DCFB9D0">
            <w:pPr>
              <w:keepNext/>
              <w:snapToGrid w:val="0"/>
              <w:spacing w:line="360" w:lineRule="auto"/>
              <w:jc w:val="center"/>
              <w:rPr>
                <w:rFonts w:cs="宋体"/>
                <w:sz w:val="22"/>
                <w:szCs w:val="21"/>
                <w:highlight w:val="none"/>
              </w:rPr>
            </w:pPr>
          </w:p>
        </w:tc>
        <w:tc>
          <w:tcPr>
            <w:tcW w:w="413" w:type="pct"/>
            <w:tcBorders>
              <w:top w:val="nil"/>
            </w:tcBorders>
            <w:vAlign w:val="center"/>
          </w:tcPr>
          <w:p w14:paraId="507A98FB">
            <w:pPr>
              <w:keepNext/>
              <w:snapToGrid w:val="0"/>
              <w:spacing w:line="360" w:lineRule="auto"/>
              <w:jc w:val="center"/>
              <w:rPr>
                <w:rFonts w:cs="宋体"/>
                <w:sz w:val="22"/>
                <w:szCs w:val="21"/>
                <w:highlight w:val="none"/>
              </w:rPr>
            </w:pPr>
          </w:p>
        </w:tc>
        <w:tc>
          <w:tcPr>
            <w:tcW w:w="413" w:type="pct"/>
            <w:tcBorders>
              <w:top w:val="nil"/>
            </w:tcBorders>
            <w:vAlign w:val="center"/>
          </w:tcPr>
          <w:p w14:paraId="26D55EDF">
            <w:pPr>
              <w:keepNext/>
              <w:snapToGrid w:val="0"/>
              <w:spacing w:line="360" w:lineRule="auto"/>
              <w:jc w:val="center"/>
              <w:rPr>
                <w:rFonts w:cs="宋体"/>
                <w:sz w:val="22"/>
                <w:szCs w:val="21"/>
                <w:highlight w:val="none"/>
              </w:rPr>
            </w:pPr>
          </w:p>
        </w:tc>
      </w:tr>
      <w:tr w14:paraId="77B93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350CED4">
            <w:pPr>
              <w:keepNext/>
              <w:snapToGrid w:val="0"/>
              <w:spacing w:line="360" w:lineRule="auto"/>
              <w:jc w:val="center"/>
              <w:rPr>
                <w:rFonts w:cs="宋体"/>
                <w:sz w:val="22"/>
                <w:szCs w:val="21"/>
                <w:highlight w:val="none"/>
              </w:rPr>
            </w:pPr>
          </w:p>
        </w:tc>
        <w:tc>
          <w:tcPr>
            <w:tcW w:w="413" w:type="pct"/>
            <w:tcBorders>
              <w:top w:val="nil"/>
            </w:tcBorders>
            <w:vAlign w:val="center"/>
          </w:tcPr>
          <w:p w14:paraId="31E2F468">
            <w:pPr>
              <w:keepNext/>
              <w:snapToGrid w:val="0"/>
              <w:spacing w:line="360" w:lineRule="auto"/>
              <w:jc w:val="center"/>
              <w:rPr>
                <w:rFonts w:cs="宋体"/>
                <w:sz w:val="22"/>
                <w:szCs w:val="21"/>
                <w:highlight w:val="none"/>
              </w:rPr>
            </w:pPr>
          </w:p>
        </w:tc>
        <w:tc>
          <w:tcPr>
            <w:tcW w:w="778" w:type="pct"/>
            <w:tcBorders>
              <w:top w:val="nil"/>
            </w:tcBorders>
            <w:vAlign w:val="center"/>
          </w:tcPr>
          <w:p w14:paraId="5CBE8DD4">
            <w:pPr>
              <w:keepNext/>
              <w:snapToGrid w:val="0"/>
              <w:spacing w:line="360" w:lineRule="auto"/>
              <w:jc w:val="center"/>
              <w:rPr>
                <w:rFonts w:cs="宋体"/>
                <w:sz w:val="22"/>
                <w:szCs w:val="21"/>
                <w:highlight w:val="none"/>
              </w:rPr>
            </w:pPr>
          </w:p>
        </w:tc>
        <w:tc>
          <w:tcPr>
            <w:tcW w:w="413" w:type="pct"/>
            <w:tcBorders>
              <w:top w:val="nil"/>
            </w:tcBorders>
            <w:vAlign w:val="center"/>
          </w:tcPr>
          <w:p w14:paraId="0359ACBE">
            <w:pPr>
              <w:keepNext/>
              <w:snapToGrid w:val="0"/>
              <w:spacing w:line="360" w:lineRule="auto"/>
              <w:jc w:val="center"/>
              <w:rPr>
                <w:rFonts w:cs="宋体"/>
                <w:sz w:val="22"/>
                <w:szCs w:val="21"/>
                <w:highlight w:val="none"/>
              </w:rPr>
            </w:pPr>
          </w:p>
        </w:tc>
        <w:tc>
          <w:tcPr>
            <w:tcW w:w="240" w:type="pct"/>
            <w:tcBorders>
              <w:top w:val="nil"/>
            </w:tcBorders>
            <w:vAlign w:val="center"/>
          </w:tcPr>
          <w:p w14:paraId="324958E3">
            <w:pPr>
              <w:keepNext/>
              <w:snapToGrid w:val="0"/>
              <w:spacing w:line="360" w:lineRule="auto"/>
              <w:jc w:val="center"/>
              <w:rPr>
                <w:rFonts w:cs="宋体"/>
                <w:sz w:val="22"/>
                <w:szCs w:val="21"/>
                <w:highlight w:val="none"/>
              </w:rPr>
            </w:pPr>
          </w:p>
        </w:tc>
        <w:tc>
          <w:tcPr>
            <w:tcW w:w="413" w:type="pct"/>
            <w:tcBorders>
              <w:top w:val="nil"/>
            </w:tcBorders>
            <w:vAlign w:val="center"/>
          </w:tcPr>
          <w:p w14:paraId="29E46A24">
            <w:pPr>
              <w:keepNext/>
              <w:snapToGrid w:val="0"/>
              <w:spacing w:line="360" w:lineRule="auto"/>
              <w:jc w:val="center"/>
              <w:rPr>
                <w:rFonts w:cs="宋体"/>
                <w:sz w:val="22"/>
                <w:szCs w:val="21"/>
                <w:highlight w:val="none"/>
              </w:rPr>
            </w:pPr>
          </w:p>
        </w:tc>
        <w:tc>
          <w:tcPr>
            <w:tcW w:w="587" w:type="pct"/>
            <w:tcBorders>
              <w:top w:val="nil"/>
            </w:tcBorders>
            <w:vAlign w:val="center"/>
          </w:tcPr>
          <w:p w14:paraId="61B59511">
            <w:pPr>
              <w:keepNext/>
              <w:snapToGrid w:val="0"/>
              <w:spacing w:line="360" w:lineRule="auto"/>
              <w:jc w:val="center"/>
              <w:rPr>
                <w:rFonts w:cs="宋体"/>
                <w:sz w:val="22"/>
                <w:szCs w:val="21"/>
                <w:highlight w:val="none"/>
              </w:rPr>
            </w:pPr>
          </w:p>
        </w:tc>
        <w:tc>
          <w:tcPr>
            <w:tcW w:w="744" w:type="pct"/>
            <w:tcBorders>
              <w:top w:val="nil"/>
            </w:tcBorders>
            <w:vAlign w:val="center"/>
          </w:tcPr>
          <w:p w14:paraId="620DF3B5">
            <w:pPr>
              <w:keepNext/>
              <w:snapToGrid w:val="0"/>
              <w:spacing w:line="360" w:lineRule="auto"/>
              <w:jc w:val="center"/>
              <w:rPr>
                <w:rFonts w:cs="宋体"/>
                <w:sz w:val="22"/>
                <w:szCs w:val="21"/>
                <w:highlight w:val="none"/>
              </w:rPr>
            </w:pPr>
          </w:p>
        </w:tc>
        <w:tc>
          <w:tcPr>
            <w:tcW w:w="413" w:type="pct"/>
            <w:tcBorders>
              <w:top w:val="nil"/>
            </w:tcBorders>
            <w:vAlign w:val="center"/>
          </w:tcPr>
          <w:p w14:paraId="7377271A">
            <w:pPr>
              <w:keepNext/>
              <w:snapToGrid w:val="0"/>
              <w:spacing w:line="360" w:lineRule="auto"/>
              <w:jc w:val="center"/>
              <w:rPr>
                <w:rFonts w:cs="宋体"/>
                <w:sz w:val="22"/>
                <w:szCs w:val="21"/>
                <w:highlight w:val="none"/>
              </w:rPr>
            </w:pPr>
          </w:p>
        </w:tc>
        <w:tc>
          <w:tcPr>
            <w:tcW w:w="413" w:type="pct"/>
            <w:tcBorders>
              <w:top w:val="nil"/>
            </w:tcBorders>
            <w:vAlign w:val="center"/>
          </w:tcPr>
          <w:p w14:paraId="3BEF0DC5">
            <w:pPr>
              <w:keepNext/>
              <w:snapToGrid w:val="0"/>
              <w:spacing w:line="360" w:lineRule="auto"/>
              <w:jc w:val="center"/>
              <w:rPr>
                <w:rFonts w:cs="宋体"/>
                <w:sz w:val="22"/>
                <w:szCs w:val="21"/>
                <w:highlight w:val="none"/>
              </w:rPr>
            </w:pPr>
          </w:p>
        </w:tc>
      </w:tr>
      <w:tr w14:paraId="46940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0F0D6064">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2AC8BE29">
            <w:pPr>
              <w:keepNext/>
              <w:snapToGrid w:val="0"/>
              <w:spacing w:line="360" w:lineRule="auto"/>
              <w:jc w:val="center"/>
              <w:rPr>
                <w:rFonts w:cs="宋体"/>
                <w:sz w:val="22"/>
                <w:szCs w:val="21"/>
                <w:highlight w:val="none"/>
              </w:rPr>
            </w:pPr>
          </w:p>
        </w:tc>
        <w:tc>
          <w:tcPr>
            <w:tcW w:w="778" w:type="pct"/>
            <w:tcBorders>
              <w:bottom w:val="single" w:color="auto" w:sz="12" w:space="0"/>
            </w:tcBorders>
            <w:vAlign w:val="center"/>
          </w:tcPr>
          <w:p w14:paraId="046CA3A3">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62FD53B8">
            <w:pPr>
              <w:keepNext/>
              <w:snapToGrid w:val="0"/>
              <w:spacing w:line="360" w:lineRule="auto"/>
              <w:jc w:val="center"/>
              <w:rPr>
                <w:rFonts w:cs="宋体"/>
                <w:sz w:val="22"/>
                <w:szCs w:val="21"/>
                <w:highlight w:val="none"/>
              </w:rPr>
            </w:pPr>
          </w:p>
        </w:tc>
        <w:tc>
          <w:tcPr>
            <w:tcW w:w="240" w:type="pct"/>
            <w:tcBorders>
              <w:bottom w:val="single" w:color="auto" w:sz="12" w:space="0"/>
            </w:tcBorders>
            <w:vAlign w:val="center"/>
          </w:tcPr>
          <w:p w14:paraId="6B238608">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6D425A38">
            <w:pPr>
              <w:keepNext/>
              <w:snapToGrid w:val="0"/>
              <w:spacing w:line="360" w:lineRule="auto"/>
              <w:jc w:val="center"/>
              <w:rPr>
                <w:rFonts w:cs="宋体"/>
                <w:sz w:val="22"/>
                <w:szCs w:val="21"/>
                <w:highlight w:val="none"/>
              </w:rPr>
            </w:pPr>
          </w:p>
        </w:tc>
        <w:tc>
          <w:tcPr>
            <w:tcW w:w="587" w:type="pct"/>
            <w:tcBorders>
              <w:bottom w:val="single" w:color="auto" w:sz="12" w:space="0"/>
            </w:tcBorders>
            <w:vAlign w:val="center"/>
          </w:tcPr>
          <w:p w14:paraId="2712B5DB">
            <w:pPr>
              <w:keepNext/>
              <w:snapToGrid w:val="0"/>
              <w:spacing w:line="360" w:lineRule="auto"/>
              <w:jc w:val="center"/>
              <w:rPr>
                <w:rFonts w:cs="宋体"/>
                <w:sz w:val="22"/>
                <w:szCs w:val="21"/>
                <w:highlight w:val="none"/>
              </w:rPr>
            </w:pPr>
          </w:p>
        </w:tc>
        <w:tc>
          <w:tcPr>
            <w:tcW w:w="744" w:type="pct"/>
            <w:tcBorders>
              <w:bottom w:val="single" w:color="auto" w:sz="12" w:space="0"/>
            </w:tcBorders>
            <w:vAlign w:val="center"/>
          </w:tcPr>
          <w:p w14:paraId="303F9EEA">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03465CBE">
            <w:pPr>
              <w:keepNext/>
              <w:snapToGrid w:val="0"/>
              <w:spacing w:line="360" w:lineRule="auto"/>
              <w:jc w:val="center"/>
              <w:rPr>
                <w:rFonts w:cs="宋体"/>
                <w:sz w:val="22"/>
                <w:szCs w:val="21"/>
                <w:highlight w:val="none"/>
              </w:rPr>
            </w:pPr>
          </w:p>
        </w:tc>
        <w:tc>
          <w:tcPr>
            <w:tcW w:w="413" w:type="pct"/>
            <w:tcBorders>
              <w:bottom w:val="single" w:color="auto" w:sz="12" w:space="0"/>
            </w:tcBorders>
            <w:vAlign w:val="center"/>
          </w:tcPr>
          <w:p w14:paraId="535EE50C">
            <w:pPr>
              <w:keepNext/>
              <w:snapToGrid w:val="0"/>
              <w:spacing w:line="360" w:lineRule="auto"/>
              <w:jc w:val="center"/>
              <w:rPr>
                <w:rFonts w:cs="宋体"/>
                <w:sz w:val="22"/>
                <w:szCs w:val="21"/>
                <w:highlight w:val="none"/>
              </w:rPr>
            </w:pPr>
          </w:p>
        </w:tc>
      </w:tr>
    </w:tbl>
    <w:p w14:paraId="23286957">
      <w:pPr>
        <w:spacing w:before="312" w:beforeLines="100" w:after="312" w:afterLines="100"/>
        <w:outlineLvl w:val="2"/>
        <w:rPr>
          <w:rFonts w:ascii="Times New Roman" w:eastAsia="黑体"/>
          <w:highlight w:val="none"/>
        </w:rPr>
      </w:pPr>
      <w:r>
        <w:rPr>
          <w:rFonts w:hint="eastAsia" w:ascii="Times New Roman" w:eastAsia="黑体"/>
          <w:bCs/>
          <w:highlight w:val="none"/>
        </w:rPr>
        <w:br w:type="page"/>
      </w:r>
      <w:bookmarkStart w:id="614" w:name="_Toc128950236"/>
      <w:r>
        <w:rPr>
          <w:rFonts w:hint="eastAsia" w:ascii="Times New Roman" w:eastAsia="黑体"/>
          <w:highlight w:val="none"/>
        </w:rPr>
        <w:t>附</w:t>
      </w:r>
      <w:bookmarkStart w:id="615" w:name="_Toc296503225"/>
      <w:bookmarkStart w:id="616" w:name="_Toc296891265"/>
      <w:bookmarkStart w:id="617" w:name="_Toc267261692"/>
      <w:bookmarkStart w:id="618" w:name="_Toc296347224"/>
      <w:bookmarkStart w:id="619" w:name="_Toc296346726"/>
      <w:bookmarkStart w:id="620" w:name="_Toc296891053"/>
      <w:bookmarkStart w:id="621" w:name="_Toc296944564"/>
      <w:r>
        <w:rPr>
          <w:rFonts w:hint="eastAsia" w:ascii="Times New Roman" w:eastAsia="黑体"/>
          <w:highlight w:val="none"/>
        </w:rPr>
        <w:t>件</w:t>
      </w:r>
      <w:r>
        <w:rPr>
          <w:rFonts w:ascii="Times New Roman" w:eastAsia="黑体"/>
          <w:highlight w:val="none"/>
        </w:rPr>
        <w:t>2</w:t>
      </w:r>
      <w:r>
        <w:rPr>
          <w:rFonts w:hint="eastAsia" w:ascii="Times New Roman" w:eastAsia="黑体"/>
          <w:highlight w:val="none"/>
        </w:rPr>
        <w:t>：发包人供应材料设备一览表</w:t>
      </w:r>
      <w:bookmarkEnd w:id="614"/>
    </w:p>
    <w:bookmarkEnd w:id="615"/>
    <w:bookmarkEnd w:id="616"/>
    <w:bookmarkEnd w:id="617"/>
    <w:bookmarkEnd w:id="618"/>
    <w:bookmarkEnd w:id="619"/>
    <w:bookmarkEnd w:id="620"/>
    <w:bookmarkEnd w:id="621"/>
    <w:p w14:paraId="137585FA">
      <w:pPr>
        <w:spacing w:line="360" w:lineRule="auto"/>
        <w:jc w:val="center"/>
        <w:rPr>
          <w:rFonts w:cs="宋体"/>
          <w:sz w:val="22"/>
          <w:szCs w:val="21"/>
          <w:highlight w:val="none"/>
        </w:rPr>
      </w:pPr>
      <w:r>
        <w:rPr>
          <w:rFonts w:hint="eastAsia" w:cs="宋体"/>
          <w:sz w:val="22"/>
          <w:szCs w:val="21"/>
          <w:highlight w:val="none"/>
        </w:rPr>
        <w:t>发包人供应材料设备一览表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1DC99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7A9CB3B7">
            <w:pPr>
              <w:keepNext/>
              <w:snapToGrid w:val="0"/>
              <w:spacing w:line="360" w:lineRule="auto"/>
              <w:jc w:val="center"/>
              <w:rPr>
                <w:rFonts w:cs="宋体"/>
                <w:sz w:val="22"/>
                <w:szCs w:val="21"/>
                <w:highlight w:val="none"/>
              </w:rPr>
            </w:pPr>
            <w:r>
              <w:rPr>
                <w:rFonts w:hint="eastAsia" w:cs="宋体"/>
                <w:sz w:val="22"/>
                <w:szCs w:val="21"/>
                <w:highlight w:val="none"/>
              </w:rPr>
              <w:t>序号</w:t>
            </w:r>
          </w:p>
        </w:tc>
        <w:tc>
          <w:tcPr>
            <w:tcW w:w="941" w:type="pct"/>
            <w:tcBorders>
              <w:top w:val="single" w:color="auto" w:sz="12" w:space="0"/>
              <w:bottom w:val="double" w:color="auto" w:sz="6" w:space="0"/>
            </w:tcBorders>
            <w:vAlign w:val="center"/>
          </w:tcPr>
          <w:p w14:paraId="24C319C9">
            <w:pPr>
              <w:keepNext/>
              <w:snapToGrid w:val="0"/>
              <w:spacing w:line="360" w:lineRule="auto"/>
              <w:jc w:val="center"/>
              <w:rPr>
                <w:rFonts w:cs="宋体"/>
                <w:sz w:val="22"/>
                <w:szCs w:val="21"/>
                <w:highlight w:val="none"/>
              </w:rPr>
            </w:pPr>
            <w:r>
              <w:rPr>
                <w:rFonts w:hint="eastAsia" w:cs="宋体"/>
                <w:sz w:val="22"/>
                <w:szCs w:val="21"/>
                <w:highlight w:val="none"/>
              </w:rPr>
              <w:t>材料、设备品种</w:t>
            </w:r>
          </w:p>
        </w:tc>
        <w:tc>
          <w:tcPr>
            <w:tcW w:w="552" w:type="pct"/>
            <w:tcBorders>
              <w:top w:val="single" w:color="auto" w:sz="12" w:space="0"/>
              <w:bottom w:val="double" w:color="auto" w:sz="6" w:space="0"/>
            </w:tcBorders>
            <w:vAlign w:val="center"/>
          </w:tcPr>
          <w:p w14:paraId="101FAFDF">
            <w:pPr>
              <w:keepNext/>
              <w:snapToGrid w:val="0"/>
              <w:spacing w:line="360" w:lineRule="auto"/>
              <w:jc w:val="center"/>
              <w:rPr>
                <w:rFonts w:cs="宋体"/>
                <w:sz w:val="22"/>
                <w:szCs w:val="21"/>
                <w:highlight w:val="none"/>
              </w:rPr>
            </w:pPr>
            <w:r>
              <w:rPr>
                <w:rFonts w:hint="eastAsia" w:cs="宋体"/>
                <w:sz w:val="22"/>
                <w:szCs w:val="21"/>
                <w:highlight w:val="none"/>
              </w:rPr>
              <w:t>规格型号</w:t>
            </w:r>
          </w:p>
        </w:tc>
        <w:tc>
          <w:tcPr>
            <w:tcW w:w="292" w:type="pct"/>
            <w:tcBorders>
              <w:top w:val="single" w:color="auto" w:sz="12" w:space="0"/>
              <w:bottom w:val="double" w:color="auto" w:sz="6" w:space="0"/>
            </w:tcBorders>
            <w:vAlign w:val="center"/>
          </w:tcPr>
          <w:p w14:paraId="6B373D04">
            <w:pPr>
              <w:keepNext/>
              <w:snapToGrid w:val="0"/>
              <w:spacing w:line="360" w:lineRule="auto"/>
              <w:jc w:val="center"/>
              <w:rPr>
                <w:rFonts w:cs="宋体"/>
                <w:sz w:val="22"/>
                <w:szCs w:val="21"/>
                <w:highlight w:val="none"/>
              </w:rPr>
            </w:pPr>
            <w:r>
              <w:rPr>
                <w:rFonts w:hint="eastAsia" w:cs="宋体"/>
                <w:sz w:val="22"/>
                <w:szCs w:val="21"/>
                <w:highlight w:val="none"/>
              </w:rPr>
              <w:t>单位</w:t>
            </w:r>
          </w:p>
        </w:tc>
        <w:tc>
          <w:tcPr>
            <w:tcW w:w="292" w:type="pct"/>
            <w:tcBorders>
              <w:top w:val="single" w:color="auto" w:sz="12" w:space="0"/>
              <w:bottom w:val="double" w:color="auto" w:sz="6" w:space="0"/>
            </w:tcBorders>
            <w:vAlign w:val="center"/>
          </w:tcPr>
          <w:p w14:paraId="23DE4DB5">
            <w:pPr>
              <w:keepNext/>
              <w:snapToGrid w:val="0"/>
              <w:spacing w:line="360" w:lineRule="auto"/>
              <w:jc w:val="center"/>
              <w:rPr>
                <w:rFonts w:cs="宋体"/>
                <w:sz w:val="22"/>
                <w:szCs w:val="21"/>
                <w:highlight w:val="none"/>
              </w:rPr>
            </w:pPr>
            <w:r>
              <w:rPr>
                <w:rFonts w:hint="eastAsia" w:cs="宋体"/>
                <w:sz w:val="22"/>
                <w:szCs w:val="21"/>
                <w:highlight w:val="none"/>
              </w:rPr>
              <w:t>数量</w:t>
            </w:r>
          </w:p>
        </w:tc>
        <w:tc>
          <w:tcPr>
            <w:tcW w:w="682" w:type="pct"/>
            <w:tcBorders>
              <w:top w:val="single" w:color="auto" w:sz="12" w:space="0"/>
              <w:bottom w:val="double" w:color="auto" w:sz="6" w:space="0"/>
            </w:tcBorders>
            <w:vAlign w:val="center"/>
          </w:tcPr>
          <w:p w14:paraId="4A32FE96">
            <w:pPr>
              <w:keepNext/>
              <w:snapToGrid w:val="0"/>
              <w:spacing w:line="360" w:lineRule="auto"/>
              <w:jc w:val="center"/>
              <w:rPr>
                <w:rFonts w:cs="宋体"/>
                <w:sz w:val="22"/>
                <w:szCs w:val="21"/>
                <w:highlight w:val="none"/>
              </w:rPr>
            </w:pPr>
            <w:r>
              <w:rPr>
                <w:rFonts w:hint="eastAsia" w:cs="宋体"/>
                <w:sz w:val="22"/>
                <w:szCs w:val="21"/>
                <w:highlight w:val="none"/>
              </w:rPr>
              <w:t>单价（元）</w:t>
            </w:r>
          </w:p>
        </w:tc>
        <w:tc>
          <w:tcPr>
            <w:tcW w:w="552" w:type="pct"/>
            <w:tcBorders>
              <w:top w:val="single" w:color="auto" w:sz="12" w:space="0"/>
              <w:bottom w:val="double" w:color="auto" w:sz="6" w:space="0"/>
            </w:tcBorders>
            <w:vAlign w:val="center"/>
          </w:tcPr>
          <w:p w14:paraId="4D30FAC0">
            <w:pPr>
              <w:keepNext/>
              <w:snapToGrid w:val="0"/>
              <w:spacing w:line="360" w:lineRule="auto"/>
              <w:jc w:val="center"/>
              <w:rPr>
                <w:rFonts w:cs="宋体"/>
                <w:sz w:val="22"/>
                <w:szCs w:val="21"/>
                <w:highlight w:val="none"/>
              </w:rPr>
            </w:pPr>
            <w:r>
              <w:rPr>
                <w:rFonts w:hint="eastAsia" w:cs="宋体"/>
                <w:sz w:val="22"/>
                <w:szCs w:val="21"/>
                <w:highlight w:val="none"/>
              </w:rPr>
              <w:t>质量等级</w:t>
            </w:r>
          </w:p>
        </w:tc>
        <w:tc>
          <w:tcPr>
            <w:tcW w:w="552" w:type="pct"/>
            <w:tcBorders>
              <w:top w:val="single" w:color="auto" w:sz="12" w:space="0"/>
              <w:bottom w:val="double" w:color="auto" w:sz="6" w:space="0"/>
            </w:tcBorders>
            <w:vAlign w:val="center"/>
          </w:tcPr>
          <w:p w14:paraId="29DDEBA5">
            <w:pPr>
              <w:keepNext/>
              <w:snapToGrid w:val="0"/>
              <w:spacing w:line="360" w:lineRule="auto"/>
              <w:jc w:val="center"/>
              <w:rPr>
                <w:rFonts w:cs="宋体"/>
                <w:sz w:val="22"/>
                <w:szCs w:val="21"/>
                <w:highlight w:val="none"/>
              </w:rPr>
            </w:pPr>
            <w:r>
              <w:rPr>
                <w:rFonts w:hint="eastAsia" w:cs="宋体"/>
                <w:sz w:val="22"/>
                <w:szCs w:val="21"/>
                <w:highlight w:val="none"/>
              </w:rPr>
              <w:t>供应时间</w:t>
            </w:r>
          </w:p>
        </w:tc>
        <w:tc>
          <w:tcPr>
            <w:tcW w:w="552" w:type="pct"/>
            <w:tcBorders>
              <w:top w:val="single" w:color="auto" w:sz="12" w:space="0"/>
              <w:bottom w:val="double" w:color="auto" w:sz="6" w:space="0"/>
            </w:tcBorders>
            <w:vAlign w:val="center"/>
          </w:tcPr>
          <w:p w14:paraId="3856B6A3">
            <w:pPr>
              <w:keepNext/>
              <w:snapToGrid w:val="0"/>
              <w:spacing w:line="360" w:lineRule="auto"/>
              <w:jc w:val="center"/>
              <w:rPr>
                <w:rFonts w:cs="宋体"/>
                <w:sz w:val="22"/>
                <w:szCs w:val="21"/>
                <w:highlight w:val="none"/>
              </w:rPr>
            </w:pPr>
            <w:r>
              <w:rPr>
                <w:rFonts w:hint="eastAsia" w:cs="宋体"/>
                <w:sz w:val="22"/>
                <w:szCs w:val="21"/>
                <w:highlight w:val="none"/>
              </w:rPr>
              <w:t>送达地点</w:t>
            </w:r>
          </w:p>
        </w:tc>
        <w:tc>
          <w:tcPr>
            <w:tcW w:w="292" w:type="pct"/>
            <w:tcBorders>
              <w:top w:val="single" w:color="auto" w:sz="12" w:space="0"/>
              <w:bottom w:val="double" w:color="auto" w:sz="6" w:space="0"/>
            </w:tcBorders>
            <w:vAlign w:val="center"/>
          </w:tcPr>
          <w:p w14:paraId="4A4BBAB8">
            <w:pPr>
              <w:keepNext/>
              <w:snapToGrid w:val="0"/>
              <w:spacing w:line="360" w:lineRule="auto"/>
              <w:jc w:val="center"/>
              <w:rPr>
                <w:rFonts w:cs="宋体"/>
                <w:sz w:val="22"/>
                <w:szCs w:val="21"/>
                <w:highlight w:val="none"/>
              </w:rPr>
            </w:pPr>
            <w:r>
              <w:rPr>
                <w:rFonts w:hint="eastAsia" w:cs="宋体"/>
                <w:sz w:val="22"/>
                <w:szCs w:val="21"/>
                <w:highlight w:val="none"/>
              </w:rPr>
              <w:t>备注</w:t>
            </w:r>
          </w:p>
        </w:tc>
      </w:tr>
      <w:tr w14:paraId="7D9B9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2B499C35">
            <w:pPr>
              <w:keepNext/>
              <w:snapToGrid w:val="0"/>
              <w:spacing w:line="360" w:lineRule="auto"/>
              <w:jc w:val="center"/>
              <w:rPr>
                <w:rFonts w:cs="宋体"/>
                <w:sz w:val="22"/>
                <w:szCs w:val="21"/>
                <w:highlight w:val="none"/>
              </w:rPr>
            </w:pPr>
          </w:p>
        </w:tc>
        <w:tc>
          <w:tcPr>
            <w:tcW w:w="941" w:type="pct"/>
            <w:tcBorders>
              <w:top w:val="double" w:color="auto" w:sz="6" w:space="0"/>
            </w:tcBorders>
            <w:vAlign w:val="center"/>
          </w:tcPr>
          <w:p w14:paraId="6475A08C">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3F953C5D">
            <w:pPr>
              <w:keepNext/>
              <w:snapToGrid w:val="0"/>
              <w:spacing w:line="360" w:lineRule="auto"/>
              <w:jc w:val="center"/>
              <w:rPr>
                <w:rFonts w:cs="宋体"/>
                <w:sz w:val="22"/>
                <w:szCs w:val="21"/>
                <w:highlight w:val="none"/>
              </w:rPr>
            </w:pPr>
          </w:p>
        </w:tc>
        <w:tc>
          <w:tcPr>
            <w:tcW w:w="292" w:type="pct"/>
            <w:tcBorders>
              <w:top w:val="double" w:color="auto" w:sz="6" w:space="0"/>
            </w:tcBorders>
            <w:vAlign w:val="center"/>
          </w:tcPr>
          <w:p w14:paraId="2BECC7F9">
            <w:pPr>
              <w:keepNext/>
              <w:snapToGrid w:val="0"/>
              <w:spacing w:line="360" w:lineRule="auto"/>
              <w:jc w:val="center"/>
              <w:rPr>
                <w:rFonts w:cs="宋体"/>
                <w:sz w:val="22"/>
                <w:szCs w:val="21"/>
                <w:highlight w:val="none"/>
              </w:rPr>
            </w:pPr>
          </w:p>
        </w:tc>
        <w:tc>
          <w:tcPr>
            <w:tcW w:w="292" w:type="pct"/>
            <w:tcBorders>
              <w:top w:val="double" w:color="auto" w:sz="6" w:space="0"/>
            </w:tcBorders>
            <w:vAlign w:val="center"/>
          </w:tcPr>
          <w:p w14:paraId="35AF79FA">
            <w:pPr>
              <w:keepNext/>
              <w:snapToGrid w:val="0"/>
              <w:spacing w:line="360" w:lineRule="auto"/>
              <w:jc w:val="center"/>
              <w:rPr>
                <w:rFonts w:cs="宋体"/>
                <w:sz w:val="22"/>
                <w:szCs w:val="21"/>
                <w:highlight w:val="none"/>
              </w:rPr>
            </w:pPr>
          </w:p>
        </w:tc>
        <w:tc>
          <w:tcPr>
            <w:tcW w:w="682" w:type="pct"/>
            <w:tcBorders>
              <w:top w:val="double" w:color="auto" w:sz="6" w:space="0"/>
            </w:tcBorders>
            <w:vAlign w:val="center"/>
          </w:tcPr>
          <w:p w14:paraId="69C6CF50">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474E98FC">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7587DF65">
            <w:pPr>
              <w:keepNext/>
              <w:snapToGrid w:val="0"/>
              <w:spacing w:line="360" w:lineRule="auto"/>
              <w:jc w:val="center"/>
              <w:rPr>
                <w:rFonts w:cs="宋体"/>
                <w:sz w:val="22"/>
                <w:szCs w:val="21"/>
                <w:highlight w:val="none"/>
              </w:rPr>
            </w:pPr>
          </w:p>
        </w:tc>
        <w:tc>
          <w:tcPr>
            <w:tcW w:w="552" w:type="pct"/>
            <w:tcBorders>
              <w:top w:val="double" w:color="auto" w:sz="6" w:space="0"/>
            </w:tcBorders>
            <w:vAlign w:val="center"/>
          </w:tcPr>
          <w:p w14:paraId="157CE3F3">
            <w:pPr>
              <w:keepNext/>
              <w:snapToGrid w:val="0"/>
              <w:spacing w:line="360" w:lineRule="auto"/>
              <w:jc w:val="center"/>
              <w:rPr>
                <w:rFonts w:cs="宋体"/>
                <w:sz w:val="22"/>
                <w:szCs w:val="21"/>
                <w:highlight w:val="none"/>
              </w:rPr>
            </w:pPr>
          </w:p>
        </w:tc>
        <w:tc>
          <w:tcPr>
            <w:tcW w:w="292" w:type="pct"/>
            <w:tcBorders>
              <w:top w:val="double" w:color="auto" w:sz="6" w:space="0"/>
            </w:tcBorders>
            <w:vAlign w:val="center"/>
          </w:tcPr>
          <w:p w14:paraId="041E1287">
            <w:pPr>
              <w:keepNext/>
              <w:snapToGrid w:val="0"/>
              <w:spacing w:line="360" w:lineRule="auto"/>
              <w:jc w:val="center"/>
              <w:rPr>
                <w:rFonts w:cs="宋体"/>
                <w:sz w:val="22"/>
                <w:szCs w:val="21"/>
                <w:highlight w:val="none"/>
              </w:rPr>
            </w:pPr>
          </w:p>
        </w:tc>
      </w:tr>
      <w:tr w14:paraId="20762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59E2AFD0">
            <w:pPr>
              <w:snapToGrid w:val="0"/>
              <w:spacing w:line="360" w:lineRule="auto"/>
              <w:jc w:val="center"/>
              <w:rPr>
                <w:rFonts w:cs="宋体"/>
                <w:sz w:val="22"/>
                <w:szCs w:val="21"/>
                <w:highlight w:val="none"/>
              </w:rPr>
            </w:pPr>
          </w:p>
        </w:tc>
        <w:tc>
          <w:tcPr>
            <w:tcW w:w="941" w:type="pct"/>
            <w:vAlign w:val="center"/>
          </w:tcPr>
          <w:p w14:paraId="31BF9968">
            <w:pPr>
              <w:snapToGrid w:val="0"/>
              <w:spacing w:line="360" w:lineRule="auto"/>
              <w:jc w:val="center"/>
              <w:rPr>
                <w:rFonts w:cs="宋体"/>
                <w:sz w:val="22"/>
                <w:szCs w:val="21"/>
                <w:highlight w:val="none"/>
              </w:rPr>
            </w:pPr>
          </w:p>
        </w:tc>
        <w:tc>
          <w:tcPr>
            <w:tcW w:w="552" w:type="pct"/>
            <w:vAlign w:val="center"/>
          </w:tcPr>
          <w:p w14:paraId="65DBD3B6">
            <w:pPr>
              <w:snapToGrid w:val="0"/>
              <w:spacing w:line="360" w:lineRule="auto"/>
              <w:jc w:val="center"/>
              <w:rPr>
                <w:rFonts w:cs="宋体"/>
                <w:sz w:val="22"/>
                <w:szCs w:val="21"/>
                <w:highlight w:val="none"/>
              </w:rPr>
            </w:pPr>
          </w:p>
        </w:tc>
        <w:tc>
          <w:tcPr>
            <w:tcW w:w="292" w:type="pct"/>
            <w:vAlign w:val="center"/>
          </w:tcPr>
          <w:p w14:paraId="3CB3FBFE">
            <w:pPr>
              <w:snapToGrid w:val="0"/>
              <w:spacing w:line="360" w:lineRule="auto"/>
              <w:jc w:val="center"/>
              <w:rPr>
                <w:rFonts w:cs="宋体"/>
                <w:sz w:val="22"/>
                <w:szCs w:val="21"/>
                <w:highlight w:val="none"/>
              </w:rPr>
            </w:pPr>
          </w:p>
        </w:tc>
        <w:tc>
          <w:tcPr>
            <w:tcW w:w="292" w:type="pct"/>
            <w:vAlign w:val="center"/>
          </w:tcPr>
          <w:p w14:paraId="34A05562">
            <w:pPr>
              <w:snapToGrid w:val="0"/>
              <w:spacing w:line="360" w:lineRule="auto"/>
              <w:jc w:val="center"/>
              <w:rPr>
                <w:rFonts w:cs="宋体"/>
                <w:sz w:val="22"/>
                <w:szCs w:val="21"/>
                <w:highlight w:val="none"/>
              </w:rPr>
            </w:pPr>
          </w:p>
        </w:tc>
        <w:tc>
          <w:tcPr>
            <w:tcW w:w="682" w:type="pct"/>
            <w:vAlign w:val="center"/>
          </w:tcPr>
          <w:p w14:paraId="4741F082">
            <w:pPr>
              <w:snapToGrid w:val="0"/>
              <w:spacing w:line="360" w:lineRule="auto"/>
              <w:jc w:val="center"/>
              <w:rPr>
                <w:rFonts w:cs="宋体"/>
                <w:sz w:val="22"/>
                <w:szCs w:val="21"/>
                <w:highlight w:val="none"/>
              </w:rPr>
            </w:pPr>
          </w:p>
        </w:tc>
        <w:tc>
          <w:tcPr>
            <w:tcW w:w="552" w:type="pct"/>
            <w:vAlign w:val="center"/>
          </w:tcPr>
          <w:p w14:paraId="715C20AF">
            <w:pPr>
              <w:snapToGrid w:val="0"/>
              <w:spacing w:line="360" w:lineRule="auto"/>
              <w:jc w:val="center"/>
              <w:rPr>
                <w:rFonts w:cs="宋体"/>
                <w:sz w:val="22"/>
                <w:szCs w:val="21"/>
                <w:highlight w:val="none"/>
              </w:rPr>
            </w:pPr>
          </w:p>
        </w:tc>
        <w:tc>
          <w:tcPr>
            <w:tcW w:w="552" w:type="pct"/>
            <w:vAlign w:val="center"/>
          </w:tcPr>
          <w:p w14:paraId="38B682F9">
            <w:pPr>
              <w:snapToGrid w:val="0"/>
              <w:spacing w:line="360" w:lineRule="auto"/>
              <w:jc w:val="center"/>
              <w:rPr>
                <w:rFonts w:cs="宋体"/>
                <w:sz w:val="22"/>
                <w:szCs w:val="21"/>
                <w:highlight w:val="none"/>
              </w:rPr>
            </w:pPr>
          </w:p>
        </w:tc>
        <w:tc>
          <w:tcPr>
            <w:tcW w:w="552" w:type="pct"/>
            <w:vAlign w:val="center"/>
          </w:tcPr>
          <w:p w14:paraId="0F82A46A">
            <w:pPr>
              <w:snapToGrid w:val="0"/>
              <w:spacing w:line="360" w:lineRule="auto"/>
              <w:jc w:val="center"/>
              <w:rPr>
                <w:rFonts w:cs="宋体"/>
                <w:sz w:val="22"/>
                <w:szCs w:val="21"/>
                <w:highlight w:val="none"/>
              </w:rPr>
            </w:pPr>
          </w:p>
        </w:tc>
        <w:tc>
          <w:tcPr>
            <w:tcW w:w="292" w:type="pct"/>
            <w:vAlign w:val="center"/>
          </w:tcPr>
          <w:p w14:paraId="50DFD40D">
            <w:pPr>
              <w:snapToGrid w:val="0"/>
              <w:spacing w:line="360" w:lineRule="auto"/>
              <w:jc w:val="center"/>
              <w:rPr>
                <w:rFonts w:cs="宋体"/>
                <w:sz w:val="22"/>
                <w:szCs w:val="21"/>
                <w:highlight w:val="none"/>
              </w:rPr>
            </w:pPr>
          </w:p>
        </w:tc>
      </w:tr>
      <w:tr w14:paraId="519C3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57AF5AD0">
            <w:pPr>
              <w:snapToGrid w:val="0"/>
              <w:spacing w:line="360" w:lineRule="auto"/>
              <w:jc w:val="center"/>
              <w:rPr>
                <w:rFonts w:cs="宋体"/>
                <w:sz w:val="22"/>
                <w:szCs w:val="21"/>
                <w:highlight w:val="none"/>
              </w:rPr>
            </w:pPr>
          </w:p>
        </w:tc>
        <w:tc>
          <w:tcPr>
            <w:tcW w:w="941" w:type="pct"/>
            <w:tcBorders>
              <w:bottom w:val="single" w:color="auto" w:sz="12" w:space="0"/>
            </w:tcBorders>
            <w:vAlign w:val="center"/>
          </w:tcPr>
          <w:p w14:paraId="4C56A155">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7DD2A308">
            <w:pPr>
              <w:snapToGrid w:val="0"/>
              <w:spacing w:line="360" w:lineRule="auto"/>
              <w:jc w:val="center"/>
              <w:rPr>
                <w:rFonts w:cs="宋体"/>
                <w:sz w:val="22"/>
                <w:szCs w:val="21"/>
                <w:highlight w:val="none"/>
              </w:rPr>
            </w:pPr>
          </w:p>
        </w:tc>
        <w:tc>
          <w:tcPr>
            <w:tcW w:w="292" w:type="pct"/>
            <w:tcBorders>
              <w:bottom w:val="single" w:color="auto" w:sz="12" w:space="0"/>
            </w:tcBorders>
            <w:vAlign w:val="center"/>
          </w:tcPr>
          <w:p w14:paraId="5A355024">
            <w:pPr>
              <w:snapToGrid w:val="0"/>
              <w:spacing w:line="360" w:lineRule="auto"/>
              <w:jc w:val="center"/>
              <w:rPr>
                <w:rFonts w:cs="宋体"/>
                <w:sz w:val="22"/>
                <w:szCs w:val="21"/>
                <w:highlight w:val="none"/>
              </w:rPr>
            </w:pPr>
          </w:p>
        </w:tc>
        <w:tc>
          <w:tcPr>
            <w:tcW w:w="292" w:type="pct"/>
            <w:tcBorders>
              <w:bottom w:val="single" w:color="auto" w:sz="12" w:space="0"/>
            </w:tcBorders>
            <w:vAlign w:val="center"/>
          </w:tcPr>
          <w:p w14:paraId="53C8E489">
            <w:pPr>
              <w:snapToGrid w:val="0"/>
              <w:spacing w:line="360" w:lineRule="auto"/>
              <w:jc w:val="center"/>
              <w:rPr>
                <w:rFonts w:cs="宋体"/>
                <w:sz w:val="22"/>
                <w:szCs w:val="21"/>
                <w:highlight w:val="none"/>
              </w:rPr>
            </w:pPr>
          </w:p>
        </w:tc>
        <w:tc>
          <w:tcPr>
            <w:tcW w:w="682" w:type="pct"/>
            <w:tcBorders>
              <w:bottom w:val="single" w:color="auto" w:sz="12" w:space="0"/>
            </w:tcBorders>
            <w:vAlign w:val="center"/>
          </w:tcPr>
          <w:p w14:paraId="65F0C24C">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656FCDC2">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071514AA">
            <w:pPr>
              <w:snapToGrid w:val="0"/>
              <w:spacing w:line="360" w:lineRule="auto"/>
              <w:jc w:val="center"/>
              <w:rPr>
                <w:rFonts w:cs="宋体"/>
                <w:sz w:val="22"/>
                <w:szCs w:val="21"/>
                <w:highlight w:val="none"/>
              </w:rPr>
            </w:pPr>
          </w:p>
        </w:tc>
        <w:tc>
          <w:tcPr>
            <w:tcW w:w="552" w:type="pct"/>
            <w:tcBorders>
              <w:bottom w:val="single" w:color="auto" w:sz="12" w:space="0"/>
            </w:tcBorders>
            <w:vAlign w:val="center"/>
          </w:tcPr>
          <w:p w14:paraId="00929083">
            <w:pPr>
              <w:snapToGrid w:val="0"/>
              <w:spacing w:line="360" w:lineRule="auto"/>
              <w:jc w:val="center"/>
              <w:rPr>
                <w:rFonts w:cs="宋体"/>
                <w:sz w:val="22"/>
                <w:szCs w:val="21"/>
                <w:highlight w:val="none"/>
              </w:rPr>
            </w:pPr>
          </w:p>
        </w:tc>
        <w:tc>
          <w:tcPr>
            <w:tcW w:w="292" w:type="pct"/>
            <w:tcBorders>
              <w:bottom w:val="single" w:color="auto" w:sz="12" w:space="0"/>
            </w:tcBorders>
            <w:vAlign w:val="center"/>
          </w:tcPr>
          <w:p w14:paraId="4668619C">
            <w:pPr>
              <w:snapToGrid w:val="0"/>
              <w:spacing w:line="360" w:lineRule="auto"/>
              <w:jc w:val="center"/>
              <w:rPr>
                <w:rFonts w:cs="宋体"/>
                <w:sz w:val="22"/>
                <w:szCs w:val="21"/>
                <w:highlight w:val="none"/>
              </w:rPr>
            </w:pPr>
          </w:p>
        </w:tc>
      </w:tr>
    </w:tbl>
    <w:p w14:paraId="207EA82A">
      <w:pPr>
        <w:spacing w:before="312" w:beforeLines="100" w:after="312" w:afterLines="100"/>
        <w:outlineLvl w:val="2"/>
        <w:rPr>
          <w:rFonts w:ascii="Times New Roman" w:eastAsia="黑体"/>
          <w:highlight w:val="none"/>
        </w:rPr>
      </w:pPr>
      <w:r>
        <w:rPr>
          <w:rFonts w:hint="eastAsia" w:cs="宋体"/>
          <w:bCs/>
          <w:highlight w:val="none"/>
        </w:rPr>
        <w:br w:type="page"/>
      </w:r>
      <w:bookmarkStart w:id="622" w:name="_Toc128950237"/>
      <w:r>
        <w:rPr>
          <w:rFonts w:hint="eastAsia" w:ascii="Times New Roman" w:eastAsia="黑体"/>
          <w:highlight w:val="none"/>
        </w:rPr>
        <w:t>附件3：工程质量保修书（房屋建筑工程）</w:t>
      </w:r>
      <w:bookmarkEnd w:id="622"/>
    </w:p>
    <w:p w14:paraId="5E826CBC">
      <w:pPr>
        <w:adjustRightInd w:val="0"/>
        <w:snapToGrid w:val="0"/>
        <w:spacing w:before="156" w:beforeLines="50" w:after="156" w:afterLines="50" w:line="360" w:lineRule="auto"/>
        <w:jc w:val="center"/>
        <w:rPr>
          <w:rFonts w:cs="宋体"/>
          <w:b/>
          <w:highlight w:val="none"/>
        </w:rPr>
      </w:pPr>
      <w:r>
        <w:rPr>
          <w:rFonts w:hint="eastAsia" w:cs="宋体"/>
          <w:b/>
          <w:highlight w:val="none"/>
        </w:rPr>
        <w:t>工程质量保修书</w:t>
      </w:r>
    </w:p>
    <w:p w14:paraId="1429B319">
      <w:pPr>
        <w:adjustRightInd w:val="0"/>
        <w:snapToGrid w:val="0"/>
        <w:spacing w:line="360" w:lineRule="auto"/>
        <w:ind w:firstLine="420" w:firstLineChars="200"/>
        <w:rPr>
          <w:rFonts w:cs="宋体"/>
          <w:szCs w:val="21"/>
          <w:highlight w:val="none"/>
        </w:rPr>
      </w:pPr>
      <w:r>
        <w:rPr>
          <w:rFonts w:hint="eastAsia" w:cs="宋体"/>
          <w:szCs w:val="21"/>
          <w:highlight w:val="none"/>
        </w:rPr>
        <w:t>发包人（全称）：</w:t>
      </w:r>
      <w:r>
        <w:rPr>
          <w:rFonts w:hint="eastAsia" w:cs="宋体"/>
          <w:szCs w:val="21"/>
          <w:highlight w:val="none"/>
          <w:u w:val="single"/>
        </w:rPr>
        <w:t xml:space="preserve">                                </w:t>
      </w:r>
      <w:r>
        <w:rPr>
          <w:rFonts w:hint="eastAsia" w:cs="宋体"/>
          <w:szCs w:val="21"/>
          <w:highlight w:val="none"/>
        </w:rPr>
        <w:t xml:space="preserve"> </w:t>
      </w:r>
    </w:p>
    <w:p w14:paraId="6CA31E74">
      <w:pPr>
        <w:adjustRightInd w:val="0"/>
        <w:snapToGrid w:val="0"/>
        <w:spacing w:line="360" w:lineRule="auto"/>
        <w:ind w:firstLine="420" w:firstLineChars="200"/>
        <w:rPr>
          <w:rFonts w:cs="宋体"/>
          <w:szCs w:val="21"/>
          <w:highlight w:val="none"/>
        </w:rPr>
      </w:pPr>
      <w:r>
        <w:rPr>
          <w:rFonts w:hint="eastAsia" w:cs="宋体"/>
          <w:szCs w:val="21"/>
          <w:highlight w:val="none"/>
        </w:rPr>
        <w:t>承包人（全称）：</w:t>
      </w:r>
      <w:r>
        <w:rPr>
          <w:rFonts w:hint="eastAsia" w:cs="宋体"/>
          <w:szCs w:val="21"/>
          <w:highlight w:val="none"/>
          <w:u w:val="single"/>
        </w:rPr>
        <w:t xml:space="preserve">                                </w:t>
      </w:r>
      <w:r>
        <w:rPr>
          <w:rFonts w:hint="eastAsia" w:cs="宋体"/>
          <w:szCs w:val="21"/>
          <w:highlight w:val="none"/>
        </w:rPr>
        <w:t xml:space="preserve"> </w:t>
      </w:r>
    </w:p>
    <w:p w14:paraId="7008FD1C">
      <w:pPr>
        <w:adjustRightInd w:val="0"/>
        <w:snapToGrid w:val="0"/>
        <w:spacing w:line="360" w:lineRule="auto"/>
        <w:ind w:firstLine="420" w:firstLineChars="200"/>
        <w:rPr>
          <w:rFonts w:cs="宋体"/>
          <w:szCs w:val="21"/>
          <w:highlight w:val="none"/>
        </w:rPr>
      </w:pPr>
      <w:r>
        <w:rPr>
          <w:rFonts w:hint="eastAsia" w:cs="宋体"/>
          <w:szCs w:val="21"/>
          <w:highlight w:val="none"/>
        </w:rPr>
        <w:t>发包人和承包人根据《中华人民共和国建筑法》和《建设工程质量管理条例》，经协商一致就_______________（工程全称）签订工程质量保修书。</w:t>
      </w:r>
    </w:p>
    <w:p w14:paraId="45032098">
      <w:pPr>
        <w:adjustRightInd w:val="0"/>
        <w:snapToGrid w:val="0"/>
        <w:spacing w:line="360" w:lineRule="auto"/>
        <w:ind w:firstLine="422" w:firstLineChars="200"/>
        <w:rPr>
          <w:rFonts w:cs="宋体"/>
          <w:b/>
          <w:szCs w:val="21"/>
          <w:highlight w:val="none"/>
        </w:rPr>
      </w:pPr>
      <w:r>
        <w:rPr>
          <w:rFonts w:hint="eastAsia" w:cs="宋体"/>
          <w:b/>
          <w:szCs w:val="21"/>
          <w:highlight w:val="none"/>
        </w:rPr>
        <w:t>一、工程质量保修范围和内容</w:t>
      </w:r>
    </w:p>
    <w:p w14:paraId="2347C659">
      <w:pPr>
        <w:adjustRightInd w:val="0"/>
        <w:snapToGrid w:val="0"/>
        <w:spacing w:line="360" w:lineRule="auto"/>
        <w:ind w:firstLine="420" w:firstLineChars="200"/>
        <w:rPr>
          <w:rFonts w:cs="宋体"/>
          <w:szCs w:val="21"/>
          <w:highlight w:val="none"/>
        </w:rPr>
      </w:pPr>
      <w:r>
        <w:rPr>
          <w:rFonts w:hint="eastAsia" w:cs="宋体"/>
          <w:szCs w:val="21"/>
          <w:highlight w:val="none"/>
        </w:rPr>
        <w:t>承包人在质量保修期内，按照有关法律规定和合同约定，承担工程质量保修责任。</w:t>
      </w:r>
    </w:p>
    <w:p w14:paraId="4B69402B">
      <w:pPr>
        <w:adjustRightInd w:val="0"/>
        <w:snapToGrid w:val="0"/>
        <w:spacing w:line="360" w:lineRule="auto"/>
        <w:ind w:firstLine="420" w:firstLineChars="200"/>
        <w:rPr>
          <w:rFonts w:cs="宋体"/>
          <w:szCs w:val="21"/>
          <w:highlight w:val="none"/>
        </w:rPr>
      </w:pPr>
      <w:r>
        <w:rPr>
          <w:rFonts w:hint="eastAsia" w:cs="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szCs w:val="21"/>
          <w:highlight w:val="none"/>
          <w:u w:val="single"/>
        </w:rPr>
        <w:t xml:space="preserve">                </w:t>
      </w:r>
      <w:r>
        <w:rPr>
          <w:rFonts w:hint="eastAsia" w:cs="宋体"/>
          <w:szCs w:val="21"/>
          <w:highlight w:val="none"/>
        </w:rPr>
        <w:t>。</w:t>
      </w:r>
    </w:p>
    <w:p w14:paraId="553E8EBA">
      <w:pPr>
        <w:adjustRightInd w:val="0"/>
        <w:snapToGrid w:val="0"/>
        <w:spacing w:line="360" w:lineRule="auto"/>
        <w:ind w:firstLine="413" w:firstLineChars="196"/>
        <w:rPr>
          <w:rFonts w:cs="宋体"/>
          <w:b/>
          <w:szCs w:val="21"/>
          <w:highlight w:val="none"/>
        </w:rPr>
      </w:pPr>
      <w:r>
        <w:rPr>
          <w:rFonts w:hint="eastAsia" w:cs="宋体"/>
          <w:b/>
          <w:szCs w:val="21"/>
          <w:highlight w:val="none"/>
        </w:rPr>
        <w:t>二、质量保修期</w:t>
      </w:r>
    </w:p>
    <w:p w14:paraId="027D9FD0">
      <w:pPr>
        <w:adjustRightInd w:val="0"/>
        <w:snapToGrid w:val="0"/>
        <w:spacing w:line="360" w:lineRule="auto"/>
        <w:ind w:firstLine="420" w:firstLineChars="200"/>
        <w:rPr>
          <w:rFonts w:cs="宋体"/>
          <w:szCs w:val="21"/>
          <w:highlight w:val="none"/>
        </w:rPr>
      </w:pPr>
      <w:r>
        <w:rPr>
          <w:rFonts w:hint="eastAsia" w:cs="宋体"/>
          <w:szCs w:val="21"/>
          <w:highlight w:val="none"/>
        </w:rPr>
        <w:t>根据《建设工程质量管理条例》及有关规定，工程的质量保修期如下：</w:t>
      </w:r>
    </w:p>
    <w:p w14:paraId="335A52EE">
      <w:pPr>
        <w:adjustRightInd w:val="0"/>
        <w:snapToGrid w:val="0"/>
        <w:spacing w:line="360" w:lineRule="auto"/>
        <w:ind w:firstLine="420" w:firstLineChars="200"/>
        <w:rPr>
          <w:rFonts w:cs="宋体"/>
          <w:szCs w:val="21"/>
          <w:highlight w:val="none"/>
        </w:rPr>
      </w:pPr>
      <w:r>
        <w:rPr>
          <w:rFonts w:hint="eastAsia" w:cs="宋体"/>
          <w:szCs w:val="21"/>
          <w:highlight w:val="none"/>
        </w:rPr>
        <w:t>1. 地基基础工程和主体结构工程为设计文件规定的工程合理使用年限；</w:t>
      </w:r>
    </w:p>
    <w:p w14:paraId="52F9B138">
      <w:pPr>
        <w:adjustRightInd w:val="0"/>
        <w:snapToGrid w:val="0"/>
        <w:spacing w:line="360" w:lineRule="auto"/>
        <w:ind w:firstLine="420" w:firstLineChars="200"/>
        <w:rPr>
          <w:rFonts w:cs="宋体"/>
          <w:szCs w:val="21"/>
          <w:highlight w:val="none"/>
        </w:rPr>
      </w:pPr>
      <w:r>
        <w:rPr>
          <w:rFonts w:hint="eastAsia" w:cs="宋体"/>
          <w:szCs w:val="21"/>
          <w:highlight w:val="none"/>
        </w:rPr>
        <w:t>2. 屋面防水工程、有防水要求的卫生间、房间和外墙面的防渗为</w:t>
      </w:r>
      <w:r>
        <w:rPr>
          <w:rFonts w:hint="eastAsia" w:cs="宋体"/>
          <w:szCs w:val="21"/>
          <w:highlight w:val="none"/>
          <w:u w:val="single"/>
        </w:rPr>
        <w:t>5</w:t>
      </w:r>
      <w:r>
        <w:rPr>
          <w:rFonts w:hint="eastAsia" w:cs="宋体"/>
          <w:szCs w:val="21"/>
          <w:highlight w:val="none"/>
        </w:rPr>
        <w:t>年；</w:t>
      </w:r>
    </w:p>
    <w:p w14:paraId="0898717B">
      <w:pPr>
        <w:adjustRightInd w:val="0"/>
        <w:snapToGrid w:val="0"/>
        <w:spacing w:line="360" w:lineRule="auto"/>
        <w:ind w:firstLine="420" w:firstLineChars="200"/>
        <w:rPr>
          <w:rFonts w:cs="宋体"/>
          <w:szCs w:val="21"/>
          <w:highlight w:val="none"/>
        </w:rPr>
      </w:pPr>
      <w:r>
        <w:rPr>
          <w:rFonts w:hint="eastAsia" w:cs="宋体"/>
          <w:szCs w:val="21"/>
          <w:highlight w:val="none"/>
        </w:rPr>
        <w:t>3. 装修工程为</w:t>
      </w:r>
      <w:r>
        <w:rPr>
          <w:rFonts w:hint="eastAsia" w:cs="宋体"/>
          <w:szCs w:val="21"/>
          <w:highlight w:val="none"/>
          <w:u w:val="single"/>
        </w:rPr>
        <w:t>2</w:t>
      </w:r>
      <w:r>
        <w:rPr>
          <w:rFonts w:hint="eastAsia" w:cs="宋体"/>
          <w:szCs w:val="21"/>
          <w:highlight w:val="none"/>
        </w:rPr>
        <w:t>年；</w:t>
      </w:r>
    </w:p>
    <w:p w14:paraId="1DAA489C">
      <w:pPr>
        <w:adjustRightInd w:val="0"/>
        <w:snapToGrid w:val="0"/>
        <w:spacing w:line="360" w:lineRule="auto"/>
        <w:ind w:firstLine="420" w:firstLineChars="200"/>
        <w:rPr>
          <w:rFonts w:cs="宋体"/>
          <w:szCs w:val="21"/>
          <w:highlight w:val="none"/>
        </w:rPr>
      </w:pPr>
      <w:r>
        <w:rPr>
          <w:rFonts w:hint="eastAsia" w:cs="宋体"/>
          <w:szCs w:val="21"/>
          <w:highlight w:val="none"/>
        </w:rPr>
        <w:t>4. 电气管线、给排水管道、设备安装工程为</w:t>
      </w:r>
      <w:r>
        <w:rPr>
          <w:rFonts w:hint="eastAsia" w:cs="宋体"/>
          <w:szCs w:val="21"/>
          <w:highlight w:val="none"/>
          <w:u w:val="single"/>
        </w:rPr>
        <w:t>2</w:t>
      </w:r>
      <w:r>
        <w:rPr>
          <w:rFonts w:hint="eastAsia" w:cs="宋体"/>
          <w:szCs w:val="21"/>
          <w:highlight w:val="none"/>
        </w:rPr>
        <w:t>年；</w:t>
      </w:r>
    </w:p>
    <w:p w14:paraId="5FA25705">
      <w:pPr>
        <w:adjustRightInd w:val="0"/>
        <w:snapToGrid w:val="0"/>
        <w:spacing w:line="360" w:lineRule="auto"/>
        <w:ind w:firstLine="420" w:firstLineChars="200"/>
        <w:rPr>
          <w:rFonts w:cs="宋体"/>
          <w:szCs w:val="21"/>
          <w:highlight w:val="none"/>
        </w:rPr>
      </w:pPr>
      <w:r>
        <w:rPr>
          <w:rFonts w:hint="eastAsia" w:cs="宋体"/>
          <w:szCs w:val="21"/>
          <w:highlight w:val="none"/>
        </w:rPr>
        <w:t>5. 供热与供冷系统为</w:t>
      </w:r>
      <w:r>
        <w:rPr>
          <w:rFonts w:hint="eastAsia" w:cs="宋体"/>
          <w:szCs w:val="21"/>
          <w:highlight w:val="none"/>
          <w:u w:val="single"/>
        </w:rPr>
        <w:t>2</w:t>
      </w:r>
      <w:r>
        <w:rPr>
          <w:rFonts w:hint="eastAsia" w:cs="宋体"/>
          <w:szCs w:val="21"/>
          <w:highlight w:val="none"/>
        </w:rPr>
        <w:t>个采暖期、供冷期；</w:t>
      </w:r>
    </w:p>
    <w:p w14:paraId="235125CA">
      <w:pPr>
        <w:adjustRightInd w:val="0"/>
        <w:snapToGrid w:val="0"/>
        <w:spacing w:line="360" w:lineRule="auto"/>
        <w:ind w:firstLine="420" w:firstLineChars="200"/>
        <w:rPr>
          <w:rFonts w:cs="宋体"/>
          <w:szCs w:val="21"/>
          <w:highlight w:val="none"/>
        </w:rPr>
      </w:pPr>
      <w:r>
        <w:rPr>
          <w:rFonts w:hint="eastAsia" w:cs="宋体"/>
          <w:szCs w:val="21"/>
          <w:highlight w:val="none"/>
        </w:rPr>
        <w:t>6. 住宅小区内的给排水设施、道路等配套工程为</w:t>
      </w:r>
      <w:r>
        <w:rPr>
          <w:rFonts w:hint="eastAsia" w:cs="宋体"/>
          <w:szCs w:val="21"/>
          <w:highlight w:val="none"/>
          <w:u w:val="single"/>
        </w:rPr>
        <w:t>2</w:t>
      </w:r>
      <w:r>
        <w:rPr>
          <w:rFonts w:hint="eastAsia" w:cs="宋体"/>
          <w:szCs w:val="21"/>
          <w:highlight w:val="none"/>
        </w:rPr>
        <w:t>年；</w:t>
      </w:r>
    </w:p>
    <w:p w14:paraId="1FDEC390">
      <w:pPr>
        <w:adjustRightInd w:val="0"/>
        <w:snapToGrid w:val="0"/>
        <w:spacing w:line="360" w:lineRule="auto"/>
        <w:ind w:firstLine="420" w:firstLineChars="200"/>
        <w:rPr>
          <w:rFonts w:cs="宋体"/>
          <w:szCs w:val="21"/>
          <w:highlight w:val="none"/>
        </w:rPr>
      </w:pPr>
      <w:r>
        <w:rPr>
          <w:rFonts w:hint="eastAsia" w:cs="宋体"/>
          <w:szCs w:val="21"/>
          <w:highlight w:val="none"/>
        </w:rPr>
        <w:t>7. 其他项目保修期限约定如下：</w:t>
      </w:r>
      <w:r>
        <w:rPr>
          <w:rFonts w:hint="eastAsia" w:cs="宋体"/>
          <w:szCs w:val="21"/>
          <w:highlight w:val="none"/>
          <w:u w:val="single"/>
        </w:rPr>
        <w:t>保温工程5年</w:t>
      </w:r>
      <w:r>
        <w:rPr>
          <w:rFonts w:hint="eastAsia" w:cs="宋体"/>
          <w:szCs w:val="21"/>
          <w:highlight w:val="none"/>
        </w:rPr>
        <w:t>。</w:t>
      </w:r>
    </w:p>
    <w:p w14:paraId="00164E60">
      <w:pPr>
        <w:adjustRightInd w:val="0"/>
        <w:snapToGrid w:val="0"/>
        <w:spacing w:line="360" w:lineRule="auto"/>
        <w:ind w:firstLine="420" w:firstLineChars="200"/>
        <w:rPr>
          <w:rFonts w:cs="宋体"/>
          <w:szCs w:val="21"/>
          <w:highlight w:val="none"/>
        </w:rPr>
      </w:pPr>
      <w:r>
        <w:rPr>
          <w:rFonts w:hint="eastAsia" w:cs="宋体"/>
          <w:szCs w:val="21"/>
          <w:highlight w:val="none"/>
        </w:rPr>
        <w:t>质量保修期自工程竣工验收合格之日起计算。</w:t>
      </w:r>
    </w:p>
    <w:p w14:paraId="3289CCDC">
      <w:pPr>
        <w:adjustRightInd w:val="0"/>
        <w:snapToGrid w:val="0"/>
        <w:spacing w:line="360" w:lineRule="auto"/>
        <w:ind w:firstLine="422" w:firstLineChars="200"/>
        <w:rPr>
          <w:rFonts w:cs="宋体"/>
          <w:b/>
          <w:szCs w:val="21"/>
          <w:highlight w:val="none"/>
        </w:rPr>
      </w:pPr>
      <w:r>
        <w:rPr>
          <w:rFonts w:hint="eastAsia" w:cs="宋体"/>
          <w:b/>
          <w:szCs w:val="21"/>
          <w:highlight w:val="none"/>
        </w:rPr>
        <w:t>三、缺陷责任期</w:t>
      </w:r>
    </w:p>
    <w:p w14:paraId="692FD2DB">
      <w:pPr>
        <w:adjustRightInd w:val="0"/>
        <w:snapToGrid w:val="0"/>
        <w:spacing w:line="360" w:lineRule="auto"/>
        <w:ind w:firstLine="420" w:firstLineChars="200"/>
        <w:rPr>
          <w:rFonts w:cs="宋体"/>
          <w:szCs w:val="21"/>
          <w:highlight w:val="none"/>
        </w:rPr>
      </w:pPr>
      <w:r>
        <w:rPr>
          <w:rFonts w:hint="eastAsia" w:cs="宋体"/>
          <w:szCs w:val="21"/>
          <w:highlight w:val="none"/>
        </w:rPr>
        <w:t>工程缺陷责任期为</w:t>
      </w:r>
      <w:r>
        <w:rPr>
          <w:rFonts w:hint="eastAsia" w:cs="宋体"/>
          <w:szCs w:val="21"/>
          <w:highlight w:val="none"/>
          <w:u w:val="single"/>
        </w:rPr>
        <w:t xml:space="preserve">          </w:t>
      </w:r>
      <w:r>
        <w:rPr>
          <w:rFonts w:hint="eastAsia" w:cs="宋体"/>
          <w:szCs w:val="21"/>
          <w:highlight w:val="none"/>
        </w:rPr>
        <w:t>，缺陷责任期自工程竣工验收合格之日起计算。单位工程先于全部工程进行验收，单位工程缺陷责任期自单位工程验收合格之日起算。</w:t>
      </w:r>
    </w:p>
    <w:p w14:paraId="73B8A5BF">
      <w:pPr>
        <w:adjustRightInd w:val="0"/>
        <w:snapToGrid w:val="0"/>
        <w:spacing w:line="360" w:lineRule="auto"/>
        <w:ind w:firstLine="420" w:firstLineChars="200"/>
        <w:rPr>
          <w:rFonts w:cs="宋体"/>
          <w:b/>
          <w:szCs w:val="21"/>
          <w:highlight w:val="none"/>
        </w:rPr>
      </w:pPr>
      <w:r>
        <w:rPr>
          <w:rFonts w:hint="eastAsia" w:cs="宋体"/>
          <w:szCs w:val="21"/>
          <w:highlight w:val="none"/>
        </w:rPr>
        <w:t>缺陷责任期终止后，发包人应退还剩余的质量保证金。</w:t>
      </w:r>
    </w:p>
    <w:p w14:paraId="70FC45A8">
      <w:pPr>
        <w:adjustRightInd w:val="0"/>
        <w:snapToGrid w:val="0"/>
        <w:spacing w:line="360" w:lineRule="auto"/>
        <w:ind w:firstLine="422" w:firstLineChars="200"/>
        <w:rPr>
          <w:rFonts w:cs="宋体"/>
          <w:b/>
          <w:szCs w:val="21"/>
          <w:highlight w:val="none"/>
        </w:rPr>
      </w:pPr>
      <w:r>
        <w:rPr>
          <w:rFonts w:hint="eastAsia" w:cs="宋体"/>
          <w:b/>
          <w:szCs w:val="21"/>
          <w:highlight w:val="none"/>
        </w:rPr>
        <w:t>四、质量保修责任</w:t>
      </w:r>
    </w:p>
    <w:p w14:paraId="2D735069">
      <w:pPr>
        <w:adjustRightInd w:val="0"/>
        <w:snapToGrid w:val="0"/>
        <w:spacing w:line="360" w:lineRule="auto"/>
        <w:ind w:firstLine="430" w:firstLineChars="205"/>
        <w:rPr>
          <w:rFonts w:cs="宋体"/>
          <w:szCs w:val="21"/>
          <w:highlight w:val="none"/>
        </w:rPr>
      </w:pPr>
      <w:r>
        <w:rPr>
          <w:rFonts w:hint="eastAsia" w:cs="宋体"/>
          <w:szCs w:val="21"/>
          <w:highlight w:val="none"/>
        </w:rPr>
        <w:t>1. 属于保修范围、内容的项目，承包人应当在接到保修通知之日起7天内派人保修。承包人不在约定期限内派人保修的，发包人可以委托他人修理。</w:t>
      </w:r>
    </w:p>
    <w:p w14:paraId="5079E9E0">
      <w:pPr>
        <w:adjustRightInd w:val="0"/>
        <w:snapToGrid w:val="0"/>
        <w:spacing w:line="360" w:lineRule="auto"/>
        <w:ind w:firstLine="430" w:firstLineChars="205"/>
        <w:rPr>
          <w:rFonts w:cs="宋体"/>
          <w:szCs w:val="21"/>
          <w:highlight w:val="none"/>
        </w:rPr>
      </w:pPr>
      <w:r>
        <w:rPr>
          <w:rFonts w:hint="eastAsia" w:cs="宋体"/>
          <w:szCs w:val="21"/>
          <w:highlight w:val="none"/>
        </w:rPr>
        <w:t>2. 发生紧急事故需抢修的，承包人在接到事故通知后，应当立即到达事故现场抢修。</w:t>
      </w:r>
    </w:p>
    <w:p w14:paraId="06C2F3D3">
      <w:pPr>
        <w:adjustRightInd w:val="0"/>
        <w:snapToGrid w:val="0"/>
        <w:spacing w:line="360" w:lineRule="auto"/>
        <w:ind w:firstLine="430" w:firstLineChars="205"/>
        <w:rPr>
          <w:rFonts w:cs="宋体"/>
          <w:szCs w:val="21"/>
          <w:highlight w:val="none"/>
        </w:rPr>
      </w:pPr>
      <w:r>
        <w:rPr>
          <w:rFonts w:hint="eastAsia" w:cs="宋体"/>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31005B5">
      <w:pPr>
        <w:adjustRightInd w:val="0"/>
        <w:snapToGrid w:val="0"/>
        <w:spacing w:line="360" w:lineRule="auto"/>
        <w:ind w:firstLine="430" w:firstLineChars="205"/>
        <w:rPr>
          <w:rFonts w:cs="宋体"/>
          <w:szCs w:val="21"/>
          <w:highlight w:val="none"/>
        </w:rPr>
      </w:pPr>
      <w:r>
        <w:rPr>
          <w:rFonts w:hint="eastAsia" w:cs="宋体"/>
          <w:szCs w:val="21"/>
          <w:highlight w:val="none"/>
        </w:rPr>
        <w:t>4. 质量保修完成后，由发包人组织验收。</w:t>
      </w:r>
    </w:p>
    <w:p w14:paraId="487A0124">
      <w:pPr>
        <w:adjustRightInd w:val="0"/>
        <w:snapToGrid w:val="0"/>
        <w:spacing w:line="360" w:lineRule="auto"/>
        <w:ind w:firstLine="422" w:firstLineChars="200"/>
        <w:rPr>
          <w:rFonts w:cs="宋体"/>
          <w:b/>
          <w:szCs w:val="21"/>
          <w:highlight w:val="none"/>
        </w:rPr>
      </w:pPr>
      <w:r>
        <w:rPr>
          <w:rFonts w:hint="eastAsia" w:cs="宋体"/>
          <w:b/>
          <w:szCs w:val="21"/>
          <w:highlight w:val="none"/>
        </w:rPr>
        <w:t>五、保修费用</w:t>
      </w:r>
    </w:p>
    <w:p w14:paraId="7ECDE33D">
      <w:pPr>
        <w:adjustRightInd w:val="0"/>
        <w:snapToGrid w:val="0"/>
        <w:spacing w:line="360" w:lineRule="auto"/>
        <w:ind w:firstLine="420" w:firstLineChars="200"/>
        <w:rPr>
          <w:rFonts w:cs="宋体"/>
          <w:szCs w:val="21"/>
          <w:highlight w:val="none"/>
        </w:rPr>
      </w:pPr>
      <w:r>
        <w:rPr>
          <w:rFonts w:hint="eastAsia" w:cs="宋体"/>
          <w:szCs w:val="21"/>
          <w:highlight w:val="none"/>
        </w:rPr>
        <w:t>保修费用由造成质量缺陷的责任方承担。</w:t>
      </w:r>
    </w:p>
    <w:p w14:paraId="452E9959">
      <w:pPr>
        <w:adjustRightInd w:val="0"/>
        <w:snapToGrid w:val="0"/>
        <w:spacing w:line="360" w:lineRule="auto"/>
        <w:ind w:firstLine="422" w:firstLineChars="200"/>
        <w:rPr>
          <w:rFonts w:cs="宋体"/>
          <w:b/>
          <w:szCs w:val="21"/>
          <w:highlight w:val="none"/>
        </w:rPr>
      </w:pPr>
      <w:r>
        <w:rPr>
          <w:rFonts w:hint="eastAsia" w:cs="宋体"/>
          <w:b/>
          <w:szCs w:val="21"/>
          <w:highlight w:val="none"/>
        </w:rPr>
        <w:t>六、双方约定的其他工程质量保修事项：</w:t>
      </w:r>
      <w:r>
        <w:rPr>
          <w:rFonts w:hint="eastAsia" w:cs="宋体"/>
          <w:b/>
          <w:szCs w:val="21"/>
          <w:highlight w:val="none"/>
          <w:u w:val="single"/>
        </w:rPr>
        <w:t xml:space="preserve">             </w:t>
      </w:r>
      <w:r>
        <w:rPr>
          <w:rFonts w:hint="eastAsia" w:cs="宋体"/>
          <w:b/>
          <w:szCs w:val="21"/>
          <w:highlight w:val="none"/>
        </w:rPr>
        <w:t>。</w:t>
      </w:r>
    </w:p>
    <w:p w14:paraId="1F5DF373">
      <w:pPr>
        <w:adjustRightInd w:val="0"/>
        <w:snapToGrid w:val="0"/>
        <w:spacing w:line="360" w:lineRule="auto"/>
        <w:ind w:firstLine="399" w:firstLineChars="190"/>
        <w:rPr>
          <w:rFonts w:cs="宋体"/>
          <w:szCs w:val="21"/>
          <w:highlight w:val="none"/>
        </w:rPr>
      </w:pPr>
      <w:r>
        <w:rPr>
          <w:rFonts w:hint="eastAsia" w:cs="宋体"/>
          <w:szCs w:val="21"/>
          <w:highlight w:val="none"/>
        </w:rPr>
        <w:t>工程质量保修书由发包人、承包人在工程竣工验收前共同签署，作为施工合同附件，其有效期限至保修期满。</w:t>
      </w:r>
    </w:p>
    <w:p w14:paraId="6DA46FDE">
      <w:pPr>
        <w:adjustRightInd w:val="0"/>
        <w:snapToGrid w:val="0"/>
        <w:spacing w:line="360" w:lineRule="auto"/>
        <w:ind w:firstLine="420"/>
        <w:rPr>
          <w:rFonts w:cs="宋体"/>
          <w:szCs w:val="21"/>
          <w:highlight w:val="none"/>
        </w:rPr>
      </w:pPr>
    </w:p>
    <w:p w14:paraId="550C1468">
      <w:pPr>
        <w:adjustRightInd w:val="0"/>
        <w:snapToGrid w:val="0"/>
        <w:spacing w:line="360" w:lineRule="auto"/>
        <w:ind w:firstLine="420"/>
        <w:rPr>
          <w:rFonts w:cs="宋体"/>
          <w:szCs w:val="21"/>
          <w:highlight w:val="none"/>
        </w:rPr>
      </w:pPr>
    </w:p>
    <w:p w14:paraId="329D1864">
      <w:pPr>
        <w:adjustRightInd w:val="0"/>
        <w:snapToGrid w:val="0"/>
        <w:spacing w:line="360" w:lineRule="auto"/>
        <w:rPr>
          <w:rFonts w:cs="宋体"/>
          <w:szCs w:val="21"/>
          <w:highlight w:val="none"/>
          <w:u w:val="single"/>
        </w:rPr>
      </w:pPr>
      <w:r>
        <w:rPr>
          <w:rFonts w:hint="eastAsia" w:cs="宋体"/>
          <w:szCs w:val="21"/>
          <w:highlight w:val="none"/>
        </w:rPr>
        <w:t>发包人（公章）：</w:t>
      </w:r>
      <w:r>
        <w:rPr>
          <w:rFonts w:hint="eastAsia" w:cs="宋体"/>
          <w:szCs w:val="21"/>
          <w:highlight w:val="none"/>
          <w:u w:val="single"/>
        </w:rPr>
        <w:t xml:space="preserve">      </w:t>
      </w:r>
      <w:r>
        <w:rPr>
          <w:rFonts w:hint="eastAsia" w:cs="宋体"/>
          <w:szCs w:val="21"/>
          <w:highlight w:val="none"/>
        </w:rPr>
        <w:t xml:space="preserve">           承包人（公章）：</w:t>
      </w:r>
      <w:r>
        <w:rPr>
          <w:rFonts w:hint="eastAsia" w:cs="宋体"/>
          <w:szCs w:val="21"/>
          <w:highlight w:val="none"/>
          <w:u w:val="single"/>
        </w:rPr>
        <w:t>          </w:t>
      </w:r>
    </w:p>
    <w:p w14:paraId="48338DC2">
      <w:pPr>
        <w:adjustRightInd w:val="0"/>
        <w:snapToGrid w:val="0"/>
        <w:spacing w:line="360" w:lineRule="auto"/>
        <w:rPr>
          <w:rFonts w:cs="宋体"/>
          <w:szCs w:val="21"/>
          <w:highlight w:val="none"/>
          <w:u w:val="single"/>
        </w:rPr>
      </w:pPr>
      <w:r>
        <w:rPr>
          <w:rFonts w:hint="eastAsia" w:cs="宋体"/>
          <w:szCs w:val="21"/>
          <w:highlight w:val="none"/>
        </w:rPr>
        <w:t>地  址：</w:t>
      </w:r>
      <w:r>
        <w:rPr>
          <w:rFonts w:hint="eastAsia" w:cs="宋体"/>
          <w:szCs w:val="21"/>
          <w:highlight w:val="none"/>
          <w:u w:val="single"/>
        </w:rPr>
        <w:t xml:space="preserve">     </w:t>
      </w:r>
      <w:r>
        <w:rPr>
          <w:rFonts w:hint="eastAsia" w:cs="宋体"/>
          <w:szCs w:val="21"/>
          <w:highlight w:val="none"/>
        </w:rPr>
        <w:t xml:space="preserve">            地  址：</w:t>
      </w:r>
      <w:r>
        <w:rPr>
          <w:rFonts w:hint="eastAsia" w:cs="宋体"/>
          <w:szCs w:val="21"/>
          <w:highlight w:val="none"/>
          <w:u w:val="single"/>
        </w:rPr>
        <w:t xml:space="preserve">    </w:t>
      </w:r>
    </w:p>
    <w:p w14:paraId="24F14C3D">
      <w:pPr>
        <w:adjustRightInd w:val="0"/>
        <w:snapToGrid w:val="0"/>
        <w:spacing w:line="360" w:lineRule="auto"/>
        <w:rPr>
          <w:rFonts w:cs="宋体"/>
          <w:szCs w:val="21"/>
          <w:highlight w:val="none"/>
          <w:u w:val="single"/>
        </w:rPr>
      </w:pPr>
      <w:r>
        <w:rPr>
          <w:rFonts w:hint="eastAsia" w:cs="宋体"/>
          <w:szCs w:val="21"/>
          <w:highlight w:val="none"/>
        </w:rPr>
        <w:t>法定代表人（签字）：</w:t>
      </w:r>
      <w:r>
        <w:rPr>
          <w:rFonts w:hint="eastAsia" w:cs="宋体"/>
          <w:szCs w:val="21"/>
          <w:highlight w:val="none"/>
          <w:u w:val="single"/>
        </w:rPr>
        <w:t xml:space="preserve">      </w:t>
      </w:r>
      <w:r>
        <w:rPr>
          <w:rFonts w:hint="eastAsia" w:cs="宋体"/>
          <w:szCs w:val="21"/>
          <w:highlight w:val="none"/>
        </w:rPr>
        <w:t xml:space="preserve">         法定代表人（签字）：</w:t>
      </w:r>
      <w:r>
        <w:rPr>
          <w:rFonts w:hint="eastAsia" w:cs="宋体"/>
          <w:szCs w:val="21"/>
          <w:highlight w:val="none"/>
          <w:u w:val="single"/>
        </w:rPr>
        <w:t xml:space="preserve">    </w:t>
      </w:r>
    </w:p>
    <w:p w14:paraId="4D232846">
      <w:pPr>
        <w:adjustRightInd w:val="0"/>
        <w:snapToGrid w:val="0"/>
        <w:spacing w:line="360" w:lineRule="auto"/>
        <w:rPr>
          <w:rFonts w:cs="宋体"/>
          <w:szCs w:val="21"/>
          <w:highlight w:val="none"/>
          <w:u w:val="single"/>
        </w:rPr>
      </w:pPr>
      <w:r>
        <w:rPr>
          <w:rFonts w:hint="eastAsia" w:cs="宋体"/>
          <w:szCs w:val="21"/>
          <w:highlight w:val="none"/>
        </w:rPr>
        <w:t>委托代理人（签字）：</w:t>
      </w:r>
      <w:r>
        <w:rPr>
          <w:rFonts w:hint="eastAsia" w:cs="宋体"/>
          <w:szCs w:val="21"/>
          <w:highlight w:val="none"/>
          <w:u w:val="single"/>
        </w:rPr>
        <w:t xml:space="preserve">      </w:t>
      </w:r>
      <w:r>
        <w:rPr>
          <w:rFonts w:hint="eastAsia" w:cs="宋体"/>
          <w:szCs w:val="21"/>
          <w:highlight w:val="none"/>
        </w:rPr>
        <w:t xml:space="preserve">         委托代理人（签字）：</w:t>
      </w:r>
      <w:r>
        <w:rPr>
          <w:rFonts w:hint="eastAsia" w:cs="宋体"/>
          <w:szCs w:val="21"/>
          <w:highlight w:val="none"/>
          <w:u w:val="single"/>
        </w:rPr>
        <w:t xml:space="preserve">    </w:t>
      </w:r>
    </w:p>
    <w:p w14:paraId="4E37D1AD">
      <w:pPr>
        <w:adjustRightInd w:val="0"/>
        <w:snapToGrid w:val="0"/>
        <w:spacing w:line="360" w:lineRule="auto"/>
        <w:rPr>
          <w:rFonts w:cs="宋体"/>
          <w:szCs w:val="21"/>
          <w:highlight w:val="none"/>
        </w:rPr>
      </w:pPr>
      <w:r>
        <w:rPr>
          <w:rFonts w:hint="eastAsia" w:cs="宋体"/>
          <w:szCs w:val="21"/>
          <w:highlight w:val="none"/>
        </w:rPr>
        <w:t>电  话：</w:t>
      </w:r>
      <w:r>
        <w:rPr>
          <w:rFonts w:hint="eastAsia" w:cs="宋体"/>
          <w:szCs w:val="21"/>
          <w:highlight w:val="none"/>
          <w:u w:val="single"/>
        </w:rPr>
        <w:t xml:space="preserve">   </w:t>
      </w:r>
      <w:r>
        <w:rPr>
          <w:rFonts w:hint="eastAsia" w:cs="宋体"/>
          <w:szCs w:val="21"/>
          <w:highlight w:val="none"/>
        </w:rPr>
        <w:t xml:space="preserve">            电  话：</w:t>
      </w:r>
      <w:r>
        <w:rPr>
          <w:rFonts w:hint="eastAsia" w:cs="宋体"/>
          <w:szCs w:val="21"/>
          <w:highlight w:val="none"/>
          <w:u w:val="single"/>
        </w:rPr>
        <w:t xml:space="preserve">  </w:t>
      </w:r>
    </w:p>
    <w:p w14:paraId="6023E707">
      <w:pPr>
        <w:adjustRightInd w:val="0"/>
        <w:snapToGrid w:val="0"/>
        <w:spacing w:line="360" w:lineRule="auto"/>
        <w:rPr>
          <w:rFonts w:cs="宋体"/>
          <w:szCs w:val="21"/>
          <w:highlight w:val="none"/>
        </w:rPr>
      </w:pPr>
      <w:r>
        <w:rPr>
          <w:rFonts w:hint="eastAsia" w:cs="宋体"/>
          <w:szCs w:val="21"/>
          <w:highlight w:val="none"/>
        </w:rPr>
        <w:t>传  真：</w:t>
      </w:r>
      <w:r>
        <w:rPr>
          <w:rFonts w:hint="eastAsia" w:cs="宋体"/>
          <w:szCs w:val="21"/>
          <w:highlight w:val="none"/>
          <w:u w:val="single"/>
        </w:rPr>
        <w:t xml:space="preserve">   </w:t>
      </w:r>
      <w:r>
        <w:rPr>
          <w:rFonts w:hint="eastAsia" w:cs="宋体"/>
          <w:szCs w:val="21"/>
          <w:highlight w:val="none"/>
        </w:rPr>
        <w:t xml:space="preserve">            传  真：</w:t>
      </w:r>
      <w:r>
        <w:rPr>
          <w:rFonts w:hint="eastAsia" w:cs="宋体"/>
          <w:szCs w:val="21"/>
          <w:highlight w:val="none"/>
          <w:u w:val="single"/>
        </w:rPr>
        <w:t>  </w:t>
      </w:r>
    </w:p>
    <w:p w14:paraId="1ED6DB8D">
      <w:pPr>
        <w:adjustRightInd w:val="0"/>
        <w:snapToGrid w:val="0"/>
        <w:spacing w:line="360" w:lineRule="auto"/>
        <w:rPr>
          <w:rFonts w:cs="宋体"/>
          <w:szCs w:val="21"/>
          <w:highlight w:val="none"/>
        </w:rPr>
      </w:pPr>
      <w:r>
        <w:rPr>
          <w:rFonts w:hint="eastAsia" w:cs="宋体"/>
          <w:szCs w:val="21"/>
          <w:highlight w:val="none"/>
        </w:rPr>
        <w:t>开户银行：</w:t>
      </w:r>
      <w:r>
        <w:rPr>
          <w:rFonts w:hint="eastAsia" w:cs="宋体"/>
          <w:szCs w:val="21"/>
          <w:highlight w:val="none"/>
          <w:u w:val="single"/>
        </w:rPr>
        <w:t xml:space="preserve">   </w:t>
      </w:r>
      <w:r>
        <w:rPr>
          <w:rFonts w:hint="eastAsia" w:cs="宋体"/>
          <w:szCs w:val="21"/>
          <w:highlight w:val="none"/>
        </w:rPr>
        <w:t xml:space="preserve">            开户银行：</w:t>
      </w:r>
      <w:r>
        <w:rPr>
          <w:rFonts w:hint="eastAsia" w:cs="宋体"/>
          <w:szCs w:val="21"/>
          <w:highlight w:val="none"/>
          <w:u w:val="single"/>
        </w:rPr>
        <w:t></w:t>
      </w:r>
    </w:p>
    <w:p w14:paraId="3C922305">
      <w:pPr>
        <w:adjustRightInd w:val="0"/>
        <w:snapToGrid w:val="0"/>
        <w:spacing w:line="360" w:lineRule="auto"/>
        <w:rPr>
          <w:rFonts w:cs="宋体"/>
          <w:szCs w:val="21"/>
          <w:highlight w:val="none"/>
        </w:rPr>
      </w:pPr>
      <w:r>
        <w:rPr>
          <w:rFonts w:hint="eastAsia" w:cs="宋体"/>
          <w:szCs w:val="21"/>
          <w:highlight w:val="none"/>
        </w:rPr>
        <w:t>账  号：</w:t>
      </w:r>
      <w:r>
        <w:rPr>
          <w:rFonts w:hint="eastAsia" w:cs="宋体"/>
          <w:szCs w:val="21"/>
          <w:highlight w:val="none"/>
          <w:u w:val="single"/>
        </w:rPr>
        <w:t xml:space="preserve">       </w:t>
      </w:r>
      <w:r>
        <w:rPr>
          <w:rFonts w:hint="eastAsia" w:cs="宋体"/>
          <w:szCs w:val="21"/>
          <w:highlight w:val="none"/>
        </w:rPr>
        <w:t xml:space="preserve">            账  号：</w:t>
      </w:r>
      <w:r>
        <w:rPr>
          <w:rFonts w:hint="eastAsia" w:cs="宋体"/>
          <w:szCs w:val="21"/>
          <w:highlight w:val="none"/>
          <w:u w:val="single"/>
        </w:rPr>
        <w:t xml:space="preserve">  </w:t>
      </w:r>
    </w:p>
    <w:p w14:paraId="2EF0CF3D">
      <w:pPr>
        <w:adjustRightInd w:val="0"/>
        <w:snapToGrid w:val="0"/>
        <w:spacing w:line="360" w:lineRule="auto"/>
        <w:rPr>
          <w:rFonts w:cs="宋体"/>
          <w:szCs w:val="21"/>
          <w:highlight w:val="none"/>
        </w:rPr>
      </w:pPr>
      <w:r>
        <w:rPr>
          <w:rFonts w:hint="eastAsia" w:cs="宋体"/>
          <w:szCs w:val="21"/>
          <w:highlight w:val="none"/>
        </w:rPr>
        <w:t>邮政编码：</w:t>
      </w:r>
      <w:r>
        <w:rPr>
          <w:rFonts w:hint="eastAsia" w:cs="宋体"/>
          <w:szCs w:val="21"/>
          <w:highlight w:val="none"/>
          <w:u w:val="single"/>
        </w:rPr>
        <w:t xml:space="preserve">     </w:t>
      </w:r>
      <w:r>
        <w:rPr>
          <w:rFonts w:hint="eastAsia" w:cs="宋体"/>
          <w:szCs w:val="21"/>
          <w:highlight w:val="none"/>
        </w:rPr>
        <w:t xml:space="preserve">            邮政编码：</w:t>
      </w:r>
      <w:r>
        <w:rPr>
          <w:rFonts w:hint="eastAsia" w:cs="宋体"/>
          <w:szCs w:val="21"/>
          <w:highlight w:val="none"/>
          <w:u w:val="single"/>
        </w:rPr>
        <w:t></w:t>
      </w:r>
    </w:p>
    <w:p w14:paraId="51C787C7">
      <w:pPr>
        <w:spacing w:before="312" w:beforeLines="100" w:after="312" w:afterLines="100"/>
        <w:outlineLvl w:val="2"/>
        <w:rPr>
          <w:rFonts w:ascii="Times New Roman" w:eastAsia="黑体"/>
          <w:highlight w:val="none"/>
        </w:rPr>
      </w:pPr>
      <w:r>
        <w:rPr>
          <w:rFonts w:hint="eastAsia" w:ascii="Times New Roman" w:eastAsia="黑体"/>
          <w:bCs/>
          <w:highlight w:val="none"/>
        </w:rPr>
        <w:br w:type="page"/>
      </w:r>
      <w:bookmarkStart w:id="623" w:name="_Toc128950238"/>
      <w:r>
        <w:rPr>
          <w:rFonts w:hint="eastAsia" w:ascii="Times New Roman" w:eastAsia="黑体"/>
          <w:highlight w:val="none"/>
        </w:rPr>
        <w:t>附</w:t>
      </w:r>
      <w:bookmarkStart w:id="624" w:name="_Toc267261693"/>
      <w:bookmarkStart w:id="625" w:name="_Toc296346727"/>
      <w:bookmarkStart w:id="626" w:name="_Toc296347225"/>
      <w:bookmarkStart w:id="627" w:name="_Toc296503226"/>
      <w:bookmarkStart w:id="628" w:name="_Toc296944565"/>
      <w:bookmarkStart w:id="629" w:name="_Toc296891054"/>
      <w:bookmarkStart w:id="630" w:name="_Toc296891266"/>
      <w:r>
        <w:rPr>
          <w:rFonts w:hint="eastAsia" w:ascii="Times New Roman" w:eastAsia="黑体"/>
          <w:highlight w:val="none"/>
        </w:rPr>
        <w:t>件</w:t>
      </w:r>
      <w:r>
        <w:rPr>
          <w:rFonts w:ascii="Times New Roman" w:eastAsia="黑体"/>
          <w:highlight w:val="none"/>
        </w:rPr>
        <w:t>3</w:t>
      </w:r>
      <w:r>
        <w:rPr>
          <w:rFonts w:hint="eastAsia" w:ascii="Times New Roman" w:eastAsia="黑体"/>
          <w:highlight w:val="none"/>
        </w:rPr>
        <w:t>：</w:t>
      </w:r>
      <w:bookmarkEnd w:id="624"/>
      <w:bookmarkEnd w:id="625"/>
      <w:bookmarkEnd w:id="626"/>
      <w:bookmarkEnd w:id="627"/>
      <w:bookmarkEnd w:id="628"/>
      <w:bookmarkEnd w:id="629"/>
      <w:bookmarkEnd w:id="630"/>
      <w:r>
        <w:rPr>
          <w:rFonts w:hint="eastAsia" w:ascii="Times New Roman" w:eastAsia="黑体"/>
          <w:highlight w:val="none"/>
        </w:rPr>
        <w:t>工程质量保修书（市政公用工程）</w:t>
      </w:r>
      <w:bookmarkEnd w:id="623"/>
    </w:p>
    <w:p w14:paraId="2F34F82B">
      <w:pPr>
        <w:adjustRightInd w:val="0"/>
        <w:snapToGrid w:val="0"/>
        <w:spacing w:line="360" w:lineRule="auto"/>
        <w:jc w:val="center"/>
        <w:rPr>
          <w:rFonts w:cs="宋体"/>
          <w:sz w:val="28"/>
          <w:szCs w:val="28"/>
          <w:highlight w:val="none"/>
        </w:rPr>
      </w:pPr>
      <w:r>
        <w:rPr>
          <w:rFonts w:hint="eastAsia" w:cs="宋体"/>
          <w:sz w:val="28"/>
          <w:szCs w:val="28"/>
          <w:highlight w:val="none"/>
        </w:rPr>
        <w:t>工程质量保修书</w:t>
      </w:r>
    </w:p>
    <w:p w14:paraId="6B578244">
      <w:pPr>
        <w:adjustRightInd w:val="0"/>
        <w:snapToGrid w:val="0"/>
        <w:spacing w:line="360" w:lineRule="auto"/>
        <w:ind w:firstLine="420" w:firstLineChars="200"/>
        <w:rPr>
          <w:rFonts w:cs="宋体"/>
          <w:position w:val="14"/>
          <w:szCs w:val="21"/>
          <w:highlight w:val="none"/>
        </w:rPr>
      </w:pPr>
      <w:r>
        <w:rPr>
          <w:rFonts w:hint="eastAsia" w:cs="宋体"/>
          <w:bCs/>
          <w:position w:val="14"/>
          <w:szCs w:val="21"/>
          <w:highlight w:val="none"/>
        </w:rPr>
        <w:t>发包人</w:t>
      </w:r>
      <w:r>
        <w:rPr>
          <w:rFonts w:hint="eastAsia" w:cs="宋体"/>
          <w:position w:val="14"/>
          <w:szCs w:val="21"/>
          <w:highlight w:val="none"/>
        </w:rPr>
        <w:t>：_______________________________</w:t>
      </w:r>
    </w:p>
    <w:p w14:paraId="1AD40361">
      <w:pPr>
        <w:widowControl/>
        <w:adjustRightInd w:val="0"/>
        <w:snapToGrid w:val="0"/>
        <w:spacing w:line="360" w:lineRule="auto"/>
        <w:ind w:firstLine="420" w:firstLineChars="200"/>
        <w:jc w:val="left"/>
        <w:rPr>
          <w:rFonts w:cs="宋体"/>
          <w:position w:val="14"/>
          <w:szCs w:val="21"/>
          <w:highlight w:val="none"/>
        </w:rPr>
      </w:pPr>
      <w:r>
        <w:rPr>
          <w:rFonts w:hint="eastAsia" w:cs="宋体"/>
          <w:bCs/>
          <w:position w:val="14"/>
          <w:szCs w:val="21"/>
          <w:highlight w:val="none"/>
        </w:rPr>
        <w:t>承包人</w:t>
      </w:r>
      <w:r>
        <w:rPr>
          <w:rFonts w:hint="eastAsia" w:cs="宋体"/>
          <w:position w:val="14"/>
          <w:szCs w:val="21"/>
          <w:highlight w:val="none"/>
        </w:rPr>
        <w:t>：_______________________________</w:t>
      </w:r>
    </w:p>
    <w:p w14:paraId="69DB36BD">
      <w:pPr>
        <w:widowControl/>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发包人、承包人根据《中华人民共和国建筑法》《建设工程质量管理条例》，参照《房屋建筑工程质量保修办法》，经协商一致，对______________________工程签订工程质量保修书。</w:t>
      </w:r>
    </w:p>
    <w:p w14:paraId="3714812D">
      <w:pPr>
        <w:widowControl/>
        <w:adjustRightInd w:val="0"/>
        <w:snapToGrid w:val="0"/>
        <w:spacing w:line="360" w:lineRule="auto"/>
        <w:ind w:firstLine="422" w:firstLineChars="200"/>
        <w:jc w:val="left"/>
        <w:rPr>
          <w:rFonts w:cs="宋体"/>
          <w:b/>
          <w:bCs/>
          <w:position w:val="6"/>
          <w:szCs w:val="21"/>
          <w:highlight w:val="none"/>
        </w:rPr>
      </w:pPr>
      <w:r>
        <w:rPr>
          <w:rFonts w:hint="eastAsia" w:cs="宋体"/>
          <w:b/>
          <w:bCs/>
          <w:position w:val="6"/>
          <w:szCs w:val="21"/>
          <w:highlight w:val="none"/>
        </w:rPr>
        <w:t>一、工程质量保修范围和内容</w:t>
      </w:r>
    </w:p>
    <w:p w14:paraId="06B16092">
      <w:pPr>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按照《建设工程质量管理条例》及有关法律、法规、规章的管理规定，双方约定由施工单位在质量保修期内，承担本工程的质量保修责任。</w:t>
      </w:r>
    </w:p>
    <w:p w14:paraId="006203E8">
      <w:pPr>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质量保修范围和内容：______________________。</w:t>
      </w:r>
      <w:r>
        <w:rPr>
          <w:rFonts w:hint="eastAsia" w:cs="宋体"/>
          <w:bCs/>
          <w:position w:val="6"/>
          <w:szCs w:val="21"/>
          <w:highlight w:val="none"/>
        </w:rPr>
        <w:t>因不可抗力或使用不当造成的质量缺陷，不属保修范围。</w:t>
      </w:r>
    </w:p>
    <w:p w14:paraId="6F7B4743">
      <w:pPr>
        <w:widowControl/>
        <w:adjustRightInd w:val="0"/>
        <w:snapToGrid w:val="0"/>
        <w:spacing w:line="360" w:lineRule="auto"/>
        <w:ind w:firstLine="422" w:firstLineChars="200"/>
        <w:jc w:val="left"/>
        <w:rPr>
          <w:rFonts w:cs="宋体"/>
          <w:b/>
          <w:bCs/>
          <w:position w:val="6"/>
          <w:szCs w:val="21"/>
          <w:highlight w:val="none"/>
        </w:rPr>
      </w:pPr>
      <w:r>
        <w:rPr>
          <w:rFonts w:hint="eastAsia" w:cs="宋体"/>
          <w:b/>
          <w:bCs/>
          <w:position w:val="6"/>
          <w:szCs w:val="21"/>
          <w:highlight w:val="none"/>
        </w:rPr>
        <w:t>二、质量保修期</w:t>
      </w:r>
    </w:p>
    <w:p w14:paraId="20B18D0C">
      <w:pPr>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双方根据《建设工程质量管理条例》及有关规定，约定本工程的质量保修期如下：</w:t>
      </w:r>
    </w:p>
    <w:p w14:paraId="5823F2E7">
      <w:pPr>
        <w:widowControl/>
        <w:adjustRightInd w:val="0"/>
        <w:snapToGrid w:val="0"/>
        <w:spacing w:line="360" w:lineRule="auto"/>
        <w:ind w:left="420" w:leftChars="200" w:firstLine="58" w:firstLineChars="28"/>
        <w:jc w:val="left"/>
        <w:rPr>
          <w:rFonts w:cs="宋体"/>
          <w:position w:val="6"/>
          <w:szCs w:val="21"/>
          <w:highlight w:val="none"/>
        </w:rPr>
      </w:pPr>
      <w:r>
        <w:rPr>
          <w:rFonts w:hint="eastAsia" w:cs="宋体"/>
          <w:position w:val="6"/>
          <w:szCs w:val="21"/>
          <w:highlight w:val="none"/>
        </w:rPr>
        <w:t>1. 主体结构和基础工程，为</w:t>
      </w:r>
      <w:r>
        <w:rPr>
          <w:rFonts w:hint="eastAsia" w:cs="宋体"/>
          <w:position w:val="6"/>
          <w:szCs w:val="21"/>
          <w:highlight w:val="none"/>
          <w:u w:val="single"/>
        </w:rPr>
        <w:t xml:space="preserve">     </w:t>
      </w:r>
      <w:r>
        <w:rPr>
          <w:rFonts w:hint="eastAsia" w:cs="宋体"/>
          <w:position w:val="6"/>
          <w:szCs w:val="21"/>
          <w:highlight w:val="none"/>
        </w:rPr>
        <w:t>年；</w:t>
      </w:r>
    </w:p>
    <w:p w14:paraId="61EF4833">
      <w:pPr>
        <w:widowControl/>
        <w:adjustRightInd w:val="0"/>
        <w:snapToGrid w:val="0"/>
        <w:spacing w:line="360" w:lineRule="auto"/>
        <w:ind w:left="420" w:leftChars="200" w:firstLine="58" w:firstLineChars="28"/>
        <w:jc w:val="left"/>
        <w:rPr>
          <w:rFonts w:cs="宋体"/>
          <w:position w:val="6"/>
          <w:szCs w:val="21"/>
          <w:highlight w:val="none"/>
        </w:rPr>
      </w:pPr>
      <w:r>
        <w:rPr>
          <w:rFonts w:hint="eastAsia" w:cs="宋体"/>
          <w:position w:val="6"/>
          <w:szCs w:val="21"/>
          <w:highlight w:val="none"/>
        </w:rPr>
        <w:t>2. _____________工程，为</w:t>
      </w:r>
      <w:r>
        <w:rPr>
          <w:rFonts w:hint="eastAsia" w:cs="宋体"/>
          <w:position w:val="6"/>
          <w:szCs w:val="21"/>
          <w:highlight w:val="none"/>
          <w:u w:val="single"/>
        </w:rPr>
        <w:t xml:space="preserve">     </w:t>
      </w:r>
      <w:r>
        <w:rPr>
          <w:rFonts w:hint="eastAsia" w:cs="宋体"/>
          <w:position w:val="6"/>
          <w:szCs w:val="21"/>
          <w:highlight w:val="none"/>
        </w:rPr>
        <w:t>年；</w:t>
      </w:r>
    </w:p>
    <w:p w14:paraId="225011A1">
      <w:pPr>
        <w:widowControl/>
        <w:adjustRightInd w:val="0"/>
        <w:snapToGrid w:val="0"/>
        <w:spacing w:line="360" w:lineRule="auto"/>
        <w:ind w:left="420" w:leftChars="200" w:firstLine="58" w:firstLineChars="28"/>
        <w:jc w:val="left"/>
        <w:rPr>
          <w:rFonts w:cs="宋体"/>
          <w:position w:val="6"/>
          <w:szCs w:val="21"/>
          <w:highlight w:val="none"/>
        </w:rPr>
      </w:pPr>
      <w:r>
        <w:rPr>
          <w:rFonts w:hint="eastAsia" w:cs="宋体"/>
          <w:position w:val="6"/>
          <w:szCs w:val="21"/>
          <w:highlight w:val="none"/>
        </w:rPr>
        <w:t>3. _____________工程，为</w:t>
      </w:r>
      <w:r>
        <w:rPr>
          <w:rFonts w:hint="eastAsia" w:cs="宋体"/>
          <w:position w:val="6"/>
          <w:szCs w:val="21"/>
          <w:highlight w:val="none"/>
          <w:u w:val="single"/>
        </w:rPr>
        <w:t xml:space="preserve">     </w:t>
      </w:r>
      <w:r>
        <w:rPr>
          <w:rFonts w:hint="eastAsia" w:cs="宋体"/>
          <w:position w:val="6"/>
          <w:szCs w:val="21"/>
          <w:highlight w:val="none"/>
        </w:rPr>
        <w:t>年；</w:t>
      </w:r>
    </w:p>
    <w:p w14:paraId="10660981">
      <w:pPr>
        <w:adjustRightInd w:val="0"/>
        <w:snapToGrid w:val="0"/>
        <w:spacing w:line="360" w:lineRule="auto"/>
        <w:ind w:left="359" w:leftChars="171" w:firstLine="105" w:firstLineChars="50"/>
        <w:rPr>
          <w:rFonts w:cs="宋体"/>
          <w:position w:val="6"/>
          <w:szCs w:val="21"/>
          <w:highlight w:val="none"/>
        </w:rPr>
      </w:pPr>
      <w:r>
        <w:rPr>
          <w:rFonts w:hint="eastAsia" w:cs="宋体"/>
          <w:position w:val="6"/>
          <w:szCs w:val="21"/>
          <w:highlight w:val="none"/>
        </w:rPr>
        <w:t xml:space="preserve">4. _____________工程，为 </w:t>
      </w:r>
      <w:r>
        <w:rPr>
          <w:rFonts w:hint="eastAsia" w:cs="宋体"/>
          <w:position w:val="6"/>
          <w:szCs w:val="21"/>
          <w:highlight w:val="none"/>
          <w:u w:val="single"/>
        </w:rPr>
        <w:t xml:space="preserve">     </w:t>
      </w:r>
      <w:r>
        <w:rPr>
          <w:rFonts w:hint="eastAsia" w:cs="宋体"/>
          <w:position w:val="6"/>
          <w:szCs w:val="21"/>
          <w:highlight w:val="none"/>
        </w:rPr>
        <w:t>年；</w:t>
      </w:r>
    </w:p>
    <w:p w14:paraId="5E4A0398">
      <w:pPr>
        <w:adjustRightInd w:val="0"/>
        <w:snapToGrid w:val="0"/>
        <w:spacing w:line="360" w:lineRule="auto"/>
        <w:ind w:left="359" w:leftChars="171" w:firstLine="105" w:firstLineChars="50"/>
        <w:rPr>
          <w:rFonts w:cs="宋体"/>
          <w:position w:val="6"/>
          <w:szCs w:val="21"/>
          <w:highlight w:val="none"/>
        </w:rPr>
      </w:pPr>
      <w:r>
        <w:rPr>
          <w:rFonts w:hint="eastAsia" w:cs="宋体"/>
          <w:position w:val="6"/>
          <w:szCs w:val="21"/>
          <w:highlight w:val="none"/>
        </w:rPr>
        <w:t>质量保修期自工程竣工验收合格之日起计算。</w:t>
      </w:r>
    </w:p>
    <w:p w14:paraId="1D733013">
      <w:pPr>
        <w:adjustRightInd w:val="0"/>
        <w:snapToGrid w:val="0"/>
        <w:spacing w:line="360" w:lineRule="auto"/>
        <w:ind w:firstLine="422" w:firstLineChars="200"/>
        <w:rPr>
          <w:rFonts w:cs="宋体"/>
          <w:b/>
          <w:szCs w:val="21"/>
          <w:highlight w:val="none"/>
        </w:rPr>
      </w:pPr>
      <w:r>
        <w:rPr>
          <w:rFonts w:hint="eastAsia" w:cs="宋体"/>
          <w:b/>
          <w:szCs w:val="21"/>
          <w:highlight w:val="none"/>
        </w:rPr>
        <w:t>三、缺陷责任期</w:t>
      </w:r>
    </w:p>
    <w:p w14:paraId="3DB92F8F">
      <w:pPr>
        <w:adjustRightInd w:val="0"/>
        <w:snapToGrid w:val="0"/>
        <w:spacing w:line="360" w:lineRule="auto"/>
        <w:ind w:firstLine="420" w:firstLineChars="200"/>
        <w:rPr>
          <w:rFonts w:cs="宋体"/>
          <w:szCs w:val="21"/>
          <w:highlight w:val="none"/>
        </w:rPr>
      </w:pPr>
      <w:r>
        <w:rPr>
          <w:rFonts w:hint="eastAsia" w:cs="宋体"/>
          <w:szCs w:val="21"/>
          <w:highlight w:val="none"/>
        </w:rPr>
        <w:t>工程缺陷责任期为</w:t>
      </w:r>
      <w:r>
        <w:rPr>
          <w:rFonts w:hint="eastAsia" w:cs="宋体"/>
          <w:szCs w:val="21"/>
          <w:highlight w:val="none"/>
          <w:u w:val="single"/>
        </w:rPr>
        <w:t xml:space="preserve">     </w:t>
      </w:r>
      <w:r>
        <w:rPr>
          <w:rFonts w:hint="eastAsia" w:cs="宋体"/>
          <w:szCs w:val="21"/>
          <w:highlight w:val="none"/>
        </w:rPr>
        <w:t>，缺陷责任期自工程竣工验收合格之日起计算。单位工程先于全部工程进行验收，单位工程缺陷责任期自单位工程验收合格之日起算。</w:t>
      </w:r>
    </w:p>
    <w:p w14:paraId="718AA252">
      <w:pPr>
        <w:adjustRightInd w:val="0"/>
        <w:snapToGrid w:val="0"/>
        <w:spacing w:line="360" w:lineRule="auto"/>
        <w:ind w:firstLine="420" w:firstLineChars="200"/>
        <w:rPr>
          <w:rFonts w:cs="宋体"/>
          <w:szCs w:val="21"/>
          <w:highlight w:val="none"/>
        </w:rPr>
      </w:pPr>
      <w:r>
        <w:rPr>
          <w:rFonts w:hint="eastAsia" w:cs="宋体"/>
          <w:szCs w:val="21"/>
          <w:highlight w:val="none"/>
        </w:rPr>
        <w:t>缺陷责任期终止后，发包人应退还剩余的质量保证金。</w:t>
      </w:r>
    </w:p>
    <w:p w14:paraId="0877C74C">
      <w:pPr>
        <w:widowControl/>
        <w:adjustRightInd w:val="0"/>
        <w:snapToGrid w:val="0"/>
        <w:spacing w:line="360" w:lineRule="auto"/>
        <w:ind w:firstLine="422" w:firstLineChars="200"/>
        <w:jc w:val="left"/>
        <w:rPr>
          <w:rFonts w:cs="宋体"/>
          <w:b/>
          <w:bCs/>
          <w:position w:val="6"/>
          <w:szCs w:val="21"/>
          <w:highlight w:val="none"/>
        </w:rPr>
      </w:pPr>
      <w:r>
        <w:rPr>
          <w:rFonts w:hint="eastAsia" w:cs="宋体"/>
          <w:b/>
          <w:szCs w:val="21"/>
          <w:highlight w:val="none"/>
        </w:rPr>
        <w:t>四、质量保修责任</w:t>
      </w:r>
    </w:p>
    <w:p w14:paraId="7087A18D">
      <w:pPr>
        <w:widowControl/>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1. 属于保修范围、内容的项目，承包人应当在接到保修通知之日起7天内派人保修。承包人不在约定期限内派人保修的，发包人可以委托他人修理。</w:t>
      </w:r>
    </w:p>
    <w:p w14:paraId="09643B13">
      <w:pPr>
        <w:widowControl/>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2. 发生紧急抢修事故的，承包人在接到事故通知后，应当立即到达事故现场抢修。</w:t>
      </w:r>
    </w:p>
    <w:p w14:paraId="1F056502">
      <w:pPr>
        <w:widowControl/>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2C72AF35">
      <w:pPr>
        <w:widowControl/>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4. 质量保修完成后，由发包人组织验收。</w:t>
      </w:r>
    </w:p>
    <w:p w14:paraId="15EBB11A">
      <w:pPr>
        <w:widowControl/>
        <w:adjustRightInd w:val="0"/>
        <w:snapToGrid w:val="0"/>
        <w:spacing w:line="360" w:lineRule="auto"/>
        <w:ind w:firstLine="422" w:firstLineChars="200"/>
        <w:jc w:val="left"/>
        <w:rPr>
          <w:rFonts w:cs="宋体"/>
          <w:b/>
          <w:bCs/>
          <w:position w:val="6"/>
          <w:szCs w:val="21"/>
          <w:highlight w:val="none"/>
        </w:rPr>
      </w:pPr>
      <w:r>
        <w:rPr>
          <w:rFonts w:hint="eastAsia" w:cs="宋体"/>
          <w:b/>
          <w:bCs/>
          <w:position w:val="6"/>
          <w:szCs w:val="21"/>
          <w:highlight w:val="none"/>
        </w:rPr>
        <w:t>五、保修费用</w:t>
      </w:r>
    </w:p>
    <w:p w14:paraId="0DC09243">
      <w:pPr>
        <w:widowControl/>
        <w:adjustRightInd w:val="0"/>
        <w:snapToGrid w:val="0"/>
        <w:spacing w:line="360" w:lineRule="auto"/>
        <w:ind w:firstLine="420" w:firstLineChars="200"/>
        <w:jc w:val="left"/>
        <w:rPr>
          <w:rFonts w:cs="宋体"/>
          <w:position w:val="6"/>
          <w:szCs w:val="21"/>
          <w:highlight w:val="none"/>
        </w:rPr>
      </w:pPr>
      <w:r>
        <w:rPr>
          <w:rFonts w:hint="eastAsia" w:cs="宋体"/>
          <w:position w:val="6"/>
          <w:szCs w:val="21"/>
          <w:highlight w:val="none"/>
        </w:rPr>
        <w:t>保修费用由造成质量缺陷的责任方承担。</w:t>
      </w:r>
    </w:p>
    <w:p w14:paraId="2867796E">
      <w:pPr>
        <w:widowControl/>
        <w:adjustRightInd w:val="0"/>
        <w:snapToGrid w:val="0"/>
        <w:spacing w:line="360" w:lineRule="auto"/>
        <w:ind w:firstLine="420" w:firstLineChars="200"/>
        <w:jc w:val="left"/>
        <w:rPr>
          <w:rFonts w:cs="宋体"/>
          <w:b/>
          <w:szCs w:val="21"/>
          <w:highlight w:val="none"/>
        </w:rPr>
      </w:pPr>
      <w:r>
        <w:rPr>
          <w:rFonts w:hint="eastAsia" w:cs="宋体"/>
          <w:bCs/>
          <w:position w:val="6"/>
          <w:szCs w:val="21"/>
          <w:highlight w:val="none"/>
        </w:rPr>
        <w:t>六、</w:t>
      </w:r>
      <w:r>
        <w:rPr>
          <w:rFonts w:hint="eastAsia" w:cs="宋体"/>
          <w:b/>
          <w:szCs w:val="21"/>
          <w:highlight w:val="none"/>
        </w:rPr>
        <w:t>双方约定的其他工程质量保修事项：</w:t>
      </w:r>
      <w:r>
        <w:rPr>
          <w:rFonts w:hint="eastAsia" w:cs="宋体"/>
          <w:b/>
          <w:szCs w:val="21"/>
          <w:highlight w:val="none"/>
          <w:u w:val="single"/>
        </w:rPr>
        <w:t xml:space="preserve">             </w:t>
      </w:r>
      <w:r>
        <w:rPr>
          <w:rFonts w:hint="eastAsia" w:cs="宋体"/>
          <w:b/>
          <w:szCs w:val="21"/>
          <w:highlight w:val="none"/>
        </w:rPr>
        <w:t>。</w:t>
      </w:r>
    </w:p>
    <w:p w14:paraId="77813105">
      <w:pPr>
        <w:widowControl/>
        <w:adjustRightInd w:val="0"/>
        <w:snapToGrid w:val="0"/>
        <w:spacing w:line="360" w:lineRule="auto"/>
        <w:ind w:firstLine="420" w:firstLineChars="200"/>
        <w:jc w:val="left"/>
        <w:rPr>
          <w:rFonts w:cs="宋体"/>
          <w:bCs/>
          <w:szCs w:val="21"/>
          <w:highlight w:val="none"/>
        </w:rPr>
      </w:pPr>
      <w:r>
        <w:rPr>
          <w:rFonts w:hint="eastAsia" w:cs="宋体"/>
          <w:bCs/>
          <w:position w:val="6"/>
          <w:szCs w:val="21"/>
          <w:highlight w:val="none"/>
        </w:rPr>
        <w:t>本工程质量保修书，由施工合同发包人、承包人双方在竣工验收前共同签署，作为施工合同附件，其有效期限至保修期满。</w:t>
      </w:r>
    </w:p>
    <w:p w14:paraId="5C36C10D">
      <w:pPr>
        <w:adjustRightInd w:val="0"/>
        <w:snapToGrid w:val="0"/>
        <w:spacing w:line="360" w:lineRule="auto"/>
        <w:ind w:firstLine="420"/>
        <w:rPr>
          <w:rFonts w:cs="宋体"/>
          <w:szCs w:val="21"/>
          <w:highlight w:val="none"/>
        </w:rPr>
      </w:pPr>
    </w:p>
    <w:p w14:paraId="47001251">
      <w:pPr>
        <w:adjustRightInd w:val="0"/>
        <w:snapToGrid w:val="0"/>
        <w:spacing w:line="360" w:lineRule="auto"/>
        <w:rPr>
          <w:rFonts w:cs="宋体"/>
          <w:szCs w:val="21"/>
          <w:highlight w:val="none"/>
          <w:u w:val="single"/>
        </w:rPr>
      </w:pPr>
      <w:r>
        <w:rPr>
          <w:rFonts w:hint="eastAsia" w:cs="宋体"/>
          <w:szCs w:val="21"/>
          <w:highlight w:val="none"/>
        </w:rPr>
        <w:t>发包人（公章）：</w:t>
      </w:r>
      <w:r>
        <w:rPr>
          <w:rFonts w:hint="eastAsia" w:cs="宋体"/>
          <w:szCs w:val="21"/>
          <w:highlight w:val="none"/>
          <w:u w:val="single"/>
        </w:rPr>
        <w:t xml:space="preserve">        </w:t>
      </w:r>
      <w:r>
        <w:rPr>
          <w:rFonts w:hint="eastAsia" w:cs="宋体"/>
          <w:szCs w:val="21"/>
          <w:highlight w:val="none"/>
        </w:rPr>
        <w:t xml:space="preserve">           承包人（公章）：</w:t>
      </w:r>
      <w:r>
        <w:rPr>
          <w:rFonts w:hint="eastAsia" w:cs="宋体"/>
          <w:szCs w:val="21"/>
          <w:highlight w:val="none"/>
          <w:u w:val="single"/>
        </w:rPr>
        <w:t xml:space="preserve">        </w:t>
      </w:r>
    </w:p>
    <w:p w14:paraId="175D987B">
      <w:pPr>
        <w:adjustRightInd w:val="0"/>
        <w:snapToGrid w:val="0"/>
        <w:spacing w:line="360" w:lineRule="auto"/>
        <w:rPr>
          <w:rFonts w:cs="宋体"/>
          <w:szCs w:val="21"/>
          <w:highlight w:val="none"/>
          <w:u w:val="single"/>
        </w:rPr>
      </w:pPr>
      <w:r>
        <w:rPr>
          <w:rFonts w:hint="eastAsia" w:cs="宋体"/>
          <w:szCs w:val="21"/>
          <w:highlight w:val="none"/>
        </w:rPr>
        <w:t>地  址：</w:t>
      </w:r>
      <w:r>
        <w:rPr>
          <w:rFonts w:hint="eastAsia" w:cs="宋体"/>
          <w:szCs w:val="21"/>
          <w:highlight w:val="none"/>
          <w:u w:val="single"/>
        </w:rPr>
        <w:t xml:space="preserve">     </w:t>
      </w:r>
      <w:r>
        <w:rPr>
          <w:rFonts w:hint="eastAsia" w:cs="宋体"/>
          <w:szCs w:val="21"/>
          <w:highlight w:val="none"/>
        </w:rPr>
        <w:t xml:space="preserve">              地  址：</w:t>
      </w:r>
      <w:r>
        <w:rPr>
          <w:rFonts w:hint="eastAsia" w:cs="宋体"/>
          <w:szCs w:val="21"/>
          <w:highlight w:val="none"/>
          <w:u w:val="single"/>
        </w:rPr>
        <w:t xml:space="preserve">       </w:t>
      </w:r>
    </w:p>
    <w:p w14:paraId="2B99F713">
      <w:pPr>
        <w:adjustRightInd w:val="0"/>
        <w:snapToGrid w:val="0"/>
        <w:spacing w:line="360" w:lineRule="auto"/>
        <w:rPr>
          <w:rFonts w:cs="宋体"/>
          <w:szCs w:val="21"/>
          <w:highlight w:val="none"/>
          <w:u w:val="single"/>
        </w:rPr>
      </w:pPr>
      <w:r>
        <w:rPr>
          <w:rFonts w:hint="eastAsia" w:cs="宋体"/>
          <w:szCs w:val="21"/>
          <w:highlight w:val="none"/>
        </w:rPr>
        <w:t>法定代表人（签字）：</w:t>
      </w:r>
      <w:r>
        <w:rPr>
          <w:rFonts w:hint="eastAsia" w:cs="宋体"/>
          <w:szCs w:val="21"/>
          <w:highlight w:val="none"/>
          <w:u w:val="single"/>
        </w:rPr>
        <w:t xml:space="preserve">      </w:t>
      </w:r>
      <w:r>
        <w:rPr>
          <w:rFonts w:hint="eastAsia" w:cs="宋体"/>
          <w:szCs w:val="21"/>
          <w:highlight w:val="none"/>
        </w:rPr>
        <w:t xml:space="preserve">           法定代表人（签字）：</w:t>
      </w:r>
      <w:r>
        <w:rPr>
          <w:rFonts w:hint="eastAsia" w:cs="宋体"/>
          <w:szCs w:val="21"/>
          <w:highlight w:val="none"/>
          <w:u w:val="single"/>
        </w:rPr>
        <w:t xml:space="preserve">       </w:t>
      </w:r>
    </w:p>
    <w:p w14:paraId="68226518">
      <w:pPr>
        <w:adjustRightInd w:val="0"/>
        <w:snapToGrid w:val="0"/>
        <w:spacing w:line="360" w:lineRule="auto"/>
        <w:rPr>
          <w:rFonts w:cs="宋体"/>
          <w:szCs w:val="21"/>
          <w:highlight w:val="none"/>
          <w:u w:val="single"/>
        </w:rPr>
      </w:pPr>
      <w:r>
        <w:rPr>
          <w:rFonts w:hint="eastAsia" w:cs="宋体"/>
          <w:szCs w:val="21"/>
          <w:highlight w:val="none"/>
        </w:rPr>
        <w:t>委托代理人（签字）：</w:t>
      </w:r>
      <w:r>
        <w:rPr>
          <w:rFonts w:hint="eastAsia" w:cs="宋体"/>
          <w:szCs w:val="21"/>
          <w:highlight w:val="none"/>
          <w:u w:val="single"/>
        </w:rPr>
        <w:t xml:space="preserve">      </w:t>
      </w:r>
      <w:r>
        <w:rPr>
          <w:rFonts w:hint="eastAsia" w:cs="宋体"/>
          <w:szCs w:val="21"/>
          <w:highlight w:val="none"/>
        </w:rPr>
        <w:t xml:space="preserve">           委托代理人（签字）：</w:t>
      </w:r>
      <w:r>
        <w:rPr>
          <w:rFonts w:hint="eastAsia" w:cs="宋体"/>
          <w:szCs w:val="21"/>
          <w:highlight w:val="none"/>
          <w:u w:val="single"/>
        </w:rPr>
        <w:t xml:space="preserve">       </w:t>
      </w:r>
    </w:p>
    <w:p w14:paraId="7C2FDCE0">
      <w:pPr>
        <w:adjustRightInd w:val="0"/>
        <w:snapToGrid w:val="0"/>
        <w:spacing w:line="360" w:lineRule="auto"/>
        <w:rPr>
          <w:rFonts w:cs="宋体"/>
          <w:szCs w:val="21"/>
          <w:highlight w:val="none"/>
        </w:rPr>
      </w:pPr>
      <w:r>
        <w:rPr>
          <w:rFonts w:hint="eastAsia" w:cs="宋体"/>
          <w:szCs w:val="21"/>
          <w:highlight w:val="none"/>
        </w:rPr>
        <w:t>电  话：</w:t>
      </w:r>
      <w:r>
        <w:rPr>
          <w:rFonts w:hint="eastAsia" w:cs="宋体"/>
          <w:szCs w:val="21"/>
          <w:highlight w:val="none"/>
          <w:u w:val="single"/>
        </w:rPr>
        <w:t xml:space="preserve">   </w:t>
      </w:r>
      <w:r>
        <w:rPr>
          <w:rFonts w:hint="eastAsia" w:cs="宋体"/>
          <w:szCs w:val="21"/>
          <w:highlight w:val="none"/>
        </w:rPr>
        <w:t xml:space="preserve">              电  话：</w:t>
      </w:r>
      <w:r>
        <w:rPr>
          <w:rFonts w:hint="eastAsia" w:cs="宋体"/>
          <w:szCs w:val="21"/>
          <w:highlight w:val="none"/>
          <w:u w:val="single"/>
        </w:rPr>
        <w:t xml:space="preserve">     </w:t>
      </w:r>
    </w:p>
    <w:p w14:paraId="7467D8B7">
      <w:pPr>
        <w:adjustRightInd w:val="0"/>
        <w:snapToGrid w:val="0"/>
        <w:spacing w:line="360" w:lineRule="auto"/>
        <w:rPr>
          <w:rFonts w:cs="宋体"/>
          <w:szCs w:val="21"/>
          <w:highlight w:val="none"/>
        </w:rPr>
      </w:pPr>
      <w:r>
        <w:rPr>
          <w:rFonts w:hint="eastAsia" w:cs="宋体"/>
          <w:szCs w:val="21"/>
          <w:highlight w:val="none"/>
        </w:rPr>
        <w:t>传  真：</w:t>
      </w:r>
      <w:r>
        <w:rPr>
          <w:rFonts w:hint="eastAsia" w:cs="宋体"/>
          <w:szCs w:val="21"/>
          <w:highlight w:val="none"/>
          <w:u w:val="single"/>
        </w:rPr>
        <w:t xml:space="preserve">   </w:t>
      </w:r>
      <w:r>
        <w:rPr>
          <w:rFonts w:hint="eastAsia" w:cs="宋体"/>
          <w:szCs w:val="21"/>
          <w:highlight w:val="none"/>
        </w:rPr>
        <w:t xml:space="preserve">              传  真：</w:t>
      </w:r>
      <w:r>
        <w:rPr>
          <w:rFonts w:hint="eastAsia" w:cs="宋体"/>
          <w:szCs w:val="21"/>
          <w:highlight w:val="none"/>
          <w:u w:val="single"/>
        </w:rPr>
        <w:t xml:space="preserve">     </w:t>
      </w:r>
    </w:p>
    <w:p w14:paraId="514A1E7A">
      <w:pPr>
        <w:adjustRightInd w:val="0"/>
        <w:snapToGrid w:val="0"/>
        <w:spacing w:line="360" w:lineRule="auto"/>
        <w:rPr>
          <w:rFonts w:cs="宋体"/>
          <w:szCs w:val="21"/>
          <w:highlight w:val="none"/>
        </w:rPr>
      </w:pPr>
      <w:r>
        <w:rPr>
          <w:rFonts w:hint="eastAsia" w:cs="宋体"/>
          <w:szCs w:val="21"/>
          <w:highlight w:val="none"/>
        </w:rPr>
        <w:t>开户银行：</w:t>
      </w:r>
      <w:r>
        <w:rPr>
          <w:rFonts w:hint="eastAsia" w:cs="宋体"/>
          <w:szCs w:val="21"/>
          <w:highlight w:val="none"/>
          <w:u w:val="single"/>
        </w:rPr>
        <w:t xml:space="preserve">   </w:t>
      </w:r>
      <w:r>
        <w:rPr>
          <w:rFonts w:hint="eastAsia" w:cs="宋体"/>
          <w:szCs w:val="21"/>
          <w:highlight w:val="none"/>
        </w:rPr>
        <w:t xml:space="preserve">              开户银行：</w:t>
      </w:r>
      <w:r>
        <w:rPr>
          <w:rFonts w:hint="eastAsia" w:cs="宋体"/>
          <w:szCs w:val="21"/>
          <w:highlight w:val="none"/>
          <w:u w:val="single"/>
        </w:rPr>
        <w:t xml:space="preserve">   </w:t>
      </w:r>
    </w:p>
    <w:p w14:paraId="177FDC40">
      <w:pPr>
        <w:adjustRightInd w:val="0"/>
        <w:snapToGrid w:val="0"/>
        <w:spacing w:line="360" w:lineRule="auto"/>
        <w:rPr>
          <w:rFonts w:cs="宋体"/>
          <w:szCs w:val="21"/>
          <w:highlight w:val="none"/>
        </w:rPr>
      </w:pPr>
      <w:r>
        <w:rPr>
          <w:rFonts w:hint="eastAsia" w:cs="宋体"/>
          <w:szCs w:val="21"/>
          <w:highlight w:val="none"/>
        </w:rPr>
        <w:t>账  号：</w:t>
      </w:r>
      <w:r>
        <w:rPr>
          <w:rFonts w:hint="eastAsia" w:cs="宋体"/>
          <w:szCs w:val="21"/>
          <w:highlight w:val="none"/>
          <w:u w:val="single"/>
        </w:rPr>
        <w:t xml:space="preserve">       </w:t>
      </w:r>
      <w:r>
        <w:rPr>
          <w:rFonts w:hint="eastAsia" w:cs="宋体"/>
          <w:szCs w:val="21"/>
          <w:highlight w:val="none"/>
        </w:rPr>
        <w:t xml:space="preserve">              账  号：</w:t>
      </w:r>
      <w:r>
        <w:rPr>
          <w:rFonts w:hint="eastAsia" w:cs="宋体"/>
          <w:szCs w:val="21"/>
          <w:highlight w:val="none"/>
          <w:u w:val="single"/>
        </w:rPr>
        <w:t xml:space="preserve">     </w:t>
      </w:r>
    </w:p>
    <w:p w14:paraId="4B129A56">
      <w:pPr>
        <w:adjustRightInd w:val="0"/>
        <w:snapToGrid w:val="0"/>
        <w:spacing w:line="360" w:lineRule="auto"/>
        <w:rPr>
          <w:rFonts w:cs="宋体"/>
          <w:szCs w:val="21"/>
          <w:highlight w:val="none"/>
        </w:rPr>
      </w:pPr>
      <w:r>
        <w:rPr>
          <w:rFonts w:hint="eastAsia" w:cs="宋体"/>
          <w:szCs w:val="21"/>
          <w:highlight w:val="none"/>
        </w:rPr>
        <w:t>邮政编码：</w:t>
      </w:r>
      <w:r>
        <w:rPr>
          <w:rFonts w:hint="eastAsia" w:cs="宋体"/>
          <w:szCs w:val="21"/>
          <w:highlight w:val="none"/>
          <w:u w:val="single"/>
        </w:rPr>
        <w:t xml:space="preserve">     </w:t>
      </w:r>
      <w:r>
        <w:rPr>
          <w:rFonts w:hint="eastAsia" w:cs="宋体"/>
          <w:szCs w:val="21"/>
          <w:highlight w:val="none"/>
        </w:rPr>
        <w:t xml:space="preserve">              邮政编码：</w:t>
      </w:r>
      <w:r>
        <w:rPr>
          <w:rFonts w:hint="eastAsia" w:cs="宋体"/>
          <w:szCs w:val="21"/>
          <w:highlight w:val="none"/>
          <w:u w:val="single"/>
        </w:rPr>
        <w:t xml:space="preserve">   </w:t>
      </w:r>
    </w:p>
    <w:p w14:paraId="2C9ECEA8">
      <w:pPr>
        <w:spacing w:before="312" w:beforeLines="100" w:after="312" w:afterLines="100"/>
        <w:outlineLvl w:val="2"/>
        <w:rPr>
          <w:rFonts w:ascii="Times New Roman" w:eastAsia="黑体"/>
          <w:highlight w:val="none"/>
        </w:rPr>
      </w:pPr>
      <w:r>
        <w:rPr>
          <w:rFonts w:ascii="Times New Roman" w:eastAsia="黑体"/>
          <w:b/>
          <w:bCs/>
          <w:highlight w:val="none"/>
        </w:rPr>
        <w:br w:type="page"/>
      </w:r>
      <w:bookmarkStart w:id="631" w:name="_Toc128950239"/>
      <w:r>
        <w:rPr>
          <w:rFonts w:hint="eastAsia" w:ascii="Times New Roman" w:eastAsia="黑体"/>
          <w:highlight w:val="none"/>
        </w:rPr>
        <w:t>附件</w:t>
      </w:r>
      <w:r>
        <w:rPr>
          <w:rFonts w:ascii="Times New Roman" w:eastAsia="黑体"/>
          <w:highlight w:val="none"/>
        </w:rPr>
        <w:t>4</w:t>
      </w:r>
      <w:r>
        <w:rPr>
          <w:rFonts w:hint="eastAsia" w:ascii="Times New Roman" w:eastAsia="黑体"/>
          <w:highlight w:val="none"/>
        </w:rPr>
        <w:t>：主要建设工程文件目录</w:t>
      </w:r>
      <w:bookmarkEnd w:id="631"/>
    </w:p>
    <w:p w14:paraId="5CEACA57">
      <w:pPr>
        <w:spacing w:before="156" w:beforeLines="50" w:after="156" w:afterLines="50"/>
        <w:jc w:val="center"/>
        <w:rPr>
          <w:rFonts w:cs="宋体"/>
          <w:szCs w:val="21"/>
          <w:highlight w:val="none"/>
        </w:rPr>
      </w:pPr>
      <w:r>
        <w:rPr>
          <w:rFonts w:hint="eastAsia" w:cs="宋体"/>
          <w:szCs w:val="21"/>
          <w:highlight w:val="none"/>
        </w:rPr>
        <w:t>主要建设工程文件目录</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1362E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55DD56A3">
            <w:pPr>
              <w:keepNext/>
              <w:jc w:val="center"/>
              <w:rPr>
                <w:rFonts w:cs="宋体"/>
                <w:szCs w:val="21"/>
                <w:highlight w:val="none"/>
              </w:rPr>
            </w:pPr>
            <w:r>
              <w:rPr>
                <w:rFonts w:hint="eastAsia" w:cs="宋体"/>
                <w:szCs w:val="21"/>
                <w:highlight w:val="none"/>
              </w:rPr>
              <w:t>文件名称</w:t>
            </w:r>
          </w:p>
        </w:tc>
        <w:tc>
          <w:tcPr>
            <w:tcW w:w="706" w:type="pct"/>
            <w:tcBorders>
              <w:top w:val="single" w:color="auto" w:sz="12" w:space="0"/>
              <w:bottom w:val="double" w:color="auto" w:sz="6" w:space="0"/>
            </w:tcBorders>
            <w:vAlign w:val="center"/>
          </w:tcPr>
          <w:p w14:paraId="7A24BF36">
            <w:pPr>
              <w:keepNext/>
              <w:jc w:val="center"/>
              <w:rPr>
                <w:rFonts w:cs="宋体"/>
                <w:szCs w:val="21"/>
                <w:highlight w:val="none"/>
              </w:rPr>
            </w:pPr>
            <w:r>
              <w:rPr>
                <w:rFonts w:hint="eastAsia" w:cs="宋体"/>
                <w:szCs w:val="21"/>
                <w:highlight w:val="none"/>
              </w:rPr>
              <w:t>套数</w:t>
            </w:r>
          </w:p>
        </w:tc>
        <w:tc>
          <w:tcPr>
            <w:tcW w:w="802" w:type="pct"/>
            <w:tcBorders>
              <w:top w:val="single" w:color="auto" w:sz="12" w:space="0"/>
              <w:bottom w:val="double" w:color="auto" w:sz="6" w:space="0"/>
            </w:tcBorders>
            <w:vAlign w:val="center"/>
          </w:tcPr>
          <w:p w14:paraId="1993E0D2">
            <w:pPr>
              <w:keepNext/>
              <w:jc w:val="center"/>
              <w:rPr>
                <w:rFonts w:cs="宋体"/>
                <w:szCs w:val="21"/>
                <w:highlight w:val="none"/>
              </w:rPr>
            </w:pPr>
            <w:r>
              <w:rPr>
                <w:rFonts w:hint="eastAsia" w:cs="宋体"/>
                <w:szCs w:val="21"/>
                <w:highlight w:val="none"/>
              </w:rPr>
              <w:t>费用（元）</w:t>
            </w:r>
          </w:p>
        </w:tc>
        <w:tc>
          <w:tcPr>
            <w:tcW w:w="687" w:type="pct"/>
            <w:tcBorders>
              <w:top w:val="single" w:color="auto" w:sz="12" w:space="0"/>
              <w:bottom w:val="double" w:color="auto" w:sz="6" w:space="0"/>
            </w:tcBorders>
            <w:vAlign w:val="center"/>
          </w:tcPr>
          <w:p w14:paraId="081C34EF">
            <w:pPr>
              <w:keepNext/>
              <w:jc w:val="center"/>
              <w:rPr>
                <w:rFonts w:cs="宋体"/>
                <w:szCs w:val="21"/>
                <w:highlight w:val="none"/>
              </w:rPr>
            </w:pPr>
            <w:r>
              <w:rPr>
                <w:rFonts w:hint="eastAsia" w:cs="宋体"/>
                <w:szCs w:val="21"/>
                <w:highlight w:val="none"/>
              </w:rPr>
              <w:t>质量</w:t>
            </w:r>
          </w:p>
        </w:tc>
        <w:tc>
          <w:tcPr>
            <w:tcW w:w="802" w:type="pct"/>
            <w:tcBorders>
              <w:top w:val="single" w:color="auto" w:sz="12" w:space="0"/>
              <w:bottom w:val="double" w:color="auto" w:sz="6" w:space="0"/>
            </w:tcBorders>
            <w:vAlign w:val="center"/>
          </w:tcPr>
          <w:p w14:paraId="250597DF">
            <w:pPr>
              <w:jc w:val="center"/>
              <w:rPr>
                <w:rFonts w:cs="宋体"/>
                <w:szCs w:val="21"/>
                <w:highlight w:val="none"/>
              </w:rPr>
            </w:pPr>
            <w:r>
              <w:rPr>
                <w:rFonts w:hint="eastAsia" w:cs="宋体"/>
                <w:szCs w:val="21"/>
                <w:highlight w:val="none"/>
              </w:rPr>
              <w:t>移交时间</w:t>
            </w:r>
          </w:p>
        </w:tc>
        <w:tc>
          <w:tcPr>
            <w:tcW w:w="922" w:type="pct"/>
            <w:tcBorders>
              <w:top w:val="single" w:color="auto" w:sz="12" w:space="0"/>
              <w:bottom w:val="double" w:color="auto" w:sz="6" w:space="0"/>
            </w:tcBorders>
            <w:vAlign w:val="center"/>
          </w:tcPr>
          <w:p w14:paraId="1C1DC488">
            <w:pPr>
              <w:jc w:val="center"/>
              <w:rPr>
                <w:rFonts w:cs="宋体"/>
                <w:szCs w:val="21"/>
                <w:highlight w:val="none"/>
              </w:rPr>
            </w:pPr>
            <w:r>
              <w:rPr>
                <w:rFonts w:hint="eastAsia" w:cs="宋体"/>
                <w:szCs w:val="21"/>
                <w:highlight w:val="none"/>
              </w:rPr>
              <w:t>责任人</w:t>
            </w:r>
          </w:p>
        </w:tc>
      </w:tr>
      <w:tr w14:paraId="47B92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564AD638">
            <w:pPr>
              <w:keepNext/>
              <w:jc w:val="center"/>
              <w:rPr>
                <w:rFonts w:cs="宋体"/>
                <w:szCs w:val="21"/>
                <w:highlight w:val="none"/>
              </w:rPr>
            </w:pPr>
          </w:p>
        </w:tc>
        <w:tc>
          <w:tcPr>
            <w:tcW w:w="706" w:type="pct"/>
            <w:tcBorders>
              <w:top w:val="double" w:color="auto" w:sz="6" w:space="0"/>
            </w:tcBorders>
            <w:vAlign w:val="center"/>
          </w:tcPr>
          <w:p w14:paraId="00A325F6">
            <w:pPr>
              <w:keepNext/>
              <w:jc w:val="center"/>
              <w:rPr>
                <w:rFonts w:cs="宋体"/>
                <w:szCs w:val="21"/>
                <w:highlight w:val="none"/>
              </w:rPr>
            </w:pPr>
          </w:p>
        </w:tc>
        <w:tc>
          <w:tcPr>
            <w:tcW w:w="802" w:type="pct"/>
            <w:tcBorders>
              <w:top w:val="double" w:color="auto" w:sz="6" w:space="0"/>
            </w:tcBorders>
            <w:vAlign w:val="center"/>
          </w:tcPr>
          <w:p w14:paraId="6D459935">
            <w:pPr>
              <w:keepNext/>
              <w:jc w:val="center"/>
              <w:rPr>
                <w:rFonts w:cs="宋体"/>
                <w:szCs w:val="21"/>
                <w:highlight w:val="none"/>
              </w:rPr>
            </w:pPr>
          </w:p>
        </w:tc>
        <w:tc>
          <w:tcPr>
            <w:tcW w:w="687" w:type="pct"/>
            <w:tcBorders>
              <w:top w:val="double" w:color="auto" w:sz="6" w:space="0"/>
            </w:tcBorders>
            <w:vAlign w:val="center"/>
          </w:tcPr>
          <w:p w14:paraId="674E54E3">
            <w:pPr>
              <w:keepNext/>
              <w:jc w:val="center"/>
              <w:rPr>
                <w:rFonts w:cs="宋体"/>
                <w:szCs w:val="21"/>
                <w:highlight w:val="none"/>
              </w:rPr>
            </w:pPr>
          </w:p>
        </w:tc>
        <w:tc>
          <w:tcPr>
            <w:tcW w:w="802" w:type="pct"/>
            <w:tcBorders>
              <w:top w:val="double" w:color="auto" w:sz="6" w:space="0"/>
            </w:tcBorders>
            <w:vAlign w:val="center"/>
          </w:tcPr>
          <w:p w14:paraId="4B5C92A3">
            <w:pPr>
              <w:keepNext/>
              <w:jc w:val="center"/>
              <w:rPr>
                <w:rFonts w:cs="宋体"/>
                <w:szCs w:val="21"/>
                <w:highlight w:val="none"/>
              </w:rPr>
            </w:pPr>
          </w:p>
        </w:tc>
        <w:tc>
          <w:tcPr>
            <w:tcW w:w="922" w:type="pct"/>
            <w:tcBorders>
              <w:top w:val="double" w:color="auto" w:sz="6" w:space="0"/>
            </w:tcBorders>
            <w:vAlign w:val="center"/>
          </w:tcPr>
          <w:p w14:paraId="466F2FEB">
            <w:pPr>
              <w:keepNext/>
              <w:jc w:val="center"/>
              <w:rPr>
                <w:rFonts w:cs="宋体"/>
                <w:szCs w:val="21"/>
                <w:highlight w:val="none"/>
              </w:rPr>
            </w:pPr>
          </w:p>
        </w:tc>
      </w:tr>
      <w:tr w14:paraId="7AD77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615CB6AA">
            <w:pPr>
              <w:keepNext/>
              <w:jc w:val="center"/>
              <w:rPr>
                <w:rFonts w:cs="宋体"/>
                <w:szCs w:val="21"/>
                <w:highlight w:val="none"/>
              </w:rPr>
            </w:pPr>
          </w:p>
        </w:tc>
        <w:tc>
          <w:tcPr>
            <w:tcW w:w="706" w:type="pct"/>
            <w:tcBorders>
              <w:top w:val="nil"/>
            </w:tcBorders>
            <w:vAlign w:val="center"/>
          </w:tcPr>
          <w:p w14:paraId="6E252B15">
            <w:pPr>
              <w:keepNext/>
              <w:jc w:val="center"/>
              <w:rPr>
                <w:rFonts w:cs="宋体"/>
                <w:szCs w:val="21"/>
                <w:highlight w:val="none"/>
              </w:rPr>
            </w:pPr>
          </w:p>
        </w:tc>
        <w:tc>
          <w:tcPr>
            <w:tcW w:w="802" w:type="pct"/>
            <w:tcBorders>
              <w:top w:val="nil"/>
            </w:tcBorders>
            <w:vAlign w:val="center"/>
          </w:tcPr>
          <w:p w14:paraId="1E7267C3">
            <w:pPr>
              <w:keepNext/>
              <w:jc w:val="center"/>
              <w:rPr>
                <w:rFonts w:cs="宋体"/>
                <w:szCs w:val="21"/>
                <w:highlight w:val="none"/>
              </w:rPr>
            </w:pPr>
          </w:p>
        </w:tc>
        <w:tc>
          <w:tcPr>
            <w:tcW w:w="687" w:type="pct"/>
            <w:tcBorders>
              <w:top w:val="nil"/>
            </w:tcBorders>
            <w:vAlign w:val="center"/>
          </w:tcPr>
          <w:p w14:paraId="30FA0B43">
            <w:pPr>
              <w:keepNext/>
              <w:jc w:val="center"/>
              <w:rPr>
                <w:rFonts w:cs="宋体"/>
                <w:szCs w:val="21"/>
                <w:highlight w:val="none"/>
              </w:rPr>
            </w:pPr>
          </w:p>
        </w:tc>
        <w:tc>
          <w:tcPr>
            <w:tcW w:w="802" w:type="pct"/>
            <w:tcBorders>
              <w:top w:val="nil"/>
            </w:tcBorders>
            <w:vAlign w:val="center"/>
          </w:tcPr>
          <w:p w14:paraId="7B72892C">
            <w:pPr>
              <w:keepNext/>
              <w:jc w:val="center"/>
              <w:rPr>
                <w:rFonts w:cs="宋体"/>
                <w:szCs w:val="21"/>
                <w:highlight w:val="none"/>
              </w:rPr>
            </w:pPr>
          </w:p>
        </w:tc>
        <w:tc>
          <w:tcPr>
            <w:tcW w:w="922" w:type="pct"/>
            <w:tcBorders>
              <w:top w:val="nil"/>
            </w:tcBorders>
            <w:vAlign w:val="center"/>
          </w:tcPr>
          <w:p w14:paraId="6A8E1ACF">
            <w:pPr>
              <w:keepNext/>
              <w:jc w:val="center"/>
              <w:rPr>
                <w:rFonts w:cs="宋体"/>
                <w:szCs w:val="21"/>
                <w:highlight w:val="none"/>
              </w:rPr>
            </w:pPr>
          </w:p>
        </w:tc>
      </w:tr>
      <w:tr w14:paraId="4D7A3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5D67F3D">
            <w:pPr>
              <w:jc w:val="center"/>
              <w:rPr>
                <w:rFonts w:cs="宋体"/>
                <w:szCs w:val="21"/>
                <w:highlight w:val="none"/>
              </w:rPr>
            </w:pPr>
          </w:p>
        </w:tc>
        <w:tc>
          <w:tcPr>
            <w:tcW w:w="706" w:type="pct"/>
            <w:vAlign w:val="center"/>
          </w:tcPr>
          <w:p w14:paraId="60A94E62">
            <w:pPr>
              <w:jc w:val="center"/>
              <w:rPr>
                <w:rFonts w:cs="宋体"/>
                <w:szCs w:val="21"/>
                <w:highlight w:val="none"/>
              </w:rPr>
            </w:pPr>
          </w:p>
        </w:tc>
        <w:tc>
          <w:tcPr>
            <w:tcW w:w="802" w:type="pct"/>
            <w:vAlign w:val="center"/>
          </w:tcPr>
          <w:p w14:paraId="5AB3210E">
            <w:pPr>
              <w:jc w:val="center"/>
              <w:rPr>
                <w:rFonts w:cs="宋体"/>
                <w:szCs w:val="21"/>
                <w:highlight w:val="none"/>
              </w:rPr>
            </w:pPr>
          </w:p>
        </w:tc>
        <w:tc>
          <w:tcPr>
            <w:tcW w:w="687" w:type="pct"/>
            <w:vAlign w:val="center"/>
          </w:tcPr>
          <w:p w14:paraId="725BA0C3">
            <w:pPr>
              <w:jc w:val="center"/>
              <w:rPr>
                <w:rFonts w:cs="宋体"/>
                <w:szCs w:val="21"/>
                <w:highlight w:val="none"/>
              </w:rPr>
            </w:pPr>
          </w:p>
        </w:tc>
        <w:tc>
          <w:tcPr>
            <w:tcW w:w="802" w:type="pct"/>
            <w:vAlign w:val="center"/>
          </w:tcPr>
          <w:p w14:paraId="32848D9F">
            <w:pPr>
              <w:jc w:val="center"/>
              <w:rPr>
                <w:rFonts w:cs="宋体"/>
                <w:szCs w:val="21"/>
                <w:highlight w:val="none"/>
              </w:rPr>
            </w:pPr>
          </w:p>
        </w:tc>
        <w:tc>
          <w:tcPr>
            <w:tcW w:w="922" w:type="pct"/>
            <w:vAlign w:val="center"/>
          </w:tcPr>
          <w:p w14:paraId="37304916">
            <w:pPr>
              <w:jc w:val="center"/>
              <w:rPr>
                <w:rFonts w:cs="宋体"/>
                <w:szCs w:val="21"/>
                <w:highlight w:val="none"/>
              </w:rPr>
            </w:pPr>
          </w:p>
        </w:tc>
      </w:tr>
      <w:tr w14:paraId="326DB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A79DF6C">
            <w:pPr>
              <w:jc w:val="center"/>
              <w:rPr>
                <w:rFonts w:cs="宋体"/>
                <w:szCs w:val="21"/>
                <w:highlight w:val="none"/>
              </w:rPr>
            </w:pPr>
          </w:p>
        </w:tc>
        <w:tc>
          <w:tcPr>
            <w:tcW w:w="706" w:type="pct"/>
            <w:vAlign w:val="center"/>
          </w:tcPr>
          <w:p w14:paraId="36D4E036">
            <w:pPr>
              <w:jc w:val="center"/>
              <w:rPr>
                <w:rFonts w:cs="宋体"/>
                <w:szCs w:val="21"/>
                <w:highlight w:val="none"/>
              </w:rPr>
            </w:pPr>
          </w:p>
        </w:tc>
        <w:tc>
          <w:tcPr>
            <w:tcW w:w="802" w:type="pct"/>
            <w:vAlign w:val="center"/>
          </w:tcPr>
          <w:p w14:paraId="74482E55">
            <w:pPr>
              <w:jc w:val="center"/>
              <w:rPr>
                <w:rFonts w:cs="宋体"/>
                <w:szCs w:val="21"/>
                <w:highlight w:val="none"/>
              </w:rPr>
            </w:pPr>
          </w:p>
        </w:tc>
        <w:tc>
          <w:tcPr>
            <w:tcW w:w="687" w:type="pct"/>
            <w:vAlign w:val="center"/>
          </w:tcPr>
          <w:p w14:paraId="2494486B">
            <w:pPr>
              <w:jc w:val="center"/>
              <w:rPr>
                <w:rFonts w:cs="宋体"/>
                <w:szCs w:val="21"/>
                <w:highlight w:val="none"/>
              </w:rPr>
            </w:pPr>
          </w:p>
        </w:tc>
        <w:tc>
          <w:tcPr>
            <w:tcW w:w="802" w:type="pct"/>
            <w:vAlign w:val="center"/>
          </w:tcPr>
          <w:p w14:paraId="4C305576">
            <w:pPr>
              <w:jc w:val="center"/>
              <w:rPr>
                <w:rFonts w:cs="宋体"/>
                <w:szCs w:val="21"/>
                <w:highlight w:val="none"/>
              </w:rPr>
            </w:pPr>
          </w:p>
        </w:tc>
        <w:tc>
          <w:tcPr>
            <w:tcW w:w="922" w:type="pct"/>
            <w:vAlign w:val="center"/>
          </w:tcPr>
          <w:p w14:paraId="00BF2371">
            <w:pPr>
              <w:jc w:val="center"/>
              <w:rPr>
                <w:rFonts w:cs="宋体"/>
                <w:szCs w:val="21"/>
                <w:highlight w:val="none"/>
              </w:rPr>
            </w:pPr>
          </w:p>
        </w:tc>
      </w:tr>
      <w:tr w14:paraId="3B694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0653AC49">
            <w:pPr>
              <w:jc w:val="center"/>
              <w:rPr>
                <w:rFonts w:cs="宋体"/>
                <w:szCs w:val="21"/>
                <w:highlight w:val="none"/>
              </w:rPr>
            </w:pPr>
          </w:p>
        </w:tc>
        <w:tc>
          <w:tcPr>
            <w:tcW w:w="706" w:type="pct"/>
            <w:tcBorders>
              <w:bottom w:val="single" w:color="auto" w:sz="12" w:space="0"/>
            </w:tcBorders>
            <w:vAlign w:val="center"/>
          </w:tcPr>
          <w:p w14:paraId="13C5D33F">
            <w:pPr>
              <w:jc w:val="center"/>
              <w:rPr>
                <w:rFonts w:cs="宋体"/>
                <w:szCs w:val="21"/>
                <w:highlight w:val="none"/>
              </w:rPr>
            </w:pPr>
          </w:p>
        </w:tc>
        <w:tc>
          <w:tcPr>
            <w:tcW w:w="802" w:type="pct"/>
            <w:tcBorders>
              <w:bottom w:val="single" w:color="auto" w:sz="12" w:space="0"/>
            </w:tcBorders>
            <w:vAlign w:val="center"/>
          </w:tcPr>
          <w:p w14:paraId="469D3A6B">
            <w:pPr>
              <w:jc w:val="center"/>
              <w:rPr>
                <w:rFonts w:cs="宋体"/>
                <w:szCs w:val="21"/>
                <w:highlight w:val="none"/>
              </w:rPr>
            </w:pPr>
          </w:p>
        </w:tc>
        <w:tc>
          <w:tcPr>
            <w:tcW w:w="687" w:type="pct"/>
            <w:tcBorders>
              <w:bottom w:val="single" w:color="auto" w:sz="12" w:space="0"/>
            </w:tcBorders>
            <w:vAlign w:val="center"/>
          </w:tcPr>
          <w:p w14:paraId="2D77D7C6">
            <w:pPr>
              <w:jc w:val="center"/>
              <w:rPr>
                <w:rFonts w:cs="宋体"/>
                <w:szCs w:val="21"/>
                <w:highlight w:val="none"/>
              </w:rPr>
            </w:pPr>
          </w:p>
        </w:tc>
        <w:tc>
          <w:tcPr>
            <w:tcW w:w="802" w:type="pct"/>
            <w:tcBorders>
              <w:bottom w:val="single" w:color="auto" w:sz="12" w:space="0"/>
            </w:tcBorders>
            <w:vAlign w:val="center"/>
          </w:tcPr>
          <w:p w14:paraId="4198BB9D">
            <w:pPr>
              <w:jc w:val="center"/>
              <w:rPr>
                <w:rFonts w:cs="宋体"/>
                <w:szCs w:val="21"/>
                <w:highlight w:val="none"/>
              </w:rPr>
            </w:pPr>
          </w:p>
        </w:tc>
        <w:tc>
          <w:tcPr>
            <w:tcW w:w="922" w:type="pct"/>
            <w:tcBorders>
              <w:bottom w:val="single" w:color="auto" w:sz="12" w:space="0"/>
            </w:tcBorders>
            <w:vAlign w:val="center"/>
          </w:tcPr>
          <w:p w14:paraId="07DC6576">
            <w:pPr>
              <w:jc w:val="center"/>
              <w:rPr>
                <w:rFonts w:cs="宋体"/>
                <w:szCs w:val="21"/>
                <w:highlight w:val="none"/>
              </w:rPr>
            </w:pPr>
          </w:p>
        </w:tc>
      </w:tr>
    </w:tbl>
    <w:p w14:paraId="171E65C0">
      <w:pPr>
        <w:spacing w:before="312" w:beforeLines="100" w:after="312" w:afterLines="100"/>
        <w:outlineLvl w:val="2"/>
        <w:rPr>
          <w:rFonts w:ascii="Times New Roman" w:eastAsia="黑体"/>
          <w:highlight w:val="none"/>
        </w:rPr>
      </w:pPr>
      <w:r>
        <w:rPr>
          <w:rFonts w:hint="eastAsia" w:ascii="Times New Roman" w:eastAsia="黑体"/>
          <w:bCs/>
          <w:highlight w:val="none"/>
        </w:rPr>
        <w:br w:type="page"/>
      </w:r>
      <w:bookmarkStart w:id="632" w:name="_Toc128950240"/>
      <w:r>
        <w:rPr>
          <w:rFonts w:hint="eastAsia" w:ascii="Times New Roman" w:eastAsia="黑体"/>
          <w:highlight w:val="none"/>
        </w:rPr>
        <w:t>附</w:t>
      </w:r>
      <w:bookmarkStart w:id="633" w:name="_Toc296347226"/>
      <w:bookmarkStart w:id="634" w:name="_Toc296503227"/>
      <w:bookmarkStart w:id="635" w:name="_Toc296346728"/>
      <w:bookmarkStart w:id="636" w:name="_Toc267261698"/>
      <w:bookmarkStart w:id="637" w:name="_Toc296891055"/>
      <w:bookmarkStart w:id="638" w:name="_Toc296891267"/>
      <w:bookmarkStart w:id="639" w:name="_Toc296944566"/>
      <w:r>
        <w:rPr>
          <w:rFonts w:hint="eastAsia" w:ascii="Times New Roman" w:eastAsia="黑体"/>
          <w:highlight w:val="none"/>
        </w:rPr>
        <w:t>件</w:t>
      </w:r>
      <w:r>
        <w:rPr>
          <w:rFonts w:ascii="Times New Roman" w:eastAsia="黑体"/>
          <w:highlight w:val="none"/>
        </w:rPr>
        <w:t>5</w:t>
      </w:r>
      <w:r>
        <w:rPr>
          <w:rFonts w:hint="eastAsia" w:ascii="Times New Roman" w:eastAsia="黑体"/>
          <w:highlight w:val="none"/>
        </w:rPr>
        <w:t>：承包人用于本工程施工的机械设备表</w:t>
      </w:r>
      <w:bookmarkEnd w:id="632"/>
    </w:p>
    <w:bookmarkEnd w:id="633"/>
    <w:bookmarkEnd w:id="634"/>
    <w:bookmarkEnd w:id="635"/>
    <w:bookmarkEnd w:id="636"/>
    <w:bookmarkEnd w:id="637"/>
    <w:bookmarkEnd w:id="638"/>
    <w:bookmarkEnd w:id="639"/>
    <w:p w14:paraId="156A8FEE">
      <w:pPr>
        <w:spacing w:before="156" w:beforeLines="50" w:after="156" w:afterLines="50"/>
        <w:jc w:val="center"/>
        <w:rPr>
          <w:rFonts w:cs="宋体"/>
          <w:szCs w:val="21"/>
          <w:highlight w:val="none"/>
        </w:rPr>
      </w:pPr>
      <w:r>
        <w:rPr>
          <w:rFonts w:hint="eastAsia" w:cs="宋体"/>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55B6C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299D5478">
            <w:pPr>
              <w:keepNext/>
              <w:jc w:val="center"/>
              <w:rPr>
                <w:rFonts w:cs="宋体"/>
                <w:szCs w:val="21"/>
                <w:highlight w:val="none"/>
              </w:rPr>
            </w:pPr>
            <w:r>
              <w:rPr>
                <w:rFonts w:hint="eastAsia" w:cs="宋体"/>
                <w:szCs w:val="21"/>
                <w:highlight w:val="none"/>
              </w:rPr>
              <w:t>序号</w:t>
            </w:r>
          </w:p>
        </w:tc>
        <w:tc>
          <w:tcPr>
            <w:tcW w:w="792" w:type="pct"/>
            <w:tcBorders>
              <w:top w:val="single" w:color="auto" w:sz="12" w:space="0"/>
              <w:bottom w:val="double" w:color="auto" w:sz="6" w:space="0"/>
            </w:tcBorders>
            <w:vAlign w:val="center"/>
          </w:tcPr>
          <w:p w14:paraId="2AD79ADB">
            <w:pPr>
              <w:keepNext/>
              <w:jc w:val="center"/>
              <w:rPr>
                <w:rFonts w:cs="宋体"/>
                <w:szCs w:val="21"/>
                <w:highlight w:val="none"/>
              </w:rPr>
            </w:pPr>
            <w:r>
              <w:rPr>
                <w:rFonts w:hint="eastAsia" w:cs="宋体"/>
                <w:szCs w:val="21"/>
                <w:highlight w:val="none"/>
              </w:rPr>
              <w:t>机械或设备名称</w:t>
            </w:r>
          </w:p>
        </w:tc>
        <w:tc>
          <w:tcPr>
            <w:tcW w:w="474" w:type="pct"/>
            <w:tcBorders>
              <w:top w:val="single" w:color="auto" w:sz="12" w:space="0"/>
              <w:bottom w:val="double" w:color="auto" w:sz="6" w:space="0"/>
            </w:tcBorders>
            <w:vAlign w:val="center"/>
          </w:tcPr>
          <w:p w14:paraId="255A5905">
            <w:pPr>
              <w:keepNext/>
              <w:jc w:val="center"/>
              <w:rPr>
                <w:rFonts w:cs="宋体"/>
                <w:szCs w:val="21"/>
                <w:highlight w:val="none"/>
              </w:rPr>
            </w:pPr>
            <w:r>
              <w:rPr>
                <w:rFonts w:hint="eastAsia" w:cs="宋体"/>
                <w:szCs w:val="21"/>
                <w:highlight w:val="none"/>
              </w:rPr>
              <w:t>规格型号</w:t>
            </w:r>
          </w:p>
        </w:tc>
        <w:tc>
          <w:tcPr>
            <w:tcW w:w="396" w:type="pct"/>
            <w:tcBorders>
              <w:top w:val="single" w:color="auto" w:sz="12" w:space="0"/>
              <w:bottom w:val="double" w:color="auto" w:sz="6" w:space="0"/>
            </w:tcBorders>
            <w:vAlign w:val="center"/>
          </w:tcPr>
          <w:p w14:paraId="2822A5D0">
            <w:pPr>
              <w:keepNext/>
              <w:jc w:val="center"/>
              <w:rPr>
                <w:rFonts w:cs="宋体"/>
                <w:szCs w:val="21"/>
                <w:highlight w:val="none"/>
              </w:rPr>
            </w:pPr>
            <w:r>
              <w:rPr>
                <w:rFonts w:hint="eastAsia" w:cs="宋体"/>
                <w:szCs w:val="21"/>
                <w:highlight w:val="none"/>
              </w:rPr>
              <w:t>数量</w:t>
            </w:r>
          </w:p>
        </w:tc>
        <w:tc>
          <w:tcPr>
            <w:tcW w:w="474" w:type="pct"/>
            <w:tcBorders>
              <w:top w:val="single" w:color="auto" w:sz="12" w:space="0"/>
              <w:bottom w:val="double" w:color="auto" w:sz="6" w:space="0"/>
            </w:tcBorders>
            <w:vAlign w:val="center"/>
          </w:tcPr>
          <w:p w14:paraId="12500E76">
            <w:pPr>
              <w:keepNext/>
              <w:jc w:val="center"/>
              <w:rPr>
                <w:rFonts w:cs="宋体"/>
                <w:szCs w:val="21"/>
                <w:highlight w:val="none"/>
              </w:rPr>
            </w:pPr>
            <w:r>
              <w:rPr>
                <w:rFonts w:hint="eastAsia" w:cs="宋体"/>
                <w:szCs w:val="21"/>
                <w:highlight w:val="none"/>
              </w:rPr>
              <w:t>产地</w:t>
            </w:r>
          </w:p>
        </w:tc>
        <w:tc>
          <w:tcPr>
            <w:tcW w:w="537" w:type="pct"/>
            <w:tcBorders>
              <w:top w:val="single" w:color="auto" w:sz="12" w:space="0"/>
              <w:bottom w:val="double" w:color="auto" w:sz="6" w:space="0"/>
            </w:tcBorders>
            <w:vAlign w:val="center"/>
          </w:tcPr>
          <w:p w14:paraId="3E9E00AD">
            <w:pPr>
              <w:keepNext/>
              <w:jc w:val="center"/>
              <w:rPr>
                <w:rFonts w:cs="宋体"/>
                <w:szCs w:val="21"/>
                <w:highlight w:val="none"/>
              </w:rPr>
            </w:pPr>
            <w:r>
              <w:rPr>
                <w:rFonts w:hint="eastAsia" w:cs="宋体"/>
                <w:szCs w:val="21"/>
                <w:highlight w:val="none"/>
              </w:rPr>
              <w:t>制造年份</w:t>
            </w:r>
          </w:p>
        </w:tc>
        <w:tc>
          <w:tcPr>
            <w:tcW w:w="827" w:type="pct"/>
            <w:tcBorders>
              <w:top w:val="single" w:color="auto" w:sz="12" w:space="0"/>
              <w:bottom w:val="double" w:color="auto" w:sz="6" w:space="0"/>
            </w:tcBorders>
            <w:vAlign w:val="center"/>
          </w:tcPr>
          <w:p w14:paraId="47419EF1">
            <w:pPr>
              <w:keepNext/>
              <w:jc w:val="center"/>
              <w:rPr>
                <w:rFonts w:cs="宋体"/>
                <w:szCs w:val="21"/>
                <w:highlight w:val="none"/>
              </w:rPr>
            </w:pPr>
            <w:r>
              <w:rPr>
                <w:rFonts w:hint="eastAsia" w:cs="宋体"/>
                <w:szCs w:val="21"/>
                <w:highlight w:val="none"/>
              </w:rPr>
              <w:t>额定功率（kW)</w:t>
            </w:r>
          </w:p>
        </w:tc>
        <w:tc>
          <w:tcPr>
            <w:tcW w:w="569" w:type="pct"/>
            <w:tcBorders>
              <w:top w:val="single" w:color="auto" w:sz="12" w:space="0"/>
              <w:bottom w:val="double" w:color="auto" w:sz="6" w:space="0"/>
            </w:tcBorders>
            <w:vAlign w:val="center"/>
          </w:tcPr>
          <w:p w14:paraId="6503CB19">
            <w:pPr>
              <w:keepNext/>
              <w:jc w:val="center"/>
              <w:rPr>
                <w:rFonts w:cs="宋体"/>
                <w:szCs w:val="21"/>
                <w:highlight w:val="none"/>
              </w:rPr>
            </w:pPr>
            <w:r>
              <w:rPr>
                <w:rFonts w:hint="eastAsia" w:cs="宋体"/>
                <w:szCs w:val="21"/>
                <w:highlight w:val="none"/>
              </w:rPr>
              <w:t>生产能力</w:t>
            </w:r>
          </w:p>
        </w:tc>
        <w:tc>
          <w:tcPr>
            <w:tcW w:w="519" w:type="pct"/>
            <w:tcBorders>
              <w:top w:val="single" w:color="auto" w:sz="12" w:space="0"/>
              <w:bottom w:val="double" w:color="auto" w:sz="6" w:space="0"/>
            </w:tcBorders>
            <w:vAlign w:val="center"/>
          </w:tcPr>
          <w:p w14:paraId="4FFD7DAD">
            <w:pPr>
              <w:keepNext/>
              <w:jc w:val="center"/>
              <w:rPr>
                <w:rFonts w:cs="宋体"/>
                <w:szCs w:val="21"/>
                <w:highlight w:val="none"/>
              </w:rPr>
            </w:pPr>
            <w:r>
              <w:rPr>
                <w:rFonts w:hint="eastAsia" w:cs="宋体"/>
                <w:szCs w:val="21"/>
                <w:highlight w:val="none"/>
              </w:rPr>
              <w:t>备注</w:t>
            </w:r>
          </w:p>
        </w:tc>
      </w:tr>
      <w:tr w14:paraId="00EF5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251652AD">
            <w:pPr>
              <w:keepNext/>
              <w:jc w:val="center"/>
              <w:rPr>
                <w:rFonts w:cs="宋体"/>
                <w:szCs w:val="21"/>
                <w:highlight w:val="none"/>
              </w:rPr>
            </w:pPr>
          </w:p>
        </w:tc>
        <w:tc>
          <w:tcPr>
            <w:tcW w:w="792" w:type="pct"/>
            <w:tcBorders>
              <w:top w:val="double" w:color="auto" w:sz="6" w:space="0"/>
            </w:tcBorders>
            <w:vAlign w:val="center"/>
          </w:tcPr>
          <w:p w14:paraId="47278274">
            <w:pPr>
              <w:keepNext/>
              <w:jc w:val="center"/>
              <w:rPr>
                <w:rFonts w:cs="宋体"/>
                <w:szCs w:val="21"/>
                <w:highlight w:val="none"/>
              </w:rPr>
            </w:pPr>
          </w:p>
        </w:tc>
        <w:tc>
          <w:tcPr>
            <w:tcW w:w="474" w:type="pct"/>
            <w:tcBorders>
              <w:top w:val="double" w:color="auto" w:sz="6" w:space="0"/>
            </w:tcBorders>
            <w:vAlign w:val="center"/>
          </w:tcPr>
          <w:p w14:paraId="01160F1D">
            <w:pPr>
              <w:keepNext/>
              <w:jc w:val="center"/>
              <w:rPr>
                <w:rFonts w:cs="宋体"/>
                <w:szCs w:val="21"/>
                <w:highlight w:val="none"/>
              </w:rPr>
            </w:pPr>
          </w:p>
        </w:tc>
        <w:tc>
          <w:tcPr>
            <w:tcW w:w="396" w:type="pct"/>
            <w:tcBorders>
              <w:top w:val="double" w:color="auto" w:sz="6" w:space="0"/>
            </w:tcBorders>
            <w:vAlign w:val="center"/>
          </w:tcPr>
          <w:p w14:paraId="16715371">
            <w:pPr>
              <w:keepNext/>
              <w:jc w:val="center"/>
              <w:rPr>
                <w:rFonts w:cs="宋体"/>
                <w:szCs w:val="21"/>
                <w:highlight w:val="none"/>
              </w:rPr>
            </w:pPr>
          </w:p>
        </w:tc>
        <w:tc>
          <w:tcPr>
            <w:tcW w:w="474" w:type="pct"/>
            <w:tcBorders>
              <w:top w:val="double" w:color="auto" w:sz="6" w:space="0"/>
            </w:tcBorders>
            <w:vAlign w:val="center"/>
          </w:tcPr>
          <w:p w14:paraId="40FDB20B">
            <w:pPr>
              <w:keepNext/>
              <w:jc w:val="center"/>
              <w:rPr>
                <w:rFonts w:cs="宋体"/>
                <w:szCs w:val="21"/>
                <w:highlight w:val="none"/>
              </w:rPr>
            </w:pPr>
          </w:p>
        </w:tc>
        <w:tc>
          <w:tcPr>
            <w:tcW w:w="537" w:type="pct"/>
            <w:tcBorders>
              <w:top w:val="double" w:color="auto" w:sz="6" w:space="0"/>
            </w:tcBorders>
            <w:vAlign w:val="center"/>
          </w:tcPr>
          <w:p w14:paraId="472981A7">
            <w:pPr>
              <w:keepNext/>
              <w:jc w:val="center"/>
              <w:rPr>
                <w:rFonts w:cs="宋体"/>
                <w:szCs w:val="21"/>
                <w:highlight w:val="none"/>
              </w:rPr>
            </w:pPr>
          </w:p>
        </w:tc>
        <w:tc>
          <w:tcPr>
            <w:tcW w:w="827" w:type="pct"/>
            <w:tcBorders>
              <w:top w:val="double" w:color="auto" w:sz="6" w:space="0"/>
            </w:tcBorders>
            <w:vAlign w:val="center"/>
          </w:tcPr>
          <w:p w14:paraId="237B497A">
            <w:pPr>
              <w:keepNext/>
              <w:jc w:val="center"/>
              <w:rPr>
                <w:rFonts w:cs="宋体"/>
                <w:szCs w:val="21"/>
                <w:highlight w:val="none"/>
              </w:rPr>
            </w:pPr>
          </w:p>
        </w:tc>
        <w:tc>
          <w:tcPr>
            <w:tcW w:w="569" w:type="pct"/>
            <w:tcBorders>
              <w:top w:val="double" w:color="auto" w:sz="6" w:space="0"/>
            </w:tcBorders>
            <w:vAlign w:val="center"/>
          </w:tcPr>
          <w:p w14:paraId="4E5E2109">
            <w:pPr>
              <w:keepNext/>
              <w:jc w:val="center"/>
              <w:rPr>
                <w:rFonts w:cs="宋体"/>
                <w:szCs w:val="21"/>
                <w:highlight w:val="none"/>
              </w:rPr>
            </w:pPr>
          </w:p>
        </w:tc>
        <w:tc>
          <w:tcPr>
            <w:tcW w:w="519" w:type="pct"/>
            <w:tcBorders>
              <w:top w:val="double" w:color="auto" w:sz="6" w:space="0"/>
            </w:tcBorders>
            <w:vAlign w:val="center"/>
          </w:tcPr>
          <w:p w14:paraId="28AD1C9E">
            <w:pPr>
              <w:keepNext/>
              <w:jc w:val="center"/>
              <w:rPr>
                <w:rFonts w:cs="宋体"/>
                <w:szCs w:val="21"/>
                <w:highlight w:val="none"/>
              </w:rPr>
            </w:pPr>
          </w:p>
        </w:tc>
      </w:tr>
      <w:tr w14:paraId="0FA7A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4CBE9C65">
            <w:pPr>
              <w:keepNext/>
              <w:jc w:val="center"/>
              <w:rPr>
                <w:rFonts w:cs="宋体"/>
                <w:szCs w:val="21"/>
                <w:highlight w:val="none"/>
              </w:rPr>
            </w:pPr>
          </w:p>
        </w:tc>
        <w:tc>
          <w:tcPr>
            <w:tcW w:w="792" w:type="pct"/>
            <w:tcBorders>
              <w:top w:val="nil"/>
            </w:tcBorders>
            <w:vAlign w:val="center"/>
          </w:tcPr>
          <w:p w14:paraId="1A8B4D60">
            <w:pPr>
              <w:keepNext/>
              <w:jc w:val="center"/>
              <w:rPr>
                <w:rFonts w:cs="宋体"/>
                <w:szCs w:val="21"/>
                <w:highlight w:val="none"/>
              </w:rPr>
            </w:pPr>
          </w:p>
        </w:tc>
        <w:tc>
          <w:tcPr>
            <w:tcW w:w="474" w:type="pct"/>
            <w:tcBorders>
              <w:top w:val="nil"/>
            </w:tcBorders>
            <w:vAlign w:val="center"/>
          </w:tcPr>
          <w:p w14:paraId="08C232D1">
            <w:pPr>
              <w:keepNext/>
              <w:jc w:val="center"/>
              <w:rPr>
                <w:rFonts w:cs="宋体"/>
                <w:szCs w:val="21"/>
                <w:highlight w:val="none"/>
              </w:rPr>
            </w:pPr>
          </w:p>
        </w:tc>
        <w:tc>
          <w:tcPr>
            <w:tcW w:w="396" w:type="pct"/>
            <w:tcBorders>
              <w:top w:val="nil"/>
            </w:tcBorders>
            <w:vAlign w:val="center"/>
          </w:tcPr>
          <w:p w14:paraId="43F49840">
            <w:pPr>
              <w:keepNext/>
              <w:jc w:val="center"/>
              <w:rPr>
                <w:rFonts w:cs="宋体"/>
                <w:szCs w:val="21"/>
                <w:highlight w:val="none"/>
              </w:rPr>
            </w:pPr>
          </w:p>
        </w:tc>
        <w:tc>
          <w:tcPr>
            <w:tcW w:w="474" w:type="pct"/>
            <w:tcBorders>
              <w:top w:val="nil"/>
            </w:tcBorders>
            <w:vAlign w:val="center"/>
          </w:tcPr>
          <w:p w14:paraId="062D47A5">
            <w:pPr>
              <w:keepNext/>
              <w:jc w:val="center"/>
              <w:rPr>
                <w:rFonts w:cs="宋体"/>
                <w:szCs w:val="21"/>
                <w:highlight w:val="none"/>
              </w:rPr>
            </w:pPr>
          </w:p>
        </w:tc>
        <w:tc>
          <w:tcPr>
            <w:tcW w:w="537" w:type="pct"/>
            <w:tcBorders>
              <w:top w:val="nil"/>
            </w:tcBorders>
            <w:vAlign w:val="center"/>
          </w:tcPr>
          <w:p w14:paraId="3ADB634A">
            <w:pPr>
              <w:keepNext/>
              <w:jc w:val="center"/>
              <w:rPr>
                <w:rFonts w:cs="宋体"/>
                <w:szCs w:val="21"/>
                <w:highlight w:val="none"/>
              </w:rPr>
            </w:pPr>
          </w:p>
        </w:tc>
        <w:tc>
          <w:tcPr>
            <w:tcW w:w="827" w:type="pct"/>
            <w:tcBorders>
              <w:top w:val="nil"/>
            </w:tcBorders>
            <w:vAlign w:val="center"/>
          </w:tcPr>
          <w:p w14:paraId="2F818594">
            <w:pPr>
              <w:keepNext/>
              <w:jc w:val="center"/>
              <w:rPr>
                <w:rFonts w:cs="宋体"/>
                <w:szCs w:val="21"/>
                <w:highlight w:val="none"/>
              </w:rPr>
            </w:pPr>
          </w:p>
        </w:tc>
        <w:tc>
          <w:tcPr>
            <w:tcW w:w="569" w:type="pct"/>
            <w:tcBorders>
              <w:top w:val="nil"/>
            </w:tcBorders>
            <w:vAlign w:val="center"/>
          </w:tcPr>
          <w:p w14:paraId="413100AB">
            <w:pPr>
              <w:keepNext/>
              <w:jc w:val="center"/>
              <w:rPr>
                <w:rFonts w:cs="宋体"/>
                <w:szCs w:val="21"/>
                <w:highlight w:val="none"/>
              </w:rPr>
            </w:pPr>
          </w:p>
        </w:tc>
        <w:tc>
          <w:tcPr>
            <w:tcW w:w="519" w:type="pct"/>
            <w:tcBorders>
              <w:top w:val="nil"/>
            </w:tcBorders>
            <w:vAlign w:val="center"/>
          </w:tcPr>
          <w:p w14:paraId="0ED3D655">
            <w:pPr>
              <w:keepNext/>
              <w:jc w:val="center"/>
              <w:rPr>
                <w:rFonts w:cs="宋体"/>
                <w:szCs w:val="21"/>
                <w:highlight w:val="none"/>
              </w:rPr>
            </w:pPr>
          </w:p>
        </w:tc>
      </w:tr>
      <w:tr w14:paraId="6A15A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B4446F9">
            <w:pPr>
              <w:jc w:val="center"/>
              <w:rPr>
                <w:rFonts w:cs="宋体"/>
                <w:szCs w:val="21"/>
                <w:highlight w:val="none"/>
              </w:rPr>
            </w:pPr>
          </w:p>
        </w:tc>
        <w:tc>
          <w:tcPr>
            <w:tcW w:w="792" w:type="pct"/>
            <w:vAlign w:val="center"/>
          </w:tcPr>
          <w:p w14:paraId="335B3BD4">
            <w:pPr>
              <w:jc w:val="center"/>
              <w:rPr>
                <w:rFonts w:cs="宋体"/>
                <w:szCs w:val="21"/>
                <w:highlight w:val="none"/>
              </w:rPr>
            </w:pPr>
          </w:p>
        </w:tc>
        <w:tc>
          <w:tcPr>
            <w:tcW w:w="474" w:type="pct"/>
            <w:vAlign w:val="center"/>
          </w:tcPr>
          <w:p w14:paraId="76D6262A">
            <w:pPr>
              <w:jc w:val="center"/>
              <w:rPr>
                <w:rFonts w:cs="宋体"/>
                <w:szCs w:val="21"/>
                <w:highlight w:val="none"/>
              </w:rPr>
            </w:pPr>
          </w:p>
        </w:tc>
        <w:tc>
          <w:tcPr>
            <w:tcW w:w="396" w:type="pct"/>
            <w:vAlign w:val="center"/>
          </w:tcPr>
          <w:p w14:paraId="27836AC3">
            <w:pPr>
              <w:jc w:val="center"/>
              <w:rPr>
                <w:rFonts w:cs="宋体"/>
                <w:szCs w:val="21"/>
                <w:highlight w:val="none"/>
              </w:rPr>
            </w:pPr>
          </w:p>
        </w:tc>
        <w:tc>
          <w:tcPr>
            <w:tcW w:w="474" w:type="pct"/>
            <w:vAlign w:val="center"/>
          </w:tcPr>
          <w:p w14:paraId="0E5D3A80">
            <w:pPr>
              <w:jc w:val="center"/>
              <w:rPr>
                <w:rFonts w:cs="宋体"/>
                <w:szCs w:val="21"/>
                <w:highlight w:val="none"/>
              </w:rPr>
            </w:pPr>
          </w:p>
        </w:tc>
        <w:tc>
          <w:tcPr>
            <w:tcW w:w="537" w:type="pct"/>
            <w:vAlign w:val="center"/>
          </w:tcPr>
          <w:p w14:paraId="18A71630">
            <w:pPr>
              <w:jc w:val="center"/>
              <w:rPr>
                <w:rFonts w:cs="宋体"/>
                <w:szCs w:val="21"/>
                <w:highlight w:val="none"/>
              </w:rPr>
            </w:pPr>
          </w:p>
        </w:tc>
        <w:tc>
          <w:tcPr>
            <w:tcW w:w="827" w:type="pct"/>
            <w:vAlign w:val="center"/>
          </w:tcPr>
          <w:p w14:paraId="428F5E9A">
            <w:pPr>
              <w:jc w:val="center"/>
              <w:rPr>
                <w:rFonts w:cs="宋体"/>
                <w:szCs w:val="21"/>
                <w:highlight w:val="none"/>
              </w:rPr>
            </w:pPr>
          </w:p>
        </w:tc>
        <w:tc>
          <w:tcPr>
            <w:tcW w:w="569" w:type="pct"/>
            <w:vAlign w:val="center"/>
          </w:tcPr>
          <w:p w14:paraId="5D1E5A2F">
            <w:pPr>
              <w:jc w:val="center"/>
              <w:rPr>
                <w:rFonts w:cs="宋体"/>
                <w:szCs w:val="21"/>
                <w:highlight w:val="none"/>
              </w:rPr>
            </w:pPr>
          </w:p>
        </w:tc>
        <w:tc>
          <w:tcPr>
            <w:tcW w:w="519" w:type="pct"/>
            <w:vAlign w:val="center"/>
          </w:tcPr>
          <w:p w14:paraId="3244F0E6">
            <w:pPr>
              <w:jc w:val="center"/>
              <w:rPr>
                <w:rFonts w:cs="宋体"/>
                <w:szCs w:val="21"/>
                <w:highlight w:val="none"/>
              </w:rPr>
            </w:pPr>
          </w:p>
        </w:tc>
      </w:tr>
      <w:tr w14:paraId="4686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0F032DC">
            <w:pPr>
              <w:jc w:val="center"/>
              <w:rPr>
                <w:rFonts w:cs="宋体"/>
                <w:szCs w:val="21"/>
                <w:highlight w:val="none"/>
              </w:rPr>
            </w:pPr>
          </w:p>
        </w:tc>
        <w:tc>
          <w:tcPr>
            <w:tcW w:w="792" w:type="pct"/>
            <w:vAlign w:val="center"/>
          </w:tcPr>
          <w:p w14:paraId="1BDEEA5D">
            <w:pPr>
              <w:jc w:val="center"/>
              <w:rPr>
                <w:rFonts w:cs="宋体"/>
                <w:szCs w:val="21"/>
                <w:highlight w:val="none"/>
              </w:rPr>
            </w:pPr>
          </w:p>
        </w:tc>
        <w:tc>
          <w:tcPr>
            <w:tcW w:w="474" w:type="pct"/>
            <w:vAlign w:val="center"/>
          </w:tcPr>
          <w:p w14:paraId="1A2BB446">
            <w:pPr>
              <w:jc w:val="center"/>
              <w:rPr>
                <w:rFonts w:cs="宋体"/>
                <w:szCs w:val="21"/>
                <w:highlight w:val="none"/>
              </w:rPr>
            </w:pPr>
          </w:p>
        </w:tc>
        <w:tc>
          <w:tcPr>
            <w:tcW w:w="396" w:type="pct"/>
            <w:vAlign w:val="center"/>
          </w:tcPr>
          <w:p w14:paraId="644515AF">
            <w:pPr>
              <w:jc w:val="center"/>
              <w:rPr>
                <w:rFonts w:cs="宋体"/>
                <w:szCs w:val="21"/>
                <w:highlight w:val="none"/>
              </w:rPr>
            </w:pPr>
          </w:p>
        </w:tc>
        <w:tc>
          <w:tcPr>
            <w:tcW w:w="474" w:type="pct"/>
            <w:vAlign w:val="center"/>
          </w:tcPr>
          <w:p w14:paraId="1EE439BE">
            <w:pPr>
              <w:jc w:val="center"/>
              <w:rPr>
                <w:rFonts w:cs="宋体"/>
                <w:szCs w:val="21"/>
                <w:highlight w:val="none"/>
              </w:rPr>
            </w:pPr>
          </w:p>
        </w:tc>
        <w:tc>
          <w:tcPr>
            <w:tcW w:w="537" w:type="pct"/>
            <w:vAlign w:val="center"/>
          </w:tcPr>
          <w:p w14:paraId="7BA73BBF">
            <w:pPr>
              <w:jc w:val="center"/>
              <w:rPr>
                <w:rFonts w:cs="宋体"/>
                <w:szCs w:val="21"/>
                <w:highlight w:val="none"/>
              </w:rPr>
            </w:pPr>
          </w:p>
        </w:tc>
        <w:tc>
          <w:tcPr>
            <w:tcW w:w="827" w:type="pct"/>
            <w:vAlign w:val="center"/>
          </w:tcPr>
          <w:p w14:paraId="5F032E7C">
            <w:pPr>
              <w:jc w:val="center"/>
              <w:rPr>
                <w:rFonts w:cs="宋体"/>
                <w:szCs w:val="21"/>
                <w:highlight w:val="none"/>
              </w:rPr>
            </w:pPr>
          </w:p>
        </w:tc>
        <w:tc>
          <w:tcPr>
            <w:tcW w:w="569" w:type="pct"/>
            <w:vAlign w:val="center"/>
          </w:tcPr>
          <w:p w14:paraId="691849CC">
            <w:pPr>
              <w:jc w:val="center"/>
              <w:rPr>
                <w:rFonts w:cs="宋体"/>
                <w:szCs w:val="21"/>
                <w:highlight w:val="none"/>
              </w:rPr>
            </w:pPr>
          </w:p>
        </w:tc>
        <w:tc>
          <w:tcPr>
            <w:tcW w:w="519" w:type="pct"/>
            <w:vAlign w:val="center"/>
          </w:tcPr>
          <w:p w14:paraId="0176EFA5">
            <w:pPr>
              <w:jc w:val="center"/>
              <w:rPr>
                <w:rFonts w:cs="宋体"/>
                <w:szCs w:val="21"/>
                <w:highlight w:val="none"/>
              </w:rPr>
            </w:pPr>
          </w:p>
        </w:tc>
      </w:tr>
      <w:tr w14:paraId="3D5CF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67AD01F2">
            <w:pPr>
              <w:jc w:val="center"/>
              <w:rPr>
                <w:rFonts w:cs="宋体"/>
                <w:szCs w:val="21"/>
                <w:highlight w:val="none"/>
              </w:rPr>
            </w:pPr>
          </w:p>
        </w:tc>
        <w:tc>
          <w:tcPr>
            <w:tcW w:w="792" w:type="pct"/>
            <w:tcBorders>
              <w:bottom w:val="single" w:color="auto" w:sz="12" w:space="0"/>
            </w:tcBorders>
            <w:vAlign w:val="center"/>
          </w:tcPr>
          <w:p w14:paraId="319C9D21">
            <w:pPr>
              <w:jc w:val="center"/>
              <w:rPr>
                <w:rFonts w:cs="宋体"/>
                <w:szCs w:val="21"/>
                <w:highlight w:val="none"/>
              </w:rPr>
            </w:pPr>
          </w:p>
        </w:tc>
        <w:tc>
          <w:tcPr>
            <w:tcW w:w="474" w:type="pct"/>
            <w:tcBorders>
              <w:bottom w:val="single" w:color="auto" w:sz="12" w:space="0"/>
            </w:tcBorders>
            <w:vAlign w:val="center"/>
          </w:tcPr>
          <w:p w14:paraId="106F89B4">
            <w:pPr>
              <w:jc w:val="center"/>
              <w:rPr>
                <w:rFonts w:cs="宋体"/>
                <w:szCs w:val="21"/>
                <w:highlight w:val="none"/>
              </w:rPr>
            </w:pPr>
          </w:p>
        </w:tc>
        <w:tc>
          <w:tcPr>
            <w:tcW w:w="396" w:type="pct"/>
            <w:tcBorders>
              <w:bottom w:val="single" w:color="auto" w:sz="12" w:space="0"/>
            </w:tcBorders>
            <w:vAlign w:val="center"/>
          </w:tcPr>
          <w:p w14:paraId="18DE423C">
            <w:pPr>
              <w:jc w:val="center"/>
              <w:rPr>
                <w:rFonts w:cs="宋体"/>
                <w:szCs w:val="21"/>
                <w:highlight w:val="none"/>
              </w:rPr>
            </w:pPr>
          </w:p>
        </w:tc>
        <w:tc>
          <w:tcPr>
            <w:tcW w:w="474" w:type="pct"/>
            <w:tcBorders>
              <w:bottom w:val="single" w:color="auto" w:sz="12" w:space="0"/>
            </w:tcBorders>
            <w:vAlign w:val="center"/>
          </w:tcPr>
          <w:p w14:paraId="2E190523">
            <w:pPr>
              <w:jc w:val="center"/>
              <w:rPr>
                <w:rFonts w:cs="宋体"/>
                <w:szCs w:val="21"/>
                <w:highlight w:val="none"/>
              </w:rPr>
            </w:pPr>
          </w:p>
        </w:tc>
        <w:tc>
          <w:tcPr>
            <w:tcW w:w="537" w:type="pct"/>
            <w:tcBorders>
              <w:bottom w:val="single" w:color="auto" w:sz="12" w:space="0"/>
            </w:tcBorders>
            <w:vAlign w:val="center"/>
          </w:tcPr>
          <w:p w14:paraId="2E769135">
            <w:pPr>
              <w:jc w:val="center"/>
              <w:rPr>
                <w:rFonts w:cs="宋体"/>
                <w:szCs w:val="21"/>
                <w:highlight w:val="none"/>
              </w:rPr>
            </w:pPr>
          </w:p>
        </w:tc>
        <w:tc>
          <w:tcPr>
            <w:tcW w:w="827" w:type="pct"/>
            <w:tcBorders>
              <w:bottom w:val="single" w:color="auto" w:sz="12" w:space="0"/>
            </w:tcBorders>
            <w:vAlign w:val="center"/>
          </w:tcPr>
          <w:p w14:paraId="26C67BFA">
            <w:pPr>
              <w:jc w:val="center"/>
              <w:rPr>
                <w:rFonts w:cs="宋体"/>
                <w:szCs w:val="21"/>
                <w:highlight w:val="none"/>
              </w:rPr>
            </w:pPr>
          </w:p>
        </w:tc>
        <w:tc>
          <w:tcPr>
            <w:tcW w:w="569" w:type="pct"/>
            <w:tcBorders>
              <w:bottom w:val="single" w:color="auto" w:sz="12" w:space="0"/>
            </w:tcBorders>
            <w:vAlign w:val="center"/>
          </w:tcPr>
          <w:p w14:paraId="59720A0A">
            <w:pPr>
              <w:jc w:val="center"/>
              <w:rPr>
                <w:rFonts w:cs="宋体"/>
                <w:szCs w:val="21"/>
                <w:highlight w:val="none"/>
              </w:rPr>
            </w:pPr>
          </w:p>
        </w:tc>
        <w:tc>
          <w:tcPr>
            <w:tcW w:w="519" w:type="pct"/>
            <w:tcBorders>
              <w:bottom w:val="single" w:color="auto" w:sz="12" w:space="0"/>
            </w:tcBorders>
            <w:vAlign w:val="center"/>
          </w:tcPr>
          <w:p w14:paraId="7D3A58D1">
            <w:pPr>
              <w:jc w:val="center"/>
              <w:rPr>
                <w:rFonts w:cs="宋体"/>
                <w:szCs w:val="21"/>
                <w:highlight w:val="none"/>
              </w:rPr>
            </w:pPr>
          </w:p>
        </w:tc>
      </w:tr>
    </w:tbl>
    <w:p w14:paraId="6D0F5139">
      <w:pPr>
        <w:spacing w:before="312" w:beforeLines="100" w:after="312" w:afterLines="100"/>
        <w:outlineLvl w:val="2"/>
        <w:rPr>
          <w:rFonts w:ascii="Times New Roman" w:eastAsia="黑体"/>
          <w:highlight w:val="none"/>
        </w:rPr>
      </w:pPr>
      <w:r>
        <w:rPr>
          <w:rFonts w:hint="eastAsia" w:cs="宋体"/>
          <w:bCs/>
          <w:highlight w:val="none"/>
        </w:rPr>
        <w:br w:type="page"/>
      </w:r>
      <w:bookmarkStart w:id="640" w:name="_Toc128950241"/>
      <w:r>
        <w:rPr>
          <w:rFonts w:hint="eastAsia" w:ascii="Times New Roman" w:eastAsia="黑体"/>
          <w:highlight w:val="none"/>
        </w:rPr>
        <w:t>附</w:t>
      </w:r>
      <w:bookmarkStart w:id="641" w:name="_Toc267261699"/>
      <w:bookmarkStart w:id="642" w:name="_Toc296891268"/>
      <w:bookmarkStart w:id="643" w:name="_Toc296347227"/>
      <w:bookmarkStart w:id="644" w:name="_Toc296346729"/>
      <w:bookmarkStart w:id="645" w:name="_Toc296944567"/>
      <w:bookmarkStart w:id="646" w:name="_Toc296891056"/>
      <w:bookmarkStart w:id="647" w:name="_Toc296503228"/>
      <w:r>
        <w:rPr>
          <w:rFonts w:hint="eastAsia" w:ascii="Times New Roman" w:eastAsia="黑体"/>
          <w:highlight w:val="none"/>
        </w:rPr>
        <w:t>件</w:t>
      </w:r>
      <w:bookmarkEnd w:id="641"/>
      <w:bookmarkEnd w:id="642"/>
      <w:bookmarkEnd w:id="643"/>
      <w:bookmarkEnd w:id="644"/>
      <w:bookmarkEnd w:id="645"/>
      <w:bookmarkEnd w:id="646"/>
      <w:bookmarkEnd w:id="647"/>
      <w:r>
        <w:rPr>
          <w:rFonts w:ascii="Times New Roman" w:eastAsia="黑体"/>
          <w:highlight w:val="none"/>
        </w:rPr>
        <w:t>6</w:t>
      </w:r>
      <w:r>
        <w:rPr>
          <w:rFonts w:hint="eastAsia" w:ascii="Times New Roman" w:eastAsia="黑体"/>
          <w:highlight w:val="none"/>
        </w:rPr>
        <w:t>：承包人主要施工管理人员表</w:t>
      </w:r>
      <w:bookmarkEnd w:id="640"/>
    </w:p>
    <w:p w14:paraId="605EE8E9">
      <w:pPr>
        <w:spacing w:line="360" w:lineRule="auto"/>
        <w:jc w:val="center"/>
        <w:rPr>
          <w:rFonts w:cs="宋体"/>
          <w:highlight w:val="none"/>
        </w:rPr>
      </w:pPr>
      <w:r>
        <w:rPr>
          <w:rFonts w:hint="eastAsia" w:cs="宋体"/>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61CF2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09BA7146">
            <w:pPr>
              <w:keepNext/>
              <w:spacing w:line="360" w:lineRule="auto"/>
              <w:jc w:val="center"/>
              <w:rPr>
                <w:rFonts w:cs="宋体"/>
                <w:szCs w:val="21"/>
                <w:highlight w:val="none"/>
              </w:rPr>
            </w:pPr>
            <w:r>
              <w:rPr>
                <w:rFonts w:hint="eastAsia" w:cs="宋体"/>
                <w:szCs w:val="21"/>
                <w:highlight w:val="none"/>
              </w:rPr>
              <w:t>名称</w:t>
            </w:r>
          </w:p>
        </w:tc>
        <w:tc>
          <w:tcPr>
            <w:tcW w:w="627" w:type="pct"/>
            <w:tcBorders>
              <w:top w:val="single" w:color="auto" w:sz="12" w:space="0"/>
              <w:bottom w:val="double" w:color="auto" w:sz="6" w:space="0"/>
            </w:tcBorders>
            <w:vAlign w:val="center"/>
          </w:tcPr>
          <w:p w14:paraId="79F7903E">
            <w:pPr>
              <w:keepNext/>
              <w:spacing w:line="360" w:lineRule="auto"/>
              <w:jc w:val="center"/>
              <w:rPr>
                <w:rFonts w:cs="宋体"/>
                <w:szCs w:val="21"/>
                <w:highlight w:val="none"/>
              </w:rPr>
            </w:pPr>
            <w:r>
              <w:rPr>
                <w:rFonts w:hint="eastAsia" w:cs="宋体"/>
                <w:szCs w:val="21"/>
                <w:highlight w:val="none"/>
              </w:rPr>
              <w:t>姓名</w:t>
            </w:r>
          </w:p>
        </w:tc>
        <w:tc>
          <w:tcPr>
            <w:tcW w:w="502" w:type="pct"/>
            <w:tcBorders>
              <w:top w:val="single" w:color="auto" w:sz="12" w:space="0"/>
              <w:bottom w:val="double" w:color="auto" w:sz="6" w:space="0"/>
            </w:tcBorders>
            <w:vAlign w:val="center"/>
          </w:tcPr>
          <w:p w14:paraId="3BBB8ADC">
            <w:pPr>
              <w:keepNext/>
              <w:spacing w:line="360" w:lineRule="auto"/>
              <w:jc w:val="center"/>
              <w:rPr>
                <w:rFonts w:cs="宋体"/>
                <w:szCs w:val="21"/>
                <w:highlight w:val="none"/>
              </w:rPr>
            </w:pPr>
            <w:r>
              <w:rPr>
                <w:rFonts w:hint="eastAsia" w:cs="宋体"/>
                <w:szCs w:val="21"/>
                <w:highlight w:val="none"/>
              </w:rPr>
              <w:t>职务</w:t>
            </w:r>
          </w:p>
        </w:tc>
        <w:tc>
          <w:tcPr>
            <w:tcW w:w="502" w:type="pct"/>
            <w:tcBorders>
              <w:top w:val="single" w:color="auto" w:sz="12" w:space="0"/>
              <w:bottom w:val="double" w:color="auto" w:sz="6" w:space="0"/>
            </w:tcBorders>
            <w:vAlign w:val="center"/>
          </w:tcPr>
          <w:p w14:paraId="0A448603">
            <w:pPr>
              <w:keepNext/>
              <w:spacing w:line="360" w:lineRule="auto"/>
              <w:jc w:val="center"/>
              <w:rPr>
                <w:rFonts w:cs="宋体"/>
                <w:szCs w:val="21"/>
                <w:highlight w:val="none"/>
              </w:rPr>
            </w:pPr>
            <w:r>
              <w:rPr>
                <w:rFonts w:hint="eastAsia" w:cs="宋体"/>
                <w:szCs w:val="21"/>
                <w:highlight w:val="none"/>
              </w:rPr>
              <w:t>职称</w:t>
            </w:r>
          </w:p>
        </w:tc>
        <w:tc>
          <w:tcPr>
            <w:tcW w:w="1281" w:type="pct"/>
            <w:tcBorders>
              <w:top w:val="single" w:color="auto" w:sz="12" w:space="0"/>
              <w:bottom w:val="double" w:color="auto" w:sz="6" w:space="0"/>
            </w:tcBorders>
            <w:vAlign w:val="center"/>
          </w:tcPr>
          <w:p w14:paraId="4E297AE7">
            <w:pPr>
              <w:keepNext/>
              <w:spacing w:line="360" w:lineRule="auto"/>
              <w:jc w:val="center"/>
              <w:rPr>
                <w:rFonts w:cs="宋体"/>
                <w:szCs w:val="21"/>
                <w:highlight w:val="none"/>
              </w:rPr>
            </w:pPr>
            <w:r>
              <w:rPr>
                <w:rFonts w:hint="eastAsia" w:cs="宋体"/>
                <w:szCs w:val="21"/>
                <w:highlight w:val="none"/>
              </w:rPr>
              <w:t>主要资历、经验及承担过的项目</w:t>
            </w:r>
          </w:p>
        </w:tc>
        <w:tc>
          <w:tcPr>
            <w:tcW w:w="1151" w:type="pct"/>
            <w:tcBorders>
              <w:top w:val="single" w:color="auto" w:sz="12" w:space="0"/>
              <w:bottom w:val="double" w:color="auto" w:sz="6" w:space="0"/>
            </w:tcBorders>
            <w:vAlign w:val="center"/>
          </w:tcPr>
          <w:p w14:paraId="7BD6366E">
            <w:pPr>
              <w:keepNext/>
              <w:spacing w:line="360" w:lineRule="auto"/>
              <w:jc w:val="center"/>
              <w:rPr>
                <w:rFonts w:cs="宋体"/>
                <w:szCs w:val="21"/>
                <w:highlight w:val="none"/>
              </w:rPr>
            </w:pPr>
            <w:r>
              <w:rPr>
                <w:rFonts w:hint="eastAsia" w:cs="宋体"/>
                <w:szCs w:val="21"/>
                <w:highlight w:val="none"/>
              </w:rPr>
              <w:t>身份证号码</w:t>
            </w:r>
          </w:p>
        </w:tc>
      </w:tr>
      <w:tr w14:paraId="2100E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1CE77DAD">
            <w:pPr>
              <w:keepNext/>
              <w:spacing w:line="360" w:lineRule="auto"/>
              <w:jc w:val="center"/>
              <w:rPr>
                <w:rFonts w:cs="宋体"/>
                <w:szCs w:val="21"/>
                <w:highlight w:val="none"/>
              </w:rPr>
            </w:pPr>
            <w:r>
              <w:rPr>
                <w:rFonts w:hint="eastAsia" w:cs="宋体"/>
                <w:szCs w:val="21"/>
                <w:highlight w:val="none"/>
              </w:rPr>
              <w:t>一、总部人员</w:t>
            </w:r>
          </w:p>
        </w:tc>
        <w:tc>
          <w:tcPr>
            <w:tcW w:w="1151" w:type="pct"/>
            <w:tcBorders>
              <w:top w:val="double" w:color="auto" w:sz="6" w:space="0"/>
            </w:tcBorders>
            <w:vAlign w:val="center"/>
          </w:tcPr>
          <w:p w14:paraId="1E6848FF">
            <w:pPr>
              <w:keepNext/>
              <w:spacing w:line="360" w:lineRule="auto"/>
              <w:jc w:val="center"/>
              <w:rPr>
                <w:rFonts w:cs="宋体"/>
                <w:szCs w:val="21"/>
                <w:highlight w:val="none"/>
              </w:rPr>
            </w:pPr>
          </w:p>
        </w:tc>
      </w:tr>
      <w:tr w14:paraId="5A06E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38FA07B9">
            <w:pPr>
              <w:spacing w:line="360" w:lineRule="auto"/>
              <w:jc w:val="center"/>
              <w:rPr>
                <w:rFonts w:cs="宋体"/>
                <w:szCs w:val="21"/>
                <w:highlight w:val="none"/>
              </w:rPr>
            </w:pPr>
            <w:r>
              <w:rPr>
                <w:rFonts w:hint="eastAsia" w:cs="宋体"/>
                <w:szCs w:val="21"/>
                <w:highlight w:val="none"/>
              </w:rPr>
              <w:t>项目主管</w:t>
            </w:r>
          </w:p>
        </w:tc>
        <w:tc>
          <w:tcPr>
            <w:tcW w:w="627" w:type="pct"/>
            <w:tcBorders>
              <w:top w:val="nil"/>
            </w:tcBorders>
            <w:vAlign w:val="center"/>
          </w:tcPr>
          <w:p w14:paraId="78E21411">
            <w:pPr>
              <w:keepNext/>
              <w:spacing w:line="360" w:lineRule="auto"/>
              <w:jc w:val="center"/>
              <w:rPr>
                <w:rFonts w:cs="宋体"/>
                <w:szCs w:val="21"/>
                <w:highlight w:val="none"/>
              </w:rPr>
            </w:pPr>
          </w:p>
        </w:tc>
        <w:tc>
          <w:tcPr>
            <w:tcW w:w="502" w:type="pct"/>
            <w:tcBorders>
              <w:top w:val="nil"/>
            </w:tcBorders>
            <w:vAlign w:val="center"/>
          </w:tcPr>
          <w:p w14:paraId="7AF46BE5">
            <w:pPr>
              <w:keepNext/>
              <w:spacing w:line="360" w:lineRule="auto"/>
              <w:jc w:val="center"/>
              <w:rPr>
                <w:rFonts w:cs="宋体"/>
                <w:szCs w:val="21"/>
                <w:highlight w:val="none"/>
              </w:rPr>
            </w:pPr>
          </w:p>
        </w:tc>
        <w:tc>
          <w:tcPr>
            <w:tcW w:w="502" w:type="pct"/>
            <w:tcBorders>
              <w:top w:val="nil"/>
            </w:tcBorders>
            <w:vAlign w:val="center"/>
          </w:tcPr>
          <w:p w14:paraId="3A3ABFD8">
            <w:pPr>
              <w:keepNext/>
              <w:spacing w:line="360" w:lineRule="auto"/>
              <w:jc w:val="center"/>
              <w:rPr>
                <w:rFonts w:cs="宋体"/>
                <w:szCs w:val="21"/>
                <w:highlight w:val="none"/>
              </w:rPr>
            </w:pPr>
          </w:p>
        </w:tc>
        <w:tc>
          <w:tcPr>
            <w:tcW w:w="1281" w:type="pct"/>
            <w:tcBorders>
              <w:top w:val="nil"/>
            </w:tcBorders>
            <w:vAlign w:val="center"/>
          </w:tcPr>
          <w:p w14:paraId="6184580E">
            <w:pPr>
              <w:keepNext/>
              <w:spacing w:line="360" w:lineRule="auto"/>
              <w:jc w:val="center"/>
              <w:rPr>
                <w:rFonts w:cs="宋体"/>
                <w:szCs w:val="21"/>
                <w:highlight w:val="none"/>
              </w:rPr>
            </w:pPr>
          </w:p>
        </w:tc>
        <w:tc>
          <w:tcPr>
            <w:tcW w:w="1151" w:type="pct"/>
            <w:tcBorders>
              <w:top w:val="nil"/>
            </w:tcBorders>
            <w:vAlign w:val="center"/>
          </w:tcPr>
          <w:p w14:paraId="7522D907">
            <w:pPr>
              <w:keepNext/>
              <w:spacing w:line="360" w:lineRule="auto"/>
              <w:jc w:val="center"/>
              <w:rPr>
                <w:rFonts w:cs="宋体"/>
                <w:szCs w:val="21"/>
                <w:highlight w:val="none"/>
              </w:rPr>
            </w:pPr>
          </w:p>
        </w:tc>
      </w:tr>
      <w:tr w14:paraId="54116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2504E12D">
            <w:pPr>
              <w:spacing w:line="360" w:lineRule="auto"/>
              <w:jc w:val="center"/>
              <w:rPr>
                <w:rFonts w:cs="宋体"/>
                <w:szCs w:val="21"/>
                <w:highlight w:val="none"/>
              </w:rPr>
            </w:pPr>
            <w:r>
              <w:rPr>
                <w:rFonts w:hint="eastAsia" w:cs="宋体"/>
                <w:szCs w:val="21"/>
                <w:highlight w:val="none"/>
              </w:rPr>
              <w:t>其他人员</w:t>
            </w:r>
          </w:p>
        </w:tc>
        <w:tc>
          <w:tcPr>
            <w:tcW w:w="627" w:type="pct"/>
            <w:vAlign w:val="center"/>
          </w:tcPr>
          <w:p w14:paraId="5C750589">
            <w:pPr>
              <w:keepNext/>
              <w:spacing w:line="360" w:lineRule="auto"/>
              <w:jc w:val="center"/>
              <w:rPr>
                <w:rFonts w:cs="宋体"/>
                <w:szCs w:val="21"/>
                <w:highlight w:val="none"/>
              </w:rPr>
            </w:pPr>
          </w:p>
        </w:tc>
        <w:tc>
          <w:tcPr>
            <w:tcW w:w="502" w:type="pct"/>
            <w:vAlign w:val="center"/>
          </w:tcPr>
          <w:p w14:paraId="0D588F90">
            <w:pPr>
              <w:keepNext/>
              <w:spacing w:line="360" w:lineRule="auto"/>
              <w:jc w:val="center"/>
              <w:rPr>
                <w:rFonts w:cs="宋体"/>
                <w:szCs w:val="21"/>
                <w:highlight w:val="none"/>
              </w:rPr>
            </w:pPr>
          </w:p>
        </w:tc>
        <w:tc>
          <w:tcPr>
            <w:tcW w:w="502" w:type="pct"/>
            <w:vAlign w:val="center"/>
          </w:tcPr>
          <w:p w14:paraId="577216D2">
            <w:pPr>
              <w:keepNext/>
              <w:spacing w:line="360" w:lineRule="auto"/>
              <w:jc w:val="center"/>
              <w:rPr>
                <w:rFonts w:cs="宋体"/>
                <w:szCs w:val="21"/>
                <w:highlight w:val="none"/>
              </w:rPr>
            </w:pPr>
          </w:p>
        </w:tc>
        <w:tc>
          <w:tcPr>
            <w:tcW w:w="1281" w:type="pct"/>
            <w:vAlign w:val="center"/>
          </w:tcPr>
          <w:p w14:paraId="73C0E6F4">
            <w:pPr>
              <w:keepNext/>
              <w:spacing w:line="360" w:lineRule="auto"/>
              <w:jc w:val="center"/>
              <w:rPr>
                <w:rFonts w:cs="宋体"/>
                <w:szCs w:val="21"/>
                <w:highlight w:val="none"/>
              </w:rPr>
            </w:pPr>
          </w:p>
        </w:tc>
        <w:tc>
          <w:tcPr>
            <w:tcW w:w="1151" w:type="pct"/>
            <w:vAlign w:val="center"/>
          </w:tcPr>
          <w:p w14:paraId="62CC2C76">
            <w:pPr>
              <w:keepNext/>
              <w:spacing w:line="360" w:lineRule="auto"/>
              <w:jc w:val="center"/>
              <w:rPr>
                <w:rFonts w:cs="宋体"/>
                <w:szCs w:val="21"/>
                <w:highlight w:val="none"/>
              </w:rPr>
            </w:pPr>
          </w:p>
        </w:tc>
      </w:tr>
      <w:tr w14:paraId="6ED9F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DCBD7A8">
            <w:pPr>
              <w:spacing w:line="360" w:lineRule="auto"/>
              <w:jc w:val="center"/>
              <w:rPr>
                <w:rFonts w:cs="宋体"/>
                <w:szCs w:val="21"/>
                <w:highlight w:val="none"/>
              </w:rPr>
            </w:pPr>
          </w:p>
        </w:tc>
        <w:tc>
          <w:tcPr>
            <w:tcW w:w="627" w:type="pct"/>
            <w:vAlign w:val="center"/>
          </w:tcPr>
          <w:p w14:paraId="65A1CAC2">
            <w:pPr>
              <w:keepNext/>
              <w:spacing w:line="360" w:lineRule="auto"/>
              <w:jc w:val="center"/>
              <w:rPr>
                <w:rFonts w:cs="宋体"/>
                <w:szCs w:val="21"/>
                <w:highlight w:val="none"/>
              </w:rPr>
            </w:pPr>
          </w:p>
        </w:tc>
        <w:tc>
          <w:tcPr>
            <w:tcW w:w="502" w:type="pct"/>
            <w:vAlign w:val="center"/>
          </w:tcPr>
          <w:p w14:paraId="49620358">
            <w:pPr>
              <w:keepNext/>
              <w:spacing w:line="360" w:lineRule="auto"/>
              <w:jc w:val="center"/>
              <w:rPr>
                <w:rFonts w:cs="宋体"/>
                <w:szCs w:val="21"/>
                <w:highlight w:val="none"/>
              </w:rPr>
            </w:pPr>
          </w:p>
        </w:tc>
        <w:tc>
          <w:tcPr>
            <w:tcW w:w="502" w:type="pct"/>
            <w:vAlign w:val="center"/>
          </w:tcPr>
          <w:p w14:paraId="5C989B5F">
            <w:pPr>
              <w:keepNext/>
              <w:spacing w:line="360" w:lineRule="auto"/>
              <w:jc w:val="center"/>
              <w:rPr>
                <w:rFonts w:cs="宋体"/>
                <w:szCs w:val="21"/>
                <w:highlight w:val="none"/>
              </w:rPr>
            </w:pPr>
          </w:p>
        </w:tc>
        <w:tc>
          <w:tcPr>
            <w:tcW w:w="1281" w:type="pct"/>
            <w:vAlign w:val="center"/>
          </w:tcPr>
          <w:p w14:paraId="1FBC1E92">
            <w:pPr>
              <w:keepNext/>
              <w:spacing w:line="360" w:lineRule="auto"/>
              <w:jc w:val="center"/>
              <w:rPr>
                <w:rFonts w:cs="宋体"/>
                <w:szCs w:val="21"/>
                <w:highlight w:val="none"/>
              </w:rPr>
            </w:pPr>
          </w:p>
        </w:tc>
        <w:tc>
          <w:tcPr>
            <w:tcW w:w="1151" w:type="pct"/>
            <w:vAlign w:val="center"/>
          </w:tcPr>
          <w:p w14:paraId="0A9CBF81">
            <w:pPr>
              <w:keepNext/>
              <w:spacing w:line="360" w:lineRule="auto"/>
              <w:jc w:val="center"/>
              <w:rPr>
                <w:rFonts w:cs="宋体"/>
                <w:szCs w:val="21"/>
                <w:highlight w:val="none"/>
              </w:rPr>
            </w:pPr>
          </w:p>
        </w:tc>
      </w:tr>
      <w:tr w14:paraId="72583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835CBDE">
            <w:pPr>
              <w:spacing w:line="360" w:lineRule="auto"/>
              <w:jc w:val="center"/>
              <w:rPr>
                <w:rFonts w:cs="宋体"/>
                <w:szCs w:val="21"/>
                <w:highlight w:val="none"/>
              </w:rPr>
            </w:pPr>
          </w:p>
        </w:tc>
        <w:tc>
          <w:tcPr>
            <w:tcW w:w="627" w:type="pct"/>
            <w:vAlign w:val="center"/>
          </w:tcPr>
          <w:p w14:paraId="4EE11442">
            <w:pPr>
              <w:keepNext/>
              <w:spacing w:line="360" w:lineRule="auto"/>
              <w:jc w:val="center"/>
              <w:rPr>
                <w:rFonts w:cs="宋体"/>
                <w:szCs w:val="21"/>
                <w:highlight w:val="none"/>
              </w:rPr>
            </w:pPr>
          </w:p>
        </w:tc>
        <w:tc>
          <w:tcPr>
            <w:tcW w:w="502" w:type="pct"/>
            <w:vAlign w:val="center"/>
          </w:tcPr>
          <w:p w14:paraId="0A2C1220">
            <w:pPr>
              <w:keepNext/>
              <w:spacing w:line="360" w:lineRule="auto"/>
              <w:jc w:val="center"/>
              <w:rPr>
                <w:rFonts w:cs="宋体"/>
                <w:szCs w:val="21"/>
                <w:highlight w:val="none"/>
              </w:rPr>
            </w:pPr>
          </w:p>
        </w:tc>
        <w:tc>
          <w:tcPr>
            <w:tcW w:w="502" w:type="pct"/>
            <w:vAlign w:val="center"/>
          </w:tcPr>
          <w:p w14:paraId="0E36D06E">
            <w:pPr>
              <w:keepNext/>
              <w:spacing w:line="360" w:lineRule="auto"/>
              <w:jc w:val="center"/>
              <w:rPr>
                <w:rFonts w:cs="宋体"/>
                <w:szCs w:val="21"/>
                <w:highlight w:val="none"/>
              </w:rPr>
            </w:pPr>
          </w:p>
        </w:tc>
        <w:tc>
          <w:tcPr>
            <w:tcW w:w="1281" w:type="pct"/>
            <w:vAlign w:val="center"/>
          </w:tcPr>
          <w:p w14:paraId="3C296E0C">
            <w:pPr>
              <w:keepNext/>
              <w:spacing w:line="360" w:lineRule="auto"/>
              <w:jc w:val="center"/>
              <w:rPr>
                <w:rFonts w:cs="宋体"/>
                <w:szCs w:val="21"/>
                <w:highlight w:val="none"/>
              </w:rPr>
            </w:pPr>
          </w:p>
        </w:tc>
        <w:tc>
          <w:tcPr>
            <w:tcW w:w="1151" w:type="pct"/>
            <w:vAlign w:val="center"/>
          </w:tcPr>
          <w:p w14:paraId="665E9609">
            <w:pPr>
              <w:keepNext/>
              <w:spacing w:line="360" w:lineRule="auto"/>
              <w:jc w:val="center"/>
              <w:rPr>
                <w:rFonts w:cs="宋体"/>
                <w:szCs w:val="21"/>
                <w:highlight w:val="none"/>
              </w:rPr>
            </w:pPr>
          </w:p>
        </w:tc>
      </w:tr>
      <w:tr w14:paraId="16548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31446CCA">
            <w:pPr>
              <w:keepNext/>
              <w:spacing w:line="360" w:lineRule="auto"/>
              <w:jc w:val="center"/>
              <w:rPr>
                <w:rFonts w:cs="宋体"/>
                <w:szCs w:val="21"/>
                <w:highlight w:val="none"/>
              </w:rPr>
            </w:pPr>
            <w:r>
              <w:rPr>
                <w:rFonts w:hint="eastAsia" w:cs="宋体"/>
                <w:szCs w:val="21"/>
                <w:highlight w:val="none"/>
              </w:rPr>
              <w:t>二、现场人员</w:t>
            </w:r>
          </w:p>
        </w:tc>
        <w:tc>
          <w:tcPr>
            <w:tcW w:w="1151" w:type="pct"/>
            <w:vAlign w:val="center"/>
          </w:tcPr>
          <w:p w14:paraId="09FEE77C">
            <w:pPr>
              <w:keepNext/>
              <w:spacing w:line="360" w:lineRule="auto"/>
              <w:jc w:val="center"/>
              <w:rPr>
                <w:rFonts w:cs="宋体"/>
                <w:szCs w:val="21"/>
                <w:highlight w:val="none"/>
              </w:rPr>
            </w:pPr>
          </w:p>
        </w:tc>
      </w:tr>
      <w:tr w14:paraId="3F956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370312E">
            <w:pPr>
              <w:spacing w:line="360" w:lineRule="auto"/>
              <w:jc w:val="center"/>
              <w:rPr>
                <w:rFonts w:cs="宋体"/>
                <w:szCs w:val="21"/>
                <w:highlight w:val="none"/>
              </w:rPr>
            </w:pPr>
            <w:r>
              <w:rPr>
                <w:rFonts w:hint="eastAsia" w:cs="宋体"/>
                <w:szCs w:val="21"/>
                <w:highlight w:val="none"/>
              </w:rPr>
              <w:t>项目经理</w:t>
            </w:r>
          </w:p>
        </w:tc>
        <w:tc>
          <w:tcPr>
            <w:tcW w:w="627" w:type="pct"/>
            <w:vAlign w:val="center"/>
          </w:tcPr>
          <w:p w14:paraId="7E0C42A2">
            <w:pPr>
              <w:keepNext/>
              <w:spacing w:line="360" w:lineRule="auto"/>
              <w:jc w:val="center"/>
              <w:rPr>
                <w:rFonts w:cs="宋体"/>
                <w:szCs w:val="21"/>
                <w:highlight w:val="none"/>
              </w:rPr>
            </w:pPr>
          </w:p>
        </w:tc>
        <w:tc>
          <w:tcPr>
            <w:tcW w:w="502" w:type="pct"/>
            <w:vAlign w:val="center"/>
          </w:tcPr>
          <w:p w14:paraId="3452CBD4">
            <w:pPr>
              <w:keepNext/>
              <w:spacing w:line="360" w:lineRule="auto"/>
              <w:jc w:val="center"/>
              <w:rPr>
                <w:rFonts w:cs="宋体"/>
                <w:szCs w:val="21"/>
                <w:highlight w:val="none"/>
              </w:rPr>
            </w:pPr>
          </w:p>
        </w:tc>
        <w:tc>
          <w:tcPr>
            <w:tcW w:w="502" w:type="pct"/>
            <w:vAlign w:val="center"/>
          </w:tcPr>
          <w:p w14:paraId="5791CE39">
            <w:pPr>
              <w:keepNext/>
              <w:spacing w:line="360" w:lineRule="auto"/>
              <w:jc w:val="center"/>
              <w:rPr>
                <w:rFonts w:cs="宋体"/>
                <w:szCs w:val="21"/>
                <w:highlight w:val="none"/>
              </w:rPr>
            </w:pPr>
          </w:p>
        </w:tc>
        <w:tc>
          <w:tcPr>
            <w:tcW w:w="1281" w:type="pct"/>
            <w:vAlign w:val="center"/>
          </w:tcPr>
          <w:p w14:paraId="33AFB7E6">
            <w:pPr>
              <w:keepNext/>
              <w:spacing w:line="360" w:lineRule="auto"/>
              <w:jc w:val="center"/>
              <w:rPr>
                <w:rFonts w:cs="宋体"/>
                <w:szCs w:val="21"/>
                <w:highlight w:val="none"/>
              </w:rPr>
            </w:pPr>
          </w:p>
        </w:tc>
        <w:tc>
          <w:tcPr>
            <w:tcW w:w="1151" w:type="pct"/>
            <w:vAlign w:val="center"/>
          </w:tcPr>
          <w:p w14:paraId="65427662">
            <w:pPr>
              <w:keepNext/>
              <w:spacing w:line="360" w:lineRule="auto"/>
              <w:jc w:val="center"/>
              <w:rPr>
                <w:rFonts w:cs="宋体"/>
                <w:szCs w:val="21"/>
                <w:highlight w:val="none"/>
              </w:rPr>
            </w:pPr>
          </w:p>
        </w:tc>
      </w:tr>
      <w:tr w14:paraId="4BECD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096171">
            <w:pPr>
              <w:spacing w:line="360" w:lineRule="auto"/>
              <w:jc w:val="center"/>
              <w:rPr>
                <w:rFonts w:cs="宋体"/>
                <w:szCs w:val="21"/>
                <w:highlight w:val="none"/>
              </w:rPr>
            </w:pPr>
            <w:r>
              <w:rPr>
                <w:rFonts w:hint="eastAsia" w:cs="宋体"/>
                <w:szCs w:val="21"/>
                <w:highlight w:val="none"/>
              </w:rPr>
              <w:t>项目副经理</w:t>
            </w:r>
          </w:p>
        </w:tc>
        <w:tc>
          <w:tcPr>
            <w:tcW w:w="627" w:type="pct"/>
            <w:vAlign w:val="center"/>
          </w:tcPr>
          <w:p w14:paraId="683337B6">
            <w:pPr>
              <w:keepNext/>
              <w:spacing w:line="360" w:lineRule="auto"/>
              <w:jc w:val="center"/>
              <w:rPr>
                <w:rFonts w:cs="宋体"/>
                <w:szCs w:val="21"/>
                <w:highlight w:val="none"/>
              </w:rPr>
            </w:pPr>
          </w:p>
        </w:tc>
        <w:tc>
          <w:tcPr>
            <w:tcW w:w="502" w:type="pct"/>
            <w:vAlign w:val="center"/>
          </w:tcPr>
          <w:p w14:paraId="271AF765">
            <w:pPr>
              <w:keepNext/>
              <w:spacing w:line="360" w:lineRule="auto"/>
              <w:jc w:val="center"/>
              <w:rPr>
                <w:rFonts w:cs="宋体"/>
                <w:szCs w:val="21"/>
                <w:highlight w:val="none"/>
              </w:rPr>
            </w:pPr>
          </w:p>
        </w:tc>
        <w:tc>
          <w:tcPr>
            <w:tcW w:w="502" w:type="pct"/>
            <w:vAlign w:val="center"/>
          </w:tcPr>
          <w:p w14:paraId="29EFA54A">
            <w:pPr>
              <w:keepNext/>
              <w:spacing w:line="360" w:lineRule="auto"/>
              <w:jc w:val="center"/>
              <w:rPr>
                <w:rFonts w:cs="宋体"/>
                <w:szCs w:val="21"/>
                <w:highlight w:val="none"/>
              </w:rPr>
            </w:pPr>
          </w:p>
        </w:tc>
        <w:tc>
          <w:tcPr>
            <w:tcW w:w="1281" w:type="pct"/>
            <w:vAlign w:val="center"/>
          </w:tcPr>
          <w:p w14:paraId="72583585">
            <w:pPr>
              <w:keepNext/>
              <w:spacing w:line="360" w:lineRule="auto"/>
              <w:jc w:val="center"/>
              <w:rPr>
                <w:rFonts w:cs="宋体"/>
                <w:szCs w:val="21"/>
                <w:highlight w:val="none"/>
              </w:rPr>
            </w:pPr>
          </w:p>
        </w:tc>
        <w:tc>
          <w:tcPr>
            <w:tcW w:w="1151" w:type="pct"/>
            <w:vAlign w:val="center"/>
          </w:tcPr>
          <w:p w14:paraId="0E84C74B">
            <w:pPr>
              <w:keepNext/>
              <w:spacing w:line="360" w:lineRule="auto"/>
              <w:jc w:val="center"/>
              <w:rPr>
                <w:rFonts w:cs="宋体"/>
                <w:szCs w:val="21"/>
                <w:highlight w:val="none"/>
              </w:rPr>
            </w:pPr>
          </w:p>
        </w:tc>
      </w:tr>
      <w:tr w14:paraId="6F497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BF58F76">
            <w:pPr>
              <w:spacing w:line="360" w:lineRule="auto"/>
              <w:jc w:val="center"/>
              <w:rPr>
                <w:rFonts w:cs="宋体"/>
                <w:szCs w:val="21"/>
                <w:highlight w:val="none"/>
              </w:rPr>
            </w:pPr>
            <w:r>
              <w:rPr>
                <w:rFonts w:hint="eastAsia" w:cs="宋体"/>
                <w:szCs w:val="21"/>
                <w:highlight w:val="none"/>
              </w:rPr>
              <w:t>项目技术负责人</w:t>
            </w:r>
          </w:p>
        </w:tc>
        <w:tc>
          <w:tcPr>
            <w:tcW w:w="627" w:type="pct"/>
            <w:vAlign w:val="center"/>
          </w:tcPr>
          <w:p w14:paraId="38D43AB6">
            <w:pPr>
              <w:keepNext/>
              <w:spacing w:line="360" w:lineRule="auto"/>
              <w:jc w:val="center"/>
              <w:rPr>
                <w:rFonts w:cs="宋体"/>
                <w:szCs w:val="21"/>
                <w:highlight w:val="none"/>
              </w:rPr>
            </w:pPr>
          </w:p>
        </w:tc>
        <w:tc>
          <w:tcPr>
            <w:tcW w:w="502" w:type="pct"/>
            <w:vAlign w:val="center"/>
          </w:tcPr>
          <w:p w14:paraId="6B6ECC1B">
            <w:pPr>
              <w:keepNext/>
              <w:spacing w:line="360" w:lineRule="auto"/>
              <w:jc w:val="center"/>
              <w:rPr>
                <w:rFonts w:cs="宋体"/>
                <w:szCs w:val="21"/>
                <w:highlight w:val="none"/>
              </w:rPr>
            </w:pPr>
          </w:p>
        </w:tc>
        <w:tc>
          <w:tcPr>
            <w:tcW w:w="502" w:type="pct"/>
            <w:vAlign w:val="center"/>
          </w:tcPr>
          <w:p w14:paraId="01A787D3">
            <w:pPr>
              <w:keepNext/>
              <w:spacing w:line="360" w:lineRule="auto"/>
              <w:jc w:val="center"/>
              <w:rPr>
                <w:rFonts w:cs="宋体"/>
                <w:szCs w:val="21"/>
                <w:highlight w:val="none"/>
              </w:rPr>
            </w:pPr>
          </w:p>
        </w:tc>
        <w:tc>
          <w:tcPr>
            <w:tcW w:w="1281" w:type="pct"/>
            <w:vAlign w:val="center"/>
          </w:tcPr>
          <w:p w14:paraId="7E10BD1B">
            <w:pPr>
              <w:keepNext/>
              <w:spacing w:line="360" w:lineRule="auto"/>
              <w:jc w:val="center"/>
              <w:rPr>
                <w:rFonts w:cs="宋体"/>
                <w:szCs w:val="21"/>
                <w:highlight w:val="none"/>
              </w:rPr>
            </w:pPr>
          </w:p>
        </w:tc>
        <w:tc>
          <w:tcPr>
            <w:tcW w:w="1151" w:type="pct"/>
            <w:vAlign w:val="center"/>
          </w:tcPr>
          <w:p w14:paraId="211E2416">
            <w:pPr>
              <w:keepNext/>
              <w:spacing w:line="360" w:lineRule="auto"/>
              <w:jc w:val="center"/>
              <w:rPr>
                <w:rFonts w:cs="宋体"/>
                <w:szCs w:val="21"/>
                <w:highlight w:val="none"/>
              </w:rPr>
            </w:pPr>
          </w:p>
        </w:tc>
      </w:tr>
      <w:tr w14:paraId="2EEA3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4788743">
            <w:pPr>
              <w:spacing w:line="360" w:lineRule="auto"/>
              <w:jc w:val="center"/>
              <w:rPr>
                <w:rFonts w:cs="宋体"/>
                <w:szCs w:val="21"/>
                <w:highlight w:val="none"/>
              </w:rPr>
            </w:pPr>
            <w:r>
              <w:rPr>
                <w:rFonts w:hint="eastAsia" w:cs="宋体"/>
                <w:szCs w:val="21"/>
                <w:highlight w:val="none"/>
              </w:rPr>
              <w:t>施工员</w:t>
            </w:r>
          </w:p>
        </w:tc>
        <w:tc>
          <w:tcPr>
            <w:tcW w:w="627" w:type="pct"/>
            <w:vAlign w:val="center"/>
          </w:tcPr>
          <w:p w14:paraId="6BC22D49">
            <w:pPr>
              <w:keepNext/>
              <w:spacing w:line="360" w:lineRule="auto"/>
              <w:jc w:val="center"/>
              <w:rPr>
                <w:rFonts w:cs="宋体"/>
                <w:szCs w:val="21"/>
                <w:highlight w:val="none"/>
              </w:rPr>
            </w:pPr>
          </w:p>
        </w:tc>
        <w:tc>
          <w:tcPr>
            <w:tcW w:w="502" w:type="pct"/>
            <w:vAlign w:val="center"/>
          </w:tcPr>
          <w:p w14:paraId="3619BDD5">
            <w:pPr>
              <w:keepNext/>
              <w:spacing w:line="360" w:lineRule="auto"/>
              <w:jc w:val="center"/>
              <w:rPr>
                <w:rFonts w:cs="宋体"/>
                <w:szCs w:val="21"/>
                <w:highlight w:val="none"/>
              </w:rPr>
            </w:pPr>
          </w:p>
        </w:tc>
        <w:tc>
          <w:tcPr>
            <w:tcW w:w="502" w:type="pct"/>
            <w:vAlign w:val="center"/>
          </w:tcPr>
          <w:p w14:paraId="64FBCFF3">
            <w:pPr>
              <w:keepNext/>
              <w:spacing w:line="360" w:lineRule="auto"/>
              <w:jc w:val="center"/>
              <w:rPr>
                <w:rFonts w:cs="宋体"/>
                <w:szCs w:val="21"/>
                <w:highlight w:val="none"/>
              </w:rPr>
            </w:pPr>
          </w:p>
        </w:tc>
        <w:tc>
          <w:tcPr>
            <w:tcW w:w="1281" w:type="pct"/>
            <w:vAlign w:val="center"/>
          </w:tcPr>
          <w:p w14:paraId="2BAD9807">
            <w:pPr>
              <w:keepNext/>
              <w:spacing w:line="360" w:lineRule="auto"/>
              <w:jc w:val="center"/>
              <w:rPr>
                <w:rFonts w:cs="宋体"/>
                <w:szCs w:val="21"/>
                <w:highlight w:val="none"/>
              </w:rPr>
            </w:pPr>
          </w:p>
        </w:tc>
        <w:tc>
          <w:tcPr>
            <w:tcW w:w="1151" w:type="pct"/>
            <w:vAlign w:val="center"/>
          </w:tcPr>
          <w:p w14:paraId="5A4B5786">
            <w:pPr>
              <w:keepNext/>
              <w:spacing w:line="360" w:lineRule="auto"/>
              <w:jc w:val="center"/>
              <w:rPr>
                <w:rFonts w:cs="宋体"/>
                <w:szCs w:val="21"/>
                <w:highlight w:val="none"/>
              </w:rPr>
            </w:pPr>
          </w:p>
        </w:tc>
      </w:tr>
      <w:tr w14:paraId="720F6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60F85AA">
            <w:pPr>
              <w:spacing w:line="360" w:lineRule="auto"/>
              <w:jc w:val="center"/>
              <w:rPr>
                <w:rFonts w:cs="宋体"/>
                <w:szCs w:val="21"/>
                <w:highlight w:val="none"/>
              </w:rPr>
            </w:pPr>
            <w:r>
              <w:rPr>
                <w:rFonts w:hint="eastAsia" w:cs="宋体"/>
                <w:szCs w:val="21"/>
                <w:highlight w:val="none"/>
              </w:rPr>
              <w:t>质检员（质量员）</w:t>
            </w:r>
          </w:p>
        </w:tc>
        <w:tc>
          <w:tcPr>
            <w:tcW w:w="627" w:type="pct"/>
            <w:vAlign w:val="center"/>
          </w:tcPr>
          <w:p w14:paraId="7E39B734">
            <w:pPr>
              <w:keepNext/>
              <w:spacing w:line="360" w:lineRule="auto"/>
              <w:jc w:val="center"/>
              <w:rPr>
                <w:rFonts w:cs="宋体"/>
                <w:szCs w:val="21"/>
                <w:highlight w:val="none"/>
              </w:rPr>
            </w:pPr>
          </w:p>
        </w:tc>
        <w:tc>
          <w:tcPr>
            <w:tcW w:w="502" w:type="pct"/>
            <w:vAlign w:val="center"/>
          </w:tcPr>
          <w:p w14:paraId="67077041">
            <w:pPr>
              <w:keepNext/>
              <w:spacing w:line="360" w:lineRule="auto"/>
              <w:jc w:val="center"/>
              <w:rPr>
                <w:rFonts w:cs="宋体"/>
                <w:szCs w:val="21"/>
                <w:highlight w:val="none"/>
              </w:rPr>
            </w:pPr>
          </w:p>
        </w:tc>
        <w:tc>
          <w:tcPr>
            <w:tcW w:w="502" w:type="pct"/>
            <w:vAlign w:val="center"/>
          </w:tcPr>
          <w:p w14:paraId="7DABEA47">
            <w:pPr>
              <w:keepNext/>
              <w:spacing w:line="360" w:lineRule="auto"/>
              <w:jc w:val="center"/>
              <w:rPr>
                <w:rFonts w:cs="宋体"/>
                <w:szCs w:val="21"/>
                <w:highlight w:val="none"/>
              </w:rPr>
            </w:pPr>
          </w:p>
        </w:tc>
        <w:tc>
          <w:tcPr>
            <w:tcW w:w="1281" w:type="pct"/>
            <w:vAlign w:val="center"/>
          </w:tcPr>
          <w:p w14:paraId="5F3C9BEA">
            <w:pPr>
              <w:keepNext/>
              <w:spacing w:line="360" w:lineRule="auto"/>
              <w:jc w:val="center"/>
              <w:rPr>
                <w:rFonts w:cs="宋体"/>
                <w:szCs w:val="21"/>
                <w:highlight w:val="none"/>
              </w:rPr>
            </w:pPr>
          </w:p>
        </w:tc>
        <w:tc>
          <w:tcPr>
            <w:tcW w:w="1151" w:type="pct"/>
            <w:vAlign w:val="center"/>
          </w:tcPr>
          <w:p w14:paraId="43045BAD">
            <w:pPr>
              <w:keepNext/>
              <w:spacing w:line="360" w:lineRule="auto"/>
              <w:jc w:val="center"/>
              <w:rPr>
                <w:rFonts w:cs="宋体"/>
                <w:szCs w:val="21"/>
                <w:highlight w:val="none"/>
              </w:rPr>
            </w:pPr>
          </w:p>
        </w:tc>
      </w:tr>
      <w:tr w14:paraId="62EAB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27453B1">
            <w:pPr>
              <w:spacing w:line="360" w:lineRule="auto"/>
              <w:jc w:val="center"/>
              <w:rPr>
                <w:rFonts w:cs="宋体"/>
                <w:szCs w:val="21"/>
                <w:highlight w:val="none"/>
              </w:rPr>
            </w:pPr>
            <w:r>
              <w:rPr>
                <w:rFonts w:hint="eastAsia" w:cs="宋体"/>
                <w:szCs w:val="21"/>
                <w:highlight w:val="none"/>
              </w:rPr>
              <w:t>安全员</w:t>
            </w:r>
          </w:p>
        </w:tc>
        <w:tc>
          <w:tcPr>
            <w:tcW w:w="627" w:type="pct"/>
            <w:vAlign w:val="center"/>
          </w:tcPr>
          <w:p w14:paraId="2A44F12E">
            <w:pPr>
              <w:keepNext/>
              <w:spacing w:line="360" w:lineRule="auto"/>
              <w:jc w:val="center"/>
              <w:rPr>
                <w:rFonts w:cs="宋体"/>
                <w:szCs w:val="21"/>
                <w:highlight w:val="none"/>
              </w:rPr>
            </w:pPr>
          </w:p>
        </w:tc>
        <w:tc>
          <w:tcPr>
            <w:tcW w:w="502" w:type="pct"/>
            <w:vAlign w:val="center"/>
          </w:tcPr>
          <w:p w14:paraId="217E7FE9">
            <w:pPr>
              <w:keepNext/>
              <w:spacing w:line="360" w:lineRule="auto"/>
              <w:jc w:val="center"/>
              <w:rPr>
                <w:rFonts w:cs="宋体"/>
                <w:szCs w:val="21"/>
                <w:highlight w:val="none"/>
              </w:rPr>
            </w:pPr>
          </w:p>
        </w:tc>
        <w:tc>
          <w:tcPr>
            <w:tcW w:w="502" w:type="pct"/>
            <w:vAlign w:val="center"/>
          </w:tcPr>
          <w:p w14:paraId="726BE368">
            <w:pPr>
              <w:keepNext/>
              <w:spacing w:line="360" w:lineRule="auto"/>
              <w:jc w:val="center"/>
              <w:rPr>
                <w:rFonts w:cs="宋体"/>
                <w:szCs w:val="21"/>
                <w:highlight w:val="none"/>
              </w:rPr>
            </w:pPr>
          </w:p>
        </w:tc>
        <w:tc>
          <w:tcPr>
            <w:tcW w:w="1281" w:type="pct"/>
            <w:vAlign w:val="center"/>
          </w:tcPr>
          <w:p w14:paraId="10B41884">
            <w:pPr>
              <w:keepNext/>
              <w:spacing w:line="360" w:lineRule="auto"/>
              <w:jc w:val="center"/>
              <w:rPr>
                <w:rFonts w:cs="宋体"/>
                <w:szCs w:val="21"/>
                <w:highlight w:val="none"/>
              </w:rPr>
            </w:pPr>
          </w:p>
        </w:tc>
        <w:tc>
          <w:tcPr>
            <w:tcW w:w="1151" w:type="pct"/>
            <w:vAlign w:val="center"/>
          </w:tcPr>
          <w:p w14:paraId="58F60875">
            <w:pPr>
              <w:keepNext/>
              <w:spacing w:line="360" w:lineRule="auto"/>
              <w:jc w:val="center"/>
              <w:rPr>
                <w:rFonts w:cs="宋体"/>
                <w:szCs w:val="21"/>
                <w:highlight w:val="none"/>
              </w:rPr>
            </w:pPr>
          </w:p>
        </w:tc>
      </w:tr>
      <w:tr w14:paraId="31A90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1F10E03">
            <w:pPr>
              <w:spacing w:line="360" w:lineRule="auto"/>
              <w:jc w:val="center"/>
              <w:rPr>
                <w:rFonts w:cs="宋体"/>
                <w:szCs w:val="21"/>
                <w:highlight w:val="none"/>
              </w:rPr>
            </w:pPr>
            <w:r>
              <w:rPr>
                <w:rFonts w:hint="eastAsia" w:cs="宋体"/>
                <w:szCs w:val="21"/>
                <w:highlight w:val="none"/>
              </w:rPr>
              <w:t>资料员</w:t>
            </w:r>
          </w:p>
        </w:tc>
        <w:tc>
          <w:tcPr>
            <w:tcW w:w="627" w:type="pct"/>
            <w:vAlign w:val="center"/>
          </w:tcPr>
          <w:p w14:paraId="2A84328B">
            <w:pPr>
              <w:keepNext/>
              <w:spacing w:line="360" w:lineRule="auto"/>
              <w:jc w:val="center"/>
              <w:rPr>
                <w:rFonts w:cs="宋体"/>
                <w:szCs w:val="21"/>
                <w:highlight w:val="none"/>
              </w:rPr>
            </w:pPr>
          </w:p>
        </w:tc>
        <w:tc>
          <w:tcPr>
            <w:tcW w:w="502" w:type="pct"/>
            <w:vAlign w:val="center"/>
          </w:tcPr>
          <w:p w14:paraId="064FF93B">
            <w:pPr>
              <w:keepNext/>
              <w:spacing w:line="360" w:lineRule="auto"/>
              <w:jc w:val="center"/>
              <w:rPr>
                <w:rFonts w:cs="宋体"/>
                <w:szCs w:val="21"/>
                <w:highlight w:val="none"/>
              </w:rPr>
            </w:pPr>
          </w:p>
        </w:tc>
        <w:tc>
          <w:tcPr>
            <w:tcW w:w="502" w:type="pct"/>
            <w:vAlign w:val="center"/>
          </w:tcPr>
          <w:p w14:paraId="781C558B">
            <w:pPr>
              <w:keepNext/>
              <w:spacing w:line="360" w:lineRule="auto"/>
              <w:jc w:val="center"/>
              <w:rPr>
                <w:rFonts w:cs="宋体"/>
                <w:szCs w:val="21"/>
                <w:highlight w:val="none"/>
              </w:rPr>
            </w:pPr>
          </w:p>
        </w:tc>
        <w:tc>
          <w:tcPr>
            <w:tcW w:w="1281" w:type="pct"/>
            <w:vAlign w:val="center"/>
          </w:tcPr>
          <w:p w14:paraId="2E8B0DA6">
            <w:pPr>
              <w:keepNext/>
              <w:spacing w:line="360" w:lineRule="auto"/>
              <w:jc w:val="center"/>
              <w:rPr>
                <w:rFonts w:cs="宋体"/>
                <w:szCs w:val="21"/>
                <w:highlight w:val="none"/>
              </w:rPr>
            </w:pPr>
          </w:p>
        </w:tc>
        <w:tc>
          <w:tcPr>
            <w:tcW w:w="1151" w:type="pct"/>
            <w:vAlign w:val="center"/>
          </w:tcPr>
          <w:p w14:paraId="2AABE7B0">
            <w:pPr>
              <w:keepNext/>
              <w:spacing w:line="360" w:lineRule="auto"/>
              <w:jc w:val="center"/>
              <w:rPr>
                <w:rFonts w:cs="宋体"/>
                <w:szCs w:val="21"/>
                <w:highlight w:val="none"/>
              </w:rPr>
            </w:pPr>
          </w:p>
        </w:tc>
      </w:tr>
      <w:tr w14:paraId="14994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D0FB4FE">
            <w:pPr>
              <w:spacing w:line="360" w:lineRule="auto"/>
              <w:jc w:val="center"/>
              <w:rPr>
                <w:rFonts w:cs="宋体"/>
                <w:szCs w:val="21"/>
                <w:highlight w:val="none"/>
              </w:rPr>
            </w:pPr>
            <w:r>
              <w:rPr>
                <w:rFonts w:hint="eastAsia" w:cs="宋体"/>
                <w:szCs w:val="21"/>
                <w:highlight w:val="none"/>
              </w:rPr>
              <w:t>其他人员</w:t>
            </w:r>
          </w:p>
        </w:tc>
        <w:tc>
          <w:tcPr>
            <w:tcW w:w="627" w:type="pct"/>
            <w:vAlign w:val="center"/>
          </w:tcPr>
          <w:p w14:paraId="3DB6672B">
            <w:pPr>
              <w:keepNext/>
              <w:spacing w:line="360" w:lineRule="auto"/>
              <w:jc w:val="center"/>
              <w:rPr>
                <w:rFonts w:cs="宋体"/>
                <w:szCs w:val="21"/>
                <w:highlight w:val="none"/>
              </w:rPr>
            </w:pPr>
          </w:p>
        </w:tc>
        <w:tc>
          <w:tcPr>
            <w:tcW w:w="502" w:type="pct"/>
            <w:vAlign w:val="center"/>
          </w:tcPr>
          <w:p w14:paraId="23D6F3F6">
            <w:pPr>
              <w:keepNext/>
              <w:spacing w:line="360" w:lineRule="auto"/>
              <w:jc w:val="center"/>
              <w:rPr>
                <w:rFonts w:cs="宋体"/>
                <w:szCs w:val="21"/>
                <w:highlight w:val="none"/>
              </w:rPr>
            </w:pPr>
          </w:p>
        </w:tc>
        <w:tc>
          <w:tcPr>
            <w:tcW w:w="502" w:type="pct"/>
            <w:vAlign w:val="center"/>
          </w:tcPr>
          <w:p w14:paraId="0970ED4A">
            <w:pPr>
              <w:keepNext/>
              <w:spacing w:line="360" w:lineRule="auto"/>
              <w:jc w:val="center"/>
              <w:rPr>
                <w:rFonts w:cs="宋体"/>
                <w:szCs w:val="21"/>
                <w:highlight w:val="none"/>
              </w:rPr>
            </w:pPr>
          </w:p>
        </w:tc>
        <w:tc>
          <w:tcPr>
            <w:tcW w:w="1281" w:type="pct"/>
            <w:vAlign w:val="center"/>
          </w:tcPr>
          <w:p w14:paraId="0AC2EB38">
            <w:pPr>
              <w:keepNext/>
              <w:spacing w:line="360" w:lineRule="auto"/>
              <w:jc w:val="center"/>
              <w:rPr>
                <w:rFonts w:cs="宋体"/>
                <w:szCs w:val="21"/>
                <w:highlight w:val="none"/>
              </w:rPr>
            </w:pPr>
          </w:p>
        </w:tc>
        <w:tc>
          <w:tcPr>
            <w:tcW w:w="1151" w:type="pct"/>
            <w:vAlign w:val="center"/>
          </w:tcPr>
          <w:p w14:paraId="35DB4231">
            <w:pPr>
              <w:keepNext/>
              <w:spacing w:line="360" w:lineRule="auto"/>
              <w:jc w:val="center"/>
              <w:rPr>
                <w:rFonts w:cs="宋体"/>
                <w:szCs w:val="21"/>
                <w:highlight w:val="none"/>
              </w:rPr>
            </w:pPr>
          </w:p>
        </w:tc>
      </w:tr>
      <w:tr w14:paraId="15130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748B567">
            <w:pPr>
              <w:keepNext/>
              <w:spacing w:line="360" w:lineRule="auto"/>
              <w:jc w:val="center"/>
              <w:rPr>
                <w:rFonts w:cs="宋体"/>
                <w:szCs w:val="21"/>
                <w:highlight w:val="none"/>
              </w:rPr>
            </w:pPr>
          </w:p>
        </w:tc>
        <w:tc>
          <w:tcPr>
            <w:tcW w:w="627" w:type="pct"/>
            <w:tcBorders>
              <w:bottom w:val="nil"/>
            </w:tcBorders>
            <w:vAlign w:val="center"/>
          </w:tcPr>
          <w:p w14:paraId="2F930A49">
            <w:pPr>
              <w:keepNext/>
              <w:spacing w:line="360" w:lineRule="auto"/>
              <w:jc w:val="center"/>
              <w:rPr>
                <w:rFonts w:cs="宋体"/>
                <w:szCs w:val="21"/>
                <w:highlight w:val="none"/>
              </w:rPr>
            </w:pPr>
          </w:p>
        </w:tc>
        <w:tc>
          <w:tcPr>
            <w:tcW w:w="502" w:type="pct"/>
            <w:tcBorders>
              <w:bottom w:val="nil"/>
            </w:tcBorders>
            <w:vAlign w:val="center"/>
          </w:tcPr>
          <w:p w14:paraId="6FBD2C32">
            <w:pPr>
              <w:keepNext/>
              <w:spacing w:line="360" w:lineRule="auto"/>
              <w:jc w:val="center"/>
              <w:rPr>
                <w:rFonts w:cs="宋体"/>
                <w:szCs w:val="21"/>
                <w:highlight w:val="none"/>
              </w:rPr>
            </w:pPr>
          </w:p>
        </w:tc>
        <w:tc>
          <w:tcPr>
            <w:tcW w:w="502" w:type="pct"/>
            <w:tcBorders>
              <w:bottom w:val="nil"/>
            </w:tcBorders>
            <w:vAlign w:val="center"/>
          </w:tcPr>
          <w:p w14:paraId="7D40EB95">
            <w:pPr>
              <w:keepNext/>
              <w:spacing w:line="360" w:lineRule="auto"/>
              <w:jc w:val="center"/>
              <w:rPr>
                <w:rFonts w:cs="宋体"/>
                <w:szCs w:val="21"/>
                <w:highlight w:val="none"/>
              </w:rPr>
            </w:pPr>
          </w:p>
        </w:tc>
        <w:tc>
          <w:tcPr>
            <w:tcW w:w="1281" w:type="pct"/>
            <w:tcBorders>
              <w:bottom w:val="nil"/>
            </w:tcBorders>
            <w:vAlign w:val="center"/>
          </w:tcPr>
          <w:p w14:paraId="6213BA13">
            <w:pPr>
              <w:keepNext/>
              <w:spacing w:line="360" w:lineRule="auto"/>
              <w:jc w:val="center"/>
              <w:rPr>
                <w:rFonts w:cs="宋体"/>
                <w:szCs w:val="21"/>
                <w:highlight w:val="none"/>
              </w:rPr>
            </w:pPr>
          </w:p>
        </w:tc>
        <w:tc>
          <w:tcPr>
            <w:tcW w:w="1151" w:type="pct"/>
            <w:tcBorders>
              <w:bottom w:val="nil"/>
            </w:tcBorders>
            <w:vAlign w:val="center"/>
          </w:tcPr>
          <w:p w14:paraId="30795850">
            <w:pPr>
              <w:keepNext/>
              <w:spacing w:line="360" w:lineRule="auto"/>
              <w:jc w:val="center"/>
              <w:rPr>
                <w:rFonts w:cs="宋体"/>
                <w:szCs w:val="21"/>
                <w:highlight w:val="none"/>
              </w:rPr>
            </w:pPr>
          </w:p>
        </w:tc>
      </w:tr>
      <w:tr w14:paraId="7E1ED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46C2FE1">
            <w:pPr>
              <w:keepNext/>
              <w:spacing w:line="360" w:lineRule="auto"/>
              <w:jc w:val="center"/>
              <w:rPr>
                <w:rFonts w:cs="宋体"/>
                <w:szCs w:val="21"/>
                <w:highlight w:val="none"/>
              </w:rPr>
            </w:pPr>
          </w:p>
        </w:tc>
        <w:tc>
          <w:tcPr>
            <w:tcW w:w="627" w:type="pct"/>
            <w:vAlign w:val="center"/>
          </w:tcPr>
          <w:p w14:paraId="4B20F06C">
            <w:pPr>
              <w:keepNext/>
              <w:spacing w:line="360" w:lineRule="auto"/>
              <w:jc w:val="center"/>
              <w:rPr>
                <w:rFonts w:cs="宋体"/>
                <w:szCs w:val="21"/>
                <w:highlight w:val="none"/>
              </w:rPr>
            </w:pPr>
          </w:p>
        </w:tc>
        <w:tc>
          <w:tcPr>
            <w:tcW w:w="502" w:type="pct"/>
            <w:vAlign w:val="center"/>
          </w:tcPr>
          <w:p w14:paraId="31F2BC60">
            <w:pPr>
              <w:keepNext/>
              <w:spacing w:line="360" w:lineRule="auto"/>
              <w:jc w:val="center"/>
              <w:rPr>
                <w:rFonts w:cs="宋体"/>
                <w:szCs w:val="21"/>
                <w:highlight w:val="none"/>
              </w:rPr>
            </w:pPr>
          </w:p>
        </w:tc>
        <w:tc>
          <w:tcPr>
            <w:tcW w:w="502" w:type="pct"/>
            <w:vAlign w:val="center"/>
          </w:tcPr>
          <w:p w14:paraId="1C4DA474">
            <w:pPr>
              <w:keepNext/>
              <w:spacing w:line="360" w:lineRule="auto"/>
              <w:jc w:val="center"/>
              <w:rPr>
                <w:rFonts w:cs="宋体"/>
                <w:szCs w:val="21"/>
                <w:highlight w:val="none"/>
              </w:rPr>
            </w:pPr>
          </w:p>
        </w:tc>
        <w:tc>
          <w:tcPr>
            <w:tcW w:w="1281" w:type="pct"/>
            <w:vAlign w:val="center"/>
          </w:tcPr>
          <w:p w14:paraId="32A8A55A">
            <w:pPr>
              <w:keepNext/>
              <w:spacing w:line="360" w:lineRule="auto"/>
              <w:jc w:val="center"/>
              <w:rPr>
                <w:rFonts w:cs="宋体"/>
                <w:szCs w:val="21"/>
                <w:highlight w:val="none"/>
              </w:rPr>
            </w:pPr>
          </w:p>
        </w:tc>
        <w:tc>
          <w:tcPr>
            <w:tcW w:w="1151" w:type="pct"/>
            <w:vAlign w:val="center"/>
          </w:tcPr>
          <w:p w14:paraId="67DA3F7E">
            <w:pPr>
              <w:keepNext/>
              <w:spacing w:line="360" w:lineRule="auto"/>
              <w:jc w:val="center"/>
              <w:rPr>
                <w:rFonts w:cs="宋体"/>
                <w:szCs w:val="21"/>
                <w:highlight w:val="none"/>
              </w:rPr>
            </w:pPr>
          </w:p>
        </w:tc>
      </w:tr>
      <w:tr w14:paraId="5E074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A34B5D9">
            <w:pPr>
              <w:keepNext/>
              <w:spacing w:line="360" w:lineRule="auto"/>
              <w:jc w:val="center"/>
              <w:rPr>
                <w:rFonts w:cs="宋体"/>
                <w:szCs w:val="21"/>
                <w:highlight w:val="none"/>
              </w:rPr>
            </w:pPr>
          </w:p>
        </w:tc>
        <w:tc>
          <w:tcPr>
            <w:tcW w:w="627" w:type="pct"/>
            <w:vAlign w:val="center"/>
          </w:tcPr>
          <w:p w14:paraId="47F215A0">
            <w:pPr>
              <w:keepNext/>
              <w:spacing w:line="360" w:lineRule="auto"/>
              <w:jc w:val="center"/>
              <w:rPr>
                <w:rFonts w:cs="宋体"/>
                <w:szCs w:val="21"/>
                <w:highlight w:val="none"/>
              </w:rPr>
            </w:pPr>
          </w:p>
        </w:tc>
        <w:tc>
          <w:tcPr>
            <w:tcW w:w="502" w:type="pct"/>
            <w:vAlign w:val="center"/>
          </w:tcPr>
          <w:p w14:paraId="03017A7A">
            <w:pPr>
              <w:keepNext/>
              <w:spacing w:line="360" w:lineRule="auto"/>
              <w:jc w:val="center"/>
              <w:rPr>
                <w:rFonts w:cs="宋体"/>
                <w:szCs w:val="21"/>
                <w:highlight w:val="none"/>
              </w:rPr>
            </w:pPr>
          </w:p>
        </w:tc>
        <w:tc>
          <w:tcPr>
            <w:tcW w:w="502" w:type="pct"/>
            <w:vAlign w:val="center"/>
          </w:tcPr>
          <w:p w14:paraId="3399ED8E">
            <w:pPr>
              <w:keepNext/>
              <w:spacing w:line="360" w:lineRule="auto"/>
              <w:jc w:val="center"/>
              <w:rPr>
                <w:rFonts w:cs="宋体"/>
                <w:szCs w:val="21"/>
                <w:highlight w:val="none"/>
              </w:rPr>
            </w:pPr>
          </w:p>
        </w:tc>
        <w:tc>
          <w:tcPr>
            <w:tcW w:w="1281" w:type="pct"/>
            <w:vAlign w:val="center"/>
          </w:tcPr>
          <w:p w14:paraId="5E02D2B3">
            <w:pPr>
              <w:keepNext/>
              <w:spacing w:line="360" w:lineRule="auto"/>
              <w:jc w:val="center"/>
              <w:rPr>
                <w:rFonts w:cs="宋体"/>
                <w:szCs w:val="21"/>
                <w:highlight w:val="none"/>
              </w:rPr>
            </w:pPr>
          </w:p>
        </w:tc>
        <w:tc>
          <w:tcPr>
            <w:tcW w:w="1151" w:type="pct"/>
            <w:vAlign w:val="center"/>
          </w:tcPr>
          <w:p w14:paraId="660D307A">
            <w:pPr>
              <w:keepNext/>
              <w:spacing w:line="360" w:lineRule="auto"/>
              <w:jc w:val="center"/>
              <w:rPr>
                <w:rFonts w:cs="宋体"/>
                <w:szCs w:val="21"/>
                <w:highlight w:val="none"/>
              </w:rPr>
            </w:pPr>
          </w:p>
        </w:tc>
      </w:tr>
      <w:tr w14:paraId="3D525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EDBFC7E">
            <w:pPr>
              <w:keepNext/>
              <w:spacing w:line="360" w:lineRule="auto"/>
              <w:jc w:val="center"/>
              <w:rPr>
                <w:rFonts w:cs="宋体"/>
                <w:szCs w:val="21"/>
                <w:highlight w:val="none"/>
              </w:rPr>
            </w:pPr>
          </w:p>
        </w:tc>
        <w:tc>
          <w:tcPr>
            <w:tcW w:w="627" w:type="pct"/>
            <w:vAlign w:val="center"/>
          </w:tcPr>
          <w:p w14:paraId="3DF9A1EC">
            <w:pPr>
              <w:keepNext/>
              <w:spacing w:line="360" w:lineRule="auto"/>
              <w:jc w:val="center"/>
              <w:rPr>
                <w:rFonts w:cs="宋体"/>
                <w:szCs w:val="21"/>
                <w:highlight w:val="none"/>
              </w:rPr>
            </w:pPr>
          </w:p>
        </w:tc>
        <w:tc>
          <w:tcPr>
            <w:tcW w:w="502" w:type="pct"/>
            <w:vAlign w:val="center"/>
          </w:tcPr>
          <w:p w14:paraId="736D32AF">
            <w:pPr>
              <w:keepNext/>
              <w:spacing w:line="360" w:lineRule="auto"/>
              <w:jc w:val="center"/>
              <w:rPr>
                <w:rFonts w:cs="宋体"/>
                <w:szCs w:val="21"/>
                <w:highlight w:val="none"/>
              </w:rPr>
            </w:pPr>
          </w:p>
        </w:tc>
        <w:tc>
          <w:tcPr>
            <w:tcW w:w="502" w:type="pct"/>
            <w:vAlign w:val="center"/>
          </w:tcPr>
          <w:p w14:paraId="46BF9A74">
            <w:pPr>
              <w:keepNext/>
              <w:spacing w:line="360" w:lineRule="auto"/>
              <w:jc w:val="center"/>
              <w:rPr>
                <w:rFonts w:cs="宋体"/>
                <w:szCs w:val="21"/>
                <w:highlight w:val="none"/>
              </w:rPr>
            </w:pPr>
          </w:p>
        </w:tc>
        <w:tc>
          <w:tcPr>
            <w:tcW w:w="1281" w:type="pct"/>
            <w:vAlign w:val="center"/>
          </w:tcPr>
          <w:p w14:paraId="71822629">
            <w:pPr>
              <w:keepNext/>
              <w:spacing w:line="360" w:lineRule="auto"/>
              <w:jc w:val="center"/>
              <w:rPr>
                <w:rFonts w:cs="宋体"/>
                <w:szCs w:val="21"/>
                <w:highlight w:val="none"/>
              </w:rPr>
            </w:pPr>
          </w:p>
        </w:tc>
        <w:tc>
          <w:tcPr>
            <w:tcW w:w="1151" w:type="pct"/>
            <w:vAlign w:val="center"/>
          </w:tcPr>
          <w:p w14:paraId="0DE40510">
            <w:pPr>
              <w:keepNext/>
              <w:spacing w:line="360" w:lineRule="auto"/>
              <w:jc w:val="center"/>
              <w:rPr>
                <w:rFonts w:cs="宋体"/>
                <w:szCs w:val="21"/>
                <w:highlight w:val="none"/>
              </w:rPr>
            </w:pPr>
          </w:p>
        </w:tc>
      </w:tr>
      <w:tr w14:paraId="1A3C0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223B14DB">
            <w:pPr>
              <w:keepNext/>
              <w:spacing w:line="360" w:lineRule="auto"/>
              <w:jc w:val="center"/>
              <w:rPr>
                <w:rFonts w:cs="宋体"/>
                <w:szCs w:val="21"/>
                <w:highlight w:val="none"/>
              </w:rPr>
            </w:pPr>
          </w:p>
        </w:tc>
        <w:tc>
          <w:tcPr>
            <w:tcW w:w="627" w:type="pct"/>
            <w:tcBorders>
              <w:bottom w:val="single" w:color="auto" w:sz="12" w:space="0"/>
            </w:tcBorders>
            <w:vAlign w:val="center"/>
          </w:tcPr>
          <w:p w14:paraId="36376B94">
            <w:pPr>
              <w:keepNext/>
              <w:spacing w:line="360" w:lineRule="auto"/>
              <w:jc w:val="center"/>
              <w:rPr>
                <w:rFonts w:cs="宋体"/>
                <w:szCs w:val="21"/>
                <w:highlight w:val="none"/>
              </w:rPr>
            </w:pPr>
          </w:p>
        </w:tc>
        <w:tc>
          <w:tcPr>
            <w:tcW w:w="502" w:type="pct"/>
            <w:tcBorders>
              <w:bottom w:val="single" w:color="auto" w:sz="12" w:space="0"/>
            </w:tcBorders>
            <w:vAlign w:val="center"/>
          </w:tcPr>
          <w:p w14:paraId="4C02183F">
            <w:pPr>
              <w:keepNext/>
              <w:spacing w:line="360" w:lineRule="auto"/>
              <w:jc w:val="center"/>
              <w:rPr>
                <w:rFonts w:cs="宋体"/>
                <w:szCs w:val="21"/>
                <w:highlight w:val="none"/>
              </w:rPr>
            </w:pPr>
          </w:p>
        </w:tc>
        <w:tc>
          <w:tcPr>
            <w:tcW w:w="502" w:type="pct"/>
            <w:tcBorders>
              <w:bottom w:val="single" w:color="auto" w:sz="12" w:space="0"/>
            </w:tcBorders>
            <w:vAlign w:val="center"/>
          </w:tcPr>
          <w:p w14:paraId="35265A09">
            <w:pPr>
              <w:keepNext/>
              <w:spacing w:line="360" w:lineRule="auto"/>
              <w:jc w:val="center"/>
              <w:rPr>
                <w:rFonts w:cs="宋体"/>
                <w:szCs w:val="21"/>
                <w:highlight w:val="none"/>
              </w:rPr>
            </w:pPr>
          </w:p>
        </w:tc>
        <w:tc>
          <w:tcPr>
            <w:tcW w:w="1281" w:type="pct"/>
            <w:tcBorders>
              <w:bottom w:val="single" w:color="auto" w:sz="12" w:space="0"/>
            </w:tcBorders>
            <w:vAlign w:val="center"/>
          </w:tcPr>
          <w:p w14:paraId="74F705B1">
            <w:pPr>
              <w:keepNext/>
              <w:spacing w:line="360" w:lineRule="auto"/>
              <w:jc w:val="center"/>
              <w:rPr>
                <w:rFonts w:cs="宋体"/>
                <w:szCs w:val="21"/>
                <w:highlight w:val="none"/>
              </w:rPr>
            </w:pPr>
          </w:p>
        </w:tc>
        <w:tc>
          <w:tcPr>
            <w:tcW w:w="1151" w:type="pct"/>
            <w:tcBorders>
              <w:bottom w:val="single" w:color="auto" w:sz="12" w:space="0"/>
            </w:tcBorders>
            <w:vAlign w:val="center"/>
          </w:tcPr>
          <w:p w14:paraId="6F333A35">
            <w:pPr>
              <w:keepNext/>
              <w:spacing w:line="360" w:lineRule="auto"/>
              <w:jc w:val="center"/>
              <w:rPr>
                <w:rFonts w:cs="宋体"/>
                <w:szCs w:val="21"/>
                <w:highlight w:val="none"/>
              </w:rPr>
            </w:pPr>
          </w:p>
        </w:tc>
      </w:tr>
    </w:tbl>
    <w:p w14:paraId="22B8EB6A">
      <w:pPr>
        <w:spacing w:before="312" w:beforeLines="100" w:after="312" w:afterLines="100"/>
        <w:outlineLvl w:val="2"/>
        <w:rPr>
          <w:rFonts w:ascii="Times New Roman" w:eastAsia="黑体"/>
          <w:highlight w:val="none"/>
        </w:rPr>
      </w:pPr>
      <w:r>
        <w:rPr>
          <w:rFonts w:hint="eastAsia" w:cs="宋体"/>
          <w:bCs/>
          <w:highlight w:val="none"/>
        </w:rPr>
        <w:br w:type="page"/>
      </w:r>
      <w:bookmarkStart w:id="648" w:name="_Toc128950242"/>
      <w:r>
        <w:rPr>
          <w:rFonts w:hint="eastAsia" w:ascii="Times New Roman" w:eastAsia="黑体"/>
          <w:highlight w:val="none"/>
        </w:rPr>
        <w:t>附</w:t>
      </w:r>
      <w:bookmarkStart w:id="649" w:name="_Toc296346730"/>
      <w:bookmarkStart w:id="650" w:name="_Toc296347228"/>
      <w:bookmarkStart w:id="651" w:name="_Toc296503229"/>
      <w:bookmarkStart w:id="652" w:name="_Toc296944568"/>
      <w:bookmarkStart w:id="653" w:name="_Toc296891269"/>
      <w:bookmarkStart w:id="654" w:name="_Toc296891057"/>
      <w:r>
        <w:rPr>
          <w:rFonts w:hint="eastAsia" w:ascii="Times New Roman" w:eastAsia="黑体"/>
          <w:highlight w:val="none"/>
        </w:rPr>
        <w:t>件</w:t>
      </w:r>
      <w:r>
        <w:rPr>
          <w:rFonts w:ascii="Times New Roman" w:eastAsia="黑体"/>
          <w:highlight w:val="none"/>
        </w:rPr>
        <w:t>7</w:t>
      </w:r>
      <w:r>
        <w:rPr>
          <w:rFonts w:hint="eastAsia" w:ascii="Times New Roman" w:eastAsia="黑体"/>
          <w:highlight w:val="none"/>
        </w:rPr>
        <w:t>：分包人主要施工管理人员表</w:t>
      </w:r>
      <w:bookmarkEnd w:id="648"/>
    </w:p>
    <w:bookmarkEnd w:id="649"/>
    <w:bookmarkEnd w:id="650"/>
    <w:bookmarkEnd w:id="651"/>
    <w:bookmarkEnd w:id="652"/>
    <w:bookmarkEnd w:id="653"/>
    <w:bookmarkEnd w:id="654"/>
    <w:p w14:paraId="18EDA466">
      <w:pPr>
        <w:spacing w:before="156" w:beforeLines="50" w:after="156" w:afterLines="50" w:line="360" w:lineRule="auto"/>
        <w:jc w:val="center"/>
        <w:rPr>
          <w:rFonts w:cs="宋体"/>
          <w:b/>
          <w:szCs w:val="21"/>
          <w:highlight w:val="none"/>
        </w:rPr>
      </w:pPr>
      <w:r>
        <w:rPr>
          <w:rFonts w:hint="eastAsia" w:cs="宋体"/>
          <w:b/>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DC6B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2B95109">
            <w:pPr>
              <w:keepNext/>
              <w:spacing w:line="360" w:lineRule="auto"/>
              <w:jc w:val="center"/>
              <w:rPr>
                <w:rFonts w:cs="宋体"/>
                <w:szCs w:val="21"/>
                <w:highlight w:val="none"/>
              </w:rPr>
            </w:pPr>
            <w:r>
              <w:rPr>
                <w:rFonts w:hint="eastAsia" w:cs="宋体"/>
                <w:szCs w:val="21"/>
                <w:highlight w:val="none"/>
              </w:rPr>
              <w:t>名称</w:t>
            </w:r>
          </w:p>
        </w:tc>
        <w:tc>
          <w:tcPr>
            <w:tcW w:w="641" w:type="pct"/>
            <w:tcBorders>
              <w:top w:val="single" w:color="auto" w:sz="12" w:space="0"/>
              <w:bottom w:val="double" w:color="auto" w:sz="6" w:space="0"/>
            </w:tcBorders>
            <w:vAlign w:val="center"/>
          </w:tcPr>
          <w:p w14:paraId="3AF425D0">
            <w:pPr>
              <w:keepNext/>
              <w:spacing w:line="360" w:lineRule="auto"/>
              <w:jc w:val="center"/>
              <w:rPr>
                <w:rFonts w:cs="宋体"/>
                <w:szCs w:val="21"/>
                <w:highlight w:val="none"/>
              </w:rPr>
            </w:pPr>
            <w:r>
              <w:rPr>
                <w:rFonts w:hint="eastAsia" w:cs="宋体"/>
                <w:szCs w:val="21"/>
                <w:highlight w:val="none"/>
              </w:rPr>
              <w:t>姓名</w:t>
            </w:r>
          </w:p>
        </w:tc>
        <w:tc>
          <w:tcPr>
            <w:tcW w:w="513" w:type="pct"/>
            <w:tcBorders>
              <w:top w:val="single" w:color="auto" w:sz="12" w:space="0"/>
              <w:bottom w:val="double" w:color="auto" w:sz="6" w:space="0"/>
            </w:tcBorders>
            <w:vAlign w:val="center"/>
          </w:tcPr>
          <w:p w14:paraId="0099A09B">
            <w:pPr>
              <w:keepNext/>
              <w:spacing w:line="360" w:lineRule="auto"/>
              <w:jc w:val="center"/>
              <w:rPr>
                <w:rFonts w:cs="宋体"/>
                <w:szCs w:val="21"/>
                <w:highlight w:val="none"/>
              </w:rPr>
            </w:pPr>
            <w:r>
              <w:rPr>
                <w:rFonts w:hint="eastAsia" w:cs="宋体"/>
                <w:szCs w:val="21"/>
                <w:highlight w:val="none"/>
              </w:rPr>
              <w:t>职务</w:t>
            </w:r>
          </w:p>
        </w:tc>
        <w:tc>
          <w:tcPr>
            <w:tcW w:w="373" w:type="pct"/>
            <w:tcBorders>
              <w:top w:val="single" w:color="auto" w:sz="12" w:space="0"/>
              <w:bottom w:val="double" w:color="auto" w:sz="6" w:space="0"/>
            </w:tcBorders>
            <w:vAlign w:val="center"/>
          </w:tcPr>
          <w:p w14:paraId="0E9D1F06">
            <w:pPr>
              <w:keepNext/>
              <w:spacing w:line="360" w:lineRule="auto"/>
              <w:jc w:val="center"/>
              <w:rPr>
                <w:rFonts w:cs="宋体"/>
                <w:szCs w:val="21"/>
                <w:highlight w:val="none"/>
              </w:rPr>
            </w:pPr>
            <w:r>
              <w:rPr>
                <w:rFonts w:hint="eastAsia" w:cs="宋体"/>
                <w:szCs w:val="21"/>
                <w:highlight w:val="none"/>
              </w:rPr>
              <w:t>职称</w:t>
            </w:r>
          </w:p>
        </w:tc>
        <w:tc>
          <w:tcPr>
            <w:tcW w:w="1889" w:type="pct"/>
            <w:tcBorders>
              <w:top w:val="single" w:color="auto" w:sz="12" w:space="0"/>
              <w:bottom w:val="double" w:color="auto" w:sz="6" w:space="0"/>
            </w:tcBorders>
            <w:vAlign w:val="center"/>
          </w:tcPr>
          <w:p w14:paraId="2C95490A">
            <w:pPr>
              <w:keepNext/>
              <w:spacing w:line="360" w:lineRule="auto"/>
              <w:jc w:val="center"/>
              <w:rPr>
                <w:rFonts w:cs="宋体"/>
                <w:szCs w:val="21"/>
                <w:highlight w:val="none"/>
              </w:rPr>
            </w:pPr>
            <w:r>
              <w:rPr>
                <w:rFonts w:hint="eastAsia" w:cs="宋体"/>
                <w:szCs w:val="21"/>
                <w:highlight w:val="none"/>
              </w:rPr>
              <w:t>主要资历、经验及承担过的项目</w:t>
            </w:r>
          </w:p>
        </w:tc>
        <w:tc>
          <w:tcPr>
            <w:tcW w:w="739" w:type="pct"/>
            <w:tcBorders>
              <w:top w:val="single" w:color="auto" w:sz="12" w:space="0"/>
              <w:bottom w:val="double" w:color="auto" w:sz="6" w:space="0"/>
            </w:tcBorders>
            <w:vAlign w:val="center"/>
          </w:tcPr>
          <w:p w14:paraId="49966973">
            <w:pPr>
              <w:keepNext/>
              <w:spacing w:line="360" w:lineRule="auto"/>
              <w:jc w:val="center"/>
              <w:rPr>
                <w:rFonts w:cs="宋体"/>
                <w:szCs w:val="21"/>
                <w:highlight w:val="none"/>
              </w:rPr>
            </w:pPr>
            <w:r>
              <w:rPr>
                <w:rFonts w:hint="eastAsia" w:cs="宋体"/>
                <w:szCs w:val="21"/>
                <w:highlight w:val="none"/>
              </w:rPr>
              <w:t>身份证号码</w:t>
            </w:r>
          </w:p>
        </w:tc>
      </w:tr>
      <w:tr w14:paraId="6E93F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1A3186EC">
            <w:pPr>
              <w:keepNext/>
              <w:spacing w:line="360" w:lineRule="auto"/>
              <w:jc w:val="center"/>
              <w:rPr>
                <w:rFonts w:cs="宋体"/>
                <w:szCs w:val="21"/>
                <w:highlight w:val="none"/>
              </w:rPr>
            </w:pPr>
            <w:r>
              <w:rPr>
                <w:rFonts w:hint="eastAsia" w:cs="宋体"/>
                <w:szCs w:val="21"/>
                <w:highlight w:val="none"/>
              </w:rPr>
              <w:t>一、总部人员</w:t>
            </w:r>
          </w:p>
        </w:tc>
        <w:tc>
          <w:tcPr>
            <w:tcW w:w="739" w:type="pct"/>
            <w:tcBorders>
              <w:top w:val="double" w:color="auto" w:sz="6" w:space="0"/>
            </w:tcBorders>
            <w:vAlign w:val="center"/>
          </w:tcPr>
          <w:p w14:paraId="12E857DB">
            <w:pPr>
              <w:keepNext/>
              <w:spacing w:line="360" w:lineRule="auto"/>
              <w:jc w:val="center"/>
              <w:rPr>
                <w:rFonts w:cs="宋体"/>
                <w:szCs w:val="21"/>
                <w:highlight w:val="none"/>
              </w:rPr>
            </w:pPr>
          </w:p>
        </w:tc>
      </w:tr>
      <w:tr w14:paraId="3D248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tcBorders>
              <w:top w:val="nil"/>
              <w:bottom w:val="nil"/>
            </w:tcBorders>
            <w:vAlign w:val="center"/>
          </w:tcPr>
          <w:p w14:paraId="226D7C76">
            <w:pPr>
              <w:keepNext/>
              <w:spacing w:line="360" w:lineRule="auto"/>
              <w:jc w:val="center"/>
              <w:rPr>
                <w:rFonts w:cs="宋体"/>
                <w:szCs w:val="21"/>
                <w:highlight w:val="none"/>
              </w:rPr>
            </w:pPr>
            <w:r>
              <w:rPr>
                <w:rFonts w:hint="eastAsia" w:cs="宋体"/>
                <w:szCs w:val="21"/>
                <w:highlight w:val="none"/>
              </w:rPr>
              <w:t>项目主管</w:t>
            </w:r>
          </w:p>
        </w:tc>
        <w:tc>
          <w:tcPr>
            <w:tcW w:w="641" w:type="pct"/>
            <w:tcBorders>
              <w:top w:val="nil"/>
            </w:tcBorders>
            <w:vAlign w:val="center"/>
          </w:tcPr>
          <w:p w14:paraId="22858B85">
            <w:pPr>
              <w:keepNext/>
              <w:spacing w:line="360" w:lineRule="auto"/>
              <w:jc w:val="center"/>
              <w:rPr>
                <w:rFonts w:cs="宋体"/>
                <w:szCs w:val="21"/>
                <w:highlight w:val="none"/>
              </w:rPr>
            </w:pPr>
          </w:p>
        </w:tc>
        <w:tc>
          <w:tcPr>
            <w:tcW w:w="513" w:type="pct"/>
            <w:tcBorders>
              <w:top w:val="nil"/>
            </w:tcBorders>
            <w:vAlign w:val="center"/>
          </w:tcPr>
          <w:p w14:paraId="532C9C00">
            <w:pPr>
              <w:keepNext/>
              <w:spacing w:line="360" w:lineRule="auto"/>
              <w:jc w:val="center"/>
              <w:rPr>
                <w:rFonts w:cs="宋体"/>
                <w:szCs w:val="21"/>
                <w:highlight w:val="none"/>
              </w:rPr>
            </w:pPr>
          </w:p>
        </w:tc>
        <w:tc>
          <w:tcPr>
            <w:tcW w:w="373" w:type="pct"/>
            <w:tcBorders>
              <w:top w:val="nil"/>
            </w:tcBorders>
            <w:vAlign w:val="center"/>
          </w:tcPr>
          <w:p w14:paraId="756554F0">
            <w:pPr>
              <w:keepNext/>
              <w:spacing w:line="360" w:lineRule="auto"/>
              <w:jc w:val="center"/>
              <w:rPr>
                <w:rFonts w:cs="宋体"/>
                <w:szCs w:val="21"/>
                <w:highlight w:val="none"/>
              </w:rPr>
            </w:pPr>
          </w:p>
        </w:tc>
        <w:tc>
          <w:tcPr>
            <w:tcW w:w="1889" w:type="pct"/>
            <w:tcBorders>
              <w:top w:val="nil"/>
            </w:tcBorders>
            <w:vAlign w:val="center"/>
          </w:tcPr>
          <w:p w14:paraId="3AE54BF6">
            <w:pPr>
              <w:keepNext/>
              <w:spacing w:line="360" w:lineRule="auto"/>
              <w:jc w:val="center"/>
              <w:rPr>
                <w:rFonts w:cs="宋体"/>
                <w:szCs w:val="21"/>
                <w:highlight w:val="none"/>
              </w:rPr>
            </w:pPr>
          </w:p>
        </w:tc>
        <w:tc>
          <w:tcPr>
            <w:tcW w:w="739" w:type="pct"/>
            <w:tcBorders>
              <w:top w:val="nil"/>
            </w:tcBorders>
            <w:vAlign w:val="center"/>
          </w:tcPr>
          <w:p w14:paraId="7EEE3652">
            <w:pPr>
              <w:keepNext/>
              <w:spacing w:line="360" w:lineRule="auto"/>
              <w:jc w:val="center"/>
              <w:rPr>
                <w:rFonts w:cs="宋体"/>
                <w:szCs w:val="21"/>
                <w:highlight w:val="none"/>
              </w:rPr>
            </w:pPr>
          </w:p>
        </w:tc>
      </w:tr>
      <w:tr w14:paraId="7130D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3944B30C">
            <w:pPr>
              <w:keepNext/>
              <w:spacing w:line="360" w:lineRule="auto"/>
              <w:jc w:val="center"/>
              <w:rPr>
                <w:rFonts w:cs="宋体"/>
                <w:szCs w:val="21"/>
                <w:highlight w:val="none"/>
              </w:rPr>
            </w:pPr>
            <w:r>
              <w:rPr>
                <w:rFonts w:hint="eastAsia" w:cs="宋体"/>
                <w:szCs w:val="21"/>
                <w:highlight w:val="none"/>
              </w:rPr>
              <w:t>其他人员</w:t>
            </w:r>
          </w:p>
        </w:tc>
        <w:tc>
          <w:tcPr>
            <w:tcW w:w="641" w:type="pct"/>
            <w:vAlign w:val="center"/>
          </w:tcPr>
          <w:p w14:paraId="0CD03491">
            <w:pPr>
              <w:keepNext/>
              <w:spacing w:line="360" w:lineRule="auto"/>
              <w:jc w:val="center"/>
              <w:rPr>
                <w:rFonts w:cs="宋体"/>
                <w:szCs w:val="21"/>
                <w:highlight w:val="none"/>
              </w:rPr>
            </w:pPr>
          </w:p>
        </w:tc>
        <w:tc>
          <w:tcPr>
            <w:tcW w:w="513" w:type="pct"/>
            <w:vAlign w:val="center"/>
          </w:tcPr>
          <w:p w14:paraId="783535D9">
            <w:pPr>
              <w:keepNext/>
              <w:spacing w:line="360" w:lineRule="auto"/>
              <w:jc w:val="center"/>
              <w:rPr>
                <w:rFonts w:cs="宋体"/>
                <w:szCs w:val="21"/>
                <w:highlight w:val="none"/>
              </w:rPr>
            </w:pPr>
          </w:p>
        </w:tc>
        <w:tc>
          <w:tcPr>
            <w:tcW w:w="373" w:type="pct"/>
            <w:vAlign w:val="center"/>
          </w:tcPr>
          <w:p w14:paraId="1EB77218">
            <w:pPr>
              <w:keepNext/>
              <w:spacing w:line="360" w:lineRule="auto"/>
              <w:jc w:val="center"/>
              <w:rPr>
                <w:rFonts w:cs="宋体"/>
                <w:szCs w:val="21"/>
                <w:highlight w:val="none"/>
              </w:rPr>
            </w:pPr>
          </w:p>
        </w:tc>
        <w:tc>
          <w:tcPr>
            <w:tcW w:w="1889" w:type="pct"/>
            <w:vAlign w:val="center"/>
          </w:tcPr>
          <w:p w14:paraId="1A9CF1A2">
            <w:pPr>
              <w:keepNext/>
              <w:spacing w:line="360" w:lineRule="auto"/>
              <w:jc w:val="center"/>
              <w:rPr>
                <w:rFonts w:cs="宋体"/>
                <w:szCs w:val="21"/>
                <w:highlight w:val="none"/>
              </w:rPr>
            </w:pPr>
          </w:p>
        </w:tc>
        <w:tc>
          <w:tcPr>
            <w:tcW w:w="739" w:type="pct"/>
            <w:vAlign w:val="center"/>
          </w:tcPr>
          <w:p w14:paraId="6E9A83AA">
            <w:pPr>
              <w:keepNext/>
              <w:spacing w:line="360" w:lineRule="auto"/>
              <w:jc w:val="center"/>
              <w:rPr>
                <w:rFonts w:cs="宋体"/>
                <w:szCs w:val="21"/>
                <w:highlight w:val="none"/>
              </w:rPr>
            </w:pPr>
          </w:p>
        </w:tc>
      </w:tr>
      <w:tr w14:paraId="6C228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FEA0171">
            <w:pPr>
              <w:keepNext/>
              <w:spacing w:line="360" w:lineRule="auto"/>
              <w:jc w:val="center"/>
              <w:rPr>
                <w:rFonts w:cs="宋体"/>
                <w:szCs w:val="21"/>
                <w:highlight w:val="none"/>
              </w:rPr>
            </w:pPr>
          </w:p>
        </w:tc>
        <w:tc>
          <w:tcPr>
            <w:tcW w:w="641" w:type="pct"/>
            <w:vAlign w:val="center"/>
          </w:tcPr>
          <w:p w14:paraId="06B3B02A">
            <w:pPr>
              <w:keepNext/>
              <w:spacing w:line="360" w:lineRule="auto"/>
              <w:jc w:val="center"/>
              <w:rPr>
                <w:rFonts w:cs="宋体"/>
                <w:szCs w:val="21"/>
                <w:highlight w:val="none"/>
              </w:rPr>
            </w:pPr>
          </w:p>
        </w:tc>
        <w:tc>
          <w:tcPr>
            <w:tcW w:w="513" w:type="pct"/>
            <w:vAlign w:val="center"/>
          </w:tcPr>
          <w:p w14:paraId="6FFA4462">
            <w:pPr>
              <w:keepNext/>
              <w:spacing w:line="360" w:lineRule="auto"/>
              <w:jc w:val="center"/>
              <w:rPr>
                <w:rFonts w:cs="宋体"/>
                <w:szCs w:val="21"/>
                <w:highlight w:val="none"/>
              </w:rPr>
            </w:pPr>
          </w:p>
        </w:tc>
        <w:tc>
          <w:tcPr>
            <w:tcW w:w="373" w:type="pct"/>
            <w:vAlign w:val="center"/>
          </w:tcPr>
          <w:p w14:paraId="4CF40107">
            <w:pPr>
              <w:keepNext/>
              <w:spacing w:line="360" w:lineRule="auto"/>
              <w:jc w:val="center"/>
              <w:rPr>
                <w:rFonts w:cs="宋体"/>
                <w:szCs w:val="21"/>
                <w:highlight w:val="none"/>
              </w:rPr>
            </w:pPr>
          </w:p>
        </w:tc>
        <w:tc>
          <w:tcPr>
            <w:tcW w:w="1889" w:type="pct"/>
            <w:vAlign w:val="center"/>
          </w:tcPr>
          <w:p w14:paraId="6647A255">
            <w:pPr>
              <w:keepNext/>
              <w:spacing w:line="360" w:lineRule="auto"/>
              <w:jc w:val="center"/>
              <w:rPr>
                <w:rFonts w:cs="宋体"/>
                <w:szCs w:val="21"/>
                <w:highlight w:val="none"/>
              </w:rPr>
            </w:pPr>
          </w:p>
        </w:tc>
        <w:tc>
          <w:tcPr>
            <w:tcW w:w="739" w:type="pct"/>
            <w:vAlign w:val="center"/>
          </w:tcPr>
          <w:p w14:paraId="127DE090">
            <w:pPr>
              <w:keepNext/>
              <w:spacing w:line="360" w:lineRule="auto"/>
              <w:jc w:val="center"/>
              <w:rPr>
                <w:rFonts w:cs="宋体"/>
                <w:szCs w:val="21"/>
                <w:highlight w:val="none"/>
              </w:rPr>
            </w:pPr>
          </w:p>
        </w:tc>
      </w:tr>
      <w:tr w14:paraId="2E0B7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AA37EED">
            <w:pPr>
              <w:keepNext/>
              <w:spacing w:line="360" w:lineRule="auto"/>
              <w:jc w:val="center"/>
              <w:rPr>
                <w:rFonts w:cs="宋体"/>
                <w:szCs w:val="21"/>
                <w:highlight w:val="none"/>
              </w:rPr>
            </w:pPr>
          </w:p>
        </w:tc>
        <w:tc>
          <w:tcPr>
            <w:tcW w:w="641" w:type="pct"/>
            <w:vAlign w:val="center"/>
          </w:tcPr>
          <w:p w14:paraId="0ADC963B">
            <w:pPr>
              <w:keepNext/>
              <w:spacing w:line="360" w:lineRule="auto"/>
              <w:jc w:val="center"/>
              <w:rPr>
                <w:rFonts w:cs="宋体"/>
                <w:szCs w:val="21"/>
                <w:highlight w:val="none"/>
              </w:rPr>
            </w:pPr>
          </w:p>
        </w:tc>
        <w:tc>
          <w:tcPr>
            <w:tcW w:w="513" w:type="pct"/>
            <w:vAlign w:val="center"/>
          </w:tcPr>
          <w:p w14:paraId="359718BA">
            <w:pPr>
              <w:keepNext/>
              <w:spacing w:line="360" w:lineRule="auto"/>
              <w:jc w:val="center"/>
              <w:rPr>
                <w:rFonts w:cs="宋体"/>
                <w:szCs w:val="21"/>
                <w:highlight w:val="none"/>
              </w:rPr>
            </w:pPr>
          </w:p>
        </w:tc>
        <w:tc>
          <w:tcPr>
            <w:tcW w:w="373" w:type="pct"/>
            <w:vAlign w:val="center"/>
          </w:tcPr>
          <w:p w14:paraId="2C62F7A3">
            <w:pPr>
              <w:keepNext/>
              <w:spacing w:line="360" w:lineRule="auto"/>
              <w:jc w:val="center"/>
              <w:rPr>
                <w:rFonts w:cs="宋体"/>
                <w:szCs w:val="21"/>
                <w:highlight w:val="none"/>
              </w:rPr>
            </w:pPr>
          </w:p>
        </w:tc>
        <w:tc>
          <w:tcPr>
            <w:tcW w:w="1889" w:type="pct"/>
            <w:vAlign w:val="center"/>
          </w:tcPr>
          <w:p w14:paraId="7EAE7615">
            <w:pPr>
              <w:keepNext/>
              <w:spacing w:line="360" w:lineRule="auto"/>
              <w:jc w:val="center"/>
              <w:rPr>
                <w:rFonts w:cs="宋体"/>
                <w:szCs w:val="21"/>
                <w:highlight w:val="none"/>
              </w:rPr>
            </w:pPr>
          </w:p>
        </w:tc>
        <w:tc>
          <w:tcPr>
            <w:tcW w:w="739" w:type="pct"/>
            <w:vAlign w:val="center"/>
          </w:tcPr>
          <w:p w14:paraId="230F81F1">
            <w:pPr>
              <w:keepNext/>
              <w:spacing w:line="360" w:lineRule="auto"/>
              <w:jc w:val="center"/>
              <w:rPr>
                <w:rFonts w:cs="宋体"/>
                <w:szCs w:val="21"/>
                <w:highlight w:val="none"/>
              </w:rPr>
            </w:pPr>
          </w:p>
        </w:tc>
      </w:tr>
      <w:tr w14:paraId="29FBB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727DAB9D">
            <w:pPr>
              <w:keepNext/>
              <w:spacing w:line="360" w:lineRule="auto"/>
              <w:jc w:val="center"/>
              <w:rPr>
                <w:rFonts w:cs="宋体"/>
                <w:szCs w:val="21"/>
                <w:highlight w:val="none"/>
              </w:rPr>
            </w:pPr>
            <w:r>
              <w:rPr>
                <w:rFonts w:hint="eastAsia" w:cs="宋体"/>
                <w:szCs w:val="21"/>
                <w:highlight w:val="none"/>
              </w:rPr>
              <w:t>二、现场人员</w:t>
            </w:r>
          </w:p>
        </w:tc>
        <w:tc>
          <w:tcPr>
            <w:tcW w:w="739" w:type="pct"/>
            <w:vAlign w:val="center"/>
          </w:tcPr>
          <w:p w14:paraId="51B0267E">
            <w:pPr>
              <w:keepNext/>
              <w:spacing w:line="360" w:lineRule="auto"/>
              <w:jc w:val="center"/>
              <w:rPr>
                <w:rFonts w:cs="宋体"/>
                <w:szCs w:val="21"/>
                <w:highlight w:val="none"/>
              </w:rPr>
            </w:pPr>
          </w:p>
        </w:tc>
      </w:tr>
      <w:tr w14:paraId="2137B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334BF7FE">
            <w:pPr>
              <w:spacing w:line="360" w:lineRule="auto"/>
              <w:jc w:val="center"/>
              <w:rPr>
                <w:rFonts w:cs="宋体"/>
                <w:szCs w:val="22"/>
                <w:highlight w:val="none"/>
              </w:rPr>
            </w:pPr>
            <w:r>
              <w:rPr>
                <w:rFonts w:hint="eastAsia" w:cs="宋体"/>
                <w:szCs w:val="22"/>
                <w:highlight w:val="none"/>
              </w:rPr>
              <w:t>项目经理</w:t>
            </w:r>
          </w:p>
        </w:tc>
        <w:tc>
          <w:tcPr>
            <w:tcW w:w="641" w:type="pct"/>
            <w:vAlign w:val="center"/>
          </w:tcPr>
          <w:p w14:paraId="4F2FF0DA">
            <w:pPr>
              <w:keepNext/>
              <w:spacing w:line="360" w:lineRule="auto"/>
              <w:jc w:val="center"/>
              <w:rPr>
                <w:rFonts w:cs="宋体"/>
                <w:szCs w:val="21"/>
                <w:highlight w:val="none"/>
              </w:rPr>
            </w:pPr>
          </w:p>
        </w:tc>
        <w:tc>
          <w:tcPr>
            <w:tcW w:w="513" w:type="pct"/>
            <w:vAlign w:val="center"/>
          </w:tcPr>
          <w:p w14:paraId="6D7D472E">
            <w:pPr>
              <w:keepNext/>
              <w:spacing w:line="360" w:lineRule="auto"/>
              <w:jc w:val="center"/>
              <w:rPr>
                <w:rFonts w:cs="宋体"/>
                <w:szCs w:val="21"/>
                <w:highlight w:val="none"/>
              </w:rPr>
            </w:pPr>
          </w:p>
        </w:tc>
        <w:tc>
          <w:tcPr>
            <w:tcW w:w="373" w:type="pct"/>
            <w:vAlign w:val="center"/>
          </w:tcPr>
          <w:p w14:paraId="2F119CD1">
            <w:pPr>
              <w:keepNext/>
              <w:spacing w:line="360" w:lineRule="auto"/>
              <w:jc w:val="center"/>
              <w:rPr>
                <w:rFonts w:cs="宋体"/>
                <w:szCs w:val="21"/>
                <w:highlight w:val="none"/>
              </w:rPr>
            </w:pPr>
          </w:p>
        </w:tc>
        <w:tc>
          <w:tcPr>
            <w:tcW w:w="1889" w:type="pct"/>
            <w:vAlign w:val="center"/>
          </w:tcPr>
          <w:p w14:paraId="3F03967F">
            <w:pPr>
              <w:keepNext/>
              <w:spacing w:line="360" w:lineRule="auto"/>
              <w:jc w:val="center"/>
              <w:rPr>
                <w:rFonts w:cs="宋体"/>
                <w:szCs w:val="21"/>
                <w:highlight w:val="none"/>
              </w:rPr>
            </w:pPr>
          </w:p>
        </w:tc>
        <w:tc>
          <w:tcPr>
            <w:tcW w:w="739" w:type="pct"/>
            <w:vAlign w:val="center"/>
          </w:tcPr>
          <w:p w14:paraId="0AF05295">
            <w:pPr>
              <w:keepNext/>
              <w:spacing w:line="360" w:lineRule="auto"/>
              <w:jc w:val="center"/>
              <w:rPr>
                <w:rFonts w:cs="宋体"/>
                <w:szCs w:val="21"/>
                <w:highlight w:val="none"/>
              </w:rPr>
            </w:pPr>
          </w:p>
        </w:tc>
      </w:tr>
      <w:tr w14:paraId="43102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F3BDD47">
            <w:pPr>
              <w:spacing w:line="360" w:lineRule="auto"/>
              <w:jc w:val="center"/>
              <w:rPr>
                <w:rFonts w:cs="宋体"/>
                <w:szCs w:val="22"/>
                <w:highlight w:val="none"/>
              </w:rPr>
            </w:pPr>
            <w:r>
              <w:rPr>
                <w:rFonts w:hint="eastAsia" w:cs="宋体"/>
                <w:szCs w:val="22"/>
                <w:highlight w:val="none"/>
              </w:rPr>
              <w:t>项目副经理</w:t>
            </w:r>
          </w:p>
        </w:tc>
        <w:tc>
          <w:tcPr>
            <w:tcW w:w="641" w:type="pct"/>
            <w:vAlign w:val="center"/>
          </w:tcPr>
          <w:p w14:paraId="4E60BA89">
            <w:pPr>
              <w:keepNext/>
              <w:spacing w:line="360" w:lineRule="auto"/>
              <w:jc w:val="center"/>
              <w:rPr>
                <w:rFonts w:cs="宋体"/>
                <w:szCs w:val="21"/>
                <w:highlight w:val="none"/>
              </w:rPr>
            </w:pPr>
          </w:p>
        </w:tc>
        <w:tc>
          <w:tcPr>
            <w:tcW w:w="513" w:type="pct"/>
            <w:vAlign w:val="center"/>
          </w:tcPr>
          <w:p w14:paraId="25C40BD5">
            <w:pPr>
              <w:keepNext/>
              <w:spacing w:line="360" w:lineRule="auto"/>
              <w:jc w:val="center"/>
              <w:rPr>
                <w:rFonts w:cs="宋体"/>
                <w:szCs w:val="21"/>
                <w:highlight w:val="none"/>
              </w:rPr>
            </w:pPr>
          </w:p>
        </w:tc>
        <w:tc>
          <w:tcPr>
            <w:tcW w:w="373" w:type="pct"/>
            <w:vAlign w:val="center"/>
          </w:tcPr>
          <w:p w14:paraId="7DF62112">
            <w:pPr>
              <w:keepNext/>
              <w:spacing w:line="360" w:lineRule="auto"/>
              <w:jc w:val="center"/>
              <w:rPr>
                <w:rFonts w:cs="宋体"/>
                <w:szCs w:val="21"/>
                <w:highlight w:val="none"/>
              </w:rPr>
            </w:pPr>
          </w:p>
        </w:tc>
        <w:tc>
          <w:tcPr>
            <w:tcW w:w="1889" w:type="pct"/>
            <w:vAlign w:val="center"/>
          </w:tcPr>
          <w:p w14:paraId="3FEC6FA1">
            <w:pPr>
              <w:keepNext/>
              <w:spacing w:line="360" w:lineRule="auto"/>
              <w:jc w:val="center"/>
              <w:rPr>
                <w:rFonts w:cs="宋体"/>
                <w:szCs w:val="21"/>
                <w:highlight w:val="none"/>
              </w:rPr>
            </w:pPr>
          </w:p>
        </w:tc>
        <w:tc>
          <w:tcPr>
            <w:tcW w:w="739" w:type="pct"/>
            <w:vAlign w:val="center"/>
          </w:tcPr>
          <w:p w14:paraId="745FC8F4">
            <w:pPr>
              <w:keepNext/>
              <w:spacing w:line="360" w:lineRule="auto"/>
              <w:jc w:val="center"/>
              <w:rPr>
                <w:rFonts w:cs="宋体"/>
                <w:szCs w:val="21"/>
                <w:highlight w:val="none"/>
              </w:rPr>
            </w:pPr>
          </w:p>
        </w:tc>
      </w:tr>
      <w:tr w14:paraId="30524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vAlign w:val="center"/>
          </w:tcPr>
          <w:p w14:paraId="16606444">
            <w:pPr>
              <w:spacing w:line="360" w:lineRule="auto"/>
              <w:jc w:val="center"/>
              <w:rPr>
                <w:rFonts w:cs="宋体"/>
                <w:szCs w:val="22"/>
                <w:highlight w:val="none"/>
              </w:rPr>
            </w:pPr>
            <w:r>
              <w:rPr>
                <w:rFonts w:hint="eastAsia" w:cs="宋体"/>
                <w:szCs w:val="22"/>
                <w:highlight w:val="none"/>
              </w:rPr>
              <w:t>项目技术负责人</w:t>
            </w:r>
          </w:p>
        </w:tc>
        <w:tc>
          <w:tcPr>
            <w:tcW w:w="641" w:type="pct"/>
            <w:vAlign w:val="center"/>
          </w:tcPr>
          <w:p w14:paraId="74440759">
            <w:pPr>
              <w:keepNext/>
              <w:spacing w:line="360" w:lineRule="auto"/>
              <w:jc w:val="center"/>
              <w:rPr>
                <w:rFonts w:cs="宋体"/>
                <w:szCs w:val="21"/>
                <w:highlight w:val="none"/>
              </w:rPr>
            </w:pPr>
          </w:p>
        </w:tc>
        <w:tc>
          <w:tcPr>
            <w:tcW w:w="513" w:type="pct"/>
            <w:vAlign w:val="center"/>
          </w:tcPr>
          <w:p w14:paraId="6036A704">
            <w:pPr>
              <w:keepNext/>
              <w:spacing w:line="360" w:lineRule="auto"/>
              <w:jc w:val="center"/>
              <w:rPr>
                <w:rFonts w:cs="宋体"/>
                <w:szCs w:val="21"/>
                <w:highlight w:val="none"/>
              </w:rPr>
            </w:pPr>
          </w:p>
        </w:tc>
        <w:tc>
          <w:tcPr>
            <w:tcW w:w="373" w:type="pct"/>
            <w:vAlign w:val="center"/>
          </w:tcPr>
          <w:p w14:paraId="77017FAF">
            <w:pPr>
              <w:keepNext/>
              <w:spacing w:line="360" w:lineRule="auto"/>
              <w:jc w:val="center"/>
              <w:rPr>
                <w:rFonts w:cs="宋体"/>
                <w:szCs w:val="21"/>
                <w:highlight w:val="none"/>
              </w:rPr>
            </w:pPr>
          </w:p>
        </w:tc>
        <w:tc>
          <w:tcPr>
            <w:tcW w:w="1889" w:type="pct"/>
            <w:vAlign w:val="center"/>
          </w:tcPr>
          <w:p w14:paraId="7F882E04">
            <w:pPr>
              <w:keepNext/>
              <w:spacing w:line="360" w:lineRule="auto"/>
              <w:jc w:val="center"/>
              <w:rPr>
                <w:rFonts w:cs="宋体"/>
                <w:szCs w:val="21"/>
                <w:highlight w:val="none"/>
              </w:rPr>
            </w:pPr>
          </w:p>
        </w:tc>
        <w:tc>
          <w:tcPr>
            <w:tcW w:w="739" w:type="pct"/>
            <w:vAlign w:val="center"/>
          </w:tcPr>
          <w:p w14:paraId="3FE52011">
            <w:pPr>
              <w:keepNext/>
              <w:spacing w:line="360" w:lineRule="auto"/>
              <w:jc w:val="center"/>
              <w:rPr>
                <w:rFonts w:cs="宋体"/>
                <w:szCs w:val="21"/>
                <w:highlight w:val="none"/>
              </w:rPr>
            </w:pPr>
          </w:p>
        </w:tc>
      </w:tr>
      <w:tr w14:paraId="41DDE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634F536">
            <w:pPr>
              <w:spacing w:line="360" w:lineRule="auto"/>
              <w:jc w:val="center"/>
              <w:rPr>
                <w:rFonts w:cs="宋体"/>
                <w:szCs w:val="22"/>
                <w:highlight w:val="none"/>
              </w:rPr>
            </w:pPr>
            <w:r>
              <w:rPr>
                <w:rFonts w:hint="eastAsia" w:cs="宋体"/>
                <w:szCs w:val="22"/>
                <w:highlight w:val="none"/>
              </w:rPr>
              <w:t>施工员</w:t>
            </w:r>
          </w:p>
        </w:tc>
        <w:tc>
          <w:tcPr>
            <w:tcW w:w="641" w:type="pct"/>
            <w:vAlign w:val="center"/>
          </w:tcPr>
          <w:p w14:paraId="1806989E">
            <w:pPr>
              <w:keepNext/>
              <w:spacing w:line="360" w:lineRule="auto"/>
              <w:jc w:val="center"/>
              <w:rPr>
                <w:rFonts w:cs="宋体"/>
                <w:szCs w:val="21"/>
                <w:highlight w:val="none"/>
              </w:rPr>
            </w:pPr>
          </w:p>
        </w:tc>
        <w:tc>
          <w:tcPr>
            <w:tcW w:w="513" w:type="pct"/>
            <w:vAlign w:val="center"/>
          </w:tcPr>
          <w:p w14:paraId="621A77F2">
            <w:pPr>
              <w:keepNext/>
              <w:spacing w:line="360" w:lineRule="auto"/>
              <w:jc w:val="center"/>
              <w:rPr>
                <w:rFonts w:cs="宋体"/>
                <w:szCs w:val="21"/>
                <w:highlight w:val="none"/>
              </w:rPr>
            </w:pPr>
          </w:p>
        </w:tc>
        <w:tc>
          <w:tcPr>
            <w:tcW w:w="373" w:type="pct"/>
            <w:vAlign w:val="center"/>
          </w:tcPr>
          <w:p w14:paraId="49A7C151">
            <w:pPr>
              <w:keepNext/>
              <w:spacing w:line="360" w:lineRule="auto"/>
              <w:jc w:val="center"/>
              <w:rPr>
                <w:rFonts w:cs="宋体"/>
                <w:szCs w:val="21"/>
                <w:highlight w:val="none"/>
              </w:rPr>
            </w:pPr>
          </w:p>
        </w:tc>
        <w:tc>
          <w:tcPr>
            <w:tcW w:w="1889" w:type="pct"/>
            <w:vAlign w:val="center"/>
          </w:tcPr>
          <w:p w14:paraId="4E6296E4">
            <w:pPr>
              <w:keepNext/>
              <w:spacing w:line="360" w:lineRule="auto"/>
              <w:jc w:val="center"/>
              <w:rPr>
                <w:rFonts w:cs="宋体"/>
                <w:szCs w:val="21"/>
                <w:highlight w:val="none"/>
              </w:rPr>
            </w:pPr>
          </w:p>
        </w:tc>
        <w:tc>
          <w:tcPr>
            <w:tcW w:w="739" w:type="pct"/>
            <w:vAlign w:val="center"/>
          </w:tcPr>
          <w:p w14:paraId="06A3D7F1">
            <w:pPr>
              <w:keepNext/>
              <w:spacing w:line="360" w:lineRule="auto"/>
              <w:jc w:val="center"/>
              <w:rPr>
                <w:rFonts w:cs="宋体"/>
                <w:szCs w:val="21"/>
                <w:highlight w:val="none"/>
              </w:rPr>
            </w:pPr>
          </w:p>
        </w:tc>
      </w:tr>
      <w:tr w14:paraId="69157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37749C9D">
            <w:pPr>
              <w:spacing w:line="360" w:lineRule="auto"/>
              <w:jc w:val="center"/>
              <w:rPr>
                <w:rFonts w:cs="宋体"/>
                <w:szCs w:val="22"/>
                <w:highlight w:val="none"/>
              </w:rPr>
            </w:pPr>
            <w:r>
              <w:rPr>
                <w:rFonts w:hint="eastAsia" w:cs="宋体"/>
                <w:szCs w:val="22"/>
                <w:highlight w:val="none"/>
              </w:rPr>
              <w:t>质检员（质量员）</w:t>
            </w:r>
          </w:p>
        </w:tc>
        <w:tc>
          <w:tcPr>
            <w:tcW w:w="641" w:type="pct"/>
            <w:vAlign w:val="center"/>
          </w:tcPr>
          <w:p w14:paraId="464D0F71">
            <w:pPr>
              <w:keepNext/>
              <w:spacing w:line="360" w:lineRule="auto"/>
              <w:jc w:val="center"/>
              <w:rPr>
                <w:rFonts w:cs="宋体"/>
                <w:szCs w:val="21"/>
                <w:highlight w:val="none"/>
              </w:rPr>
            </w:pPr>
          </w:p>
        </w:tc>
        <w:tc>
          <w:tcPr>
            <w:tcW w:w="513" w:type="pct"/>
            <w:vAlign w:val="center"/>
          </w:tcPr>
          <w:p w14:paraId="0B37F253">
            <w:pPr>
              <w:keepNext/>
              <w:spacing w:line="360" w:lineRule="auto"/>
              <w:jc w:val="center"/>
              <w:rPr>
                <w:rFonts w:cs="宋体"/>
                <w:szCs w:val="21"/>
                <w:highlight w:val="none"/>
              </w:rPr>
            </w:pPr>
          </w:p>
        </w:tc>
        <w:tc>
          <w:tcPr>
            <w:tcW w:w="373" w:type="pct"/>
            <w:vAlign w:val="center"/>
          </w:tcPr>
          <w:p w14:paraId="743B1DEA">
            <w:pPr>
              <w:keepNext/>
              <w:spacing w:line="360" w:lineRule="auto"/>
              <w:jc w:val="center"/>
              <w:rPr>
                <w:rFonts w:cs="宋体"/>
                <w:szCs w:val="21"/>
                <w:highlight w:val="none"/>
              </w:rPr>
            </w:pPr>
          </w:p>
        </w:tc>
        <w:tc>
          <w:tcPr>
            <w:tcW w:w="1889" w:type="pct"/>
            <w:vAlign w:val="center"/>
          </w:tcPr>
          <w:p w14:paraId="0FB178D4">
            <w:pPr>
              <w:keepNext/>
              <w:spacing w:line="360" w:lineRule="auto"/>
              <w:jc w:val="center"/>
              <w:rPr>
                <w:rFonts w:cs="宋体"/>
                <w:szCs w:val="21"/>
                <w:highlight w:val="none"/>
              </w:rPr>
            </w:pPr>
          </w:p>
        </w:tc>
        <w:tc>
          <w:tcPr>
            <w:tcW w:w="739" w:type="pct"/>
            <w:vAlign w:val="center"/>
          </w:tcPr>
          <w:p w14:paraId="3ED9AA9F">
            <w:pPr>
              <w:keepNext/>
              <w:spacing w:line="360" w:lineRule="auto"/>
              <w:jc w:val="center"/>
              <w:rPr>
                <w:rFonts w:cs="宋体"/>
                <w:szCs w:val="21"/>
                <w:highlight w:val="none"/>
              </w:rPr>
            </w:pPr>
          </w:p>
        </w:tc>
      </w:tr>
      <w:tr w14:paraId="0FBA9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BC0EEFE">
            <w:pPr>
              <w:spacing w:line="360" w:lineRule="auto"/>
              <w:jc w:val="center"/>
              <w:rPr>
                <w:rFonts w:cs="宋体"/>
                <w:szCs w:val="22"/>
                <w:highlight w:val="none"/>
              </w:rPr>
            </w:pPr>
            <w:r>
              <w:rPr>
                <w:rFonts w:hint="eastAsia" w:cs="宋体"/>
                <w:szCs w:val="22"/>
                <w:highlight w:val="none"/>
              </w:rPr>
              <w:t>安全员</w:t>
            </w:r>
          </w:p>
        </w:tc>
        <w:tc>
          <w:tcPr>
            <w:tcW w:w="641" w:type="pct"/>
            <w:vAlign w:val="center"/>
          </w:tcPr>
          <w:p w14:paraId="3533CE28">
            <w:pPr>
              <w:keepNext/>
              <w:spacing w:line="360" w:lineRule="auto"/>
              <w:jc w:val="center"/>
              <w:rPr>
                <w:rFonts w:cs="宋体"/>
                <w:szCs w:val="21"/>
                <w:highlight w:val="none"/>
              </w:rPr>
            </w:pPr>
          </w:p>
        </w:tc>
        <w:tc>
          <w:tcPr>
            <w:tcW w:w="513" w:type="pct"/>
            <w:vAlign w:val="center"/>
          </w:tcPr>
          <w:p w14:paraId="6D23297E">
            <w:pPr>
              <w:keepNext/>
              <w:spacing w:line="360" w:lineRule="auto"/>
              <w:jc w:val="center"/>
              <w:rPr>
                <w:rFonts w:cs="宋体"/>
                <w:szCs w:val="21"/>
                <w:highlight w:val="none"/>
              </w:rPr>
            </w:pPr>
          </w:p>
        </w:tc>
        <w:tc>
          <w:tcPr>
            <w:tcW w:w="373" w:type="pct"/>
            <w:vAlign w:val="center"/>
          </w:tcPr>
          <w:p w14:paraId="56D7E56A">
            <w:pPr>
              <w:keepNext/>
              <w:spacing w:line="360" w:lineRule="auto"/>
              <w:jc w:val="center"/>
              <w:rPr>
                <w:rFonts w:cs="宋体"/>
                <w:szCs w:val="21"/>
                <w:highlight w:val="none"/>
              </w:rPr>
            </w:pPr>
          </w:p>
        </w:tc>
        <w:tc>
          <w:tcPr>
            <w:tcW w:w="1889" w:type="pct"/>
            <w:vAlign w:val="center"/>
          </w:tcPr>
          <w:p w14:paraId="0E03A4DA">
            <w:pPr>
              <w:keepNext/>
              <w:spacing w:line="360" w:lineRule="auto"/>
              <w:jc w:val="center"/>
              <w:rPr>
                <w:rFonts w:cs="宋体"/>
                <w:szCs w:val="21"/>
                <w:highlight w:val="none"/>
              </w:rPr>
            </w:pPr>
          </w:p>
        </w:tc>
        <w:tc>
          <w:tcPr>
            <w:tcW w:w="739" w:type="pct"/>
            <w:vAlign w:val="center"/>
          </w:tcPr>
          <w:p w14:paraId="256919C0">
            <w:pPr>
              <w:keepNext/>
              <w:spacing w:line="360" w:lineRule="auto"/>
              <w:jc w:val="center"/>
              <w:rPr>
                <w:rFonts w:cs="宋体"/>
                <w:szCs w:val="21"/>
                <w:highlight w:val="none"/>
              </w:rPr>
            </w:pPr>
          </w:p>
        </w:tc>
      </w:tr>
      <w:tr w14:paraId="42A5E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vAlign w:val="center"/>
          </w:tcPr>
          <w:p w14:paraId="1B423C2E">
            <w:pPr>
              <w:spacing w:line="360" w:lineRule="auto"/>
              <w:jc w:val="center"/>
              <w:rPr>
                <w:rFonts w:cs="宋体"/>
                <w:szCs w:val="22"/>
                <w:highlight w:val="none"/>
              </w:rPr>
            </w:pPr>
            <w:r>
              <w:rPr>
                <w:rFonts w:hint="eastAsia" w:cs="宋体"/>
                <w:szCs w:val="22"/>
                <w:highlight w:val="none"/>
              </w:rPr>
              <w:t>资料员</w:t>
            </w:r>
          </w:p>
        </w:tc>
        <w:tc>
          <w:tcPr>
            <w:tcW w:w="641" w:type="pct"/>
            <w:vAlign w:val="center"/>
          </w:tcPr>
          <w:p w14:paraId="34C54E6A">
            <w:pPr>
              <w:keepNext/>
              <w:spacing w:line="360" w:lineRule="auto"/>
              <w:jc w:val="center"/>
              <w:rPr>
                <w:rFonts w:cs="宋体"/>
                <w:szCs w:val="21"/>
                <w:highlight w:val="none"/>
              </w:rPr>
            </w:pPr>
          </w:p>
        </w:tc>
        <w:tc>
          <w:tcPr>
            <w:tcW w:w="513" w:type="pct"/>
            <w:vAlign w:val="center"/>
          </w:tcPr>
          <w:p w14:paraId="70803644">
            <w:pPr>
              <w:keepNext/>
              <w:spacing w:line="360" w:lineRule="auto"/>
              <w:jc w:val="center"/>
              <w:rPr>
                <w:rFonts w:cs="宋体"/>
                <w:szCs w:val="21"/>
                <w:highlight w:val="none"/>
              </w:rPr>
            </w:pPr>
          </w:p>
        </w:tc>
        <w:tc>
          <w:tcPr>
            <w:tcW w:w="373" w:type="pct"/>
            <w:vAlign w:val="center"/>
          </w:tcPr>
          <w:p w14:paraId="283828A2">
            <w:pPr>
              <w:keepNext/>
              <w:spacing w:line="360" w:lineRule="auto"/>
              <w:jc w:val="center"/>
              <w:rPr>
                <w:rFonts w:cs="宋体"/>
                <w:szCs w:val="21"/>
                <w:highlight w:val="none"/>
              </w:rPr>
            </w:pPr>
          </w:p>
        </w:tc>
        <w:tc>
          <w:tcPr>
            <w:tcW w:w="1889" w:type="pct"/>
            <w:vAlign w:val="center"/>
          </w:tcPr>
          <w:p w14:paraId="1621F574">
            <w:pPr>
              <w:keepNext/>
              <w:spacing w:line="360" w:lineRule="auto"/>
              <w:jc w:val="center"/>
              <w:rPr>
                <w:rFonts w:cs="宋体"/>
                <w:szCs w:val="21"/>
                <w:highlight w:val="none"/>
              </w:rPr>
            </w:pPr>
          </w:p>
        </w:tc>
        <w:tc>
          <w:tcPr>
            <w:tcW w:w="739" w:type="pct"/>
            <w:vAlign w:val="center"/>
          </w:tcPr>
          <w:p w14:paraId="57FC3E5C">
            <w:pPr>
              <w:keepNext/>
              <w:spacing w:line="360" w:lineRule="auto"/>
              <w:jc w:val="center"/>
              <w:rPr>
                <w:rFonts w:cs="宋体"/>
                <w:szCs w:val="21"/>
                <w:highlight w:val="none"/>
              </w:rPr>
            </w:pPr>
          </w:p>
        </w:tc>
      </w:tr>
      <w:tr w14:paraId="68A67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1EE0C979">
            <w:pPr>
              <w:keepNext/>
              <w:spacing w:line="360" w:lineRule="auto"/>
              <w:jc w:val="center"/>
              <w:rPr>
                <w:rFonts w:cs="宋体"/>
                <w:szCs w:val="21"/>
                <w:highlight w:val="none"/>
              </w:rPr>
            </w:pPr>
            <w:r>
              <w:rPr>
                <w:rFonts w:hint="eastAsia" w:cs="宋体"/>
                <w:szCs w:val="21"/>
                <w:highlight w:val="none"/>
              </w:rPr>
              <w:t>其他人员</w:t>
            </w:r>
          </w:p>
        </w:tc>
        <w:tc>
          <w:tcPr>
            <w:tcW w:w="641" w:type="pct"/>
            <w:vAlign w:val="center"/>
          </w:tcPr>
          <w:p w14:paraId="5AF90E26">
            <w:pPr>
              <w:keepNext/>
              <w:spacing w:line="360" w:lineRule="auto"/>
              <w:jc w:val="center"/>
              <w:rPr>
                <w:rFonts w:cs="宋体"/>
                <w:szCs w:val="21"/>
                <w:highlight w:val="none"/>
              </w:rPr>
            </w:pPr>
          </w:p>
        </w:tc>
        <w:tc>
          <w:tcPr>
            <w:tcW w:w="513" w:type="pct"/>
            <w:vAlign w:val="center"/>
          </w:tcPr>
          <w:p w14:paraId="665BD04F">
            <w:pPr>
              <w:keepNext/>
              <w:spacing w:line="360" w:lineRule="auto"/>
              <w:jc w:val="center"/>
              <w:rPr>
                <w:rFonts w:cs="宋体"/>
                <w:szCs w:val="21"/>
                <w:highlight w:val="none"/>
              </w:rPr>
            </w:pPr>
          </w:p>
        </w:tc>
        <w:tc>
          <w:tcPr>
            <w:tcW w:w="373" w:type="pct"/>
            <w:vAlign w:val="center"/>
          </w:tcPr>
          <w:p w14:paraId="40D8D9BB">
            <w:pPr>
              <w:keepNext/>
              <w:spacing w:line="360" w:lineRule="auto"/>
              <w:jc w:val="center"/>
              <w:rPr>
                <w:rFonts w:cs="宋体"/>
                <w:szCs w:val="21"/>
                <w:highlight w:val="none"/>
              </w:rPr>
            </w:pPr>
          </w:p>
        </w:tc>
        <w:tc>
          <w:tcPr>
            <w:tcW w:w="1889" w:type="pct"/>
            <w:vAlign w:val="center"/>
          </w:tcPr>
          <w:p w14:paraId="56E450F2">
            <w:pPr>
              <w:keepNext/>
              <w:spacing w:line="360" w:lineRule="auto"/>
              <w:jc w:val="center"/>
              <w:rPr>
                <w:rFonts w:cs="宋体"/>
                <w:szCs w:val="21"/>
                <w:highlight w:val="none"/>
              </w:rPr>
            </w:pPr>
          </w:p>
        </w:tc>
        <w:tc>
          <w:tcPr>
            <w:tcW w:w="739" w:type="pct"/>
            <w:vAlign w:val="center"/>
          </w:tcPr>
          <w:p w14:paraId="08749DCF">
            <w:pPr>
              <w:keepNext/>
              <w:spacing w:line="360" w:lineRule="auto"/>
              <w:jc w:val="center"/>
              <w:rPr>
                <w:rFonts w:cs="宋体"/>
                <w:szCs w:val="21"/>
                <w:highlight w:val="none"/>
              </w:rPr>
            </w:pPr>
          </w:p>
        </w:tc>
      </w:tr>
      <w:tr w14:paraId="3E621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5F8CB66A">
            <w:pPr>
              <w:keepNext/>
              <w:spacing w:line="360" w:lineRule="auto"/>
              <w:jc w:val="center"/>
              <w:rPr>
                <w:rFonts w:cs="宋体"/>
                <w:szCs w:val="21"/>
                <w:highlight w:val="none"/>
              </w:rPr>
            </w:pPr>
          </w:p>
        </w:tc>
        <w:tc>
          <w:tcPr>
            <w:tcW w:w="641" w:type="pct"/>
            <w:tcBorders>
              <w:bottom w:val="nil"/>
            </w:tcBorders>
            <w:vAlign w:val="center"/>
          </w:tcPr>
          <w:p w14:paraId="48866DA1">
            <w:pPr>
              <w:keepNext/>
              <w:spacing w:line="360" w:lineRule="auto"/>
              <w:jc w:val="center"/>
              <w:rPr>
                <w:rFonts w:cs="宋体"/>
                <w:szCs w:val="21"/>
                <w:highlight w:val="none"/>
              </w:rPr>
            </w:pPr>
          </w:p>
        </w:tc>
        <w:tc>
          <w:tcPr>
            <w:tcW w:w="513" w:type="pct"/>
            <w:tcBorders>
              <w:bottom w:val="nil"/>
            </w:tcBorders>
            <w:vAlign w:val="center"/>
          </w:tcPr>
          <w:p w14:paraId="444C59FF">
            <w:pPr>
              <w:keepNext/>
              <w:spacing w:line="360" w:lineRule="auto"/>
              <w:jc w:val="center"/>
              <w:rPr>
                <w:rFonts w:cs="宋体"/>
                <w:szCs w:val="21"/>
                <w:highlight w:val="none"/>
              </w:rPr>
            </w:pPr>
          </w:p>
        </w:tc>
        <w:tc>
          <w:tcPr>
            <w:tcW w:w="373" w:type="pct"/>
            <w:tcBorders>
              <w:bottom w:val="nil"/>
            </w:tcBorders>
            <w:vAlign w:val="center"/>
          </w:tcPr>
          <w:p w14:paraId="0D53D87F">
            <w:pPr>
              <w:keepNext/>
              <w:spacing w:line="360" w:lineRule="auto"/>
              <w:jc w:val="center"/>
              <w:rPr>
                <w:rFonts w:cs="宋体"/>
                <w:szCs w:val="21"/>
                <w:highlight w:val="none"/>
              </w:rPr>
            </w:pPr>
          </w:p>
        </w:tc>
        <w:tc>
          <w:tcPr>
            <w:tcW w:w="1889" w:type="pct"/>
            <w:tcBorders>
              <w:bottom w:val="nil"/>
            </w:tcBorders>
            <w:vAlign w:val="center"/>
          </w:tcPr>
          <w:p w14:paraId="412B5B86">
            <w:pPr>
              <w:keepNext/>
              <w:spacing w:line="360" w:lineRule="auto"/>
              <w:jc w:val="center"/>
              <w:rPr>
                <w:rFonts w:cs="宋体"/>
                <w:szCs w:val="21"/>
                <w:highlight w:val="none"/>
              </w:rPr>
            </w:pPr>
          </w:p>
        </w:tc>
        <w:tc>
          <w:tcPr>
            <w:tcW w:w="739" w:type="pct"/>
            <w:tcBorders>
              <w:bottom w:val="nil"/>
            </w:tcBorders>
            <w:vAlign w:val="center"/>
          </w:tcPr>
          <w:p w14:paraId="5A8B6DFD">
            <w:pPr>
              <w:keepNext/>
              <w:spacing w:line="360" w:lineRule="auto"/>
              <w:jc w:val="center"/>
              <w:rPr>
                <w:rFonts w:cs="宋体"/>
                <w:szCs w:val="21"/>
                <w:highlight w:val="none"/>
              </w:rPr>
            </w:pPr>
          </w:p>
        </w:tc>
      </w:tr>
      <w:tr w14:paraId="4669D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4E06875">
            <w:pPr>
              <w:keepNext/>
              <w:spacing w:line="360" w:lineRule="auto"/>
              <w:jc w:val="center"/>
              <w:rPr>
                <w:rFonts w:cs="宋体"/>
                <w:szCs w:val="21"/>
                <w:highlight w:val="none"/>
              </w:rPr>
            </w:pPr>
          </w:p>
        </w:tc>
        <w:tc>
          <w:tcPr>
            <w:tcW w:w="641" w:type="pct"/>
            <w:vAlign w:val="center"/>
          </w:tcPr>
          <w:p w14:paraId="6CEF1C8B">
            <w:pPr>
              <w:keepNext/>
              <w:spacing w:line="360" w:lineRule="auto"/>
              <w:jc w:val="center"/>
              <w:rPr>
                <w:rFonts w:cs="宋体"/>
                <w:szCs w:val="21"/>
                <w:highlight w:val="none"/>
              </w:rPr>
            </w:pPr>
          </w:p>
        </w:tc>
        <w:tc>
          <w:tcPr>
            <w:tcW w:w="513" w:type="pct"/>
            <w:vAlign w:val="center"/>
          </w:tcPr>
          <w:p w14:paraId="69AC1EB0">
            <w:pPr>
              <w:keepNext/>
              <w:spacing w:line="360" w:lineRule="auto"/>
              <w:jc w:val="center"/>
              <w:rPr>
                <w:rFonts w:cs="宋体"/>
                <w:szCs w:val="21"/>
                <w:highlight w:val="none"/>
              </w:rPr>
            </w:pPr>
          </w:p>
        </w:tc>
        <w:tc>
          <w:tcPr>
            <w:tcW w:w="373" w:type="pct"/>
            <w:vAlign w:val="center"/>
          </w:tcPr>
          <w:p w14:paraId="4062842C">
            <w:pPr>
              <w:keepNext/>
              <w:spacing w:line="360" w:lineRule="auto"/>
              <w:jc w:val="center"/>
              <w:rPr>
                <w:rFonts w:cs="宋体"/>
                <w:szCs w:val="21"/>
                <w:highlight w:val="none"/>
              </w:rPr>
            </w:pPr>
          </w:p>
        </w:tc>
        <w:tc>
          <w:tcPr>
            <w:tcW w:w="1889" w:type="pct"/>
            <w:vAlign w:val="center"/>
          </w:tcPr>
          <w:p w14:paraId="309E707C">
            <w:pPr>
              <w:keepNext/>
              <w:spacing w:line="360" w:lineRule="auto"/>
              <w:jc w:val="center"/>
              <w:rPr>
                <w:rFonts w:cs="宋体"/>
                <w:szCs w:val="21"/>
                <w:highlight w:val="none"/>
              </w:rPr>
            </w:pPr>
          </w:p>
        </w:tc>
        <w:tc>
          <w:tcPr>
            <w:tcW w:w="739" w:type="pct"/>
            <w:vAlign w:val="center"/>
          </w:tcPr>
          <w:p w14:paraId="17D04D58">
            <w:pPr>
              <w:keepNext/>
              <w:spacing w:line="360" w:lineRule="auto"/>
              <w:jc w:val="center"/>
              <w:rPr>
                <w:rFonts w:cs="宋体"/>
                <w:szCs w:val="21"/>
                <w:highlight w:val="none"/>
              </w:rPr>
            </w:pPr>
          </w:p>
        </w:tc>
      </w:tr>
      <w:tr w14:paraId="7A731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02D0B11">
            <w:pPr>
              <w:keepNext/>
              <w:spacing w:line="360" w:lineRule="auto"/>
              <w:jc w:val="center"/>
              <w:rPr>
                <w:rFonts w:cs="宋体"/>
                <w:szCs w:val="21"/>
                <w:highlight w:val="none"/>
              </w:rPr>
            </w:pPr>
          </w:p>
        </w:tc>
        <w:tc>
          <w:tcPr>
            <w:tcW w:w="641" w:type="pct"/>
            <w:vAlign w:val="center"/>
          </w:tcPr>
          <w:p w14:paraId="474F05E8">
            <w:pPr>
              <w:keepNext/>
              <w:spacing w:line="360" w:lineRule="auto"/>
              <w:jc w:val="center"/>
              <w:rPr>
                <w:rFonts w:cs="宋体"/>
                <w:szCs w:val="21"/>
                <w:highlight w:val="none"/>
              </w:rPr>
            </w:pPr>
          </w:p>
        </w:tc>
        <w:tc>
          <w:tcPr>
            <w:tcW w:w="513" w:type="pct"/>
            <w:vAlign w:val="center"/>
          </w:tcPr>
          <w:p w14:paraId="3AD267BA">
            <w:pPr>
              <w:keepNext/>
              <w:spacing w:line="360" w:lineRule="auto"/>
              <w:jc w:val="center"/>
              <w:rPr>
                <w:rFonts w:cs="宋体"/>
                <w:szCs w:val="21"/>
                <w:highlight w:val="none"/>
              </w:rPr>
            </w:pPr>
          </w:p>
        </w:tc>
        <w:tc>
          <w:tcPr>
            <w:tcW w:w="373" w:type="pct"/>
            <w:vAlign w:val="center"/>
          </w:tcPr>
          <w:p w14:paraId="5411ABC5">
            <w:pPr>
              <w:keepNext/>
              <w:spacing w:line="360" w:lineRule="auto"/>
              <w:jc w:val="center"/>
              <w:rPr>
                <w:rFonts w:cs="宋体"/>
                <w:szCs w:val="21"/>
                <w:highlight w:val="none"/>
              </w:rPr>
            </w:pPr>
          </w:p>
        </w:tc>
        <w:tc>
          <w:tcPr>
            <w:tcW w:w="1889" w:type="pct"/>
            <w:vAlign w:val="center"/>
          </w:tcPr>
          <w:p w14:paraId="687F025E">
            <w:pPr>
              <w:keepNext/>
              <w:spacing w:line="360" w:lineRule="auto"/>
              <w:jc w:val="center"/>
              <w:rPr>
                <w:rFonts w:cs="宋体"/>
                <w:szCs w:val="21"/>
                <w:highlight w:val="none"/>
              </w:rPr>
            </w:pPr>
          </w:p>
        </w:tc>
        <w:tc>
          <w:tcPr>
            <w:tcW w:w="739" w:type="pct"/>
            <w:vAlign w:val="center"/>
          </w:tcPr>
          <w:p w14:paraId="647D8A92">
            <w:pPr>
              <w:keepNext/>
              <w:spacing w:line="360" w:lineRule="auto"/>
              <w:jc w:val="center"/>
              <w:rPr>
                <w:rFonts w:cs="宋体"/>
                <w:szCs w:val="21"/>
                <w:highlight w:val="none"/>
              </w:rPr>
            </w:pPr>
          </w:p>
        </w:tc>
      </w:tr>
      <w:tr w14:paraId="0DDEE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0C607B8">
            <w:pPr>
              <w:keepNext/>
              <w:spacing w:line="360" w:lineRule="auto"/>
              <w:jc w:val="center"/>
              <w:rPr>
                <w:rFonts w:cs="宋体"/>
                <w:szCs w:val="21"/>
                <w:highlight w:val="none"/>
              </w:rPr>
            </w:pPr>
          </w:p>
        </w:tc>
        <w:tc>
          <w:tcPr>
            <w:tcW w:w="641" w:type="pct"/>
            <w:vAlign w:val="center"/>
          </w:tcPr>
          <w:p w14:paraId="4A701E9E">
            <w:pPr>
              <w:keepNext/>
              <w:spacing w:line="360" w:lineRule="auto"/>
              <w:jc w:val="center"/>
              <w:rPr>
                <w:rFonts w:cs="宋体"/>
                <w:szCs w:val="21"/>
                <w:highlight w:val="none"/>
              </w:rPr>
            </w:pPr>
          </w:p>
        </w:tc>
        <w:tc>
          <w:tcPr>
            <w:tcW w:w="513" w:type="pct"/>
            <w:vAlign w:val="center"/>
          </w:tcPr>
          <w:p w14:paraId="4E4CFDE2">
            <w:pPr>
              <w:keepNext/>
              <w:spacing w:line="360" w:lineRule="auto"/>
              <w:jc w:val="center"/>
              <w:rPr>
                <w:rFonts w:cs="宋体"/>
                <w:szCs w:val="21"/>
                <w:highlight w:val="none"/>
              </w:rPr>
            </w:pPr>
          </w:p>
        </w:tc>
        <w:tc>
          <w:tcPr>
            <w:tcW w:w="373" w:type="pct"/>
            <w:vAlign w:val="center"/>
          </w:tcPr>
          <w:p w14:paraId="3CCA0037">
            <w:pPr>
              <w:keepNext/>
              <w:spacing w:line="360" w:lineRule="auto"/>
              <w:jc w:val="center"/>
              <w:rPr>
                <w:rFonts w:cs="宋体"/>
                <w:szCs w:val="21"/>
                <w:highlight w:val="none"/>
              </w:rPr>
            </w:pPr>
          </w:p>
        </w:tc>
        <w:tc>
          <w:tcPr>
            <w:tcW w:w="1889" w:type="pct"/>
            <w:vAlign w:val="center"/>
          </w:tcPr>
          <w:p w14:paraId="0C910163">
            <w:pPr>
              <w:keepNext/>
              <w:spacing w:line="360" w:lineRule="auto"/>
              <w:jc w:val="center"/>
              <w:rPr>
                <w:rFonts w:cs="宋体"/>
                <w:szCs w:val="21"/>
                <w:highlight w:val="none"/>
              </w:rPr>
            </w:pPr>
          </w:p>
        </w:tc>
        <w:tc>
          <w:tcPr>
            <w:tcW w:w="739" w:type="pct"/>
            <w:vAlign w:val="center"/>
          </w:tcPr>
          <w:p w14:paraId="00EF5217">
            <w:pPr>
              <w:keepNext/>
              <w:spacing w:line="360" w:lineRule="auto"/>
              <w:jc w:val="center"/>
              <w:rPr>
                <w:rFonts w:cs="宋体"/>
                <w:szCs w:val="21"/>
                <w:highlight w:val="none"/>
              </w:rPr>
            </w:pPr>
          </w:p>
        </w:tc>
      </w:tr>
      <w:tr w14:paraId="65B5F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0A63E00">
            <w:pPr>
              <w:keepNext/>
              <w:spacing w:line="360" w:lineRule="auto"/>
              <w:jc w:val="center"/>
              <w:rPr>
                <w:rFonts w:cs="宋体"/>
                <w:szCs w:val="21"/>
                <w:highlight w:val="none"/>
              </w:rPr>
            </w:pPr>
          </w:p>
        </w:tc>
        <w:tc>
          <w:tcPr>
            <w:tcW w:w="641" w:type="pct"/>
            <w:tcBorders>
              <w:bottom w:val="single" w:color="auto" w:sz="12" w:space="0"/>
            </w:tcBorders>
            <w:vAlign w:val="center"/>
          </w:tcPr>
          <w:p w14:paraId="0A6B3708">
            <w:pPr>
              <w:keepNext/>
              <w:spacing w:line="360" w:lineRule="auto"/>
              <w:jc w:val="center"/>
              <w:rPr>
                <w:rFonts w:cs="宋体"/>
                <w:szCs w:val="21"/>
                <w:highlight w:val="none"/>
              </w:rPr>
            </w:pPr>
          </w:p>
        </w:tc>
        <w:tc>
          <w:tcPr>
            <w:tcW w:w="513" w:type="pct"/>
            <w:tcBorders>
              <w:bottom w:val="single" w:color="auto" w:sz="12" w:space="0"/>
            </w:tcBorders>
            <w:vAlign w:val="center"/>
          </w:tcPr>
          <w:p w14:paraId="31D07C83">
            <w:pPr>
              <w:keepNext/>
              <w:spacing w:line="360" w:lineRule="auto"/>
              <w:jc w:val="center"/>
              <w:rPr>
                <w:rFonts w:cs="宋体"/>
                <w:szCs w:val="21"/>
                <w:highlight w:val="none"/>
              </w:rPr>
            </w:pPr>
          </w:p>
        </w:tc>
        <w:tc>
          <w:tcPr>
            <w:tcW w:w="373" w:type="pct"/>
            <w:tcBorders>
              <w:bottom w:val="single" w:color="auto" w:sz="12" w:space="0"/>
            </w:tcBorders>
            <w:vAlign w:val="center"/>
          </w:tcPr>
          <w:p w14:paraId="435614B1">
            <w:pPr>
              <w:keepNext/>
              <w:spacing w:line="360" w:lineRule="auto"/>
              <w:jc w:val="center"/>
              <w:rPr>
                <w:rFonts w:cs="宋体"/>
                <w:szCs w:val="21"/>
                <w:highlight w:val="none"/>
              </w:rPr>
            </w:pPr>
          </w:p>
        </w:tc>
        <w:tc>
          <w:tcPr>
            <w:tcW w:w="1889" w:type="pct"/>
            <w:tcBorders>
              <w:bottom w:val="single" w:color="auto" w:sz="12" w:space="0"/>
            </w:tcBorders>
            <w:vAlign w:val="center"/>
          </w:tcPr>
          <w:p w14:paraId="301747DC">
            <w:pPr>
              <w:keepNext/>
              <w:spacing w:line="360" w:lineRule="auto"/>
              <w:jc w:val="center"/>
              <w:rPr>
                <w:rFonts w:cs="宋体"/>
                <w:szCs w:val="21"/>
                <w:highlight w:val="none"/>
              </w:rPr>
            </w:pPr>
          </w:p>
        </w:tc>
        <w:tc>
          <w:tcPr>
            <w:tcW w:w="739" w:type="pct"/>
            <w:tcBorders>
              <w:bottom w:val="single" w:color="auto" w:sz="12" w:space="0"/>
            </w:tcBorders>
            <w:vAlign w:val="center"/>
          </w:tcPr>
          <w:p w14:paraId="2B8271B3">
            <w:pPr>
              <w:keepNext/>
              <w:spacing w:line="360" w:lineRule="auto"/>
              <w:jc w:val="center"/>
              <w:rPr>
                <w:rFonts w:cs="宋体"/>
                <w:szCs w:val="21"/>
                <w:highlight w:val="none"/>
              </w:rPr>
            </w:pPr>
          </w:p>
        </w:tc>
      </w:tr>
    </w:tbl>
    <w:p w14:paraId="12424831">
      <w:pPr>
        <w:spacing w:before="312" w:beforeLines="100" w:after="312" w:afterLines="100"/>
        <w:outlineLvl w:val="2"/>
        <w:rPr>
          <w:rFonts w:ascii="Times New Roman" w:eastAsia="黑体"/>
          <w:highlight w:val="none"/>
        </w:rPr>
      </w:pPr>
      <w:r>
        <w:rPr>
          <w:rFonts w:hint="eastAsia" w:cs="宋体"/>
          <w:bCs/>
          <w:highlight w:val="none"/>
        </w:rPr>
        <w:br w:type="page"/>
      </w:r>
      <w:bookmarkStart w:id="655" w:name="_Toc128950243"/>
      <w:r>
        <w:rPr>
          <w:rFonts w:hint="eastAsia" w:ascii="Times New Roman" w:eastAsia="黑体"/>
          <w:highlight w:val="none"/>
        </w:rPr>
        <w:t>附</w:t>
      </w:r>
      <w:bookmarkStart w:id="656" w:name="_Toc296503231"/>
      <w:bookmarkStart w:id="657" w:name="_Toc296891059"/>
      <w:bookmarkStart w:id="658" w:name="_Toc296347230"/>
      <w:bookmarkStart w:id="659" w:name="_Toc296346732"/>
      <w:bookmarkStart w:id="660" w:name="_Toc296944570"/>
      <w:bookmarkStart w:id="661" w:name="_Toc296891271"/>
      <w:r>
        <w:rPr>
          <w:rFonts w:hint="eastAsia" w:ascii="Times New Roman" w:eastAsia="黑体"/>
          <w:highlight w:val="none"/>
        </w:rPr>
        <w:t>件</w:t>
      </w:r>
      <w:r>
        <w:rPr>
          <w:rFonts w:ascii="Times New Roman" w:eastAsia="黑体"/>
          <w:highlight w:val="none"/>
        </w:rPr>
        <w:t>8</w:t>
      </w:r>
      <w:r>
        <w:rPr>
          <w:rFonts w:hint="eastAsia" w:ascii="Times New Roman" w:eastAsia="黑体"/>
          <w:highlight w:val="none"/>
        </w:rPr>
        <w:t>：廉政协议</w:t>
      </w:r>
      <w:bookmarkEnd w:id="655"/>
    </w:p>
    <w:bookmarkEnd w:id="656"/>
    <w:bookmarkEnd w:id="657"/>
    <w:bookmarkEnd w:id="658"/>
    <w:bookmarkEnd w:id="659"/>
    <w:bookmarkEnd w:id="660"/>
    <w:bookmarkEnd w:id="661"/>
    <w:p w14:paraId="64B2DB98">
      <w:pPr>
        <w:widowControl/>
        <w:spacing w:line="360" w:lineRule="auto"/>
        <w:ind w:firstLine="643"/>
        <w:jc w:val="center"/>
        <w:rPr>
          <w:rFonts w:cs="宋体"/>
          <w:b/>
          <w:bCs/>
          <w:sz w:val="32"/>
          <w:szCs w:val="32"/>
          <w:highlight w:val="none"/>
        </w:rPr>
      </w:pPr>
      <w:r>
        <w:rPr>
          <w:rFonts w:hint="eastAsia" w:cs="宋体"/>
          <w:b/>
          <w:bCs/>
          <w:sz w:val="32"/>
          <w:szCs w:val="32"/>
          <w:highlight w:val="none"/>
        </w:rPr>
        <w:t>廉政协议</w:t>
      </w:r>
    </w:p>
    <w:p w14:paraId="13DA07A7">
      <w:pPr>
        <w:widowControl/>
        <w:spacing w:line="360" w:lineRule="auto"/>
        <w:ind w:firstLine="420" w:firstLineChars="200"/>
        <w:jc w:val="left"/>
        <w:rPr>
          <w:rFonts w:cs="宋体"/>
          <w:szCs w:val="21"/>
          <w:highlight w:val="none"/>
        </w:rPr>
      </w:pPr>
      <w:r>
        <w:rPr>
          <w:rFonts w:hint="eastAsia" w:cs="宋体"/>
          <w:szCs w:val="21"/>
          <w:highlight w:val="none"/>
        </w:rPr>
        <w:t>为促进双方诚信经营、廉洁从业，防范商业贿赂，保护国家、集体和当事人的合法权益，根据国家有关法律法规和安徽省廉政建设的规定，</w:t>
      </w:r>
      <w:r>
        <w:rPr>
          <w:rFonts w:hint="eastAsia" w:cs="宋体"/>
          <w:szCs w:val="21"/>
          <w:highlight w:val="none"/>
          <w:u w:val="single"/>
        </w:rPr>
        <w:t xml:space="preserve">     </w:t>
      </w:r>
      <w:r>
        <w:rPr>
          <w:rFonts w:hint="eastAsia" w:cs="宋体"/>
          <w:szCs w:val="21"/>
          <w:highlight w:val="none"/>
        </w:rPr>
        <w:t>（以下称甲方）与</w:t>
      </w:r>
      <w:r>
        <w:rPr>
          <w:rFonts w:hint="eastAsia" w:cs="宋体"/>
          <w:szCs w:val="21"/>
          <w:highlight w:val="none"/>
          <w:u w:val="single"/>
        </w:rPr>
        <w:t xml:space="preserve">             （</w:t>
      </w:r>
      <w:r>
        <w:rPr>
          <w:rFonts w:hint="eastAsia" w:cs="宋体"/>
          <w:szCs w:val="21"/>
          <w:highlight w:val="none"/>
        </w:rPr>
        <w:t>以下称乙方），特此订立本协议共同遵照执行。</w:t>
      </w:r>
    </w:p>
    <w:p w14:paraId="216AE136">
      <w:pPr>
        <w:widowControl/>
        <w:spacing w:line="360" w:lineRule="auto"/>
        <w:ind w:firstLine="420" w:firstLineChars="200"/>
        <w:jc w:val="left"/>
        <w:rPr>
          <w:rFonts w:cs="宋体"/>
          <w:szCs w:val="21"/>
          <w:highlight w:val="none"/>
        </w:rPr>
      </w:pPr>
      <w:r>
        <w:rPr>
          <w:rFonts w:hint="eastAsia" w:cs="宋体"/>
          <w:szCs w:val="21"/>
          <w:highlight w:val="none"/>
        </w:rPr>
        <w:t>第一条 甲乙双方的权利和义务</w:t>
      </w:r>
    </w:p>
    <w:p w14:paraId="0B8B1984">
      <w:pPr>
        <w:widowControl/>
        <w:spacing w:line="360" w:lineRule="auto"/>
        <w:ind w:firstLine="420" w:firstLineChars="200"/>
        <w:jc w:val="left"/>
        <w:rPr>
          <w:rFonts w:cs="宋体"/>
          <w:szCs w:val="21"/>
          <w:highlight w:val="none"/>
        </w:rPr>
      </w:pPr>
      <w:r>
        <w:rPr>
          <w:rFonts w:hint="eastAsia" w:cs="宋体"/>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6A8B4CF">
      <w:pPr>
        <w:widowControl/>
        <w:spacing w:line="360" w:lineRule="auto"/>
        <w:ind w:firstLine="420" w:firstLineChars="200"/>
        <w:jc w:val="left"/>
        <w:rPr>
          <w:rFonts w:cs="宋体"/>
          <w:szCs w:val="21"/>
          <w:highlight w:val="none"/>
        </w:rPr>
      </w:pPr>
      <w:r>
        <w:rPr>
          <w:rFonts w:hint="eastAsia" w:cs="宋体"/>
          <w:szCs w:val="21"/>
          <w:highlight w:val="none"/>
        </w:rPr>
        <w:t>（二）严格执行</w:t>
      </w:r>
      <w:r>
        <w:rPr>
          <w:rFonts w:hint="eastAsia" w:cs="宋体"/>
          <w:szCs w:val="21"/>
          <w:highlight w:val="none"/>
          <w:u w:val="single"/>
        </w:rPr>
        <w:t xml:space="preserve">                                </w:t>
      </w:r>
      <w:r>
        <w:rPr>
          <w:rFonts w:hint="eastAsia" w:cs="宋体"/>
          <w:szCs w:val="21"/>
          <w:highlight w:val="none"/>
        </w:rPr>
        <w:t>的合同要求，自觉履行合同约定的相关义务。</w:t>
      </w:r>
    </w:p>
    <w:p w14:paraId="01818339">
      <w:pPr>
        <w:widowControl/>
        <w:spacing w:line="360" w:lineRule="auto"/>
        <w:ind w:firstLine="420" w:firstLineChars="200"/>
        <w:jc w:val="left"/>
        <w:rPr>
          <w:rFonts w:cs="宋体"/>
          <w:szCs w:val="21"/>
          <w:highlight w:val="none"/>
        </w:rPr>
      </w:pPr>
      <w:r>
        <w:rPr>
          <w:rFonts w:hint="eastAsia" w:cs="宋体"/>
          <w:szCs w:val="21"/>
          <w:highlight w:val="none"/>
        </w:rPr>
        <w:t>（三）在业务活动中坚持公开、公正、诚信、透明的原则，不得损害国家、集体利益。</w:t>
      </w:r>
    </w:p>
    <w:p w14:paraId="331BEAEF">
      <w:pPr>
        <w:widowControl/>
        <w:spacing w:line="360" w:lineRule="auto"/>
        <w:ind w:firstLine="420" w:firstLineChars="200"/>
        <w:jc w:val="left"/>
        <w:rPr>
          <w:rFonts w:cs="宋体"/>
          <w:szCs w:val="21"/>
          <w:highlight w:val="none"/>
        </w:rPr>
      </w:pPr>
      <w:r>
        <w:rPr>
          <w:rFonts w:hint="eastAsia" w:cs="宋体"/>
          <w:szCs w:val="21"/>
          <w:highlight w:val="none"/>
        </w:rPr>
        <w:t>（四）建立健全廉政制度，开展廉政教育，公布举报电话，监督并认真查处违法违纪行为。</w:t>
      </w:r>
    </w:p>
    <w:p w14:paraId="3A642809">
      <w:pPr>
        <w:widowControl/>
        <w:spacing w:line="360" w:lineRule="auto"/>
        <w:ind w:firstLine="420" w:firstLineChars="200"/>
        <w:jc w:val="left"/>
        <w:rPr>
          <w:rFonts w:cs="宋体"/>
          <w:szCs w:val="21"/>
          <w:highlight w:val="none"/>
        </w:rPr>
      </w:pPr>
      <w:r>
        <w:rPr>
          <w:rFonts w:hint="eastAsia" w:cs="宋体"/>
          <w:szCs w:val="21"/>
          <w:highlight w:val="none"/>
        </w:rPr>
        <w:t>（五）发现对方在业务活动中有违反廉政规定的行为，应及时提醒对方纠正。情节严重的，应向其上级有关部门举报、建议给予处理，并有权要求告知处理结果。</w:t>
      </w:r>
    </w:p>
    <w:p w14:paraId="6C30BA69">
      <w:pPr>
        <w:widowControl/>
        <w:spacing w:line="360" w:lineRule="auto"/>
        <w:ind w:firstLine="420" w:firstLineChars="200"/>
        <w:jc w:val="left"/>
        <w:rPr>
          <w:rFonts w:cs="宋体"/>
          <w:szCs w:val="21"/>
          <w:highlight w:val="none"/>
        </w:rPr>
      </w:pPr>
      <w:r>
        <w:rPr>
          <w:rFonts w:hint="eastAsia" w:cs="宋体"/>
          <w:szCs w:val="21"/>
          <w:highlight w:val="none"/>
        </w:rPr>
        <w:t>第二条 甲方的义务</w:t>
      </w:r>
    </w:p>
    <w:p w14:paraId="61AEB115">
      <w:pPr>
        <w:widowControl/>
        <w:spacing w:line="360" w:lineRule="auto"/>
        <w:ind w:firstLine="525" w:firstLineChars="250"/>
        <w:jc w:val="left"/>
        <w:rPr>
          <w:rFonts w:cs="宋体"/>
          <w:szCs w:val="21"/>
          <w:highlight w:val="none"/>
        </w:rPr>
      </w:pPr>
      <w:r>
        <w:rPr>
          <w:rFonts w:hint="eastAsia" w:cs="宋体"/>
          <w:szCs w:val="21"/>
          <w:highlight w:val="none"/>
        </w:rPr>
        <w:t>（一）甲方及其工作人员不得索要或接受乙方的礼金、有价证券和贵重物品，不得在乙方报销任何应由甲方单位或个人支付的费用等。</w:t>
      </w:r>
    </w:p>
    <w:p w14:paraId="147E7609">
      <w:pPr>
        <w:widowControl/>
        <w:spacing w:line="360" w:lineRule="auto"/>
        <w:ind w:firstLine="420" w:firstLineChars="200"/>
        <w:jc w:val="left"/>
        <w:rPr>
          <w:rFonts w:cs="宋体"/>
          <w:szCs w:val="21"/>
          <w:highlight w:val="none"/>
        </w:rPr>
      </w:pPr>
      <w:r>
        <w:rPr>
          <w:rFonts w:hint="eastAsia" w:cs="宋体"/>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8505A2C">
      <w:pPr>
        <w:widowControl/>
        <w:spacing w:line="360" w:lineRule="auto"/>
        <w:ind w:firstLine="420" w:firstLineChars="200"/>
        <w:jc w:val="left"/>
        <w:rPr>
          <w:rFonts w:cs="宋体"/>
          <w:szCs w:val="21"/>
          <w:highlight w:val="none"/>
        </w:rPr>
      </w:pPr>
      <w:r>
        <w:rPr>
          <w:rFonts w:hint="eastAsia" w:cs="宋体"/>
          <w:szCs w:val="21"/>
          <w:highlight w:val="none"/>
        </w:rPr>
        <w:t>（三） 甲方及其工作人员不得要求或者接受乙方为其住房装修、婚丧嫁娶活动、配偶子女工作安排以及出国出境、旅游等提供方便等。</w:t>
      </w:r>
    </w:p>
    <w:p w14:paraId="1AA0011E">
      <w:pPr>
        <w:widowControl/>
        <w:spacing w:line="360" w:lineRule="auto"/>
        <w:ind w:firstLine="420" w:firstLineChars="200"/>
        <w:jc w:val="left"/>
        <w:rPr>
          <w:rFonts w:cs="宋体"/>
          <w:szCs w:val="21"/>
          <w:highlight w:val="none"/>
        </w:rPr>
      </w:pPr>
      <w:r>
        <w:rPr>
          <w:rFonts w:hint="eastAsia" w:cs="宋体"/>
          <w:szCs w:val="21"/>
          <w:highlight w:val="none"/>
        </w:rPr>
        <w:t>（四） 甲方工作人员不得在乙方有股权关联的企业兼职，不得向乙方介绍家属或者亲友从事与甲方业务有关的经济活动。</w:t>
      </w:r>
    </w:p>
    <w:p w14:paraId="039166C5">
      <w:pPr>
        <w:widowControl/>
        <w:spacing w:line="360" w:lineRule="auto"/>
        <w:ind w:firstLine="420" w:firstLineChars="200"/>
        <w:jc w:val="left"/>
        <w:rPr>
          <w:rFonts w:cs="宋体"/>
          <w:szCs w:val="21"/>
          <w:highlight w:val="none"/>
        </w:rPr>
      </w:pPr>
      <w:r>
        <w:rPr>
          <w:rFonts w:hint="eastAsia" w:cs="宋体"/>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1F39C">
      <w:pPr>
        <w:widowControl/>
        <w:spacing w:line="360" w:lineRule="auto"/>
        <w:ind w:firstLine="420" w:firstLineChars="200"/>
        <w:jc w:val="left"/>
        <w:rPr>
          <w:rFonts w:cs="宋体"/>
          <w:szCs w:val="21"/>
          <w:highlight w:val="none"/>
        </w:rPr>
      </w:pPr>
      <w:r>
        <w:rPr>
          <w:rFonts w:hint="eastAsia" w:cs="宋体"/>
          <w:szCs w:val="21"/>
          <w:highlight w:val="none"/>
        </w:rPr>
        <w:t>（六）甲方工作人员不得利用职务之便收受乙方以回扣、手续费、加班费、咨询费、劳务费、协调费、辛苦费等各种名义给予或赠送的钱物。</w:t>
      </w:r>
    </w:p>
    <w:p w14:paraId="455CFFB2">
      <w:pPr>
        <w:widowControl/>
        <w:spacing w:line="360" w:lineRule="auto"/>
        <w:ind w:firstLine="420" w:firstLineChars="200"/>
        <w:jc w:val="left"/>
        <w:rPr>
          <w:rFonts w:cs="宋体"/>
          <w:szCs w:val="21"/>
          <w:highlight w:val="none"/>
        </w:rPr>
      </w:pPr>
      <w:r>
        <w:rPr>
          <w:rFonts w:hint="eastAsia" w:cs="宋体"/>
          <w:szCs w:val="21"/>
          <w:highlight w:val="none"/>
        </w:rPr>
        <w:t>（七）甲方工作人员不得接受乙方给予或赠送的干股或红利。</w:t>
      </w:r>
    </w:p>
    <w:p w14:paraId="70641B5B">
      <w:pPr>
        <w:widowControl/>
        <w:spacing w:line="360" w:lineRule="auto"/>
        <w:ind w:firstLine="420" w:firstLineChars="200"/>
        <w:jc w:val="left"/>
        <w:rPr>
          <w:rFonts w:cs="宋体"/>
          <w:szCs w:val="21"/>
          <w:highlight w:val="none"/>
        </w:rPr>
      </w:pPr>
      <w:r>
        <w:rPr>
          <w:rFonts w:hint="eastAsia" w:cs="宋体"/>
          <w:szCs w:val="21"/>
          <w:highlight w:val="none"/>
        </w:rPr>
        <w:t>（八）甲方任何人不得以个人的名义向乙方推荐设备、部件等供货商以及其他合作单位。</w:t>
      </w:r>
    </w:p>
    <w:p w14:paraId="19C63731">
      <w:pPr>
        <w:widowControl/>
        <w:spacing w:line="360" w:lineRule="auto"/>
        <w:ind w:firstLine="420" w:firstLineChars="200"/>
        <w:jc w:val="left"/>
        <w:rPr>
          <w:rFonts w:cs="宋体"/>
          <w:szCs w:val="21"/>
          <w:highlight w:val="none"/>
        </w:rPr>
      </w:pPr>
      <w:r>
        <w:rPr>
          <w:rFonts w:hint="eastAsia" w:cs="宋体"/>
          <w:szCs w:val="21"/>
          <w:highlight w:val="none"/>
        </w:rPr>
        <w:t>第三条 乙方的义务</w:t>
      </w:r>
    </w:p>
    <w:p w14:paraId="4A6D5CBE">
      <w:pPr>
        <w:widowControl/>
        <w:spacing w:line="360" w:lineRule="auto"/>
        <w:ind w:firstLine="525" w:firstLineChars="250"/>
        <w:jc w:val="left"/>
        <w:rPr>
          <w:rFonts w:cs="宋体"/>
          <w:szCs w:val="21"/>
          <w:highlight w:val="none"/>
        </w:rPr>
      </w:pPr>
      <w:r>
        <w:rPr>
          <w:rFonts w:hint="eastAsia" w:cs="宋体"/>
          <w:szCs w:val="21"/>
          <w:highlight w:val="none"/>
        </w:rPr>
        <w:t>（一）乙方不得以任何理由向甲方及其工作人员行贿或馈赠礼金、有价证券、贵重礼品。</w:t>
      </w:r>
    </w:p>
    <w:p w14:paraId="491C5200">
      <w:pPr>
        <w:widowControl/>
        <w:spacing w:line="360" w:lineRule="auto"/>
        <w:ind w:firstLine="420" w:firstLineChars="200"/>
        <w:jc w:val="left"/>
        <w:rPr>
          <w:rFonts w:cs="宋体"/>
          <w:szCs w:val="21"/>
          <w:highlight w:val="none"/>
        </w:rPr>
      </w:pPr>
      <w:r>
        <w:rPr>
          <w:rFonts w:hint="eastAsia" w:cs="宋体"/>
          <w:szCs w:val="21"/>
          <w:highlight w:val="none"/>
        </w:rPr>
        <w:t>（二）乙方不得以任何名义为甲方及其工作人员报销应由甲方单位或个人支付的任何费用。</w:t>
      </w:r>
    </w:p>
    <w:p w14:paraId="0BC6C9F4">
      <w:pPr>
        <w:widowControl/>
        <w:spacing w:line="360" w:lineRule="auto"/>
        <w:ind w:firstLine="420" w:firstLineChars="200"/>
        <w:jc w:val="left"/>
        <w:rPr>
          <w:rFonts w:cs="宋体"/>
          <w:szCs w:val="21"/>
          <w:highlight w:val="none"/>
        </w:rPr>
      </w:pPr>
      <w:r>
        <w:rPr>
          <w:rFonts w:hint="eastAsia" w:cs="宋体"/>
          <w:szCs w:val="21"/>
          <w:highlight w:val="none"/>
        </w:rPr>
        <w:t>（三）乙方不得以任何理由安排甲方工作人员参加可能影响相关业务公开、公正、公平性的宴请及娱乐活动。</w:t>
      </w:r>
    </w:p>
    <w:p w14:paraId="1872AD52">
      <w:pPr>
        <w:widowControl/>
        <w:spacing w:line="360" w:lineRule="auto"/>
        <w:ind w:firstLine="420" w:firstLineChars="200"/>
        <w:jc w:val="left"/>
        <w:rPr>
          <w:rFonts w:cs="宋体"/>
          <w:szCs w:val="21"/>
          <w:highlight w:val="none"/>
        </w:rPr>
      </w:pPr>
      <w:r>
        <w:rPr>
          <w:rFonts w:hint="eastAsia" w:cs="宋体"/>
          <w:szCs w:val="21"/>
          <w:highlight w:val="none"/>
        </w:rPr>
        <w:t>（四）乙方不得为甲方单位和个人购置或提供通讯工具和高档办公用品等物品，也不得为甲方提供与工作无关的房屋、汽车等。</w:t>
      </w:r>
    </w:p>
    <w:p w14:paraId="17D6C1E0">
      <w:pPr>
        <w:widowControl/>
        <w:spacing w:line="360" w:lineRule="auto"/>
        <w:ind w:firstLine="420" w:firstLineChars="200"/>
        <w:jc w:val="left"/>
        <w:rPr>
          <w:rFonts w:cs="宋体"/>
          <w:szCs w:val="21"/>
          <w:highlight w:val="none"/>
        </w:rPr>
      </w:pPr>
      <w:r>
        <w:rPr>
          <w:rFonts w:hint="eastAsia" w:cs="宋体"/>
          <w:szCs w:val="21"/>
          <w:highlight w:val="none"/>
        </w:rPr>
        <w:t>（五）乙方不得与甲方工作人员就合同中的质量、数量、价格、工程量、验收等条款进行私下商谈或者达成默契。</w:t>
      </w:r>
    </w:p>
    <w:p w14:paraId="39D6695F">
      <w:pPr>
        <w:widowControl/>
        <w:spacing w:line="360" w:lineRule="auto"/>
        <w:ind w:firstLine="420" w:firstLineChars="200"/>
        <w:jc w:val="left"/>
        <w:rPr>
          <w:rFonts w:cs="宋体"/>
          <w:szCs w:val="21"/>
          <w:highlight w:val="none"/>
        </w:rPr>
      </w:pPr>
      <w:r>
        <w:rPr>
          <w:rFonts w:hint="eastAsia" w:cs="宋体"/>
          <w:szCs w:val="21"/>
          <w:highlight w:val="none"/>
        </w:rPr>
        <w:t>（六）乙方不得以回扣、手续费、加班费、咨询费、劳务费、协调费、辛苦费等各种名义向甲方工作人员给予或赠送钱物。</w:t>
      </w:r>
    </w:p>
    <w:p w14:paraId="46838F6D">
      <w:pPr>
        <w:widowControl/>
        <w:spacing w:line="360" w:lineRule="auto"/>
        <w:ind w:firstLine="420" w:firstLineChars="200"/>
        <w:jc w:val="left"/>
        <w:rPr>
          <w:rFonts w:cs="宋体"/>
          <w:szCs w:val="21"/>
          <w:highlight w:val="none"/>
        </w:rPr>
      </w:pPr>
      <w:r>
        <w:rPr>
          <w:rFonts w:hint="eastAsia" w:cs="宋体"/>
          <w:szCs w:val="21"/>
          <w:highlight w:val="none"/>
        </w:rPr>
        <w:t>（七）乙方不得向甲方工作人员提供干股或红利。</w:t>
      </w:r>
    </w:p>
    <w:p w14:paraId="767D6B4D">
      <w:pPr>
        <w:widowControl/>
        <w:spacing w:line="360" w:lineRule="auto"/>
        <w:ind w:firstLine="420" w:firstLineChars="200"/>
        <w:jc w:val="left"/>
        <w:rPr>
          <w:rFonts w:cs="宋体"/>
          <w:szCs w:val="21"/>
          <w:highlight w:val="none"/>
        </w:rPr>
      </w:pPr>
      <w:r>
        <w:rPr>
          <w:rFonts w:hint="eastAsia" w:cs="宋体"/>
          <w:szCs w:val="21"/>
          <w:highlight w:val="none"/>
        </w:rPr>
        <w:t>（八）乙方须按</w:t>
      </w:r>
      <w:r>
        <w:rPr>
          <w:rFonts w:hint="eastAsia" w:cs="宋体"/>
          <w:szCs w:val="21"/>
          <w:highlight w:val="none"/>
          <w:u w:val="single"/>
        </w:rPr>
        <w:t xml:space="preserve">         </w:t>
      </w:r>
      <w:r>
        <w:rPr>
          <w:rFonts w:hint="eastAsia" w:cs="宋体"/>
          <w:szCs w:val="21"/>
          <w:highlight w:val="none"/>
        </w:rPr>
        <w:t>专项纪检监察工作组（如有）要求开展相关工作。</w:t>
      </w:r>
    </w:p>
    <w:p w14:paraId="1860FE4C">
      <w:pPr>
        <w:widowControl/>
        <w:spacing w:line="360" w:lineRule="auto"/>
        <w:ind w:firstLine="420" w:firstLineChars="200"/>
        <w:jc w:val="left"/>
        <w:rPr>
          <w:rFonts w:cs="宋体"/>
          <w:szCs w:val="21"/>
          <w:highlight w:val="none"/>
        </w:rPr>
      </w:pPr>
      <w:r>
        <w:rPr>
          <w:rFonts w:hint="eastAsia" w:cs="宋体"/>
          <w:szCs w:val="21"/>
          <w:highlight w:val="none"/>
        </w:rPr>
        <w:t>第四条 违约责任</w:t>
      </w:r>
    </w:p>
    <w:p w14:paraId="378EE9AA">
      <w:pPr>
        <w:widowControl/>
        <w:spacing w:line="360" w:lineRule="auto"/>
        <w:ind w:firstLine="420" w:firstLineChars="200"/>
        <w:jc w:val="left"/>
        <w:rPr>
          <w:rFonts w:cs="宋体"/>
          <w:szCs w:val="21"/>
          <w:highlight w:val="none"/>
        </w:rPr>
      </w:pPr>
      <w:r>
        <w:rPr>
          <w:rFonts w:hint="eastAsia" w:cs="宋体"/>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EE572C8">
      <w:pPr>
        <w:widowControl/>
        <w:spacing w:line="360" w:lineRule="auto"/>
        <w:ind w:firstLine="420" w:firstLineChars="200"/>
        <w:jc w:val="left"/>
        <w:rPr>
          <w:rFonts w:cs="宋体"/>
          <w:szCs w:val="21"/>
          <w:highlight w:val="none"/>
        </w:rPr>
      </w:pPr>
      <w:r>
        <w:rPr>
          <w:rFonts w:hint="eastAsia" w:cs="宋体"/>
          <w:szCs w:val="21"/>
          <w:highlight w:val="none"/>
        </w:rPr>
        <w:t>甲方投诉联系部门：</w:t>
      </w:r>
      <w:r>
        <w:rPr>
          <w:rFonts w:hint="eastAsia" w:cs="宋体"/>
          <w:szCs w:val="21"/>
          <w:highlight w:val="none"/>
          <w:u w:val="single"/>
        </w:rPr>
        <w:t xml:space="preserve">           </w:t>
      </w:r>
      <w:r>
        <w:rPr>
          <w:rFonts w:hint="eastAsia" w:cs="宋体"/>
          <w:szCs w:val="21"/>
          <w:highlight w:val="none"/>
        </w:rPr>
        <w:t>，联系电话：</w:t>
      </w:r>
      <w:r>
        <w:rPr>
          <w:rFonts w:hint="eastAsia" w:cs="宋体"/>
          <w:szCs w:val="21"/>
          <w:highlight w:val="none"/>
          <w:u w:val="single"/>
        </w:rPr>
        <w:t xml:space="preserve">           </w:t>
      </w:r>
      <w:r>
        <w:rPr>
          <w:rFonts w:hint="eastAsia" w:cs="宋体"/>
          <w:szCs w:val="21"/>
          <w:highlight w:val="none"/>
        </w:rPr>
        <w:t>。</w:t>
      </w:r>
    </w:p>
    <w:p w14:paraId="44EB177A">
      <w:pPr>
        <w:widowControl/>
        <w:spacing w:line="360" w:lineRule="auto"/>
        <w:ind w:firstLine="420" w:firstLineChars="200"/>
        <w:jc w:val="left"/>
        <w:rPr>
          <w:rFonts w:cs="宋体"/>
          <w:szCs w:val="21"/>
          <w:highlight w:val="none"/>
        </w:rPr>
      </w:pPr>
      <w:r>
        <w:rPr>
          <w:rFonts w:hint="eastAsia" w:cs="宋体"/>
          <w:szCs w:val="21"/>
          <w:highlight w:val="none"/>
        </w:rPr>
        <w:t>（二）乙方及其工作人员违反本协议第一、三条规定。根据具体情节和造成的后果，甲方有权对乙方采取以下一种或多种处理办法：</w:t>
      </w:r>
    </w:p>
    <w:p w14:paraId="4B8CAA74">
      <w:pPr>
        <w:widowControl/>
        <w:spacing w:line="360" w:lineRule="auto"/>
        <w:ind w:firstLine="420" w:firstLineChars="200"/>
        <w:jc w:val="left"/>
        <w:rPr>
          <w:rFonts w:cs="宋体"/>
          <w:szCs w:val="21"/>
          <w:highlight w:val="none"/>
        </w:rPr>
      </w:pPr>
      <w:r>
        <w:rPr>
          <w:rFonts w:hint="eastAsia" w:cs="宋体"/>
          <w:szCs w:val="21"/>
          <w:highlight w:val="none"/>
        </w:rPr>
        <w:t xml:space="preserve">1. 全额收取乙方合同履约保证金不予退还； </w:t>
      </w:r>
    </w:p>
    <w:p w14:paraId="4780C972">
      <w:pPr>
        <w:widowControl/>
        <w:spacing w:line="360" w:lineRule="auto"/>
        <w:ind w:firstLine="420" w:firstLineChars="200"/>
        <w:jc w:val="left"/>
        <w:rPr>
          <w:rFonts w:cs="宋体"/>
          <w:szCs w:val="21"/>
          <w:highlight w:val="none"/>
        </w:rPr>
      </w:pPr>
      <w:r>
        <w:rPr>
          <w:rFonts w:hint="eastAsia" w:cs="宋体"/>
          <w:szCs w:val="21"/>
          <w:highlight w:val="none"/>
        </w:rPr>
        <w:t>2. 追究乙方其他违约责任；</w:t>
      </w:r>
    </w:p>
    <w:p w14:paraId="76074492">
      <w:pPr>
        <w:widowControl/>
        <w:spacing w:line="360" w:lineRule="auto"/>
        <w:ind w:firstLine="420" w:firstLineChars="200"/>
        <w:jc w:val="left"/>
        <w:rPr>
          <w:rFonts w:cs="宋体"/>
          <w:szCs w:val="21"/>
          <w:highlight w:val="none"/>
        </w:rPr>
      </w:pPr>
      <w:r>
        <w:rPr>
          <w:rFonts w:hint="eastAsia" w:cs="宋体"/>
          <w:szCs w:val="21"/>
          <w:highlight w:val="none"/>
        </w:rPr>
        <w:t>3. 终止或解除双方已签订的包括本合同在内的所有合同；</w:t>
      </w:r>
    </w:p>
    <w:p w14:paraId="3B658AF3">
      <w:pPr>
        <w:widowControl/>
        <w:spacing w:line="360" w:lineRule="auto"/>
        <w:ind w:firstLine="420" w:firstLineChars="200"/>
        <w:jc w:val="left"/>
        <w:rPr>
          <w:rFonts w:cs="宋体"/>
          <w:szCs w:val="21"/>
          <w:highlight w:val="none"/>
        </w:rPr>
      </w:pPr>
      <w:r>
        <w:rPr>
          <w:rFonts w:hint="eastAsia" w:cs="宋体"/>
          <w:szCs w:val="21"/>
          <w:highlight w:val="none"/>
        </w:rPr>
        <w:t>4. 乙方一定期限内（6个月至3年，具体由甲方根据情况而定）不得参与甲方作为发包人（业主）的工程项目投标。</w:t>
      </w:r>
    </w:p>
    <w:p w14:paraId="132A8887">
      <w:pPr>
        <w:widowControl/>
        <w:spacing w:line="360" w:lineRule="auto"/>
        <w:ind w:firstLine="420" w:firstLineChars="200"/>
        <w:jc w:val="left"/>
        <w:rPr>
          <w:rFonts w:cs="宋体"/>
          <w:szCs w:val="21"/>
          <w:highlight w:val="none"/>
        </w:rPr>
      </w:pPr>
      <w:r>
        <w:rPr>
          <w:rFonts w:hint="eastAsia" w:cs="宋体"/>
          <w:szCs w:val="21"/>
          <w:highlight w:val="none"/>
        </w:rPr>
        <w:t>甲方作出的处理意见，乙方应无条件接受并承担给甲方造成的损失，全额返还通过不正当手段从甲方获取的非法所得，并承担相应的法律责任。</w:t>
      </w:r>
    </w:p>
    <w:p w14:paraId="208A686F">
      <w:pPr>
        <w:widowControl/>
        <w:spacing w:line="360" w:lineRule="auto"/>
        <w:ind w:firstLine="420" w:firstLineChars="200"/>
        <w:jc w:val="left"/>
        <w:rPr>
          <w:rFonts w:cs="宋体"/>
          <w:szCs w:val="21"/>
          <w:highlight w:val="none"/>
        </w:rPr>
      </w:pPr>
      <w:r>
        <w:rPr>
          <w:rFonts w:hint="eastAsia" w:cs="宋体"/>
          <w:szCs w:val="21"/>
          <w:highlight w:val="none"/>
        </w:rPr>
        <w:t>第五条 双方约定</w:t>
      </w:r>
    </w:p>
    <w:p w14:paraId="68141C53">
      <w:pPr>
        <w:widowControl/>
        <w:spacing w:line="360" w:lineRule="auto"/>
        <w:ind w:firstLine="420" w:firstLineChars="200"/>
        <w:jc w:val="left"/>
        <w:rPr>
          <w:rFonts w:cs="宋体"/>
          <w:szCs w:val="21"/>
          <w:highlight w:val="none"/>
        </w:rPr>
      </w:pPr>
      <w:r>
        <w:rPr>
          <w:rFonts w:hint="eastAsia" w:cs="宋体"/>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54696749">
      <w:pPr>
        <w:widowControl/>
        <w:spacing w:line="360" w:lineRule="auto"/>
        <w:ind w:firstLine="420" w:firstLineChars="200"/>
        <w:jc w:val="left"/>
        <w:rPr>
          <w:rFonts w:cs="宋体"/>
          <w:szCs w:val="21"/>
          <w:highlight w:val="none"/>
        </w:rPr>
      </w:pPr>
      <w:r>
        <w:rPr>
          <w:rFonts w:hint="eastAsia" w:cs="宋体"/>
          <w:szCs w:val="21"/>
          <w:highlight w:val="none"/>
        </w:rPr>
        <w:t xml:space="preserve">第六条  本协议有效期为甲乙双方签署之日起至合同终止。  </w:t>
      </w:r>
    </w:p>
    <w:p w14:paraId="737DB331">
      <w:pPr>
        <w:widowControl/>
        <w:spacing w:line="360" w:lineRule="auto"/>
        <w:ind w:firstLine="420" w:firstLineChars="200"/>
        <w:jc w:val="left"/>
        <w:rPr>
          <w:rFonts w:cs="宋体"/>
          <w:szCs w:val="21"/>
          <w:highlight w:val="none"/>
        </w:rPr>
      </w:pPr>
      <w:r>
        <w:rPr>
          <w:rFonts w:hint="eastAsia" w:cs="宋体"/>
          <w:szCs w:val="21"/>
          <w:highlight w:val="none"/>
        </w:rPr>
        <w:t>第七条  本协议作为合同的附件，与本合同具有同等法律效力。</w:t>
      </w:r>
    </w:p>
    <w:p w14:paraId="11CC8A69">
      <w:pPr>
        <w:widowControl/>
        <w:spacing w:line="360" w:lineRule="auto"/>
        <w:ind w:firstLine="420" w:firstLineChars="200"/>
        <w:jc w:val="left"/>
        <w:rPr>
          <w:rFonts w:cs="宋体"/>
          <w:szCs w:val="21"/>
          <w:highlight w:val="none"/>
        </w:rPr>
      </w:pPr>
      <w:r>
        <w:rPr>
          <w:rFonts w:hint="eastAsia" w:cs="宋体"/>
          <w:szCs w:val="21"/>
          <w:highlight w:val="none"/>
        </w:rPr>
        <w:t xml:space="preserve"> </w:t>
      </w:r>
    </w:p>
    <w:p w14:paraId="7BCB8C67">
      <w:pPr>
        <w:widowControl/>
        <w:spacing w:line="360" w:lineRule="auto"/>
        <w:ind w:firstLine="420" w:firstLineChars="200"/>
        <w:jc w:val="left"/>
        <w:rPr>
          <w:rFonts w:cs="宋体"/>
          <w:szCs w:val="21"/>
          <w:highlight w:val="none"/>
        </w:rPr>
      </w:pPr>
      <w:r>
        <w:rPr>
          <w:rFonts w:hint="eastAsia" w:cs="宋体"/>
          <w:szCs w:val="21"/>
          <w:highlight w:val="none"/>
        </w:rPr>
        <w:t xml:space="preserve">甲方（盖章）： </w:t>
      </w:r>
      <w:r>
        <w:rPr>
          <w:rFonts w:hint="eastAsia" w:cs="宋体"/>
          <w:szCs w:val="21"/>
          <w:highlight w:val="none"/>
          <w:u w:val="single"/>
        </w:rPr>
        <w:t xml:space="preserve">                  </w:t>
      </w:r>
      <w:r>
        <w:rPr>
          <w:rFonts w:hint="eastAsia" w:cs="宋体"/>
          <w:szCs w:val="21"/>
          <w:highlight w:val="none"/>
        </w:rPr>
        <w:t xml:space="preserve">     乙方（盖章）：</w:t>
      </w:r>
      <w:r>
        <w:rPr>
          <w:rFonts w:hint="eastAsia" w:cs="宋体"/>
          <w:szCs w:val="21"/>
          <w:highlight w:val="none"/>
          <w:u w:val="single"/>
        </w:rPr>
        <w:t xml:space="preserve">             </w:t>
      </w:r>
    </w:p>
    <w:p w14:paraId="5DE4CB2C">
      <w:pPr>
        <w:widowControl/>
        <w:spacing w:line="360" w:lineRule="auto"/>
        <w:ind w:firstLine="420" w:firstLineChars="200"/>
        <w:jc w:val="left"/>
        <w:rPr>
          <w:rFonts w:cs="宋体"/>
          <w:szCs w:val="21"/>
          <w:highlight w:val="none"/>
        </w:rPr>
      </w:pPr>
      <w:r>
        <w:rPr>
          <w:rFonts w:hint="eastAsia" w:cs="宋体"/>
          <w:szCs w:val="21"/>
          <w:highlight w:val="none"/>
        </w:rPr>
        <w:t>法定代表人或                          法定代表人或</w:t>
      </w:r>
    </w:p>
    <w:p w14:paraId="5863D239">
      <w:pPr>
        <w:widowControl/>
        <w:spacing w:line="360" w:lineRule="auto"/>
        <w:ind w:firstLine="420" w:firstLineChars="200"/>
        <w:jc w:val="left"/>
        <w:rPr>
          <w:rFonts w:cs="宋体"/>
          <w:szCs w:val="21"/>
          <w:highlight w:val="none"/>
        </w:rPr>
      </w:pPr>
      <w:r>
        <w:rPr>
          <w:rFonts w:hint="eastAsia" w:cs="宋体"/>
          <w:szCs w:val="21"/>
          <w:highlight w:val="none"/>
        </w:rPr>
        <w:t>授权代表：</w:t>
      </w:r>
      <w:r>
        <w:rPr>
          <w:rFonts w:hint="eastAsia" w:cs="宋体"/>
          <w:szCs w:val="21"/>
          <w:highlight w:val="none"/>
          <w:u w:val="single"/>
        </w:rPr>
        <w:t xml:space="preserve">              </w:t>
      </w:r>
      <w:r>
        <w:rPr>
          <w:rFonts w:hint="eastAsia" w:cs="宋体"/>
          <w:szCs w:val="21"/>
          <w:highlight w:val="none"/>
        </w:rPr>
        <w:t>(职务)         授权代表：</w:t>
      </w:r>
      <w:r>
        <w:rPr>
          <w:rFonts w:hint="eastAsia" w:cs="宋体"/>
          <w:szCs w:val="21"/>
          <w:highlight w:val="none"/>
          <w:u w:val="single"/>
        </w:rPr>
        <w:t xml:space="preserve">             </w:t>
      </w:r>
      <w:r>
        <w:rPr>
          <w:rFonts w:hint="eastAsia" w:cs="宋体"/>
          <w:szCs w:val="21"/>
          <w:highlight w:val="none"/>
        </w:rPr>
        <w:t>(职务)</w:t>
      </w:r>
    </w:p>
    <w:p w14:paraId="6A119E75">
      <w:pPr>
        <w:widowControl/>
        <w:spacing w:line="360" w:lineRule="auto"/>
        <w:ind w:firstLine="420" w:firstLineChars="200"/>
        <w:jc w:val="left"/>
        <w:rPr>
          <w:rFonts w:cs="宋体"/>
          <w:szCs w:val="21"/>
          <w:highlight w:val="none"/>
        </w:rPr>
      </w:pPr>
      <w:r>
        <w:rPr>
          <w:rFonts w:hint="eastAsia" w:cs="宋体"/>
          <w:szCs w:val="21"/>
          <w:highlight w:val="none"/>
        </w:rPr>
        <w:t>姓名：</w:t>
      </w:r>
      <w:r>
        <w:rPr>
          <w:rFonts w:hint="eastAsia" w:cs="宋体"/>
          <w:szCs w:val="21"/>
          <w:highlight w:val="none"/>
          <w:u w:val="single"/>
        </w:rPr>
        <w:t xml:space="preserve">             </w:t>
      </w:r>
      <w:r>
        <w:rPr>
          <w:rFonts w:hint="eastAsia" w:cs="宋体"/>
          <w:szCs w:val="21"/>
          <w:highlight w:val="none"/>
        </w:rPr>
        <w:t xml:space="preserve">                   姓名：</w:t>
      </w:r>
      <w:r>
        <w:rPr>
          <w:rFonts w:hint="eastAsia" w:cs="宋体"/>
          <w:szCs w:val="21"/>
          <w:highlight w:val="none"/>
          <w:u w:val="single"/>
        </w:rPr>
        <w:t xml:space="preserve">             </w:t>
      </w:r>
    </w:p>
    <w:p w14:paraId="3E503CEE">
      <w:pPr>
        <w:widowControl/>
        <w:spacing w:line="360" w:lineRule="auto"/>
        <w:ind w:firstLine="420" w:firstLineChars="200"/>
        <w:jc w:val="left"/>
        <w:rPr>
          <w:rFonts w:cs="宋体"/>
          <w:szCs w:val="21"/>
          <w:highlight w:val="none"/>
        </w:rPr>
      </w:pPr>
      <w:r>
        <w:rPr>
          <w:rFonts w:hint="eastAsia" w:cs="宋体"/>
          <w:szCs w:val="21"/>
          <w:highlight w:val="none"/>
        </w:rPr>
        <w:t>签字：</w:t>
      </w:r>
      <w:r>
        <w:rPr>
          <w:rFonts w:hint="eastAsia" w:cs="宋体"/>
          <w:szCs w:val="21"/>
          <w:highlight w:val="none"/>
          <w:u w:val="single"/>
        </w:rPr>
        <w:t xml:space="preserve">             </w:t>
      </w:r>
      <w:r>
        <w:rPr>
          <w:rFonts w:hint="eastAsia" w:cs="宋体"/>
          <w:szCs w:val="21"/>
          <w:highlight w:val="none"/>
        </w:rPr>
        <w:t xml:space="preserve">                   签字：</w:t>
      </w:r>
      <w:r>
        <w:rPr>
          <w:rFonts w:hint="eastAsia" w:cs="宋体"/>
          <w:szCs w:val="21"/>
          <w:highlight w:val="none"/>
          <w:u w:val="single"/>
        </w:rPr>
        <w:t xml:space="preserve">             </w:t>
      </w:r>
    </w:p>
    <w:p w14:paraId="52EB90D7">
      <w:pPr>
        <w:widowControl/>
        <w:spacing w:line="360" w:lineRule="auto"/>
        <w:ind w:firstLine="420" w:firstLineChars="200"/>
        <w:jc w:val="left"/>
        <w:rPr>
          <w:rFonts w:cs="宋体"/>
          <w:szCs w:val="21"/>
          <w:highlight w:val="none"/>
        </w:rPr>
      </w:pPr>
    </w:p>
    <w:p w14:paraId="459EAAC4">
      <w:pPr>
        <w:widowControl/>
        <w:spacing w:line="360" w:lineRule="auto"/>
        <w:ind w:firstLine="420" w:firstLineChars="200"/>
        <w:jc w:val="left"/>
        <w:rPr>
          <w:rFonts w:cs="宋体"/>
          <w:szCs w:val="21"/>
          <w:highlight w:val="none"/>
        </w:rPr>
      </w:pPr>
      <w:r>
        <w:rPr>
          <w:rFonts w:hint="eastAsia" w:cs="宋体"/>
          <w:szCs w:val="21"/>
          <w:highlight w:val="none"/>
        </w:rPr>
        <w:t>廉政监督联系人                        廉政监督联系人</w:t>
      </w:r>
    </w:p>
    <w:p w14:paraId="20DC034E">
      <w:pPr>
        <w:widowControl/>
        <w:spacing w:line="360" w:lineRule="auto"/>
        <w:ind w:firstLine="420" w:firstLineChars="200"/>
        <w:jc w:val="left"/>
        <w:rPr>
          <w:rFonts w:cs="宋体"/>
          <w:szCs w:val="21"/>
          <w:highlight w:val="none"/>
        </w:rPr>
      </w:pPr>
      <w:r>
        <w:rPr>
          <w:rFonts w:hint="eastAsia" w:cs="宋体"/>
          <w:szCs w:val="21"/>
          <w:highlight w:val="none"/>
        </w:rPr>
        <w:t>姓名：</w:t>
      </w:r>
      <w:r>
        <w:rPr>
          <w:rFonts w:hint="eastAsia" w:cs="宋体"/>
          <w:szCs w:val="21"/>
          <w:highlight w:val="none"/>
          <w:u w:val="single"/>
        </w:rPr>
        <w:t xml:space="preserve">                       </w:t>
      </w:r>
      <w:r>
        <w:rPr>
          <w:rFonts w:hint="eastAsia" w:cs="宋体"/>
          <w:szCs w:val="21"/>
          <w:highlight w:val="none"/>
        </w:rPr>
        <w:t xml:space="preserve">         姓名：</w:t>
      </w:r>
      <w:r>
        <w:rPr>
          <w:rFonts w:hint="eastAsia" w:cs="宋体"/>
          <w:szCs w:val="21"/>
          <w:highlight w:val="none"/>
          <w:u w:val="single"/>
        </w:rPr>
        <w:t xml:space="preserve">                     </w:t>
      </w:r>
    </w:p>
    <w:p w14:paraId="243BB367">
      <w:pPr>
        <w:widowControl/>
        <w:spacing w:line="360" w:lineRule="auto"/>
        <w:ind w:firstLine="420" w:firstLineChars="200"/>
        <w:jc w:val="left"/>
        <w:rPr>
          <w:rFonts w:cs="宋体"/>
          <w:szCs w:val="21"/>
          <w:highlight w:val="none"/>
        </w:rPr>
      </w:pPr>
      <w:r>
        <w:rPr>
          <w:rFonts w:hint="eastAsia" w:cs="宋体"/>
          <w:szCs w:val="21"/>
          <w:highlight w:val="none"/>
        </w:rPr>
        <w:t>签字：</w:t>
      </w:r>
      <w:r>
        <w:rPr>
          <w:rFonts w:hint="eastAsia" w:cs="宋体"/>
          <w:szCs w:val="21"/>
          <w:highlight w:val="none"/>
          <w:u w:val="single"/>
        </w:rPr>
        <w:t xml:space="preserve">                       </w:t>
      </w:r>
      <w:r>
        <w:rPr>
          <w:rFonts w:hint="eastAsia" w:cs="宋体"/>
          <w:szCs w:val="21"/>
          <w:highlight w:val="none"/>
        </w:rPr>
        <w:t xml:space="preserve">         签字：</w:t>
      </w:r>
      <w:r>
        <w:rPr>
          <w:rFonts w:hint="eastAsia" w:cs="宋体"/>
          <w:szCs w:val="21"/>
          <w:highlight w:val="none"/>
          <w:u w:val="single"/>
        </w:rPr>
        <w:t xml:space="preserve">                     </w:t>
      </w:r>
    </w:p>
    <w:p w14:paraId="114F2AB2">
      <w:pPr>
        <w:widowControl/>
        <w:spacing w:line="360" w:lineRule="auto"/>
        <w:ind w:firstLine="420" w:firstLineChars="200"/>
        <w:jc w:val="left"/>
        <w:rPr>
          <w:rFonts w:cs="宋体"/>
          <w:szCs w:val="21"/>
          <w:highlight w:val="none"/>
        </w:rPr>
      </w:pPr>
      <w:r>
        <w:rPr>
          <w:rFonts w:hint="eastAsia" w:cs="宋体"/>
          <w:szCs w:val="21"/>
          <w:highlight w:val="none"/>
        </w:rPr>
        <w:t>电话：</w:t>
      </w:r>
      <w:r>
        <w:rPr>
          <w:rFonts w:hint="eastAsia" w:cs="宋体"/>
          <w:szCs w:val="21"/>
          <w:highlight w:val="none"/>
          <w:u w:val="single"/>
        </w:rPr>
        <w:t xml:space="preserve">                       </w:t>
      </w:r>
      <w:r>
        <w:rPr>
          <w:rFonts w:hint="eastAsia" w:cs="宋体"/>
          <w:szCs w:val="21"/>
          <w:highlight w:val="none"/>
        </w:rPr>
        <w:t xml:space="preserve">         电话：</w:t>
      </w:r>
      <w:r>
        <w:rPr>
          <w:rFonts w:hint="eastAsia" w:cs="宋体"/>
          <w:szCs w:val="21"/>
          <w:highlight w:val="none"/>
          <w:u w:val="single"/>
        </w:rPr>
        <w:t xml:space="preserve">                     </w:t>
      </w:r>
    </w:p>
    <w:p w14:paraId="5247BB67">
      <w:pPr>
        <w:widowControl/>
        <w:spacing w:line="360" w:lineRule="auto"/>
        <w:ind w:firstLine="420" w:firstLineChars="200"/>
        <w:jc w:val="left"/>
        <w:rPr>
          <w:rFonts w:cs="宋体"/>
          <w:szCs w:val="21"/>
          <w:highlight w:val="none"/>
        </w:rPr>
      </w:pPr>
      <w:r>
        <w:rPr>
          <w:rFonts w:hint="eastAsia" w:cs="宋体"/>
          <w:szCs w:val="21"/>
          <w:highlight w:val="none"/>
        </w:rPr>
        <w:t>地址：</w:t>
      </w:r>
      <w:r>
        <w:rPr>
          <w:rFonts w:hint="eastAsia" w:cs="宋体"/>
          <w:szCs w:val="21"/>
          <w:highlight w:val="none"/>
          <w:u w:val="single"/>
        </w:rPr>
        <w:t xml:space="preserve">                       </w:t>
      </w:r>
      <w:r>
        <w:rPr>
          <w:rFonts w:hint="eastAsia" w:cs="宋体"/>
          <w:szCs w:val="21"/>
          <w:highlight w:val="none"/>
        </w:rPr>
        <w:t xml:space="preserve">         地址：</w:t>
      </w:r>
      <w:r>
        <w:rPr>
          <w:rFonts w:hint="eastAsia" w:cs="宋体"/>
          <w:szCs w:val="21"/>
          <w:highlight w:val="none"/>
          <w:u w:val="single"/>
        </w:rPr>
        <w:t xml:space="preserve">                     </w:t>
      </w:r>
    </w:p>
    <w:p w14:paraId="5D6A8347">
      <w:pPr>
        <w:widowControl/>
        <w:spacing w:line="360" w:lineRule="auto"/>
        <w:ind w:firstLine="420" w:firstLineChars="200"/>
        <w:jc w:val="left"/>
        <w:rPr>
          <w:rFonts w:cs="宋体"/>
          <w:szCs w:val="21"/>
          <w:highlight w:val="none"/>
        </w:rPr>
      </w:pPr>
      <w:r>
        <w:rPr>
          <w:rFonts w:hint="eastAsia" w:cs="宋体"/>
          <w:szCs w:val="21"/>
          <w:highlight w:val="none"/>
        </w:rPr>
        <w:t>日期：</w:t>
      </w:r>
      <w:r>
        <w:rPr>
          <w:rFonts w:hint="eastAsia" w:cs="宋体"/>
          <w:szCs w:val="21"/>
          <w:highlight w:val="none"/>
          <w:u w:val="single"/>
        </w:rPr>
        <w:t xml:space="preserve">                       </w:t>
      </w:r>
      <w:r>
        <w:rPr>
          <w:rFonts w:hint="eastAsia" w:cs="宋体"/>
          <w:szCs w:val="21"/>
          <w:highlight w:val="none"/>
        </w:rPr>
        <w:t xml:space="preserve">         日期：</w:t>
      </w:r>
      <w:r>
        <w:rPr>
          <w:rFonts w:hint="eastAsia" w:cs="宋体"/>
          <w:szCs w:val="21"/>
          <w:highlight w:val="none"/>
          <w:u w:val="single"/>
        </w:rPr>
        <w:t xml:space="preserve">                     </w:t>
      </w:r>
    </w:p>
    <w:p w14:paraId="54A668BE">
      <w:pPr>
        <w:spacing w:before="312" w:beforeLines="100" w:after="312" w:afterLines="100"/>
        <w:outlineLvl w:val="2"/>
        <w:rPr>
          <w:rFonts w:ascii="Times New Roman" w:eastAsia="黑体"/>
          <w:highlight w:val="none"/>
        </w:rPr>
      </w:pPr>
      <w:r>
        <w:rPr>
          <w:rFonts w:hint="eastAsia" w:ascii="Times New Roman" w:eastAsia="黑体"/>
          <w:bCs/>
          <w:szCs w:val="21"/>
          <w:highlight w:val="none"/>
        </w:rPr>
        <w:br w:type="page"/>
      </w:r>
      <w:bookmarkStart w:id="662" w:name="_Toc128950244"/>
      <w:r>
        <w:rPr>
          <w:rFonts w:hint="eastAsia" w:ascii="Times New Roman" w:eastAsia="黑体"/>
          <w:highlight w:val="none"/>
        </w:rPr>
        <w:t>附件9：履约保证金</w:t>
      </w:r>
      <w:bookmarkEnd w:id="662"/>
    </w:p>
    <w:p w14:paraId="428EAED0">
      <w:pPr>
        <w:spacing w:line="360" w:lineRule="auto"/>
        <w:jc w:val="center"/>
        <w:rPr>
          <w:rFonts w:cs="宋体"/>
          <w:b/>
          <w:bCs/>
          <w:sz w:val="32"/>
          <w:szCs w:val="32"/>
          <w:highlight w:val="none"/>
        </w:rPr>
      </w:pPr>
      <w:r>
        <w:rPr>
          <w:rFonts w:hint="eastAsia" w:cs="宋体"/>
          <w:b/>
          <w:bCs/>
          <w:sz w:val="32"/>
          <w:szCs w:val="32"/>
          <w:highlight w:val="none"/>
        </w:rPr>
        <w:t>履约保函示范文本</w:t>
      </w:r>
    </w:p>
    <w:p w14:paraId="48D6327E">
      <w:pPr>
        <w:wordWrap w:val="0"/>
        <w:spacing w:line="360" w:lineRule="auto"/>
        <w:jc w:val="right"/>
        <w:rPr>
          <w:rFonts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0FD34D8A">
      <w:pPr>
        <w:spacing w:line="360" w:lineRule="auto"/>
        <w:rPr>
          <w:rFonts w:ascii="Times New Roman"/>
          <w:szCs w:val="21"/>
          <w:highlight w:val="none"/>
        </w:rPr>
      </w:pPr>
    </w:p>
    <w:p w14:paraId="7891650B">
      <w:pPr>
        <w:spacing w:line="360" w:lineRule="auto"/>
        <w:rPr>
          <w:rFonts w:cs="宋体"/>
          <w:szCs w:val="21"/>
          <w:highlight w:val="none"/>
        </w:rPr>
      </w:pPr>
      <w:r>
        <w:rPr>
          <w:rFonts w:hint="eastAsia" w:cs="宋体"/>
          <w:szCs w:val="21"/>
          <w:highlight w:val="none"/>
          <w:u w:val="single"/>
        </w:rPr>
        <w:t xml:space="preserve">              </w:t>
      </w:r>
      <w:r>
        <w:rPr>
          <w:rFonts w:hint="eastAsia" w:cs="宋体"/>
          <w:szCs w:val="21"/>
          <w:highlight w:val="none"/>
        </w:rPr>
        <w:t xml:space="preserve">（受益人名称）： </w:t>
      </w:r>
    </w:p>
    <w:p w14:paraId="6A2AB6CB">
      <w:pPr>
        <w:spacing w:line="360" w:lineRule="auto"/>
        <w:ind w:firstLine="420" w:firstLineChars="200"/>
        <w:rPr>
          <w:rFonts w:cs="宋体"/>
          <w:szCs w:val="21"/>
          <w:highlight w:val="none"/>
        </w:rPr>
      </w:pPr>
      <w:r>
        <w:rPr>
          <w:rFonts w:hint="eastAsia" w:cs="宋体"/>
          <w:szCs w:val="21"/>
          <w:highlight w:val="none"/>
        </w:rPr>
        <w:t>鉴于</w:t>
      </w:r>
      <w:r>
        <w:rPr>
          <w:rFonts w:hint="eastAsia" w:cs="宋体"/>
          <w:szCs w:val="21"/>
          <w:highlight w:val="none"/>
          <w:u w:val="single"/>
        </w:rPr>
        <w:t xml:space="preserve">        </w:t>
      </w:r>
      <w:r>
        <w:rPr>
          <w:rFonts w:hint="eastAsia" w:cs="宋体"/>
          <w:szCs w:val="21"/>
          <w:highlight w:val="none"/>
        </w:rPr>
        <w:t>（以下简称“受益人”）与</w:t>
      </w:r>
      <w:r>
        <w:rPr>
          <w:rFonts w:hint="eastAsia" w:cs="宋体"/>
          <w:szCs w:val="21"/>
          <w:highlight w:val="none"/>
          <w:u w:val="single"/>
        </w:rPr>
        <w:t xml:space="preserve">         </w:t>
      </w:r>
      <w:r>
        <w:rPr>
          <w:rFonts w:hint="eastAsia" w:cs="宋体"/>
          <w:szCs w:val="21"/>
          <w:highlight w:val="none"/>
        </w:rPr>
        <w:t>（以下简称“申请人”）于</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日就</w:t>
      </w:r>
      <w:r>
        <w:rPr>
          <w:rFonts w:hint="eastAsia" w:cs="宋体"/>
          <w:snapToGrid w:val="0"/>
          <w:szCs w:val="21"/>
          <w:highlight w:val="none"/>
          <w:u w:val="single"/>
        </w:rPr>
        <w:t xml:space="preserve">        </w:t>
      </w:r>
      <w:r>
        <w:rPr>
          <w:rFonts w:hint="eastAsia" w:cs="宋体"/>
          <w:snapToGrid w:val="0"/>
          <w:szCs w:val="21"/>
          <w:highlight w:val="none"/>
        </w:rPr>
        <w:t>（项目编号）的</w:t>
      </w:r>
      <w:r>
        <w:rPr>
          <w:rFonts w:hint="eastAsia" w:cs="宋体"/>
          <w:snapToGrid w:val="0"/>
          <w:szCs w:val="21"/>
          <w:highlight w:val="none"/>
          <w:u w:val="single"/>
        </w:rPr>
        <w:t xml:space="preserve">         </w:t>
      </w:r>
      <w:r>
        <w:rPr>
          <w:rFonts w:hint="eastAsia" w:cs="宋体"/>
          <w:snapToGrid w:val="0"/>
          <w:szCs w:val="21"/>
          <w:highlight w:val="none"/>
        </w:rPr>
        <w:t>（项目名称）</w:t>
      </w:r>
      <w:r>
        <w:rPr>
          <w:rFonts w:hint="eastAsia" w:cs="宋体"/>
          <w:szCs w:val="21"/>
          <w:highlight w:val="none"/>
        </w:rPr>
        <w:t>有关事项协商一致共同签订</w:t>
      </w:r>
      <w:r>
        <w:rPr>
          <w:rFonts w:hint="eastAsia" w:cs="宋体"/>
          <w:szCs w:val="21"/>
          <w:highlight w:val="none"/>
          <w:u w:val="single"/>
        </w:rPr>
        <w:t>《        》</w:t>
      </w:r>
      <w:r>
        <w:rPr>
          <w:rFonts w:hint="eastAsia" w:cs="宋体"/>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01B3F94">
      <w:pPr>
        <w:spacing w:line="360" w:lineRule="auto"/>
        <w:ind w:firstLine="420" w:firstLineChars="200"/>
        <w:rPr>
          <w:rFonts w:cs="宋体"/>
          <w:szCs w:val="21"/>
          <w:highlight w:val="none"/>
        </w:rPr>
      </w:pPr>
      <w:r>
        <w:rPr>
          <w:rFonts w:hint="eastAsia" w:cs="宋体"/>
          <w:szCs w:val="21"/>
          <w:highlight w:val="none"/>
        </w:rPr>
        <w:t>一、本保函担保范围：承包人未按照基础合同的约定履行义务，应当向受益人承担的违约责任和赔偿因此造成的损失、利息、律师费、诉讼费用等实现债权的费用。</w:t>
      </w:r>
    </w:p>
    <w:p w14:paraId="10B9706E">
      <w:pPr>
        <w:spacing w:line="360" w:lineRule="auto"/>
        <w:ind w:firstLine="420" w:firstLineChars="200"/>
        <w:rPr>
          <w:rFonts w:cs="宋体"/>
          <w:szCs w:val="21"/>
          <w:highlight w:val="none"/>
        </w:rPr>
      </w:pPr>
      <w:r>
        <w:rPr>
          <w:rFonts w:hint="eastAsia" w:cs="宋体"/>
          <w:szCs w:val="21"/>
          <w:highlight w:val="none"/>
        </w:rPr>
        <w:t>二、本保函担保金额最高不超过人民币（大写）</w:t>
      </w:r>
      <w:r>
        <w:rPr>
          <w:rFonts w:hint="eastAsia" w:cs="宋体"/>
          <w:szCs w:val="21"/>
          <w:highlight w:val="none"/>
          <w:u w:val="single"/>
        </w:rPr>
        <w:t xml:space="preserve">          </w:t>
      </w:r>
      <w:r>
        <w:rPr>
          <w:rFonts w:hint="eastAsia" w:cs="宋体"/>
          <w:szCs w:val="21"/>
          <w:highlight w:val="none"/>
        </w:rPr>
        <w:t>元（¥</w:t>
      </w:r>
      <w:r>
        <w:rPr>
          <w:rFonts w:hint="eastAsia" w:cs="宋体"/>
          <w:szCs w:val="21"/>
          <w:highlight w:val="none"/>
          <w:u w:val="single"/>
        </w:rPr>
        <w:t xml:space="preserve">       </w:t>
      </w:r>
      <w:r>
        <w:rPr>
          <w:rFonts w:hint="eastAsia" w:cs="宋体"/>
          <w:szCs w:val="21"/>
          <w:highlight w:val="none"/>
        </w:rPr>
        <w:t xml:space="preserve">）。 </w:t>
      </w:r>
    </w:p>
    <w:p w14:paraId="041542B7">
      <w:pPr>
        <w:spacing w:line="360" w:lineRule="auto"/>
        <w:ind w:firstLine="420" w:firstLineChars="200"/>
        <w:rPr>
          <w:rFonts w:cs="宋体"/>
          <w:szCs w:val="21"/>
          <w:highlight w:val="none"/>
        </w:rPr>
      </w:pPr>
      <w:r>
        <w:rPr>
          <w:rFonts w:hint="eastAsia" w:cs="宋体"/>
          <w:szCs w:val="21"/>
          <w:highlight w:val="none"/>
        </w:rPr>
        <w:t xml:space="preserve">三、本保函有效期自开立之日起至基础合同约定的缺陷责任期满之日止。 </w:t>
      </w:r>
    </w:p>
    <w:p w14:paraId="27739B59">
      <w:pPr>
        <w:spacing w:line="360" w:lineRule="auto"/>
        <w:ind w:firstLine="480"/>
        <w:rPr>
          <w:rFonts w:cs="宋体"/>
          <w:szCs w:val="21"/>
          <w:highlight w:val="none"/>
        </w:rPr>
      </w:pPr>
      <w:bookmarkStart w:id="663" w:name="_Hlk40302764"/>
      <w:r>
        <w:rPr>
          <w:rFonts w:hint="eastAsia" w:cs="宋体"/>
          <w:szCs w:val="21"/>
          <w:highlight w:val="none"/>
        </w:rPr>
        <w:t>四、开立人承诺，在收到受益人发来的书面付款通知后的七日内无条件支付，前述书面付款通知即为付款要求之单据，且应满足以下要求：</w:t>
      </w:r>
    </w:p>
    <w:bookmarkEnd w:id="663"/>
    <w:p w14:paraId="063A76AE">
      <w:pPr>
        <w:spacing w:line="360" w:lineRule="auto"/>
        <w:ind w:firstLine="420" w:firstLineChars="200"/>
        <w:rPr>
          <w:rFonts w:cs="宋体"/>
          <w:szCs w:val="21"/>
          <w:highlight w:val="none"/>
        </w:rPr>
      </w:pPr>
      <w:r>
        <w:rPr>
          <w:rFonts w:hint="eastAsia" w:cs="宋体"/>
          <w:szCs w:val="21"/>
          <w:highlight w:val="none"/>
        </w:rPr>
        <w:t>（1）付款通知到达的日期在本保函的有效期内；</w:t>
      </w:r>
    </w:p>
    <w:p w14:paraId="48921DA3">
      <w:pPr>
        <w:spacing w:line="360" w:lineRule="auto"/>
        <w:ind w:firstLine="420" w:firstLineChars="200"/>
        <w:rPr>
          <w:rFonts w:cs="宋体"/>
          <w:szCs w:val="21"/>
          <w:highlight w:val="none"/>
        </w:rPr>
      </w:pPr>
      <w:r>
        <w:rPr>
          <w:rFonts w:hint="eastAsia" w:cs="宋体"/>
          <w:szCs w:val="21"/>
          <w:highlight w:val="none"/>
        </w:rPr>
        <w:t>（2）载明要求支付的金额；</w:t>
      </w:r>
    </w:p>
    <w:p w14:paraId="1C40FEE7">
      <w:pPr>
        <w:spacing w:line="360" w:lineRule="auto"/>
        <w:ind w:firstLine="420" w:firstLineChars="200"/>
        <w:rPr>
          <w:rFonts w:cs="宋体"/>
          <w:szCs w:val="21"/>
          <w:highlight w:val="none"/>
        </w:rPr>
      </w:pPr>
      <w:r>
        <w:rPr>
          <w:rFonts w:hint="eastAsia" w:cs="宋体"/>
          <w:szCs w:val="21"/>
          <w:highlight w:val="none"/>
        </w:rPr>
        <w:t>（3）载明申请人违反合同义务的条款和内容；</w:t>
      </w:r>
    </w:p>
    <w:p w14:paraId="3135FEB3">
      <w:pPr>
        <w:spacing w:line="360" w:lineRule="auto"/>
        <w:ind w:firstLine="420" w:firstLineChars="200"/>
        <w:rPr>
          <w:rFonts w:cs="宋体"/>
          <w:szCs w:val="21"/>
          <w:highlight w:val="none"/>
        </w:rPr>
      </w:pPr>
      <w:r>
        <w:rPr>
          <w:rFonts w:hint="eastAsia" w:cs="宋体"/>
          <w:szCs w:val="21"/>
          <w:highlight w:val="none"/>
        </w:rPr>
        <w:t>（4）声明不存在合同文件约定或我国法律规定免除申请人或开立人支付责任的情形；</w:t>
      </w:r>
    </w:p>
    <w:p w14:paraId="2D6D82A0">
      <w:pPr>
        <w:spacing w:line="360" w:lineRule="auto"/>
        <w:ind w:firstLine="420" w:firstLineChars="200"/>
        <w:rPr>
          <w:rFonts w:cs="宋体"/>
          <w:szCs w:val="21"/>
          <w:highlight w:val="none"/>
        </w:rPr>
      </w:pPr>
      <w:r>
        <w:rPr>
          <w:rFonts w:hint="eastAsia" w:cs="宋体"/>
          <w:szCs w:val="21"/>
          <w:highlight w:val="none"/>
        </w:rPr>
        <w:t>（5）付款通知应在本保函有效期内到达的地址是：</w:t>
      </w:r>
      <w:r>
        <w:rPr>
          <w:rFonts w:hint="eastAsia" w:cs="宋体"/>
          <w:szCs w:val="21"/>
          <w:highlight w:val="none"/>
          <w:u w:val="single"/>
        </w:rPr>
        <w:t xml:space="preserve">             </w:t>
      </w:r>
      <w:r>
        <w:rPr>
          <w:rFonts w:hint="eastAsia" w:cs="宋体"/>
          <w:szCs w:val="21"/>
          <w:highlight w:val="none"/>
        </w:rPr>
        <w:t>。</w:t>
      </w:r>
    </w:p>
    <w:p w14:paraId="4E337F49">
      <w:pPr>
        <w:spacing w:line="360" w:lineRule="auto"/>
        <w:ind w:firstLine="420" w:firstLineChars="200"/>
        <w:rPr>
          <w:rFonts w:cs="宋体"/>
          <w:szCs w:val="21"/>
          <w:highlight w:val="none"/>
        </w:rPr>
      </w:pPr>
      <w:bookmarkStart w:id="664" w:name="_Hlk40303486"/>
      <w:r>
        <w:rPr>
          <w:rFonts w:hint="eastAsia" w:cs="宋体"/>
          <w:szCs w:val="21"/>
          <w:highlight w:val="none"/>
        </w:rPr>
        <w:t>受益人发出的书面付款通知应由其法定代表人（负责人）或授权代理人签字并加盖公章。</w:t>
      </w:r>
      <w:bookmarkEnd w:id="664"/>
    </w:p>
    <w:p w14:paraId="41E6FE4E">
      <w:pPr>
        <w:spacing w:line="360" w:lineRule="auto"/>
        <w:ind w:firstLine="420" w:firstLineChars="200"/>
        <w:rPr>
          <w:rFonts w:cs="宋体"/>
          <w:szCs w:val="21"/>
          <w:highlight w:val="none"/>
        </w:rPr>
      </w:pPr>
      <w:r>
        <w:rPr>
          <w:rFonts w:hint="eastAsia" w:cs="宋体"/>
          <w:szCs w:val="21"/>
          <w:highlight w:val="none"/>
        </w:rPr>
        <w:t xml:space="preserve">五、本保函项下的权利不得转让，不得设定担保。受益人未经我方书面同意转 让本保函或其项下任何权利，对我方不发生法律效力。 </w:t>
      </w:r>
    </w:p>
    <w:p w14:paraId="1992BE0B">
      <w:pPr>
        <w:spacing w:line="360" w:lineRule="auto"/>
        <w:ind w:firstLine="420" w:firstLineChars="200"/>
        <w:rPr>
          <w:rFonts w:cs="宋体"/>
          <w:szCs w:val="21"/>
          <w:highlight w:val="none"/>
        </w:rPr>
      </w:pPr>
      <w:r>
        <w:rPr>
          <w:rFonts w:hint="eastAsia" w:cs="宋体"/>
          <w:szCs w:val="21"/>
          <w:highlight w:val="none"/>
        </w:rPr>
        <w:t xml:space="preserve">六、与本保函有关的基础合同不成立、不生效、无效、被撤销、被解除，不影响本保函的独立有效。 </w:t>
      </w:r>
    </w:p>
    <w:p w14:paraId="5CD7853F">
      <w:pPr>
        <w:spacing w:line="360" w:lineRule="auto"/>
        <w:ind w:firstLine="420" w:firstLineChars="200"/>
        <w:rPr>
          <w:rFonts w:cs="宋体"/>
          <w:szCs w:val="21"/>
          <w:highlight w:val="none"/>
        </w:rPr>
      </w:pPr>
      <w:bookmarkStart w:id="665" w:name="_Hlk40303383"/>
      <w:bookmarkStart w:id="666" w:name="_Hlk40354981"/>
      <w:r>
        <w:rPr>
          <w:rFonts w:hint="eastAsia" w:cs="宋体"/>
          <w:szCs w:val="21"/>
          <w:highlight w:val="none"/>
        </w:rPr>
        <w:t xml:space="preserve">七、本保函项下的义务和责任均在保函有效期到期后自动消灭。 </w:t>
      </w:r>
    </w:p>
    <w:p w14:paraId="76958987">
      <w:pPr>
        <w:spacing w:line="360" w:lineRule="auto"/>
        <w:ind w:firstLine="420" w:firstLineChars="200"/>
        <w:rPr>
          <w:rFonts w:cs="宋体"/>
          <w:szCs w:val="21"/>
          <w:highlight w:val="none"/>
        </w:rPr>
      </w:pPr>
      <w:r>
        <w:rPr>
          <w:rFonts w:hint="eastAsia" w:cs="宋体"/>
          <w:szCs w:val="21"/>
          <w:highlight w:val="none"/>
        </w:rPr>
        <w:t>八、本保函适用的法律为中华人民共和国法律，因本保函产生的纠纷案件，</w:t>
      </w:r>
      <w:bookmarkEnd w:id="665"/>
      <w:r>
        <w:rPr>
          <w:rFonts w:hint="eastAsia" w:cs="宋体"/>
          <w:szCs w:val="21"/>
          <w:highlight w:val="none"/>
        </w:rPr>
        <w:t xml:space="preserve">由受益人所在地人民法院管辖。 </w:t>
      </w:r>
    </w:p>
    <w:bookmarkEnd w:id="666"/>
    <w:p w14:paraId="59C6EBB8">
      <w:pPr>
        <w:spacing w:line="360" w:lineRule="auto"/>
        <w:ind w:firstLine="420" w:firstLineChars="200"/>
        <w:rPr>
          <w:rFonts w:cs="宋体"/>
          <w:szCs w:val="21"/>
          <w:highlight w:val="none"/>
        </w:rPr>
      </w:pPr>
      <w:r>
        <w:rPr>
          <w:rFonts w:hint="eastAsia" w:cs="宋体"/>
          <w:szCs w:val="21"/>
          <w:highlight w:val="none"/>
        </w:rPr>
        <w:t xml:space="preserve">九、本保函自我方法定代表人或授权代表签字并加盖公章之日起生效。 </w:t>
      </w:r>
    </w:p>
    <w:p w14:paraId="28BFD3C7">
      <w:pPr>
        <w:spacing w:line="360" w:lineRule="auto"/>
        <w:ind w:firstLine="420" w:firstLineChars="200"/>
        <w:rPr>
          <w:rFonts w:cs="宋体"/>
          <w:szCs w:val="21"/>
          <w:highlight w:val="none"/>
        </w:rPr>
      </w:pPr>
    </w:p>
    <w:p w14:paraId="32880131">
      <w:pPr>
        <w:spacing w:line="360" w:lineRule="auto"/>
        <w:ind w:firstLine="420" w:firstLineChars="200"/>
        <w:rPr>
          <w:rFonts w:cs="宋体"/>
          <w:szCs w:val="21"/>
          <w:highlight w:val="none"/>
        </w:rPr>
      </w:pPr>
    </w:p>
    <w:p w14:paraId="64B20D1B">
      <w:pPr>
        <w:spacing w:line="360" w:lineRule="auto"/>
        <w:ind w:firstLine="420" w:firstLineChars="200"/>
        <w:rPr>
          <w:rFonts w:cs="宋体"/>
          <w:szCs w:val="21"/>
          <w:highlight w:val="none"/>
        </w:rPr>
      </w:pPr>
    </w:p>
    <w:p w14:paraId="7EB3B91E">
      <w:pPr>
        <w:spacing w:line="360" w:lineRule="auto"/>
        <w:ind w:firstLine="420" w:firstLineChars="200"/>
        <w:rPr>
          <w:rFonts w:cs="宋体"/>
          <w:szCs w:val="21"/>
          <w:highlight w:val="none"/>
        </w:rPr>
      </w:pPr>
      <w:r>
        <w:rPr>
          <w:rFonts w:hint="eastAsia" w:cs="宋体"/>
          <w:szCs w:val="21"/>
          <w:highlight w:val="none"/>
        </w:rPr>
        <w:t>开 立 人：</w:t>
      </w:r>
      <w:r>
        <w:rPr>
          <w:rFonts w:hint="eastAsia" w:cs="宋体"/>
          <w:szCs w:val="21"/>
          <w:highlight w:val="none"/>
          <w:u w:val="single"/>
        </w:rPr>
        <w:t xml:space="preserve">                              </w:t>
      </w:r>
      <w:r>
        <w:rPr>
          <w:rFonts w:hint="eastAsia" w:cs="宋体"/>
          <w:szCs w:val="21"/>
          <w:highlight w:val="none"/>
        </w:rPr>
        <w:t xml:space="preserve">（公章） </w:t>
      </w:r>
    </w:p>
    <w:p w14:paraId="72FBC75E">
      <w:pPr>
        <w:spacing w:line="360" w:lineRule="auto"/>
        <w:ind w:firstLine="420" w:firstLineChars="200"/>
        <w:rPr>
          <w:rFonts w:cs="宋体"/>
          <w:szCs w:val="21"/>
          <w:highlight w:val="none"/>
        </w:rPr>
      </w:pPr>
      <w:r>
        <w:rPr>
          <w:rFonts w:hint="eastAsia" w:cs="宋体"/>
          <w:szCs w:val="21"/>
          <w:highlight w:val="none"/>
        </w:rPr>
        <w:t>法定代表人（或授权代表）：</w:t>
      </w:r>
      <w:r>
        <w:rPr>
          <w:rFonts w:hint="eastAsia" w:cs="宋体"/>
          <w:szCs w:val="21"/>
          <w:highlight w:val="none"/>
          <w:u w:val="single"/>
        </w:rPr>
        <w:t xml:space="preserve">               </w:t>
      </w:r>
      <w:r>
        <w:rPr>
          <w:rFonts w:hint="eastAsia" w:cs="宋体"/>
          <w:szCs w:val="21"/>
          <w:highlight w:val="none"/>
        </w:rPr>
        <w:t xml:space="preserve">（签字） </w:t>
      </w:r>
    </w:p>
    <w:p w14:paraId="674849D1">
      <w:pPr>
        <w:spacing w:line="360" w:lineRule="auto"/>
        <w:ind w:firstLine="420" w:firstLineChars="200"/>
        <w:rPr>
          <w:rFonts w:cs="宋体"/>
          <w:szCs w:val="21"/>
          <w:highlight w:val="none"/>
        </w:rPr>
      </w:pPr>
      <w:r>
        <w:rPr>
          <w:rFonts w:hint="eastAsia" w:cs="宋体"/>
          <w:szCs w:val="21"/>
          <w:highlight w:val="none"/>
        </w:rPr>
        <w:t>地    址：</w:t>
      </w:r>
      <w:r>
        <w:rPr>
          <w:rFonts w:hint="eastAsia" w:cs="宋体"/>
          <w:szCs w:val="21"/>
          <w:highlight w:val="none"/>
          <w:u w:val="single"/>
        </w:rPr>
        <w:t xml:space="preserve">                                       </w:t>
      </w:r>
    </w:p>
    <w:p w14:paraId="51C5F3F2">
      <w:pPr>
        <w:spacing w:line="360" w:lineRule="auto"/>
        <w:ind w:firstLine="420" w:firstLineChars="200"/>
        <w:rPr>
          <w:rFonts w:cs="宋体"/>
          <w:szCs w:val="21"/>
          <w:highlight w:val="none"/>
        </w:rPr>
      </w:pPr>
      <w:r>
        <w:rPr>
          <w:rFonts w:hint="eastAsia" w:cs="宋体"/>
          <w:szCs w:val="21"/>
          <w:highlight w:val="none"/>
        </w:rPr>
        <w:t>邮政编码：</w:t>
      </w:r>
      <w:r>
        <w:rPr>
          <w:rFonts w:hint="eastAsia" w:cs="宋体"/>
          <w:szCs w:val="21"/>
          <w:highlight w:val="none"/>
          <w:u w:val="single"/>
        </w:rPr>
        <w:t xml:space="preserve">                 </w:t>
      </w:r>
    </w:p>
    <w:p w14:paraId="74699A81">
      <w:pPr>
        <w:spacing w:line="360" w:lineRule="auto"/>
        <w:ind w:firstLine="420" w:firstLineChars="200"/>
        <w:rPr>
          <w:rFonts w:cs="宋体"/>
          <w:szCs w:val="21"/>
          <w:highlight w:val="none"/>
        </w:rPr>
      </w:pPr>
      <w:r>
        <w:rPr>
          <w:rFonts w:hint="eastAsia" w:cs="宋体"/>
          <w:szCs w:val="21"/>
          <w:highlight w:val="none"/>
        </w:rPr>
        <w:t>电    话：</w:t>
      </w:r>
      <w:r>
        <w:rPr>
          <w:rFonts w:hint="eastAsia" w:cs="宋体"/>
          <w:szCs w:val="21"/>
          <w:highlight w:val="none"/>
          <w:u w:val="single"/>
        </w:rPr>
        <w:t xml:space="preserve">                 </w:t>
      </w:r>
    </w:p>
    <w:p w14:paraId="751070DB">
      <w:pPr>
        <w:spacing w:line="360" w:lineRule="auto"/>
        <w:ind w:firstLine="420" w:firstLineChars="200"/>
        <w:rPr>
          <w:rFonts w:cs="宋体"/>
          <w:szCs w:val="21"/>
          <w:highlight w:val="none"/>
          <w:u w:val="single"/>
        </w:rPr>
      </w:pPr>
      <w:r>
        <w:rPr>
          <w:rFonts w:hint="eastAsia" w:cs="宋体"/>
          <w:szCs w:val="21"/>
          <w:highlight w:val="none"/>
        </w:rPr>
        <w:t>传    真：</w:t>
      </w:r>
      <w:r>
        <w:rPr>
          <w:rFonts w:hint="eastAsia" w:cs="宋体"/>
          <w:szCs w:val="21"/>
          <w:highlight w:val="none"/>
          <w:u w:val="single"/>
        </w:rPr>
        <w:t xml:space="preserve">                 </w:t>
      </w:r>
    </w:p>
    <w:p w14:paraId="671AF4F8">
      <w:pPr>
        <w:spacing w:line="360" w:lineRule="auto"/>
        <w:ind w:left="1323" w:leftChars="200" w:hanging="903" w:hangingChars="430"/>
        <w:rPr>
          <w:rFonts w:cs="宋体"/>
          <w:szCs w:val="21"/>
          <w:highlight w:val="none"/>
        </w:rPr>
      </w:pPr>
      <w:r>
        <w:rPr>
          <w:rFonts w:hint="eastAsia" w:cs="宋体"/>
          <w:szCs w:val="21"/>
          <w:highlight w:val="none"/>
        </w:rPr>
        <w:t>开立时间：</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w:t>
      </w:r>
    </w:p>
    <w:p w14:paraId="2A6C5EC1">
      <w:pPr>
        <w:spacing w:before="312" w:beforeLines="100" w:after="312" w:afterLines="100"/>
        <w:outlineLvl w:val="2"/>
        <w:rPr>
          <w:rFonts w:ascii="Times New Roman" w:eastAsia="黑体"/>
          <w:highlight w:val="none"/>
        </w:rPr>
      </w:pPr>
      <w:r>
        <w:rPr>
          <w:rFonts w:ascii="Times New Roman" w:eastAsia="黑体"/>
          <w:bCs/>
          <w:highlight w:val="none"/>
        </w:rPr>
        <w:br w:type="page"/>
      </w:r>
      <w:bookmarkStart w:id="667" w:name="_Toc128950245"/>
      <w:r>
        <w:rPr>
          <w:rFonts w:hint="eastAsia" w:ascii="Times New Roman" w:eastAsia="黑体"/>
          <w:highlight w:val="none"/>
        </w:rPr>
        <w:t>附</w:t>
      </w:r>
      <w:bookmarkStart w:id="668" w:name="_Toc296347231"/>
      <w:bookmarkStart w:id="669" w:name="_Toc296891060"/>
      <w:bookmarkStart w:id="670" w:name="_Toc296891272"/>
      <w:bookmarkStart w:id="671" w:name="_Toc296503232"/>
      <w:bookmarkStart w:id="672" w:name="_Toc296346733"/>
      <w:bookmarkStart w:id="673" w:name="_Toc267261702"/>
      <w:bookmarkStart w:id="674" w:name="_Toc296944571"/>
      <w:r>
        <w:rPr>
          <w:rFonts w:hint="eastAsia" w:ascii="Times New Roman" w:eastAsia="黑体"/>
          <w:highlight w:val="none"/>
        </w:rPr>
        <w:t>件10：预付款担保</w:t>
      </w:r>
      <w:bookmarkEnd w:id="667"/>
    </w:p>
    <w:bookmarkEnd w:id="668"/>
    <w:bookmarkEnd w:id="669"/>
    <w:bookmarkEnd w:id="670"/>
    <w:bookmarkEnd w:id="671"/>
    <w:bookmarkEnd w:id="672"/>
    <w:bookmarkEnd w:id="673"/>
    <w:bookmarkEnd w:id="674"/>
    <w:p w14:paraId="74C95346">
      <w:pPr>
        <w:spacing w:line="360" w:lineRule="auto"/>
        <w:jc w:val="center"/>
        <w:rPr>
          <w:rFonts w:cs="宋体"/>
          <w:b/>
          <w:bCs/>
          <w:sz w:val="32"/>
          <w:szCs w:val="32"/>
          <w:highlight w:val="none"/>
        </w:rPr>
      </w:pPr>
      <w:r>
        <w:rPr>
          <w:rFonts w:hint="eastAsia" w:cs="宋体"/>
          <w:b/>
          <w:bCs/>
          <w:sz w:val="32"/>
          <w:szCs w:val="32"/>
          <w:highlight w:val="none"/>
        </w:rPr>
        <w:t>预付款保函示范文本</w:t>
      </w:r>
    </w:p>
    <w:p w14:paraId="71BB7F82">
      <w:pPr>
        <w:wordWrap w:val="0"/>
        <w:spacing w:line="360" w:lineRule="auto"/>
        <w:jc w:val="right"/>
        <w:rPr>
          <w:rFonts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2E908722">
      <w:pPr>
        <w:spacing w:line="360" w:lineRule="auto"/>
        <w:rPr>
          <w:rFonts w:ascii="Times New Roman"/>
          <w:szCs w:val="21"/>
          <w:highlight w:val="none"/>
        </w:rPr>
      </w:pPr>
    </w:p>
    <w:p w14:paraId="46E64F6A">
      <w:pPr>
        <w:spacing w:line="360" w:lineRule="auto"/>
        <w:rPr>
          <w:rFonts w:cs="宋体"/>
          <w:szCs w:val="21"/>
          <w:highlight w:val="none"/>
        </w:rPr>
      </w:pPr>
      <w:r>
        <w:rPr>
          <w:rFonts w:hint="eastAsia" w:cs="宋体"/>
          <w:szCs w:val="21"/>
          <w:highlight w:val="none"/>
          <w:u w:val="single"/>
        </w:rPr>
        <w:t xml:space="preserve">              </w:t>
      </w:r>
      <w:r>
        <w:rPr>
          <w:rFonts w:hint="eastAsia" w:cs="宋体"/>
          <w:szCs w:val="21"/>
          <w:highlight w:val="none"/>
        </w:rPr>
        <w:t xml:space="preserve">（受益人名称）： </w:t>
      </w:r>
    </w:p>
    <w:p w14:paraId="0B10D28C">
      <w:pPr>
        <w:spacing w:line="360" w:lineRule="auto"/>
        <w:ind w:firstLine="420" w:firstLineChars="200"/>
        <w:rPr>
          <w:rFonts w:cs="宋体"/>
          <w:szCs w:val="21"/>
          <w:highlight w:val="none"/>
        </w:rPr>
      </w:pPr>
      <w:r>
        <w:rPr>
          <w:rFonts w:hint="eastAsia" w:cs="宋体"/>
          <w:szCs w:val="21"/>
          <w:highlight w:val="none"/>
        </w:rPr>
        <w:t>鉴于</w:t>
      </w:r>
      <w:r>
        <w:rPr>
          <w:rFonts w:hint="eastAsia" w:cs="宋体"/>
          <w:szCs w:val="21"/>
          <w:highlight w:val="none"/>
          <w:u w:val="single"/>
        </w:rPr>
        <w:t xml:space="preserve">     </w:t>
      </w:r>
      <w:r>
        <w:rPr>
          <w:rFonts w:hint="eastAsia" w:cs="宋体"/>
          <w:szCs w:val="21"/>
          <w:highlight w:val="none"/>
        </w:rPr>
        <w:t>（以下简称“受益人”）与</w:t>
      </w:r>
      <w:r>
        <w:rPr>
          <w:rFonts w:hint="eastAsia" w:cs="宋体"/>
          <w:szCs w:val="21"/>
          <w:highlight w:val="none"/>
          <w:u w:val="single"/>
        </w:rPr>
        <w:t xml:space="preserve">     </w:t>
      </w:r>
      <w:r>
        <w:rPr>
          <w:rFonts w:hint="eastAsia" w:cs="宋体"/>
          <w:szCs w:val="21"/>
          <w:highlight w:val="none"/>
        </w:rPr>
        <w:t>（以下简称“申请人”）于</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日就</w:t>
      </w:r>
      <w:r>
        <w:rPr>
          <w:rFonts w:hint="eastAsia" w:cs="宋体"/>
          <w:snapToGrid w:val="0"/>
          <w:szCs w:val="21"/>
          <w:highlight w:val="none"/>
          <w:u w:val="single"/>
        </w:rPr>
        <w:t xml:space="preserve">        </w:t>
      </w:r>
      <w:r>
        <w:rPr>
          <w:rFonts w:hint="eastAsia" w:cs="宋体"/>
          <w:snapToGrid w:val="0"/>
          <w:szCs w:val="21"/>
          <w:highlight w:val="none"/>
        </w:rPr>
        <w:t>（项目编号）的</w:t>
      </w:r>
      <w:r>
        <w:rPr>
          <w:rFonts w:hint="eastAsia" w:cs="宋体"/>
          <w:snapToGrid w:val="0"/>
          <w:szCs w:val="21"/>
          <w:highlight w:val="none"/>
          <w:u w:val="single"/>
        </w:rPr>
        <w:t xml:space="preserve">     </w:t>
      </w:r>
      <w:r>
        <w:rPr>
          <w:rFonts w:hint="eastAsia" w:cs="宋体"/>
          <w:snapToGrid w:val="0"/>
          <w:szCs w:val="21"/>
          <w:highlight w:val="none"/>
        </w:rPr>
        <w:t>（项目名称）</w:t>
      </w:r>
      <w:r>
        <w:rPr>
          <w:rFonts w:hint="eastAsia" w:cs="宋体"/>
          <w:szCs w:val="21"/>
          <w:highlight w:val="none"/>
        </w:rPr>
        <w:t>有关事项协商一致共同签订</w:t>
      </w:r>
      <w:r>
        <w:rPr>
          <w:rFonts w:hint="eastAsia" w:cs="宋体"/>
          <w:szCs w:val="21"/>
          <w:highlight w:val="none"/>
          <w:u w:val="single"/>
        </w:rPr>
        <w:t>《        》</w:t>
      </w:r>
      <w:r>
        <w:rPr>
          <w:rFonts w:hint="eastAsia" w:cs="宋体"/>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60A91C19">
      <w:pPr>
        <w:spacing w:line="360" w:lineRule="auto"/>
        <w:ind w:firstLine="420" w:firstLineChars="200"/>
        <w:rPr>
          <w:rFonts w:cs="宋体"/>
          <w:szCs w:val="21"/>
          <w:highlight w:val="none"/>
        </w:rPr>
      </w:pPr>
      <w:r>
        <w:rPr>
          <w:rFonts w:hint="eastAsia" w:cs="宋体"/>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1E6EB4C5">
      <w:pPr>
        <w:spacing w:line="360" w:lineRule="auto"/>
        <w:ind w:firstLine="420" w:firstLineChars="200"/>
        <w:rPr>
          <w:rFonts w:cs="宋体"/>
          <w:szCs w:val="21"/>
          <w:highlight w:val="none"/>
        </w:rPr>
      </w:pPr>
      <w:r>
        <w:rPr>
          <w:rFonts w:hint="eastAsia" w:cs="宋体"/>
          <w:szCs w:val="21"/>
          <w:highlight w:val="none"/>
        </w:rPr>
        <w:t>二、本保函担保金额最高不超过人民币（大写）</w:t>
      </w:r>
      <w:r>
        <w:rPr>
          <w:rFonts w:hint="eastAsia" w:cs="宋体"/>
          <w:szCs w:val="21"/>
          <w:highlight w:val="none"/>
          <w:u w:val="single"/>
        </w:rPr>
        <w:t xml:space="preserve">          </w:t>
      </w:r>
      <w:r>
        <w:rPr>
          <w:rFonts w:hint="eastAsia" w:cs="宋体"/>
          <w:szCs w:val="21"/>
          <w:highlight w:val="none"/>
        </w:rPr>
        <w:t>元（¥</w:t>
      </w:r>
      <w:r>
        <w:rPr>
          <w:rFonts w:hint="eastAsia" w:cs="宋体"/>
          <w:szCs w:val="21"/>
          <w:highlight w:val="none"/>
          <w:u w:val="single"/>
        </w:rPr>
        <w:t xml:space="preserve">       </w:t>
      </w:r>
      <w:r>
        <w:rPr>
          <w:rFonts w:hint="eastAsia" w:cs="宋体"/>
          <w:szCs w:val="21"/>
          <w:highlight w:val="none"/>
        </w:rPr>
        <w:t xml:space="preserve">）。 </w:t>
      </w:r>
    </w:p>
    <w:p w14:paraId="26E47394">
      <w:pPr>
        <w:spacing w:line="360" w:lineRule="auto"/>
        <w:ind w:firstLine="420" w:firstLineChars="200"/>
        <w:rPr>
          <w:rFonts w:cs="宋体"/>
          <w:szCs w:val="21"/>
          <w:highlight w:val="none"/>
        </w:rPr>
      </w:pPr>
      <w:r>
        <w:rPr>
          <w:rFonts w:hint="eastAsia" w:cs="宋体"/>
          <w:szCs w:val="21"/>
          <w:highlight w:val="none"/>
        </w:rPr>
        <w:t>三、本保函有效期自开立之日起至发包人全额扣回预付款之日止。</w:t>
      </w:r>
    </w:p>
    <w:p w14:paraId="5F865C7D">
      <w:pPr>
        <w:spacing w:line="400" w:lineRule="exact"/>
        <w:ind w:firstLine="480"/>
        <w:rPr>
          <w:rFonts w:cs="宋体"/>
          <w:szCs w:val="21"/>
          <w:highlight w:val="none"/>
        </w:rPr>
      </w:pPr>
      <w:r>
        <w:rPr>
          <w:rFonts w:hint="eastAsia" w:cs="宋体"/>
          <w:szCs w:val="21"/>
          <w:highlight w:val="none"/>
        </w:rPr>
        <w:t>四、开立人承诺，在收到受益人发来的书面付款通知后的七日内无条件支付，前述书面付款通知即为付款要求之单据，且应满足以下要求：</w:t>
      </w:r>
    </w:p>
    <w:p w14:paraId="3CA0ECE6">
      <w:pPr>
        <w:spacing w:line="360" w:lineRule="auto"/>
        <w:ind w:firstLine="420" w:firstLineChars="200"/>
        <w:rPr>
          <w:rFonts w:cs="宋体"/>
          <w:szCs w:val="21"/>
          <w:highlight w:val="none"/>
        </w:rPr>
      </w:pPr>
      <w:r>
        <w:rPr>
          <w:rFonts w:hint="eastAsia" w:cs="宋体"/>
          <w:szCs w:val="21"/>
          <w:highlight w:val="none"/>
        </w:rPr>
        <w:t>（1）付款通知到达的日期在本保函的有效期内；</w:t>
      </w:r>
    </w:p>
    <w:p w14:paraId="47A2C26F">
      <w:pPr>
        <w:spacing w:line="360" w:lineRule="auto"/>
        <w:ind w:firstLine="420" w:firstLineChars="200"/>
        <w:rPr>
          <w:rFonts w:cs="宋体"/>
          <w:szCs w:val="21"/>
          <w:highlight w:val="none"/>
        </w:rPr>
      </w:pPr>
      <w:r>
        <w:rPr>
          <w:rFonts w:hint="eastAsia" w:cs="宋体"/>
          <w:szCs w:val="21"/>
          <w:highlight w:val="none"/>
        </w:rPr>
        <w:t>（2）载明要求支付的金额；</w:t>
      </w:r>
    </w:p>
    <w:p w14:paraId="1483B4E1">
      <w:pPr>
        <w:spacing w:line="360" w:lineRule="auto"/>
        <w:ind w:firstLine="420" w:firstLineChars="200"/>
        <w:rPr>
          <w:rFonts w:cs="宋体"/>
          <w:szCs w:val="21"/>
          <w:highlight w:val="none"/>
        </w:rPr>
      </w:pPr>
      <w:r>
        <w:rPr>
          <w:rFonts w:hint="eastAsia" w:cs="宋体"/>
          <w:szCs w:val="21"/>
          <w:highlight w:val="none"/>
        </w:rPr>
        <w:t>（3）载明申请人违反合同义务的条款和内容；</w:t>
      </w:r>
    </w:p>
    <w:p w14:paraId="66479B2E">
      <w:pPr>
        <w:spacing w:line="360" w:lineRule="auto"/>
        <w:ind w:firstLine="420" w:firstLineChars="200"/>
        <w:rPr>
          <w:rFonts w:cs="宋体"/>
          <w:szCs w:val="21"/>
          <w:highlight w:val="none"/>
        </w:rPr>
      </w:pPr>
      <w:r>
        <w:rPr>
          <w:rFonts w:hint="eastAsia" w:cs="宋体"/>
          <w:szCs w:val="21"/>
          <w:highlight w:val="none"/>
        </w:rPr>
        <w:t>（4）声明不存在合同文件约定或我国法律规定免除申请人或开立人支付责任的情形；</w:t>
      </w:r>
    </w:p>
    <w:p w14:paraId="25114486">
      <w:pPr>
        <w:spacing w:line="360" w:lineRule="auto"/>
        <w:ind w:firstLine="420" w:firstLineChars="200"/>
        <w:rPr>
          <w:rFonts w:cs="宋体"/>
          <w:szCs w:val="21"/>
          <w:highlight w:val="none"/>
        </w:rPr>
      </w:pPr>
      <w:r>
        <w:rPr>
          <w:rFonts w:hint="eastAsia" w:cs="宋体"/>
          <w:szCs w:val="21"/>
          <w:highlight w:val="none"/>
        </w:rPr>
        <w:t>（5）付款通知应在本保函有效期内到达的地址是：</w:t>
      </w:r>
      <w:r>
        <w:rPr>
          <w:rFonts w:hint="eastAsia" w:cs="宋体"/>
          <w:szCs w:val="21"/>
          <w:highlight w:val="none"/>
          <w:u w:val="single"/>
        </w:rPr>
        <w:t xml:space="preserve">             </w:t>
      </w:r>
      <w:r>
        <w:rPr>
          <w:rFonts w:hint="eastAsia" w:cs="宋体"/>
          <w:szCs w:val="21"/>
          <w:highlight w:val="none"/>
        </w:rPr>
        <w:t>。</w:t>
      </w:r>
    </w:p>
    <w:p w14:paraId="42D6737A">
      <w:pPr>
        <w:spacing w:line="400" w:lineRule="exact"/>
        <w:rPr>
          <w:rFonts w:cs="宋体"/>
          <w:szCs w:val="21"/>
          <w:highlight w:val="none"/>
        </w:rPr>
      </w:pPr>
      <w:r>
        <w:rPr>
          <w:rFonts w:hint="eastAsia" w:cs="宋体"/>
          <w:szCs w:val="21"/>
          <w:highlight w:val="none"/>
        </w:rPr>
        <w:t xml:space="preserve">    受益人发出的书面付款通知应由其法定代表人（负责人）或授权代理人签字并加盖公章。</w:t>
      </w:r>
    </w:p>
    <w:p w14:paraId="47C09091">
      <w:pPr>
        <w:spacing w:line="400" w:lineRule="exact"/>
        <w:ind w:firstLine="420" w:firstLineChars="200"/>
        <w:rPr>
          <w:rFonts w:cs="宋体"/>
          <w:szCs w:val="21"/>
          <w:highlight w:val="none"/>
        </w:rPr>
      </w:pPr>
      <w:r>
        <w:rPr>
          <w:rFonts w:hint="eastAsia" w:cs="宋体"/>
          <w:szCs w:val="21"/>
          <w:highlight w:val="none"/>
        </w:rPr>
        <w:t xml:space="preserve">五、本保函项下的权利不得转让，不得设定担保。受益人未经开立人书面同意转让本保函或其项下任何权利，对开立人不发生法律效力。 </w:t>
      </w:r>
    </w:p>
    <w:p w14:paraId="67111200">
      <w:pPr>
        <w:spacing w:line="400" w:lineRule="exact"/>
        <w:ind w:firstLine="420" w:firstLineChars="200"/>
        <w:rPr>
          <w:rStyle w:val="63"/>
          <w:rFonts w:cs="宋体"/>
          <w:highlight w:val="none"/>
        </w:rPr>
      </w:pPr>
      <w:r>
        <w:rPr>
          <w:rFonts w:hint="eastAsia" w:cs="宋体"/>
          <w:szCs w:val="21"/>
          <w:highlight w:val="none"/>
        </w:rPr>
        <w:t>六、本保函项下的基础交易不成立、不生效、无效、被撤销、被解除，不影响本保函的独立有效。</w:t>
      </w:r>
    </w:p>
    <w:p w14:paraId="575BC487">
      <w:pPr>
        <w:spacing w:line="400" w:lineRule="exact"/>
        <w:ind w:firstLine="420" w:firstLineChars="200"/>
        <w:rPr>
          <w:rFonts w:cs="宋体"/>
          <w:szCs w:val="21"/>
          <w:highlight w:val="none"/>
        </w:rPr>
      </w:pPr>
      <w:r>
        <w:rPr>
          <w:rFonts w:hint="eastAsia" w:cs="宋体"/>
          <w:szCs w:val="21"/>
          <w:highlight w:val="none"/>
        </w:rPr>
        <w:t xml:space="preserve">七、本保函项下的义务和责任均在保函有效期到期后自动消灭。 </w:t>
      </w:r>
    </w:p>
    <w:p w14:paraId="4E94F275">
      <w:pPr>
        <w:spacing w:line="400" w:lineRule="exact"/>
        <w:ind w:firstLine="420" w:firstLineChars="200"/>
        <w:rPr>
          <w:rFonts w:cs="宋体"/>
          <w:szCs w:val="21"/>
          <w:highlight w:val="none"/>
        </w:rPr>
      </w:pPr>
      <w:r>
        <w:rPr>
          <w:rFonts w:hint="eastAsia" w:cs="宋体"/>
          <w:szCs w:val="21"/>
          <w:highlight w:val="none"/>
        </w:rPr>
        <w:t xml:space="preserve">八、本保函适用的法律为中华人民共和国法律，因本保函产生的纠纷案件，由受益人所在地人民法院管辖。 </w:t>
      </w:r>
    </w:p>
    <w:p w14:paraId="2216C8DB">
      <w:pPr>
        <w:spacing w:line="360" w:lineRule="auto"/>
        <w:ind w:firstLine="420" w:firstLineChars="200"/>
        <w:rPr>
          <w:rFonts w:cs="宋体"/>
          <w:szCs w:val="21"/>
          <w:highlight w:val="none"/>
        </w:rPr>
      </w:pPr>
      <w:r>
        <w:rPr>
          <w:rFonts w:hint="eastAsia" w:cs="宋体"/>
          <w:szCs w:val="21"/>
          <w:highlight w:val="none"/>
        </w:rPr>
        <w:t xml:space="preserve">九、本保函自我方法定代表人或授权代表签字并加盖公章之日起生效。 </w:t>
      </w:r>
    </w:p>
    <w:p w14:paraId="6FED623E">
      <w:pPr>
        <w:spacing w:line="360" w:lineRule="auto"/>
        <w:ind w:firstLine="420" w:firstLineChars="200"/>
        <w:rPr>
          <w:rFonts w:cs="宋体"/>
          <w:szCs w:val="21"/>
          <w:highlight w:val="none"/>
        </w:rPr>
      </w:pPr>
    </w:p>
    <w:p w14:paraId="1F59CA23">
      <w:pPr>
        <w:spacing w:line="360" w:lineRule="auto"/>
        <w:ind w:firstLine="420" w:firstLineChars="200"/>
        <w:rPr>
          <w:rFonts w:cs="宋体"/>
          <w:szCs w:val="21"/>
          <w:highlight w:val="none"/>
        </w:rPr>
      </w:pPr>
    </w:p>
    <w:p w14:paraId="4BDA2885">
      <w:pPr>
        <w:spacing w:line="360" w:lineRule="auto"/>
        <w:ind w:firstLine="420" w:firstLineChars="200"/>
        <w:rPr>
          <w:rFonts w:cs="宋体"/>
          <w:szCs w:val="21"/>
          <w:highlight w:val="none"/>
        </w:rPr>
      </w:pPr>
    </w:p>
    <w:p w14:paraId="3112EB7E">
      <w:pPr>
        <w:spacing w:line="360" w:lineRule="auto"/>
        <w:ind w:firstLine="420" w:firstLineChars="200"/>
        <w:rPr>
          <w:rFonts w:cs="宋体"/>
          <w:szCs w:val="21"/>
          <w:highlight w:val="none"/>
        </w:rPr>
      </w:pPr>
      <w:r>
        <w:rPr>
          <w:rFonts w:hint="eastAsia" w:cs="宋体"/>
          <w:szCs w:val="21"/>
          <w:highlight w:val="none"/>
        </w:rPr>
        <w:t>开 立 人：</w:t>
      </w:r>
      <w:r>
        <w:rPr>
          <w:rFonts w:hint="eastAsia" w:cs="宋体"/>
          <w:szCs w:val="21"/>
          <w:highlight w:val="none"/>
          <w:u w:val="single"/>
        </w:rPr>
        <w:t xml:space="preserve">                              </w:t>
      </w:r>
      <w:r>
        <w:rPr>
          <w:rFonts w:hint="eastAsia" w:cs="宋体"/>
          <w:szCs w:val="21"/>
          <w:highlight w:val="none"/>
        </w:rPr>
        <w:t xml:space="preserve">（公章） </w:t>
      </w:r>
    </w:p>
    <w:p w14:paraId="5E87A87A">
      <w:pPr>
        <w:spacing w:line="360" w:lineRule="auto"/>
        <w:ind w:firstLine="420" w:firstLineChars="200"/>
        <w:rPr>
          <w:rFonts w:cs="宋体"/>
          <w:szCs w:val="21"/>
          <w:highlight w:val="none"/>
        </w:rPr>
      </w:pPr>
      <w:r>
        <w:rPr>
          <w:rFonts w:hint="eastAsia" w:cs="宋体"/>
          <w:szCs w:val="21"/>
          <w:highlight w:val="none"/>
        </w:rPr>
        <w:t>法定代表人（或授权代表）：</w:t>
      </w:r>
      <w:r>
        <w:rPr>
          <w:rFonts w:hint="eastAsia" w:cs="宋体"/>
          <w:szCs w:val="21"/>
          <w:highlight w:val="none"/>
          <w:u w:val="single"/>
        </w:rPr>
        <w:t xml:space="preserve">               </w:t>
      </w:r>
      <w:r>
        <w:rPr>
          <w:rFonts w:hint="eastAsia" w:cs="宋体"/>
          <w:szCs w:val="21"/>
          <w:highlight w:val="none"/>
        </w:rPr>
        <w:t xml:space="preserve">（签字） </w:t>
      </w:r>
    </w:p>
    <w:p w14:paraId="1DB507E1">
      <w:pPr>
        <w:spacing w:line="360" w:lineRule="auto"/>
        <w:ind w:firstLine="420" w:firstLineChars="200"/>
        <w:rPr>
          <w:rFonts w:cs="宋体"/>
          <w:szCs w:val="21"/>
          <w:highlight w:val="none"/>
        </w:rPr>
      </w:pPr>
      <w:r>
        <w:rPr>
          <w:rFonts w:hint="eastAsia" w:cs="宋体"/>
          <w:szCs w:val="21"/>
          <w:highlight w:val="none"/>
        </w:rPr>
        <w:t>地    址：</w:t>
      </w:r>
      <w:r>
        <w:rPr>
          <w:rFonts w:hint="eastAsia" w:cs="宋体"/>
          <w:szCs w:val="21"/>
          <w:highlight w:val="none"/>
          <w:u w:val="single"/>
        </w:rPr>
        <w:t xml:space="preserve">                                       </w:t>
      </w:r>
    </w:p>
    <w:p w14:paraId="117FC50E">
      <w:pPr>
        <w:spacing w:line="360" w:lineRule="auto"/>
        <w:ind w:firstLine="420" w:firstLineChars="200"/>
        <w:rPr>
          <w:rFonts w:cs="宋体"/>
          <w:szCs w:val="21"/>
          <w:highlight w:val="none"/>
        </w:rPr>
      </w:pPr>
      <w:r>
        <w:rPr>
          <w:rFonts w:hint="eastAsia" w:cs="宋体"/>
          <w:szCs w:val="21"/>
          <w:highlight w:val="none"/>
        </w:rPr>
        <w:t>邮政编码：</w:t>
      </w:r>
      <w:r>
        <w:rPr>
          <w:rFonts w:hint="eastAsia" w:cs="宋体"/>
          <w:szCs w:val="21"/>
          <w:highlight w:val="none"/>
          <w:u w:val="single"/>
        </w:rPr>
        <w:t xml:space="preserve">                 </w:t>
      </w:r>
    </w:p>
    <w:p w14:paraId="4F2BE72E">
      <w:pPr>
        <w:spacing w:line="360" w:lineRule="auto"/>
        <w:ind w:firstLine="420" w:firstLineChars="200"/>
        <w:rPr>
          <w:rFonts w:cs="宋体"/>
          <w:szCs w:val="21"/>
          <w:highlight w:val="none"/>
        </w:rPr>
      </w:pPr>
      <w:r>
        <w:rPr>
          <w:rFonts w:hint="eastAsia" w:cs="宋体"/>
          <w:szCs w:val="21"/>
          <w:highlight w:val="none"/>
        </w:rPr>
        <w:t>电    话：</w:t>
      </w:r>
      <w:r>
        <w:rPr>
          <w:rFonts w:hint="eastAsia" w:cs="宋体"/>
          <w:szCs w:val="21"/>
          <w:highlight w:val="none"/>
          <w:u w:val="single"/>
        </w:rPr>
        <w:t xml:space="preserve">                 </w:t>
      </w:r>
    </w:p>
    <w:p w14:paraId="7BDC5DFE">
      <w:pPr>
        <w:spacing w:line="360" w:lineRule="auto"/>
        <w:ind w:firstLine="420" w:firstLineChars="200"/>
        <w:rPr>
          <w:rFonts w:cs="宋体"/>
          <w:szCs w:val="21"/>
          <w:highlight w:val="none"/>
          <w:u w:val="single"/>
        </w:rPr>
      </w:pPr>
      <w:r>
        <w:rPr>
          <w:rFonts w:hint="eastAsia" w:cs="宋体"/>
          <w:szCs w:val="21"/>
          <w:highlight w:val="none"/>
        </w:rPr>
        <w:t>传    真：</w:t>
      </w:r>
      <w:r>
        <w:rPr>
          <w:rFonts w:hint="eastAsia" w:cs="宋体"/>
          <w:szCs w:val="21"/>
          <w:highlight w:val="none"/>
          <w:u w:val="single"/>
        </w:rPr>
        <w:t xml:space="preserve">                 </w:t>
      </w:r>
    </w:p>
    <w:p w14:paraId="71C3E22A">
      <w:pPr>
        <w:spacing w:line="360" w:lineRule="auto"/>
        <w:ind w:left="1323" w:leftChars="200" w:hanging="903" w:hangingChars="430"/>
        <w:rPr>
          <w:rFonts w:cs="宋体"/>
          <w:szCs w:val="21"/>
          <w:highlight w:val="none"/>
        </w:rPr>
      </w:pPr>
      <w:r>
        <w:rPr>
          <w:rFonts w:hint="eastAsia" w:cs="宋体"/>
          <w:szCs w:val="21"/>
          <w:highlight w:val="none"/>
        </w:rPr>
        <w:t>开立时间：</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w:t>
      </w:r>
    </w:p>
    <w:p w14:paraId="22799534">
      <w:pPr>
        <w:spacing w:before="312" w:beforeLines="100" w:after="312" w:afterLines="100"/>
        <w:outlineLvl w:val="2"/>
        <w:rPr>
          <w:rFonts w:ascii="Times New Roman" w:eastAsia="黑体"/>
          <w:highlight w:val="none"/>
        </w:rPr>
      </w:pPr>
      <w:r>
        <w:rPr>
          <w:rFonts w:ascii="Times New Roman" w:eastAsia="黑体"/>
          <w:b/>
          <w:bCs/>
          <w:highlight w:val="none"/>
        </w:rPr>
        <w:br w:type="page"/>
      </w:r>
      <w:bookmarkStart w:id="675" w:name="_Toc128950246"/>
      <w:r>
        <w:rPr>
          <w:rFonts w:hint="eastAsia" w:ascii="Times New Roman" w:eastAsia="黑体"/>
          <w:highlight w:val="none"/>
        </w:rPr>
        <w:t>附</w:t>
      </w:r>
      <w:bookmarkStart w:id="676" w:name="_Toc296944572"/>
      <w:bookmarkStart w:id="677" w:name="_Toc296891061"/>
      <w:bookmarkStart w:id="678" w:name="_Toc296891273"/>
      <w:bookmarkStart w:id="679" w:name="_Toc296346734"/>
      <w:bookmarkStart w:id="680" w:name="_Toc296503233"/>
      <w:bookmarkStart w:id="681" w:name="_Toc296347232"/>
      <w:r>
        <w:rPr>
          <w:rFonts w:hint="eastAsia" w:ascii="Times New Roman" w:eastAsia="黑体"/>
          <w:highlight w:val="none"/>
        </w:rPr>
        <w:t>件</w:t>
      </w:r>
      <w:r>
        <w:rPr>
          <w:rFonts w:ascii="Times New Roman" w:eastAsia="黑体"/>
          <w:highlight w:val="none"/>
        </w:rPr>
        <w:t>1</w:t>
      </w:r>
      <w:r>
        <w:rPr>
          <w:rFonts w:hint="eastAsia" w:ascii="Times New Roman" w:eastAsia="黑体"/>
          <w:highlight w:val="none"/>
        </w:rPr>
        <w:t>1：支付担保</w:t>
      </w:r>
      <w:bookmarkEnd w:id="675"/>
      <w:bookmarkEnd w:id="676"/>
      <w:bookmarkEnd w:id="677"/>
      <w:bookmarkEnd w:id="678"/>
      <w:bookmarkEnd w:id="679"/>
      <w:bookmarkEnd w:id="680"/>
      <w:bookmarkEnd w:id="681"/>
    </w:p>
    <w:p w14:paraId="6811B98B">
      <w:pPr>
        <w:spacing w:line="360" w:lineRule="auto"/>
        <w:jc w:val="center"/>
        <w:rPr>
          <w:rFonts w:cs="宋体"/>
          <w:b/>
          <w:bCs/>
          <w:sz w:val="32"/>
          <w:szCs w:val="32"/>
          <w:highlight w:val="none"/>
        </w:rPr>
      </w:pPr>
      <w:r>
        <w:rPr>
          <w:rFonts w:hint="eastAsia" w:cs="宋体"/>
          <w:b/>
          <w:bCs/>
          <w:sz w:val="32"/>
          <w:szCs w:val="32"/>
          <w:highlight w:val="none"/>
        </w:rPr>
        <w:t>支付保函示范文本</w:t>
      </w:r>
    </w:p>
    <w:p w14:paraId="04B2C9F3">
      <w:pPr>
        <w:wordWrap w:val="0"/>
        <w:spacing w:line="360" w:lineRule="auto"/>
        <w:jc w:val="right"/>
        <w:rPr>
          <w:rFonts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39FAF75A">
      <w:pPr>
        <w:spacing w:line="360" w:lineRule="auto"/>
        <w:rPr>
          <w:rFonts w:ascii="Times New Roman"/>
          <w:szCs w:val="21"/>
          <w:highlight w:val="none"/>
        </w:rPr>
      </w:pPr>
    </w:p>
    <w:p w14:paraId="4AA7BC77">
      <w:pPr>
        <w:spacing w:line="360" w:lineRule="auto"/>
        <w:rPr>
          <w:rFonts w:cs="宋体"/>
          <w:szCs w:val="21"/>
          <w:highlight w:val="none"/>
        </w:rPr>
      </w:pPr>
      <w:bookmarkStart w:id="682" w:name="_Hlk40355074"/>
      <w:r>
        <w:rPr>
          <w:rFonts w:hint="eastAsia" w:cs="宋体"/>
          <w:szCs w:val="21"/>
          <w:highlight w:val="none"/>
          <w:u w:val="single"/>
        </w:rPr>
        <w:t xml:space="preserve">              </w:t>
      </w:r>
      <w:r>
        <w:rPr>
          <w:rFonts w:hint="eastAsia" w:cs="宋体"/>
          <w:szCs w:val="21"/>
          <w:highlight w:val="none"/>
        </w:rPr>
        <w:t xml:space="preserve">（受益人名称）： </w:t>
      </w:r>
    </w:p>
    <w:bookmarkEnd w:id="682"/>
    <w:p w14:paraId="36FD75A0">
      <w:pPr>
        <w:spacing w:line="360" w:lineRule="auto"/>
        <w:ind w:firstLine="420" w:firstLineChars="200"/>
        <w:rPr>
          <w:rFonts w:cs="宋体"/>
          <w:szCs w:val="21"/>
          <w:highlight w:val="none"/>
        </w:rPr>
      </w:pPr>
      <w:r>
        <w:rPr>
          <w:rFonts w:hint="eastAsia" w:cs="宋体"/>
          <w:szCs w:val="21"/>
          <w:highlight w:val="none"/>
        </w:rPr>
        <w:t>鉴于</w:t>
      </w:r>
      <w:r>
        <w:rPr>
          <w:rFonts w:hint="eastAsia" w:cs="宋体"/>
          <w:szCs w:val="21"/>
          <w:highlight w:val="none"/>
          <w:u w:val="single"/>
        </w:rPr>
        <w:t xml:space="preserve">        </w:t>
      </w:r>
      <w:r>
        <w:rPr>
          <w:rFonts w:hint="eastAsia" w:cs="宋体"/>
          <w:szCs w:val="21"/>
          <w:highlight w:val="none"/>
        </w:rPr>
        <w:t>（以下简称“受益人”）与</w:t>
      </w:r>
      <w:r>
        <w:rPr>
          <w:rFonts w:hint="eastAsia" w:cs="宋体"/>
          <w:szCs w:val="21"/>
          <w:highlight w:val="none"/>
          <w:u w:val="single"/>
        </w:rPr>
        <w:t xml:space="preserve">         </w:t>
      </w:r>
      <w:r>
        <w:rPr>
          <w:rFonts w:hint="eastAsia" w:cs="宋体"/>
          <w:szCs w:val="21"/>
          <w:highlight w:val="none"/>
        </w:rPr>
        <w:t>（以下简称“申请人”）于</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日就</w:t>
      </w:r>
      <w:r>
        <w:rPr>
          <w:rFonts w:hint="eastAsia" w:cs="宋体"/>
          <w:snapToGrid w:val="0"/>
          <w:szCs w:val="21"/>
          <w:highlight w:val="none"/>
          <w:u w:val="single"/>
        </w:rPr>
        <w:t xml:space="preserve">        </w:t>
      </w:r>
      <w:r>
        <w:rPr>
          <w:rFonts w:hint="eastAsia" w:cs="宋体"/>
          <w:snapToGrid w:val="0"/>
          <w:szCs w:val="21"/>
          <w:highlight w:val="none"/>
        </w:rPr>
        <w:t>（项目编号）的</w:t>
      </w:r>
      <w:r>
        <w:rPr>
          <w:rFonts w:hint="eastAsia" w:cs="宋体"/>
          <w:snapToGrid w:val="0"/>
          <w:szCs w:val="21"/>
          <w:highlight w:val="none"/>
          <w:u w:val="single"/>
        </w:rPr>
        <w:t xml:space="preserve">         </w:t>
      </w:r>
      <w:r>
        <w:rPr>
          <w:rFonts w:hint="eastAsia" w:cs="宋体"/>
          <w:snapToGrid w:val="0"/>
          <w:szCs w:val="21"/>
          <w:highlight w:val="none"/>
        </w:rPr>
        <w:t>（项目名称）</w:t>
      </w:r>
      <w:r>
        <w:rPr>
          <w:rFonts w:hint="eastAsia" w:cs="宋体"/>
          <w:szCs w:val="21"/>
          <w:highlight w:val="none"/>
        </w:rPr>
        <w:t>有关事项协商一致共同签订</w:t>
      </w:r>
      <w:r>
        <w:rPr>
          <w:rFonts w:hint="eastAsia" w:cs="宋体"/>
          <w:szCs w:val="21"/>
          <w:highlight w:val="none"/>
          <w:u w:val="single"/>
        </w:rPr>
        <w:t>《        》</w:t>
      </w:r>
      <w:r>
        <w:rPr>
          <w:rFonts w:hint="eastAsia" w:cs="宋体"/>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05345E94">
      <w:pPr>
        <w:spacing w:line="360" w:lineRule="auto"/>
        <w:ind w:firstLine="420" w:firstLineChars="200"/>
        <w:rPr>
          <w:rFonts w:cs="宋体"/>
          <w:szCs w:val="21"/>
          <w:highlight w:val="none"/>
        </w:rPr>
      </w:pPr>
      <w:r>
        <w:rPr>
          <w:rFonts w:hint="eastAsia" w:cs="宋体"/>
          <w:szCs w:val="21"/>
          <w:highlight w:val="none"/>
        </w:rPr>
        <w:t>一、本保函担保范围：申请人未履行基础合同约定的工程款支付义务，应当向受益人承担的违约责任和赔偿因此造成的损失、利息、律师费、诉讼费用等实现债权的费用。</w:t>
      </w:r>
    </w:p>
    <w:p w14:paraId="74498BBD">
      <w:pPr>
        <w:spacing w:line="360" w:lineRule="auto"/>
        <w:ind w:firstLine="420" w:firstLineChars="200"/>
        <w:rPr>
          <w:rFonts w:cs="宋体"/>
          <w:szCs w:val="21"/>
          <w:highlight w:val="none"/>
        </w:rPr>
      </w:pPr>
      <w:r>
        <w:rPr>
          <w:rFonts w:hint="eastAsia" w:cs="宋体"/>
          <w:szCs w:val="21"/>
          <w:highlight w:val="none"/>
        </w:rPr>
        <w:t>二、本保函担保金额最高不超过人民币（大写）</w:t>
      </w:r>
      <w:r>
        <w:rPr>
          <w:rFonts w:hint="eastAsia" w:cs="宋体"/>
          <w:szCs w:val="21"/>
          <w:highlight w:val="none"/>
          <w:u w:val="single"/>
        </w:rPr>
        <w:t xml:space="preserve">          </w:t>
      </w:r>
      <w:r>
        <w:rPr>
          <w:rFonts w:hint="eastAsia" w:cs="宋体"/>
          <w:szCs w:val="21"/>
          <w:highlight w:val="none"/>
        </w:rPr>
        <w:t>元（¥</w:t>
      </w:r>
      <w:r>
        <w:rPr>
          <w:rFonts w:hint="eastAsia" w:cs="宋体"/>
          <w:szCs w:val="21"/>
          <w:highlight w:val="none"/>
          <w:u w:val="single"/>
        </w:rPr>
        <w:t xml:space="preserve">       </w:t>
      </w:r>
      <w:r>
        <w:rPr>
          <w:rFonts w:hint="eastAsia" w:cs="宋体"/>
          <w:szCs w:val="21"/>
          <w:highlight w:val="none"/>
        </w:rPr>
        <w:t xml:space="preserve">）。 </w:t>
      </w:r>
    </w:p>
    <w:p w14:paraId="4375F099">
      <w:pPr>
        <w:spacing w:line="360" w:lineRule="auto"/>
        <w:ind w:firstLine="420" w:firstLineChars="200"/>
        <w:rPr>
          <w:rFonts w:cs="宋体"/>
          <w:szCs w:val="21"/>
          <w:highlight w:val="none"/>
        </w:rPr>
      </w:pPr>
      <w:r>
        <w:rPr>
          <w:rFonts w:hint="eastAsia" w:cs="宋体"/>
          <w:szCs w:val="21"/>
          <w:highlight w:val="none"/>
        </w:rPr>
        <w:t>三、本保函有效期自开立之日起至基础合同约定的除工程质量保修金以外的全部工程结算款项支付之日后</w:t>
      </w:r>
      <w:r>
        <w:rPr>
          <w:rFonts w:hint="eastAsia" w:cs="宋体"/>
          <w:szCs w:val="21"/>
          <w:highlight w:val="none"/>
          <w:u w:val="single"/>
        </w:rPr>
        <w:t xml:space="preserve">    </w:t>
      </w:r>
      <w:r>
        <w:rPr>
          <w:rFonts w:hint="eastAsia" w:cs="宋体"/>
          <w:szCs w:val="21"/>
          <w:highlight w:val="none"/>
        </w:rPr>
        <w:t xml:space="preserve">日止。 </w:t>
      </w:r>
    </w:p>
    <w:p w14:paraId="5B670BE0">
      <w:pPr>
        <w:spacing w:line="400" w:lineRule="exact"/>
        <w:ind w:firstLine="480"/>
        <w:rPr>
          <w:rFonts w:cs="宋体"/>
          <w:szCs w:val="21"/>
          <w:highlight w:val="none"/>
        </w:rPr>
      </w:pPr>
      <w:r>
        <w:rPr>
          <w:rFonts w:hint="eastAsia" w:cs="宋体"/>
          <w:szCs w:val="21"/>
          <w:highlight w:val="none"/>
        </w:rPr>
        <w:t>四、开立人承诺，在收到受益人发来的书面付款通知后的七日内无条件支付，前述书面付款通知即为付款要求之单据，且应满足以下要求：</w:t>
      </w:r>
    </w:p>
    <w:p w14:paraId="50A76D57">
      <w:pPr>
        <w:spacing w:line="360" w:lineRule="auto"/>
        <w:ind w:firstLine="420" w:firstLineChars="200"/>
        <w:rPr>
          <w:rFonts w:cs="宋体"/>
          <w:szCs w:val="21"/>
          <w:highlight w:val="none"/>
        </w:rPr>
      </w:pPr>
      <w:r>
        <w:rPr>
          <w:rFonts w:hint="eastAsia" w:cs="宋体"/>
          <w:szCs w:val="21"/>
          <w:highlight w:val="none"/>
        </w:rPr>
        <w:t>（1）付款通知到达的日期在本保函的有效期内；</w:t>
      </w:r>
    </w:p>
    <w:p w14:paraId="7999A40E">
      <w:pPr>
        <w:spacing w:line="360" w:lineRule="auto"/>
        <w:ind w:firstLine="420" w:firstLineChars="200"/>
        <w:rPr>
          <w:rFonts w:cs="宋体"/>
          <w:szCs w:val="21"/>
          <w:highlight w:val="none"/>
        </w:rPr>
      </w:pPr>
      <w:r>
        <w:rPr>
          <w:rFonts w:hint="eastAsia" w:cs="宋体"/>
          <w:szCs w:val="21"/>
          <w:highlight w:val="none"/>
        </w:rPr>
        <w:t>（2）载明要求支付的金额；</w:t>
      </w:r>
    </w:p>
    <w:p w14:paraId="21601C0A">
      <w:pPr>
        <w:spacing w:line="360" w:lineRule="auto"/>
        <w:ind w:firstLine="420" w:firstLineChars="200"/>
        <w:rPr>
          <w:rFonts w:cs="宋体"/>
          <w:szCs w:val="21"/>
          <w:highlight w:val="none"/>
        </w:rPr>
      </w:pPr>
      <w:r>
        <w:rPr>
          <w:rFonts w:hint="eastAsia" w:cs="宋体"/>
          <w:szCs w:val="21"/>
          <w:highlight w:val="none"/>
        </w:rPr>
        <w:t>（3）载明申请人违反合同义务的条款和内容；</w:t>
      </w:r>
    </w:p>
    <w:p w14:paraId="2A1A5928">
      <w:pPr>
        <w:spacing w:line="360" w:lineRule="auto"/>
        <w:ind w:firstLine="420" w:firstLineChars="200"/>
        <w:rPr>
          <w:rFonts w:cs="宋体"/>
          <w:szCs w:val="21"/>
          <w:highlight w:val="none"/>
        </w:rPr>
      </w:pPr>
      <w:r>
        <w:rPr>
          <w:rFonts w:hint="eastAsia" w:cs="宋体"/>
          <w:szCs w:val="21"/>
          <w:highlight w:val="none"/>
        </w:rPr>
        <w:t>（4）声明不存在合同文件约定或我国法律规定免除申请人或开立人支付责任的情形；</w:t>
      </w:r>
    </w:p>
    <w:p w14:paraId="7D02A0E5">
      <w:pPr>
        <w:spacing w:line="360" w:lineRule="auto"/>
        <w:ind w:firstLine="420" w:firstLineChars="200"/>
        <w:rPr>
          <w:rFonts w:cs="宋体"/>
          <w:szCs w:val="21"/>
          <w:highlight w:val="none"/>
        </w:rPr>
      </w:pPr>
      <w:r>
        <w:rPr>
          <w:rFonts w:hint="eastAsia" w:cs="宋体"/>
          <w:szCs w:val="21"/>
          <w:highlight w:val="none"/>
        </w:rPr>
        <w:t>（5）付款通知应在本保函有效期内到达的地址是：</w:t>
      </w:r>
      <w:r>
        <w:rPr>
          <w:rFonts w:hint="eastAsia" w:cs="宋体"/>
          <w:szCs w:val="21"/>
          <w:highlight w:val="none"/>
          <w:u w:val="single"/>
        </w:rPr>
        <w:t xml:space="preserve">             </w:t>
      </w:r>
      <w:r>
        <w:rPr>
          <w:rFonts w:hint="eastAsia" w:cs="宋体"/>
          <w:szCs w:val="21"/>
          <w:highlight w:val="none"/>
        </w:rPr>
        <w:t>。</w:t>
      </w:r>
    </w:p>
    <w:p w14:paraId="0C7881C6">
      <w:pPr>
        <w:spacing w:line="400" w:lineRule="exact"/>
        <w:rPr>
          <w:rFonts w:cs="宋体"/>
          <w:szCs w:val="21"/>
          <w:highlight w:val="none"/>
        </w:rPr>
      </w:pPr>
      <w:r>
        <w:rPr>
          <w:rFonts w:hint="eastAsia" w:cs="宋体"/>
          <w:szCs w:val="21"/>
          <w:highlight w:val="none"/>
        </w:rPr>
        <w:t xml:space="preserve">    受益人发出的书面付款通知应由其法定代表人（负责人）或授权代理人签字并加盖公章。</w:t>
      </w:r>
    </w:p>
    <w:p w14:paraId="1E979A11">
      <w:pPr>
        <w:spacing w:line="400" w:lineRule="exact"/>
        <w:ind w:firstLine="420" w:firstLineChars="200"/>
        <w:rPr>
          <w:rFonts w:cs="宋体"/>
          <w:szCs w:val="21"/>
          <w:highlight w:val="none"/>
        </w:rPr>
      </w:pPr>
      <w:r>
        <w:rPr>
          <w:rFonts w:hint="eastAsia" w:cs="宋体"/>
          <w:szCs w:val="21"/>
          <w:highlight w:val="none"/>
        </w:rPr>
        <w:t xml:space="preserve">五、本保函项下的权利不得转让，不得设定担保。受益人未经开立人书面同意转让本保函或其项下任何权利，对开立人不发生法律效力。 </w:t>
      </w:r>
    </w:p>
    <w:p w14:paraId="127BB337">
      <w:pPr>
        <w:spacing w:line="400" w:lineRule="exact"/>
        <w:ind w:firstLine="420" w:firstLineChars="200"/>
        <w:rPr>
          <w:rStyle w:val="63"/>
          <w:rFonts w:cs="宋体"/>
          <w:highlight w:val="none"/>
        </w:rPr>
      </w:pPr>
      <w:r>
        <w:rPr>
          <w:rFonts w:hint="eastAsia" w:cs="宋体"/>
          <w:szCs w:val="21"/>
          <w:highlight w:val="none"/>
        </w:rPr>
        <w:t>六、本保函项下的基础交易不成立、不生效、无效、被撤销、被解除，不影响本保函的独立有效。</w:t>
      </w:r>
    </w:p>
    <w:p w14:paraId="1F75BF29">
      <w:pPr>
        <w:spacing w:line="400" w:lineRule="exact"/>
        <w:ind w:firstLine="420" w:firstLineChars="200"/>
        <w:rPr>
          <w:rFonts w:cs="宋体"/>
          <w:szCs w:val="21"/>
          <w:highlight w:val="none"/>
        </w:rPr>
      </w:pPr>
      <w:r>
        <w:rPr>
          <w:rFonts w:hint="eastAsia" w:cs="宋体"/>
          <w:szCs w:val="21"/>
          <w:highlight w:val="none"/>
        </w:rPr>
        <w:t xml:space="preserve">七、本保函项下的义务和责任均在保函有效期到期后自动消灭。 </w:t>
      </w:r>
    </w:p>
    <w:p w14:paraId="40295923">
      <w:pPr>
        <w:spacing w:line="400" w:lineRule="exact"/>
        <w:ind w:firstLine="420" w:firstLineChars="200"/>
        <w:rPr>
          <w:rFonts w:cs="宋体"/>
          <w:szCs w:val="21"/>
          <w:highlight w:val="none"/>
        </w:rPr>
      </w:pPr>
      <w:r>
        <w:rPr>
          <w:rFonts w:hint="eastAsia" w:cs="宋体"/>
          <w:szCs w:val="21"/>
          <w:highlight w:val="none"/>
        </w:rPr>
        <w:t xml:space="preserve">八、本保函适用的法律为中华人民共和国法律，因本保函产生的纠纷案件，由申请人所在地人民法院管辖。 </w:t>
      </w:r>
    </w:p>
    <w:p w14:paraId="41261D87">
      <w:pPr>
        <w:spacing w:line="360" w:lineRule="auto"/>
        <w:ind w:firstLine="420" w:firstLineChars="200"/>
        <w:rPr>
          <w:rFonts w:cs="宋体"/>
          <w:szCs w:val="21"/>
          <w:highlight w:val="none"/>
        </w:rPr>
      </w:pPr>
      <w:r>
        <w:rPr>
          <w:rFonts w:hint="eastAsia" w:cs="宋体"/>
          <w:szCs w:val="21"/>
          <w:highlight w:val="none"/>
        </w:rPr>
        <w:t xml:space="preserve">九、本保函自我方法定代表人或授权代表签字并加盖公章之日起生效。 </w:t>
      </w:r>
    </w:p>
    <w:p w14:paraId="5988F30A">
      <w:pPr>
        <w:spacing w:line="360" w:lineRule="auto"/>
        <w:ind w:firstLine="420" w:firstLineChars="200"/>
        <w:rPr>
          <w:rFonts w:cs="宋体"/>
          <w:szCs w:val="21"/>
          <w:highlight w:val="none"/>
        </w:rPr>
      </w:pPr>
    </w:p>
    <w:p w14:paraId="5991C26E">
      <w:pPr>
        <w:spacing w:line="360" w:lineRule="auto"/>
        <w:ind w:firstLine="420" w:firstLineChars="200"/>
        <w:rPr>
          <w:rFonts w:cs="宋体"/>
          <w:szCs w:val="21"/>
          <w:highlight w:val="none"/>
        </w:rPr>
      </w:pPr>
    </w:p>
    <w:p w14:paraId="32195939">
      <w:pPr>
        <w:spacing w:line="360" w:lineRule="auto"/>
        <w:ind w:firstLine="420" w:firstLineChars="200"/>
        <w:rPr>
          <w:rFonts w:cs="宋体"/>
          <w:szCs w:val="21"/>
          <w:highlight w:val="none"/>
        </w:rPr>
      </w:pPr>
      <w:r>
        <w:rPr>
          <w:rFonts w:hint="eastAsia" w:cs="宋体"/>
          <w:szCs w:val="21"/>
          <w:highlight w:val="none"/>
        </w:rPr>
        <w:t>开 立 人：</w:t>
      </w:r>
      <w:r>
        <w:rPr>
          <w:rFonts w:hint="eastAsia" w:cs="宋体"/>
          <w:szCs w:val="21"/>
          <w:highlight w:val="none"/>
          <w:u w:val="single"/>
        </w:rPr>
        <w:t xml:space="preserve">                              </w:t>
      </w:r>
      <w:r>
        <w:rPr>
          <w:rFonts w:hint="eastAsia" w:cs="宋体"/>
          <w:szCs w:val="21"/>
          <w:highlight w:val="none"/>
        </w:rPr>
        <w:t xml:space="preserve">（公章） </w:t>
      </w:r>
    </w:p>
    <w:p w14:paraId="1BC79530">
      <w:pPr>
        <w:spacing w:line="360" w:lineRule="auto"/>
        <w:ind w:firstLine="420" w:firstLineChars="200"/>
        <w:rPr>
          <w:rFonts w:cs="宋体"/>
          <w:szCs w:val="21"/>
          <w:highlight w:val="none"/>
        </w:rPr>
      </w:pPr>
      <w:r>
        <w:rPr>
          <w:rFonts w:hint="eastAsia" w:cs="宋体"/>
          <w:szCs w:val="21"/>
          <w:highlight w:val="none"/>
        </w:rPr>
        <w:t>法定代表人（或授权代表）：</w:t>
      </w:r>
      <w:r>
        <w:rPr>
          <w:rFonts w:hint="eastAsia" w:cs="宋体"/>
          <w:szCs w:val="21"/>
          <w:highlight w:val="none"/>
          <w:u w:val="single"/>
        </w:rPr>
        <w:t xml:space="preserve">               </w:t>
      </w:r>
      <w:r>
        <w:rPr>
          <w:rFonts w:hint="eastAsia" w:cs="宋体"/>
          <w:szCs w:val="21"/>
          <w:highlight w:val="none"/>
        </w:rPr>
        <w:t xml:space="preserve">（签字） </w:t>
      </w:r>
    </w:p>
    <w:p w14:paraId="26CEA4ED">
      <w:pPr>
        <w:spacing w:line="360" w:lineRule="auto"/>
        <w:ind w:firstLine="420" w:firstLineChars="200"/>
        <w:rPr>
          <w:rFonts w:cs="宋体"/>
          <w:szCs w:val="21"/>
          <w:highlight w:val="none"/>
        </w:rPr>
      </w:pPr>
      <w:r>
        <w:rPr>
          <w:rFonts w:hint="eastAsia" w:cs="宋体"/>
          <w:szCs w:val="21"/>
          <w:highlight w:val="none"/>
        </w:rPr>
        <w:t>地    址：</w:t>
      </w:r>
      <w:r>
        <w:rPr>
          <w:rFonts w:hint="eastAsia" w:cs="宋体"/>
          <w:szCs w:val="21"/>
          <w:highlight w:val="none"/>
          <w:u w:val="single"/>
        </w:rPr>
        <w:t xml:space="preserve">                                       </w:t>
      </w:r>
    </w:p>
    <w:p w14:paraId="14777BB0">
      <w:pPr>
        <w:spacing w:line="360" w:lineRule="auto"/>
        <w:ind w:firstLine="420" w:firstLineChars="200"/>
        <w:rPr>
          <w:rFonts w:cs="宋体"/>
          <w:szCs w:val="21"/>
          <w:highlight w:val="none"/>
        </w:rPr>
      </w:pPr>
      <w:r>
        <w:rPr>
          <w:rFonts w:hint="eastAsia" w:cs="宋体"/>
          <w:szCs w:val="21"/>
          <w:highlight w:val="none"/>
        </w:rPr>
        <w:t>邮政编码：</w:t>
      </w:r>
      <w:r>
        <w:rPr>
          <w:rFonts w:hint="eastAsia" w:cs="宋体"/>
          <w:szCs w:val="21"/>
          <w:highlight w:val="none"/>
          <w:u w:val="single"/>
        </w:rPr>
        <w:t xml:space="preserve">                 </w:t>
      </w:r>
    </w:p>
    <w:p w14:paraId="34B9AA00">
      <w:pPr>
        <w:spacing w:line="360" w:lineRule="auto"/>
        <w:ind w:firstLine="420" w:firstLineChars="200"/>
        <w:rPr>
          <w:rFonts w:cs="宋体"/>
          <w:szCs w:val="21"/>
          <w:highlight w:val="none"/>
        </w:rPr>
      </w:pPr>
      <w:r>
        <w:rPr>
          <w:rFonts w:hint="eastAsia" w:cs="宋体"/>
          <w:szCs w:val="21"/>
          <w:highlight w:val="none"/>
        </w:rPr>
        <w:t>电    话：</w:t>
      </w:r>
      <w:r>
        <w:rPr>
          <w:rFonts w:hint="eastAsia" w:cs="宋体"/>
          <w:szCs w:val="21"/>
          <w:highlight w:val="none"/>
          <w:u w:val="single"/>
        </w:rPr>
        <w:t xml:space="preserve">                 </w:t>
      </w:r>
    </w:p>
    <w:p w14:paraId="4ABFCF0B">
      <w:pPr>
        <w:spacing w:line="360" w:lineRule="auto"/>
        <w:ind w:firstLine="420" w:firstLineChars="200"/>
        <w:rPr>
          <w:rFonts w:cs="宋体"/>
          <w:szCs w:val="21"/>
          <w:highlight w:val="none"/>
          <w:u w:val="single"/>
        </w:rPr>
      </w:pPr>
      <w:r>
        <w:rPr>
          <w:rFonts w:hint="eastAsia" w:cs="宋体"/>
          <w:szCs w:val="21"/>
          <w:highlight w:val="none"/>
        </w:rPr>
        <w:t>传    真：</w:t>
      </w:r>
      <w:r>
        <w:rPr>
          <w:rFonts w:hint="eastAsia" w:cs="宋体"/>
          <w:szCs w:val="21"/>
          <w:highlight w:val="none"/>
          <w:u w:val="single"/>
        </w:rPr>
        <w:t xml:space="preserve">                 </w:t>
      </w:r>
    </w:p>
    <w:p w14:paraId="64B94580">
      <w:pPr>
        <w:spacing w:line="360" w:lineRule="auto"/>
        <w:ind w:left="1323" w:leftChars="200" w:hanging="903" w:hangingChars="430"/>
        <w:rPr>
          <w:rFonts w:cs="宋体"/>
          <w:szCs w:val="21"/>
          <w:highlight w:val="none"/>
        </w:rPr>
      </w:pPr>
      <w:r>
        <w:rPr>
          <w:rFonts w:hint="eastAsia" w:cs="宋体"/>
          <w:szCs w:val="21"/>
          <w:highlight w:val="none"/>
        </w:rPr>
        <w:t>开立时间：</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w:t>
      </w:r>
    </w:p>
    <w:p w14:paraId="767E70E0">
      <w:pPr>
        <w:spacing w:before="312" w:beforeLines="100" w:after="312" w:afterLines="100"/>
        <w:outlineLvl w:val="2"/>
        <w:rPr>
          <w:rFonts w:ascii="Times New Roman" w:eastAsia="黑体"/>
          <w:highlight w:val="none"/>
        </w:rPr>
      </w:pPr>
      <w:r>
        <w:rPr>
          <w:rFonts w:ascii="Times New Roman" w:eastAsia="黑体"/>
          <w:bCs/>
          <w:highlight w:val="none"/>
        </w:rPr>
        <w:br w:type="page"/>
      </w:r>
      <w:bookmarkStart w:id="683" w:name="_Toc128950247"/>
      <w:r>
        <w:rPr>
          <w:rFonts w:hint="eastAsia" w:ascii="Times New Roman" w:eastAsia="黑体"/>
          <w:highlight w:val="none"/>
        </w:rPr>
        <w:t>附件</w:t>
      </w:r>
      <w:r>
        <w:rPr>
          <w:rFonts w:ascii="Times New Roman" w:eastAsia="黑体"/>
          <w:highlight w:val="none"/>
        </w:rPr>
        <w:t>1</w:t>
      </w:r>
      <w:r>
        <w:rPr>
          <w:rFonts w:hint="eastAsia" w:ascii="Times New Roman" w:eastAsia="黑体"/>
          <w:highlight w:val="none"/>
        </w:rPr>
        <w:t>2：暂估价一览表</w:t>
      </w:r>
      <w:bookmarkEnd w:id="683"/>
    </w:p>
    <w:p w14:paraId="1ED89026">
      <w:pPr>
        <w:spacing w:before="156" w:beforeLines="50" w:after="156" w:afterLines="50" w:line="440" w:lineRule="exact"/>
        <w:jc w:val="center"/>
        <w:rPr>
          <w:rFonts w:cs="宋体"/>
          <w:szCs w:val="21"/>
          <w:highlight w:val="none"/>
        </w:rPr>
      </w:pPr>
      <w:r>
        <w:rPr>
          <w:rFonts w:hint="eastAsia" w:cs="宋体"/>
          <w:szCs w:val="21"/>
          <w:highlight w:val="none"/>
        </w:rPr>
        <w:t>12-1：材料暂估价表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0FA3F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275E09BB">
            <w:pPr>
              <w:keepNext/>
              <w:spacing w:line="440" w:lineRule="exact"/>
              <w:jc w:val="center"/>
              <w:rPr>
                <w:rFonts w:cs="宋体"/>
                <w:szCs w:val="21"/>
                <w:highlight w:val="none"/>
              </w:rPr>
            </w:pPr>
            <w:r>
              <w:rPr>
                <w:rFonts w:hint="eastAsia" w:cs="宋体"/>
                <w:szCs w:val="21"/>
                <w:highlight w:val="none"/>
              </w:rPr>
              <w:t>序号</w:t>
            </w:r>
          </w:p>
        </w:tc>
        <w:tc>
          <w:tcPr>
            <w:tcW w:w="1094" w:type="pct"/>
            <w:tcBorders>
              <w:top w:val="single" w:color="auto" w:sz="12" w:space="0"/>
              <w:bottom w:val="double" w:color="auto" w:sz="6" w:space="0"/>
            </w:tcBorders>
            <w:vAlign w:val="center"/>
          </w:tcPr>
          <w:p w14:paraId="48678CBB">
            <w:pPr>
              <w:keepNext/>
              <w:spacing w:line="440" w:lineRule="exact"/>
              <w:jc w:val="center"/>
              <w:rPr>
                <w:rFonts w:cs="宋体"/>
                <w:szCs w:val="21"/>
                <w:highlight w:val="none"/>
              </w:rPr>
            </w:pPr>
            <w:r>
              <w:rPr>
                <w:rFonts w:hint="eastAsia" w:cs="宋体"/>
                <w:szCs w:val="21"/>
                <w:highlight w:val="none"/>
              </w:rPr>
              <w:t>名称</w:t>
            </w:r>
          </w:p>
        </w:tc>
        <w:tc>
          <w:tcPr>
            <w:tcW w:w="468" w:type="pct"/>
            <w:tcBorders>
              <w:top w:val="single" w:color="auto" w:sz="12" w:space="0"/>
              <w:bottom w:val="double" w:color="auto" w:sz="6" w:space="0"/>
            </w:tcBorders>
            <w:vAlign w:val="center"/>
          </w:tcPr>
          <w:p w14:paraId="055292BC">
            <w:pPr>
              <w:keepNext/>
              <w:spacing w:line="440" w:lineRule="exact"/>
              <w:jc w:val="center"/>
              <w:rPr>
                <w:rFonts w:cs="宋体"/>
                <w:szCs w:val="21"/>
                <w:highlight w:val="none"/>
              </w:rPr>
            </w:pPr>
            <w:r>
              <w:rPr>
                <w:rFonts w:hint="eastAsia" w:cs="宋体"/>
                <w:szCs w:val="21"/>
                <w:highlight w:val="none"/>
              </w:rPr>
              <w:t>单位</w:t>
            </w:r>
          </w:p>
        </w:tc>
        <w:tc>
          <w:tcPr>
            <w:tcW w:w="426" w:type="pct"/>
            <w:tcBorders>
              <w:top w:val="single" w:color="auto" w:sz="12" w:space="0"/>
              <w:bottom w:val="double" w:color="auto" w:sz="6" w:space="0"/>
            </w:tcBorders>
            <w:vAlign w:val="center"/>
          </w:tcPr>
          <w:p w14:paraId="204F3320">
            <w:pPr>
              <w:keepNext/>
              <w:spacing w:line="440" w:lineRule="exact"/>
              <w:jc w:val="center"/>
              <w:rPr>
                <w:rFonts w:cs="宋体"/>
                <w:szCs w:val="21"/>
                <w:highlight w:val="none"/>
              </w:rPr>
            </w:pPr>
            <w:r>
              <w:rPr>
                <w:rFonts w:hint="eastAsia" w:cs="宋体"/>
                <w:szCs w:val="21"/>
                <w:highlight w:val="none"/>
              </w:rPr>
              <w:t>数量</w:t>
            </w:r>
          </w:p>
        </w:tc>
        <w:tc>
          <w:tcPr>
            <w:tcW w:w="745" w:type="pct"/>
            <w:tcBorders>
              <w:top w:val="single" w:color="auto" w:sz="12" w:space="0"/>
              <w:bottom w:val="double" w:color="auto" w:sz="6" w:space="0"/>
            </w:tcBorders>
            <w:vAlign w:val="center"/>
          </w:tcPr>
          <w:p w14:paraId="3680D788">
            <w:pPr>
              <w:keepNext/>
              <w:spacing w:line="440" w:lineRule="exact"/>
              <w:jc w:val="center"/>
              <w:rPr>
                <w:rFonts w:cs="宋体"/>
                <w:szCs w:val="21"/>
                <w:highlight w:val="none"/>
              </w:rPr>
            </w:pPr>
            <w:r>
              <w:rPr>
                <w:rFonts w:hint="eastAsia" w:cs="宋体"/>
                <w:szCs w:val="21"/>
                <w:highlight w:val="none"/>
              </w:rPr>
              <w:t>单价（元）</w:t>
            </w:r>
          </w:p>
        </w:tc>
        <w:tc>
          <w:tcPr>
            <w:tcW w:w="781" w:type="pct"/>
            <w:tcBorders>
              <w:top w:val="single" w:color="auto" w:sz="12" w:space="0"/>
              <w:bottom w:val="double" w:color="auto" w:sz="6" w:space="0"/>
            </w:tcBorders>
            <w:vAlign w:val="center"/>
          </w:tcPr>
          <w:p w14:paraId="12B3C846">
            <w:pPr>
              <w:keepNext/>
              <w:spacing w:line="440" w:lineRule="exact"/>
              <w:jc w:val="center"/>
              <w:rPr>
                <w:rFonts w:cs="宋体"/>
                <w:szCs w:val="21"/>
                <w:highlight w:val="none"/>
              </w:rPr>
            </w:pPr>
            <w:r>
              <w:rPr>
                <w:rFonts w:hint="eastAsia" w:cs="宋体"/>
                <w:szCs w:val="21"/>
                <w:highlight w:val="none"/>
              </w:rPr>
              <w:t>合价（元）</w:t>
            </w:r>
          </w:p>
        </w:tc>
        <w:tc>
          <w:tcPr>
            <w:tcW w:w="938" w:type="pct"/>
            <w:tcBorders>
              <w:top w:val="single" w:color="auto" w:sz="12" w:space="0"/>
              <w:bottom w:val="double" w:color="auto" w:sz="6" w:space="0"/>
            </w:tcBorders>
            <w:vAlign w:val="center"/>
          </w:tcPr>
          <w:p w14:paraId="37875910">
            <w:pPr>
              <w:keepNext/>
              <w:spacing w:line="440" w:lineRule="exact"/>
              <w:jc w:val="center"/>
              <w:rPr>
                <w:rFonts w:cs="宋体"/>
                <w:szCs w:val="21"/>
                <w:highlight w:val="none"/>
              </w:rPr>
            </w:pPr>
            <w:r>
              <w:rPr>
                <w:rFonts w:hint="eastAsia" w:cs="宋体"/>
                <w:szCs w:val="21"/>
                <w:highlight w:val="none"/>
              </w:rPr>
              <w:t>备注</w:t>
            </w:r>
          </w:p>
        </w:tc>
      </w:tr>
      <w:tr w14:paraId="3AB00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1AC6006B">
            <w:pPr>
              <w:keepNext/>
              <w:spacing w:line="440" w:lineRule="exact"/>
              <w:jc w:val="center"/>
              <w:rPr>
                <w:rFonts w:cs="宋体"/>
                <w:szCs w:val="21"/>
                <w:highlight w:val="none"/>
              </w:rPr>
            </w:pPr>
          </w:p>
        </w:tc>
        <w:tc>
          <w:tcPr>
            <w:tcW w:w="1094" w:type="pct"/>
            <w:tcBorders>
              <w:top w:val="double" w:color="auto" w:sz="6" w:space="0"/>
            </w:tcBorders>
            <w:vAlign w:val="center"/>
          </w:tcPr>
          <w:p w14:paraId="1F478C30">
            <w:pPr>
              <w:keepNext/>
              <w:spacing w:line="440" w:lineRule="exact"/>
              <w:jc w:val="center"/>
              <w:rPr>
                <w:rFonts w:cs="宋体"/>
                <w:szCs w:val="21"/>
                <w:highlight w:val="none"/>
              </w:rPr>
            </w:pPr>
          </w:p>
        </w:tc>
        <w:tc>
          <w:tcPr>
            <w:tcW w:w="468" w:type="pct"/>
            <w:tcBorders>
              <w:top w:val="double" w:color="auto" w:sz="6" w:space="0"/>
            </w:tcBorders>
            <w:vAlign w:val="center"/>
          </w:tcPr>
          <w:p w14:paraId="066F8C98">
            <w:pPr>
              <w:keepNext/>
              <w:spacing w:line="440" w:lineRule="exact"/>
              <w:jc w:val="center"/>
              <w:rPr>
                <w:rFonts w:cs="宋体"/>
                <w:szCs w:val="21"/>
                <w:highlight w:val="none"/>
              </w:rPr>
            </w:pPr>
          </w:p>
        </w:tc>
        <w:tc>
          <w:tcPr>
            <w:tcW w:w="426" w:type="pct"/>
            <w:tcBorders>
              <w:top w:val="double" w:color="auto" w:sz="6" w:space="0"/>
            </w:tcBorders>
            <w:vAlign w:val="center"/>
          </w:tcPr>
          <w:p w14:paraId="78B0B76C">
            <w:pPr>
              <w:keepNext/>
              <w:spacing w:line="440" w:lineRule="exact"/>
              <w:jc w:val="center"/>
              <w:rPr>
                <w:rFonts w:cs="宋体"/>
                <w:szCs w:val="21"/>
                <w:highlight w:val="none"/>
              </w:rPr>
            </w:pPr>
          </w:p>
        </w:tc>
        <w:tc>
          <w:tcPr>
            <w:tcW w:w="745" w:type="pct"/>
            <w:tcBorders>
              <w:top w:val="double" w:color="auto" w:sz="6" w:space="0"/>
            </w:tcBorders>
            <w:vAlign w:val="center"/>
          </w:tcPr>
          <w:p w14:paraId="1E1E2A0F">
            <w:pPr>
              <w:keepNext/>
              <w:spacing w:line="440" w:lineRule="exact"/>
              <w:jc w:val="center"/>
              <w:rPr>
                <w:rFonts w:cs="宋体"/>
                <w:szCs w:val="21"/>
                <w:highlight w:val="none"/>
              </w:rPr>
            </w:pPr>
          </w:p>
        </w:tc>
        <w:tc>
          <w:tcPr>
            <w:tcW w:w="781" w:type="pct"/>
            <w:tcBorders>
              <w:top w:val="double" w:color="auto" w:sz="6" w:space="0"/>
            </w:tcBorders>
            <w:vAlign w:val="center"/>
          </w:tcPr>
          <w:p w14:paraId="664AADDA">
            <w:pPr>
              <w:keepNext/>
              <w:spacing w:line="440" w:lineRule="exact"/>
              <w:jc w:val="center"/>
              <w:rPr>
                <w:rFonts w:cs="宋体"/>
                <w:szCs w:val="21"/>
                <w:highlight w:val="none"/>
              </w:rPr>
            </w:pPr>
          </w:p>
        </w:tc>
        <w:tc>
          <w:tcPr>
            <w:tcW w:w="938" w:type="pct"/>
            <w:tcBorders>
              <w:top w:val="double" w:color="auto" w:sz="6" w:space="0"/>
            </w:tcBorders>
            <w:vAlign w:val="center"/>
          </w:tcPr>
          <w:p w14:paraId="5FB8D578">
            <w:pPr>
              <w:keepNext/>
              <w:spacing w:line="440" w:lineRule="exact"/>
              <w:jc w:val="center"/>
              <w:rPr>
                <w:rFonts w:cs="宋体"/>
                <w:szCs w:val="21"/>
                <w:highlight w:val="none"/>
              </w:rPr>
            </w:pPr>
          </w:p>
        </w:tc>
      </w:tr>
      <w:tr w14:paraId="533E7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51E559E">
            <w:pPr>
              <w:keepNext/>
              <w:spacing w:line="440" w:lineRule="exact"/>
              <w:jc w:val="center"/>
              <w:rPr>
                <w:rFonts w:cs="宋体"/>
                <w:szCs w:val="21"/>
                <w:highlight w:val="none"/>
              </w:rPr>
            </w:pPr>
          </w:p>
        </w:tc>
        <w:tc>
          <w:tcPr>
            <w:tcW w:w="1094" w:type="pct"/>
            <w:tcBorders>
              <w:top w:val="nil"/>
            </w:tcBorders>
            <w:vAlign w:val="center"/>
          </w:tcPr>
          <w:p w14:paraId="7C3D9836">
            <w:pPr>
              <w:keepNext/>
              <w:spacing w:line="440" w:lineRule="exact"/>
              <w:jc w:val="center"/>
              <w:rPr>
                <w:rFonts w:cs="宋体"/>
                <w:szCs w:val="21"/>
                <w:highlight w:val="none"/>
              </w:rPr>
            </w:pPr>
          </w:p>
        </w:tc>
        <w:tc>
          <w:tcPr>
            <w:tcW w:w="468" w:type="pct"/>
            <w:tcBorders>
              <w:top w:val="nil"/>
            </w:tcBorders>
            <w:vAlign w:val="center"/>
          </w:tcPr>
          <w:p w14:paraId="048B6A5B">
            <w:pPr>
              <w:keepNext/>
              <w:spacing w:line="440" w:lineRule="exact"/>
              <w:jc w:val="center"/>
              <w:rPr>
                <w:rFonts w:cs="宋体"/>
                <w:szCs w:val="21"/>
                <w:highlight w:val="none"/>
              </w:rPr>
            </w:pPr>
          </w:p>
        </w:tc>
        <w:tc>
          <w:tcPr>
            <w:tcW w:w="426" w:type="pct"/>
            <w:tcBorders>
              <w:top w:val="nil"/>
            </w:tcBorders>
            <w:vAlign w:val="center"/>
          </w:tcPr>
          <w:p w14:paraId="2DFBF3D5">
            <w:pPr>
              <w:keepNext/>
              <w:spacing w:line="440" w:lineRule="exact"/>
              <w:jc w:val="center"/>
              <w:rPr>
                <w:rFonts w:cs="宋体"/>
                <w:szCs w:val="21"/>
                <w:highlight w:val="none"/>
              </w:rPr>
            </w:pPr>
          </w:p>
        </w:tc>
        <w:tc>
          <w:tcPr>
            <w:tcW w:w="745" w:type="pct"/>
            <w:tcBorders>
              <w:top w:val="nil"/>
            </w:tcBorders>
            <w:vAlign w:val="center"/>
          </w:tcPr>
          <w:p w14:paraId="360FDAAD">
            <w:pPr>
              <w:keepNext/>
              <w:spacing w:line="440" w:lineRule="exact"/>
              <w:jc w:val="center"/>
              <w:rPr>
                <w:rFonts w:cs="宋体"/>
                <w:szCs w:val="21"/>
                <w:highlight w:val="none"/>
              </w:rPr>
            </w:pPr>
          </w:p>
        </w:tc>
        <w:tc>
          <w:tcPr>
            <w:tcW w:w="781" w:type="pct"/>
            <w:tcBorders>
              <w:top w:val="nil"/>
            </w:tcBorders>
            <w:vAlign w:val="center"/>
          </w:tcPr>
          <w:p w14:paraId="27FBD8E3">
            <w:pPr>
              <w:keepNext/>
              <w:spacing w:line="440" w:lineRule="exact"/>
              <w:jc w:val="center"/>
              <w:rPr>
                <w:rFonts w:cs="宋体"/>
                <w:szCs w:val="21"/>
                <w:highlight w:val="none"/>
              </w:rPr>
            </w:pPr>
          </w:p>
        </w:tc>
        <w:tc>
          <w:tcPr>
            <w:tcW w:w="938" w:type="pct"/>
            <w:tcBorders>
              <w:top w:val="nil"/>
            </w:tcBorders>
            <w:vAlign w:val="center"/>
          </w:tcPr>
          <w:p w14:paraId="7434AB97">
            <w:pPr>
              <w:keepNext/>
              <w:spacing w:line="440" w:lineRule="exact"/>
              <w:jc w:val="center"/>
              <w:rPr>
                <w:rFonts w:cs="宋体"/>
                <w:szCs w:val="21"/>
                <w:highlight w:val="none"/>
              </w:rPr>
            </w:pPr>
          </w:p>
        </w:tc>
      </w:tr>
      <w:tr w14:paraId="3E7C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66FA3560">
            <w:pPr>
              <w:keepNext/>
              <w:spacing w:line="440" w:lineRule="exact"/>
              <w:jc w:val="center"/>
              <w:rPr>
                <w:rFonts w:cs="宋体"/>
                <w:szCs w:val="21"/>
                <w:highlight w:val="none"/>
              </w:rPr>
            </w:pPr>
          </w:p>
        </w:tc>
        <w:tc>
          <w:tcPr>
            <w:tcW w:w="1094" w:type="pct"/>
            <w:vAlign w:val="center"/>
          </w:tcPr>
          <w:p w14:paraId="732FAE98">
            <w:pPr>
              <w:keepNext/>
              <w:spacing w:line="440" w:lineRule="exact"/>
              <w:jc w:val="center"/>
              <w:rPr>
                <w:rFonts w:cs="宋体"/>
                <w:szCs w:val="21"/>
                <w:highlight w:val="none"/>
              </w:rPr>
            </w:pPr>
          </w:p>
        </w:tc>
        <w:tc>
          <w:tcPr>
            <w:tcW w:w="468" w:type="pct"/>
            <w:vAlign w:val="center"/>
          </w:tcPr>
          <w:p w14:paraId="60B992EF">
            <w:pPr>
              <w:keepNext/>
              <w:spacing w:line="440" w:lineRule="exact"/>
              <w:jc w:val="center"/>
              <w:rPr>
                <w:rFonts w:cs="宋体"/>
                <w:szCs w:val="21"/>
                <w:highlight w:val="none"/>
              </w:rPr>
            </w:pPr>
          </w:p>
        </w:tc>
        <w:tc>
          <w:tcPr>
            <w:tcW w:w="426" w:type="pct"/>
            <w:vAlign w:val="center"/>
          </w:tcPr>
          <w:p w14:paraId="4FA3698A">
            <w:pPr>
              <w:keepNext/>
              <w:spacing w:line="440" w:lineRule="exact"/>
              <w:jc w:val="center"/>
              <w:rPr>
                <w:rFonts w:cs="宋体"/>
                <w:szCs w:val="21"/>
                <w:highlight w:val="none"/>
              </w:rPr>
            </w:pPr>
          </w:p>
        </w:tc>
        <w:tc>
          <w:tcPr>
            <w:tcW w:w="745" w:type="pct"/>
            <w:vAlign w:val="center"/>
          </w:tcPr>
          <w:p w14:paraId="4E25DFE6">
            <w:pPr>
              <w:keepNext/>
              <w:spacing w:line="440" w:lineRule="exact"/>
              <w:jc w:val="center"/>
              <w:rPr>
                <w:rFonts w:cs="宋体"/>
                <w:szCs w:val="21"/>
                <w:highlight w:val="none"/>
              </w:rPr>
            </w:pPr>
          </w:p>
        </w:tc>
        <w:tc>
          <w:tcPr>
            <w:tcW w:w="781" w:type="pct"/>
            <w:vAlign w:val="center"/>
          </w:tcPr>
          <w:p w14:paraId="15F4DF36">
            <w:pPr>
              <w:keepNext/>
              <w:spacing w:line="440" w:lineRule="exact"/>
              <w:jc w:val="center"/>
              <w:rPr>
                <w:rFonts w:cs="宋体"/>
                <w:szCs w:val="21"/>
                <w:highlight w:val="none"/>
              </w:rPr>
            </w:pPr>
          </w:p>
        </w:tc>
        <w:tc>
          <w:tcPr>
            <w:tcW w:w="938" w:type="pct"/>
            <w:vAlign w:val="center"/>
          </w:tcPr>
          <w:p w14:paraId="18E67332">
            <w:pPr>
              <w:keepNext/>
              <w:spacing w:line="440" w:lineRule="exact"/>
              <w:jc w:val="center"/>
              <w:rPr>
                <w:rFonts w:cs="宋体"/>
                <w:szCs w:val="21"/>
                <w:highlight w:val="none"/>
              </w:rPr>
            </w:pPr>
          </w:p>
        </w:tc>
      </w:tr>
      <w:tr w14:paraId="1F8B0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F8FBD42">
            <w:pPr>
              <w:keepNext/>
              <w:spacing w:line="440" w:lineRule="exact"/>
              <w:jc w:val="center"/>
              <w:rPr>
                <w:rFonts w:cs="宋体"/>
                <w:szCs w:val="21"/>
                <w:highlight w:val="none"/>
              </w:rPr>
            </w:pPr>
          </w:p>
        </w:tc>
        <w:tc>
          <w:tcPr>
            <w:tcW w:w="1094" w:type="pct"/>
            <w:vAlign w:val="center"/>
          </w:tcPr>
          <w:p w14:paraId="64545D6B">
            <w:pPr>
              <w:keepNext/>
              <w:spacing w:line="440" w:lineRule="exact"/>
              <w:jc w:val="center"/>
              <w:rPr>
                <w:rFonts w:cs="宋体"/>
                <w:szCs w:val="21"/>
                <w:highlight w:val="none"/>
              </w:rPr>
            </w:pPr>
          </w:p>
        </w:tc>
        <w:tc>
          <w:tcPr>
            <w:tcW w:w="468" w:type="pct"/>
            <w:vAlign w:val="center"/>
          </w:tcPr>
          <w:p w14:paraId="2A2A0916">
            <w:pPr>
              <w:keepNext/>
              <w:spacing w:line="440" w:lineRule="exact"/>
              <w:jc w:val="center"/>
              <w:rPr>
                <w:rFonts w:cs="宋体"/>
                <w:szCs w:val="21"/>
                <w:highlight w:val="none"/>
              </w:rPr>
            </w:pPr>
          </w:p>
        </w:tc>
        <w:tc>
          <w:tcPr>
            <w:tcW w:w="426" w:type="pct"/>
            <w:vAlign w:val="center"/>
          </w:tcPr>
          <w:p w14:paraId="4E6570F4">
            <w:pPr>
              <w:keepNext/>
              <w:spacing w:line="440" w:lineRule="exact"/>
              <w:jc w:val="center"/>
              <w:rPr>
                <w:rFonts w:cs="宋体"/>
                <w:szCs w:val="21"/>
                <w:highlight w:val="none"/>
              </w:rPr>
            </w:pPr>
          </w:p>
        </w:tc>
        <w:tc>
          <w:tcPr>
            <w:tcW w:w="745" w:type="pct"/>
            <w:vAlign w:val="center"/>
          </w:tcPr>
          <w:p w14:paraId="5025BB65">
            <w:pPr>
              <w:keepNext/>
              <w:spacing w:line="440" w:lineRule="exact"/>
              <w:jc w:val="center"/>
              <w:rPr>
                <w:rFonts w:cs="宋体"/>
                <w:szCs w:val="21"/>
                <w:highlight w:val="none"/>
              </w:rPr>
            </w:pPr>
          </w:p>
        </w:tc>
        <w:tc>
          <w:tcPr>
            <w:tcW w:w="781" w:type="pct"/>
            <w:vAlign w:val="center"/>
          </w:tcPr>
          <w:p w14:paraId="7C0FDD4B">
            <w:pPr>
              <w:keepNext/>
              <w:spacing w:line="440" w:lineRule="exact"/>
              <w:jc w:val="center"/>
              <w:rPr>
                <w:rFonts w:cs="宋体"/>
                <w:szCs w:val="21"/>
                <w:highlight w:val="none"/>
              </w:rPr>
            </w:pPr>
          </w:p>
        </w:tc>
        <w:tc>
          <w:tcPr>
            <w:tcW w:w="938" w:type="pct"/>
            <w:vAlign w:val="center"/>
          </w:tcPr>
          <w:p w14:paraId="2B90C26C">
            <w:pPr>
              <w:keepNext/>
              <w:spacing w:line="440" w:lineRule="exact"/>
              <w:jc w:val="center"/>
              <w:rPr>
                <w:rFonts w:cs="宋体"/>
                <w:szCs w:val="21"/>
                <w:highlight w:val="none"/>
              </w:rPr>
            </w:pPr>
          </w:p>
        </w:tc>
      </w:tr>
      <w:tr w14:paraId="7EC4F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4C9BBBDB">
            <w:pPr>
              <w:keepNext/>
              <w:spacing w:line="440" w:lineRule="exact"/>
              <w:jc w:val="center"/>
              <w:rPr>
                <w:rFonts w:cs="宋体"/>
                <w:szCs w:val="21"/>
                <w:highlight w:val="none"/>
              </w:rPr>
            </w:pPr>
          </w:p>
        </w:tc>
        <w:tc>
          <w:tcPr>
            <w:tcW w:w="1094" w:type="pct"/>
            <w:tcBorders>
              <w:bottom w:val="single" w:color="auto" w:sz="12" w:space="0"/>
            </w:tcBorders>
            <w:vAlign w:val="center"/>
          </w:tcPr>
          <w:p w14:paraId="3985086D">
            <w:pPr>
              <w:keepNext/>
              <w:spacing w:line="440" w:lineRule="exact"/>
              <w:jc w:val="center"/>
              <w:rPr>
                <w:rFonts w:cs="宋体"/>
                <w:szCs w:val="21"/>
                <w:highlight w:val="none"/>
              </w:rPr>
            </w:pPr>
          </w:p>
        </w:tc>
        <w:tc>
          <w:tcPr>
            <w:tcW w:w="468" w:type="pct"/>
            <w:tcBorders>
              <w:bottom w:val="single" w:color="auto" w:sz="12" w:space="0"/>
            </w:tcBorders>
            <w:vAlign w:val="center"/>
          </w:tcPr>
          <w:p w14:paraId="2AAEBBA3">
            <w:pPr>
              <w:keepNext/>
              <w:spacing w:line="440" w:lineRule="exact"/>
              <w:jc w:val="center"/>
              <w:rPr>
                <w:rFonts w:cs="宋体"/>
                <w:szCs w:val="21"/>
                <w:highlight w:val="none"/>
              </w:rPr>
            </w:pPr>
          </w:p>
        </w:tc>
        <w:tc>
          <w:tcPr>
            <w:tcW w:w="426" w:type="pct"/>
            <w:tcBorders>
              <w:bottom w:val="single" w:color="auto" w:sz="12" w:space="0"/>
            </w:tcBorders>
            <w:vAlign w:val="center"/>
          </w:tcPr>
          <w:p w14:paraId="170F59C2">
            <w:pPr>
              <w:keepNext/>
              <w:spacing w:line="440" w:lineRule="exact"/>
              <w:jc w:val="center"/>
              <w:rPr>
                <w:rFonts w:cs="宋体"/>
                <w:szCs w:val="21"/>
                <w:highlight w:val="none"/>
              </w:rPr>
            </w:pPr>
          </w:p>
        </w:tc>
        <w:tc>
          <w:tcPr>
            <w:tcW w:w="745" w:type="pct"/>
            <w:tcBorders>
              <w:bottom w:val="single" w:color="auto" w:sz="12" w:space="0"/>
            </w:tcBorders>
            <w:vAlign w:val="center"/>
          </w:tcPr>
          <w:p w14:paraId="75E535C1">
            <w:pPr>
              <w:keepNext/>
              <w:spacing w:line="440" w:lineRule="exact"/>
              <w:jc w:val="center"/>
              <w:rPr>
                <w:rFonts w:cs="宋体"/>
                <w:szCs w:val="21"/>
                <w:highlight w:val="none"/>
              </w:rPr>
            </w:pPr>
          </w:p>
        </w:tc>
        <w:tc>
          <w:tcPr>
            <w:tcW w:w="781" w:type="pct"/>
            <w:tcBorders>
              <w:bottom w:val="single" w:color="auto" w:sz="12" w:space="0"/>
            </w:tcBorders>
            <w:vAlign w:val="center"/>
          </w:tcPr>
          <w:p w14:paraId="013907DB">
            <w:pPr>
              <w:keepNext/>
              <w:spacing w:line="440" w:lineRule="exact"/>
              <w:jc w:val="center"/>
              <w:rPr>
                <w:rFonts w:cs="宋体"/>
                <w:szCs w:val="21"/>
                <w:highlight w:val="none"/>
              </w:rPr>
            </w:pPr>
          </w:p>
        </w:tc>
        <w:tc>
          <w:tcPr>
            <w:tcW w:w="938" w:type="pct"/>
            <w:tcBorders>
              <w:bottom w:val="single" w:color="auto" w:sz="12" w:space="0"/>
            </w:tcBorders>
            <w:vAlign w:val="center"/>
          </w:tcPr>
          <w:p w14:paraId="5C8FCE53">
            <w:pPr>
              <w:keepNext/>
              <w:spacing w:line="440" w:lineRule="exact"/>
              <w:jc w:val="center"/>
              <w:rPr>
                <w:rFonts w:cs="宋体"/>
                <w:szCs w:val="21"/>
                <w:highlight w:val="none"/>
              </w:rPr>
            </w:pPr>
          </w:p>
        </w:tc>
      </w:tr>
    </w:tbl>
    <w:p w14:paraId="358AC708">
      <w:pPr>
        <w:spacing w:before="156" w:beforeLines="50" w:after="156" w:afterLines="50" w:line="440" w:lineRule="exact"/>
        <w:jc w:val="center"/>
        <w:rPr>
          <w:rFonts w:cs="宋体"/>
          <w:szCs w:val="21"/>
          <w:highlight w:val="none"/>
        </w:rPr>
      </w:pPr>
      <w:r>
        <w:rPr>
          <w:rFonts w:hint="eastAsia" w:cs="宋体"/>
          <w:szCs w:val="21"/>
          <w:highlight w:val="none"/>
        </w:rPr>
        <w:t>12-2：工程设备暂估价表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74176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8BC2B03">
            <w:pPr>
              <w:keepNext/>
              <w:spacing w:line="440" w:lineRule="exact"/>
              <w:jc w:val="center"/>
              <w:rPr>
                <w:rFonts w:cs="宋体"/>
                <w:szCs w:val="21"/>
                <w:highlight w:val="none"/>
              </w:rPr>
            </w:pPr>
            <w:r>
              <w:rPr>
                <w:rFonts w:hint="eastAsia" w:cs="宋体"/>
                <w:szCs w:val="21"/>
                <w:highlight w:val="none"/>
              </w:rPr>
              <w:t>序号</w:t>
            </w:r>
          </w:p>
        </w:tc>
        <w:tc>
          <w:tcPr>
            <w:tcW w:w="1094" w:type="pct"/>
            <w:tcBorders>
              <w:top w:val="single" w:color="auto" w:sz="12" w:space="0"/>
              <w:bottom w:val="double" w:color="auto" w:sz="6" w:space="0"/>
            </w:tcBorders>
            <w:vAlign w:val="center"/>
          </w:tcPr>
          <w:p w14:paraId="19866CE3">
            <w:pPr>
              <w:keepNext/>
              <w:spacing w:line="440" w:lineRule="exact"/>
              <w:jc w:val="center"/>
              <w:rPr>
                <w:rFonts w:cs="宋体"/>
                <w:szCs w:val="21"/>
                <w:highlight w:val="none"/>
              </w:rPr>
            </w:pPr>
            <w:r>
              <w:rPr>
                <w:rFonts w:hint="eastAsia" w:cs="宋体"/>
                <w:szCs w:val="21"/>
                <w:highlight w:val="none"/>
              </w:rPr>
              <w:t>名称</w:t>
            </w:r>
          </w:p>
        </w:tc>
        <w:tc>
          <w:tcPr>
            <w:tcW w:w="468" w:type="pct"/>
            <w:tcBorders>
              <w:top w:val="single" w:color="auto" w:sz="12" w:space="0"/>
              <w:bottom w:val="double" w:color="auto" w:sz="6" w:space="0"/>
            </w:tcBorders>
            <w:vAlign w:val="center"/>
          </w:tcPr>
          <w:p w14:paraId="14BA7C22">
            <w:pPr>
              <w:keepNext/>
              <w:spacing w:line="440" w:lineRule="exact"/>
              <w:jc w:val="center"/>
              <w:rPr>
                <w:rFonts w:cs="宋体"/>
                <w:szCs w:val="21"/>
                <w:highlight w:val="none"/>
              </w:rPr>
            </w:pPr>
            <w:r>
              <w:rPr>
                <w:rFonts w:hint="eastAsia" w:cs="宋体"/>
                <w:szCs w:val="21"/>
                <w:highlight w:val="none"/>
              </w:rPr>
              <w:t>单位</w:t>
            </w:r>
          </w:p>
        </w:tc>
        <w:tc>
          <w:tcPr>
            <w:tcW w:w="426" w:type="pct"/>
            <w:tcBorders>
              <w:top w:val="single" w:color="auto" w:sz="12" w:space="0"/>
              <w:bottom w:val="double" w:color="auto" w:sz="6" w:space="0"/>
            </w:tcBorders>
            <w:vAlign w:val="center"/>
          </w:tcPr>
          <w:p w14:paraId="0E6390AF">
            <w:pPr>
              <w:keepNext/>
              <w:spacing w:line="440" w:lineRule="exact"/>
              <w:jc w:val="center"/>
              <w:rPr>
                <w:rFonts w:cs="宋体"/>
                <w:szCs w:val="21"/>
                <w:highlight w:val="none"/>
              </w:rPr>
            </w:pPr>
            <w:r>
              <w:rPr>
                <w:rFonts w:hint="eastAsia" w:cs="宋体"/>
                <w:szCs w:val="21"/>
                <w:highlight w:val="none"/>
              </w:rPr>
              <w:t>数量</w:t>
            </w:r>
          </w:p>
        </w:tc>
        <w:tc>
          <w:tcPr>
            <w:tcW w:w="745" w:type="pct"/>
            <w:tcBorders>
              <w:top w:val="single" w:color="auto" w:sz="12" w:space="0"/>
              <w:bottom w:val="double" w:color="auto" w:sz="6" w:space="0"/>
            </w:tcBorders>
            <w:vAlign w:val="center"/>
          </w:tcPr>
          <w:p w14:paraId="53774AF2">
            <w:pPr>
              <w:keepNext/>
              <w:spacing w:line="440" w:lineRule="exact"/>
              <w:jc w:val="center"/>
              <w:rPr>
                <w:rFonts w:cs="宋体"/>
                <w:szCs w:val="21"/>
                <w:highlight w:val="none"/>
              </w:rPr>
            </w:pPr>
            <w:r>
              <w:rPr>
                <w:rFonts w:hint="eastAsia" w:cs="宋体"/>
                <w:szCs w:val="21"/>
                <w:highlight w:val="none"/>
              </w:rPr>
              <w:t>单价（元）</w:t>
            </w:r>
          </w:p>
        </w:tc>
        <w:tc>
          <w:tcPr>
            <w:tcW w:w="781" w:type="pct"/>
            <w:tcBorders>
              <w:top w:val="single" w:color="auto" w:sz="12" w:space="0"/>
              <w:bottom w:val="double" w:color="auto" w:sz="6" w:space="0"/>
            </w:tcBorders>
            <w:vAlign w:val="center"/>
          </w:tcPr>
          <w:p w14:paraId="005585F4">
            <w:pPr>
              <w:keepNext/>
              <w:spacing w:line="440" w:lineRule="exact"/>
              <w:jc w:val="center"/>
              <w:rPr>
                <w:rFonts w:cs="宋体"/>
                <w:szCs w:val="21"/>
                <w:highlight w:val="none"/>
              </w:rPr>
            </w:pPr>
            <w:r>
              <w:rPr>
                <w:rFonts w:hint="eastAsia" w:cs="宋体"/>
                <w:szCs w:val="21"/>
                <w:highlight w:val="none"/>
              </w:rPr>
              <w:t>合价（元）</w:t>
            </w:r>
          </w:p>
        </w:tc>
        <w:tc>
          <w:tcPr>
            <w:tcW w:w="938" w:type="pct"/>
            <w:tcBorders>
              <w:top w:val="single" w:color="auto" w:sz="12" w:space="0"/>
              <w:bottom w:val="double" w:color="auto" w:sz="6" w:space="0"/>
            </w:tcBorders>
            <w:vAlign w:val="center"/>
          </w:tcPr>
          <w:p w14:paraId="4669E283">
            <w:pPr>
              <w:keepNext/>
              <w:spacing w:line="440" w:lineRule="exact"/>
              <w:jc w:val="center"/>
              <w:rPr>
                <w:rFonts w:cs="宋体"/>
                <w:szCs w:val="21"/>
                <w:highlight w:val="none"/>
              </w:rPr>
            </w:pPr>
            <w:r>
              <w:rPr>
                <w:rFonts w:hint="eastAsia" w:cs="宋体"/>
                <w:szCs w:val="21"/>
                <w:highlight w:val="none"/>
              </w:rPr>
              <w:t>备注</w:t>
            </w:r>
          </w:p>
        </w:tc>
      </w:tr>
      <w:tr w14:paraId="79767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0A6A7972">
            <w:pPr>
              <w:keepNext/>
              <w:spacing w:line="440" w:lineRule="exact"/>
              <w:jc w:val="center"/>
              <w:rPr>
                <w:rFonts w:cs="宋体"/>
                <w:szCs w:val="21"/>
                <w:highlight w:val="none"/>
              </w:rPr>
            </w:pPr>
          </w:p>
        </w:tc>
        <w:tc>
          <w:tcPr>
            <w:tcW w:w="1094" w:type="pct"/>
            <w:tcBorders>
              <w:top w:val="double" w:color="auto" w:sz="6" w:space="0"/>
            </w:tcBorders>
            <w:vAlign w:val="center"/>
          </w:tcPr>
          <w:p w14:paraId="72FE96F0">
            <w:pPr>
              <w:keepNext/>
              <w:spacing w:line="440" w:lineRule="exact"/>
              <w:jc w:val="center"/>
              <w:rPr>
                <w:rFonts w:cs="宋体"/>
                <w:szCs w:val="21"/>
                <w:highlight w:val="none"/>
              </w:rPr>
            </w:pPr>
          </w:p>
        </w:tc>
        <w:tc>
          <w:tcPr>
            <w:tcW w:w="468" w:type="pct"/>
            <w:tcBorders>
              <w:top w:val="double" w:color="auto" w:sz="6" w:space="0"/>
            </w:tcBorders>
            <w:vAlign w:val="center"/>
          </w:tcPr>
          <w:p w14:paraId="768E2424">
            <w:pPr>
              <w:keepNext/>
              <w:spacing w:line="440" w:lineRule="exact"/>
              <w:jc w:val="center"/>
              <w:rPr>
                <w:rFonts w:cs="宋体"/>
                <w:szCs w:val="21"/>
                <w:highlight w:val="none"/>
              </w:rPr>
            </w:pPr>
          </w:p>
        </w:tc>
        <w:tc>
          <w:tcPr>
            <w:tcW w:w="426" w:type="pct"/>
            <w:tcBorders>
              <w:top w:val="double" w:color="auto" w:sz="6" w:space="0"/>
            </w:tcBorders>
            <w:vAlign w:val="center"/>
          </w:tcPr>
          <w:p w14:paraId="2B1923EB">
            <w:pPr>
              <w:keepNext/>
              <w:spacing w:line="440" w:lineRule="exact"/>
              <w:jc w:val="center"/>
              <w:rPr>
                <w:rFonts w:cs="宋体"/>
                <w:szCs w:val="21"/>
                <w:highlight w:val="none"/>
              </w:rPr>
            </w:pPr>
          </w:p>
        </w:tc>
        <w:tc>
          <w:tcPr>
            <w:tcW w:w="745" w:type="pct"/>
            <w:tcBorders>
              <w:top w:val="double" w:color="auto" w:sz="6" w:space="0"/>
            </w:tcBorders>
            <w:vAlign w:val="center"/>
          </w:tcPr>
          <w:p w14:paraId="61DA24A5">
            <w:pPr>
              <w:keepNext/>
              <w:spacing w:line="440" w:lineRule="exact"/>
              <w:jc w:val="center"/>
              <w:rPr>
                <w:rFonts w:cs="宋体"/>
                <w:szCs w:val="21"/>
                <w:highlight w:val="none"/>
              </w:rPr>
            </w:pPr>
          </w:p>
        </w:tc>
        <w:tc>
          <w:tcPr>
            <w:tcW w:w="781" w:type="pct"/>
            <w:tcBorders>
              <w:top w:val="double" w:color="auto" w:sz="6" w:space="0"/>
            </w:tcBorders>
            <w:vAlign w:val="center"/>
          </w:tcPr>
          <w:p w14:paraId="3B1B7801">
            <w:pPr>
              <w:keepNext/>
              <w:spacing w:line="440" w:lineRule="exact"/>
              <w:jc w:val="center"/>
              <w:rPr>
                <w:rFonts w:cs="宋体"/>
                <w:szCs w:val="21"/>
                <w:highlight w:val="none"/>
              </w:rPr>
            </w:pPr>
          </w:p>
        </w:tc>
        <w:tc>
          <w:tcPr>
            <w:tcW w:w="938" w:type="pct"/>
            <w:tcBorders>
              <w:top w:val="double" w:color="auto" w:sz="6" w:space="0"/>
            </w:tcBorders>
            <w:vAlign w:val="center"/>
          </w:tcPr>
          <w:p w14:paraId="6D246542">
            <w:pPr>
              <w:keepNext/>
              <w:spacing w:line="440" w:lineRule="exact"/>
              <w:jc w:val="center"/>
              <w:rPr>
                <w:rFonts w:cs="宋体"/>
                <w:szCs w:val="21"/>
                <w:highlight w:val="none"/>
              </w:rPr>
            </w:pPr>
          </w:p>
        </w:tc>
      </w:tr>
      <w:tr w14:paraId="0FA6E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FB8C87F">
            <w:pPr>
              <w:keepNext/>
              <w:spacing w:line="440" w:lineRule="exact"/>
              <w:jc w:val="center"/>
              <w:rPr>
                <w:rFonts w:cs="宋体"/>
                <w:szCs w:val="21"/>
                <w:highlight w:val="none"/>
              </w:rPr>
            </w:pPr>
          </w:p>
        </w:tc>
        <w:tc>
          <w:tcPr>
            <w:tcW w:w="1094" w:type="pct"/>
            <w:tcBorders>
              <w:top w:val="nil"/>
            </w:tcBorders>
            <w:vAlign w:val="center"/>
          </w:tcPr>
          <w:p w14:paraId="08F0662A">
            <w:pPr>
              <w:keepNext/>
              <w:spacing w:line="440" w:lineRule="exact"/>
              <w:jc w:val="center"/>
              <w:rPr>
                <w:rFonts w:cs="宋体"/>
                <w:szCs w:val="21"/>
                <w:highlight w:val="none"/>
              </w:rPr>
            </w:pPr>
          </w:p>
        </w:tc>
        <w:tc>
          <w:tcPr>
            <w:tcW w:w="468" w:type="pct"/>
            <w:tcBorders>
              <w:top w:val="nil"/>
            </w:tcBorders>
            <w:vAlign w:val="center"/>
          </w:tcPr>
          <w:p w14:paraId="6D81C193">
            <w:pPr>
              <w:keepNext/>
              <w:spacing w:line="440" w:lineRule="exact"/>
              <w:jc w:val="center"/>
              <w:rPr>
                <w:rFonts w:cs="宋体"/>
                <w:szCs w:val="21"/>
                <w:highlight w:val="none"/>
              </w:rPr>
            </w:pPr>
          </w:p>
        </w:tc>
        <w:tc>
          <w:tcPr>
            <w:tcW w:w="426" w:type="pct"/>
            <w:tcBorders>
              <w:top w:val="nil"/>
            </w:tcBorders>
            <w:vAlign w:val="center"/>
          </w:tcPr>
          <w:p w14:paraId="63E58D25">
            <w:pPr>
              <w:keepNext/>
              <w:spacing w:line="440" w:lineRule="exact"/>
              <w:jc w:val="center"/>
              <w:rPr>
                <w:rFonts w:cs="宋体"/>
                <w:szCs w:val="21"/>
                <w:highlight w:val="none"/>
              </w:rPr>
            </w:pPr>
          </w:p>
        </w:tc>
        <w:tc>
          <w:tcPr>
            <w:tcW w:w="745" w:type="pct"/>
            <w:tcBorders>
              <w:top w:val="nil"/>
            </w:tcBorders>
            <w:vAlign w:val="center"/>
          </w:tcPr>
          <w:p w14:paraId="7432088D">
            <w:pPr>
              <w:keepNext/>
              <w:spacing w:line="440" w:lineRule="exact"/>
              <w:jc w:val="center"/>
              <w:rPr>
                <w:rFonts w:cs="宋体"/>
                <w:szCs w:val="21"/>
                <w:highlight w:val="none"/>
              </w:rPr>
            </w:pPr>
          </w:p>
        </w:tc>
        <w:tc>
          <w:tcPr>
            <w:tcW w:w="781" w:type="pct"/>
            <w:tcBorders>
              <w:top w:val="nil"/>
            </w:tcBorders>
            <w:vAlign w:val="center"/>
          </w:tcPr>
          <w:p w14:paraId="3E5C58A5">
            <w:pPr>
              <w:keepNext/>
              <w:spacing w:line="440" w:lineRule="exact"/>
              <w:jc w:val="center"/>
              <w:rPr>
                <w:rFonts w:cs="宋体"/>
                <w:szCs w:val="21"/>
                <w:highlight w:val="none"/>
              </w:rPr>
            </w:pPr>
          </w:p>
        </w:tc>
        <w:tc>
          <w:tcPr>
            <w:tcW w:w="938" w:type="pct"/>
            <w:tcBorders>
              <w:top w:val="nil"/>
            </w:tcBorders>
            <w:vAlign w:val="center"/>
          </w:tcPr>
          <w:p w14:paraId="3F0BC97F">
            <w:pPr>
              <w:keepNext/>
              <w:spacing w:line="440" w:lineRule="exact"/>
              <w:jc w:val="center"/>
              <w:rPr>
                <w:rFonts w:cs="宋体"/>
                <w:szCs w:val="21"/>
                <w:highlight w:val="none"/>
              </w:rPr>
            </w:pPr>
          </w:p>
        </w:tc>
      </w:tr>
      <w:tr w14:paraId="4283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1FFE0B6">
            <w:pPr>
              <w:keepNext/>
              <w:spacing w:line="440" w:lineRule="exact"/>
              <w:jc w:val="center"/>
              <w:rPr>
                <w:rFonts w:cs="宋体"/>
                <w:szCs w:val="21"/>
                <w:highlight w:val="none"/>
              </w:rPr>
            </w:pPr>
          </w:p>
        </w:tc>
        <w:tc>
          <w:tcPr>
            <w:tcW w:w="1094" w:type="pct"/>
            <w:vAlign w:val="center"/>
          </w:tcPr>
          <w:p w14:paraId="7E6A5BFF">
            <w:pPr>
              <w:keepNext/>
              <w:spacing w:line="440" w:lineRule="exact"/>
              <w:jc w:val="center"/>
              <w:rPr>
                <w:rFonts w:cs="宋体"/>
                <w:szCs w:val="21"/>
                <w:highlight w:val="none"/>
              </w:rPr>
            </w:pPr>
          </w:p>
        </w:tc>
        <w:tc>
          <w:tcPr>
            <w:tcW w:w="468" w:type="pct"/>
            <w:vAlign w:val="center"/>
          </w:tcPr>
          <w:p w14:paraId="165585EF">
            <w:pPr>
              <w:keepNext/>
              <w:spacing w:line="440" w:lineRule="exact"/>
              <w:jc w:val="center"/>
              <w:rPr>
                <w:rFonts w:cs="宋体"/>
                <w:szCs w:val="21"/>
                <w:highlight w:val="none"/>
              </w:rPr>
            </w:pPr>
          </w:p>
        </w:tc>
        <w:tc>
          <w:tcPr>
            <w:tcW w:w="426" w:type="pct"/>
            <w:vAlign w:val="center"/>
          </w:tcPr>
          <w:p w14:paraId="59300CEE">
            <w:pPr>
              <w:keepNext/>
              <w:spacing w:line="440" w:lineRule="exact"/>
              <w:jc w:val="center"/>
              <w:rPr>
                <w:rFonts w:cs="宋体"/>
                <w:szCs w:val="21"/>
                <w:highlight w:val="none"/>
              </w:rPr>
            </w:pPr>
          </w:p>
        </w:tc>
        <w:tc>
          <w:tcPr>
            <w:tcW w:w="745" w:type="pct"/>
            <w:vAlign w:val="center"/>
          </w:tcPr>
          <w:p w14:paraId="709DDBFB">
            <w:pPr>
              <w:keepNext/>
              <w:spacing w:line="440" w:lineRule="exact"/>
              <w:jc w:val="center"/>
              <w:rPr>
                <w:rFonts w:cs="宋体"/>
                <w:szCs w:val="21"/>
                <w:highlight w:val="none"/>
              </w:rPr>
            </w:pPr>
          </w:p>
        </w:tc>
        <w:tc>
          <w:tcPr>
            <w:tcW w:w="781" w:type="pct"/>
            <w:vAlign w:val="center"/>
          </w:tcPr>
          <w:p w14:paraId="2E476168">
            <w:pPr>
              <w:keepNext/>
              <w:spacing w:line="440" w:lineRule="exact"/>
              <w:jc w:val="center"/>
              <w:rPr>
                <w:rFonts w:cs="宋体"/>
                <w:szCs w:val="21"/>
                <w:highlight w:val="none"/>
              </w:rPr>
            </w:pPr>
          </w:p>
        </w:tc>
        <w:tc>
          <w:tcPr>
            <w:tcW w:w="938" w:type="pct"/>
            <w:vAlign w:val="center"/>
          </w:tcPr>
          <w:p w14:paraId="7B73A4DF">
            <w:pPr>
              <w:keepNext/>
              <w:spacing w:line="440" w:lineRule="exact"/>
              <w:jc w:val="center"/>
              <w:rPr>
                <w:rFonts w:cs="宋体"/>
                <w:szCs w:val="21"/>
                <w:highlight w:val="none"/>
              </w:rPr>
            </w:pPr>
          </w:p>
        </w:tc>
      </w:tr>
      <w:tr w14:paraId="73553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602CEF3E">
            <w:pPr>
              <w:keepNext/>
              <w:spacing w:line="440" w:lineRule="exact"/>
              <w:jc w:val="center"/>
              <w:rPr>
                <w:rFonts w:cs="宋体"/>
                <w:szCs w:val="21"/>
                <w:highlight w:val="none"/>
              </w:rPr>
            </w:pPr>
          </w:p>
        </w:tc>
        <w:tc>
          <w:tcPr>
            <w:tcW w:w="1094" w:type="pct"/>
            <w:tcBorders>
              <w:bottom w:val="single" w:color="auto" w:sz="12" w:space="0"/>
            </w:tcBorders>
            <w:vAlign w:val="center"/>
          </w:tcPr>
          <w:p w14:paraId="2ED2981D">
            <w:pPr>
              <w:keepNext/>
              <w:spacing w:line="440" w:lineRule="exact"/>
              <w:jc w:val="center"/>
              <w:rPr>
                <w:rFonts w:cs="宋体"/>
                <w:szCs w:val="21"/>
                <w:highlight w:val="none"/>
              </w:rPr>
            </w:pPr>
          </w:p>
        </w:tc>
        <w:tc>
          <w:tcPr>
            <w:tcW w:w="468" w:type="pct"/>
            <w:tcBorders>
              <w:bottom w:val="single" w:color="auto" w:sz="12" w:space="0"/>
            </w:tcBorders>
            <w:vAlign w:val="center"/>
          </w:tcPr>
          <w:p w14:paraId="50DB4741">
            <w:pPr>
              <w:keepNext/>
              <w:spacing w:line="440" w:lineRule="exact"/>
              <w:jc w:val="center"/>
              <w:rPr>
                <w:rFonts w:cs="宋体"/>
                <w:szCs w:val="21"/>
                <w:highlight w:val="none"/>
              </w:rPr>
            </w:pPr>
          </w:p>
        </w:tc>
        <w:tc>
          <w:tcPr>
            <w:tcW w:w="426" w:type="pct"/>
            <w:tcBorders>
              <w:bottom w:val="single" w:color="auto" w:sz="12" w:space="0"/>
            </w:tcBorders>
            <w:vAlign w:val="center"/>
          </w:tcPr>
          <w:p w14:paraId="48FD4998">
            <w:pPr>
              <w:keepNext/>
              <w:spacing w:line="440" w:lineRule="exact"/>
              <w:jc w:val="center"/>
              <w:rPr>
                <w:rFonts w:cs="宋体"/>
                <w:szCs w:val="21"/>
                <w:highlight w:val="none"/>
              </w:rPr>
            </w:pPr>
          </w:p>
        </w:tc>
        <w:tc>
          <w:tcPr>
            <w:tcW w:w="745" w:type="pct"/>
            <w:tcBorders>
              <w:bottom w:val="single" w:color="auto" w:sz="12" w:space="0"/>
            </w:tcBorders>
            <w:vAlign w:val="center"/>
          </w:tcPr>
          <w:p w14:paraId="368DD495">
            <w:pPr>
              <w:keepNext/>
              <w:spacing w:line="440" w:lineRule="exact"/>
              <w:jc w:val="center"/>
              <w:rPr>
                <w:rFonts w:cs="宋体"/>
                <w:szCs w:val="21"/>
                <w:highlight w:val="none"/>
              </w:rPr>
            </w:pPr>
          </w:p>
        </w:tc>
        <w:tc>
          <w:tcPr>
            <w:tcW w:w="781" w:type="pct"/>
            <w:tcBorders>
              <w:bottom w:val="single" w:color="auto" w:sz="12" w:space="0"/>
            </w:tcBorders>
            <w:vAlign w:val="center"/>
          </w:tcPr>
          <w:p w14:paraId="768CC664">
            <w:pPr>
              <w:keepNext/>
              <w:spacing w:line="440" w:lineRule="exact"/>
              <w:jc w:val="center"/>
              <w:rPr>
                <w:rFonts w:cs="宋体"/>
                <w:szCs w:val="21"/>
                <w:highlight w:val="none"/>
              </w:rPr>
            </w:pPr>
          </w:p>
        </w:tc>
        <w:tc>
          <w:tcPr>
            <w:tcW w:w="938" w:type="pct"/>
            <w:tcBorders>
              <w:bottom w:val="single" w:color="auto" w:sz="12" w:space="0"/>
            </w:tcBorders>
            <w:vAlign w:val="center"/>
          </w:tcPr>
          <w:p w14:paraId="06E57D44">
            <w:pPr>
              <w:keepNext/>
              <w:spacing w:line="440" w:lineRule="exact"/>
              <w:jc w:val="center"/>
              <w:rPr>
                <w:rFonts w:cs="宋体"/>
                <w:szCs w:val="21"/>
                <w:highlight w:val="none"/>
              </w:rPr>
            </w:pPr>
          </w:p>
        </w:tc>
      </w:tr>
    </w:tbl>
    <w:p w14:paraId="32EFD945">
      <w:pPr>
        <w:spacing w:before="156" w:beforeLines="50" w:after="156" w:afterLines="50" w:line="440" w:lineRule="exact"/>
        <w:jc w:val="center"/>
        <w:rPr>
          <w:rFonts w:cs="宋体"/>
          <w:szCs w:val="21"/>
          <w:highlight w:val="none"/>
        </w:rPr>
      </w:pPr>
      <w:r>
        <w:rPr>
          <w:rFonts w:hint="eastAsia" w:cs="宋体"/>
          <w:szCs w:val="21"/>
          <w:highlight w:val="none"/>
        </w:rPr>
        <w:t>12-3：专业工程暂估价表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908B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10BD8C7">
            <w:pPr>
              <w:keepNext/>
              <w:spacing w:line="440" w:lineRule="exact"/>
              <w:jc w:val="center"/>
              <w:rPr>
                <w:rFonts w:cs="宋体"/>
                <w:szCs w:val="21"/>
                <w:highlight w:val="none"/>
              </w:rPr>
            </w:pPr>
            <w:r>
              <w:rPr>
                <w:rFonts w:hint="eastAsia" w:cs="宋体"/>
                <w:szCs w:val="21"/>
                <w:highlight w:val="none"/>
              </w:rPr>
              <w:t>序号</w:t>
            </w:r>
          </w:p>
        </w:tc>
        <w:tc>
          <w:tcPr>
            <w:tcW w:w="1094" w:type="pct"/>
            <w:tcBorders>
              <w:top w:val="single" w:color="auto" w:sz="12" w:space="0"/>
              <w:bottom w:val="double" w:color="auto" w:sz="6" w:space="0"/>
            </w:tcBorders>
            <w:vAlign w:val="center"/>
          </w:tcPr>
          <w:p w14:paraId="647D67C7">
            <w:pPr>
              <w:keepNext/>
              <w:spacing w:line="440" w:lineRule="exact"/>
              <w:jc w:val="center"/>
              <w:rPr>
                <w:rFonts w:cs="宋体"/>
                <w:szCs w:val="21"/>
                <w:highlight w:val="none"/>
              </w:rPr>
            </w:pPr>
            <w:r>
              <w:rPr>
                <w:rFonts w:hint="eastAsia" w:cs="宋体"/>
                <w:szCs w:val="21"/>
                <w:highlight w:val="none"/>
              </w:rPr>
              <w:t>名称</w:t>
            </w:r>
          </w:p>
        </w:tc>
        <w:tc>
          <w:tcPr>
            <w:tcW w:w="468" w:type="pct"/>
            <w:tcBorders>
              <w:top w:val="single" w:color="auto" w:sz="12" w:space="0"/>
              <w:bottom w:val="double" w:color="auto" w:sz="6" w:space="0"/>
            </w:tcBorders>
            <w:vAlign w:val="center"/>
          </w:tcPr>
          <w:p w14:paraId="1B5A8BB9">
            <w:pPr>
              <w:keepNext/>
              <w:spacing w:line="440" w:lineRule="exact"/>
              <w:jc w:val="center"/>
              <w:rPr>
                <w:rFonts w:cs="宋体"/>
                <w:szCs w:val="21"/>
                <w:highlight w:val="none"/>
              </w:rPr>
            </w:pPr>
            <w:r>
              <w:rPr>
                <w:rFonts w:hint="eastAsia" w:cs="宋体"/>
                <w:szCs w:val="21"/>
                <w:highlight w:val="none"/>
              </w:rPr>
              <w:t>单位</w:t>
            </w:r>
          </w:p>
        </w:tc>
        <w:tc>
          <w:tcPr>
            <w:tcW w:w="426" w:type="pct"/>
            <w:tcBorders>
              <w:top w:val="single" w:color="auto" w:sz="12" w:space="0"/>
              <w:bottom w:val="double" w:color="auto" w:sz="6" w:space="0"/>
            </w:tcBorders>
            <w:vAlign w:val="center"/>
          </w:tcPr>
          <w:p w14:paraId="1B8415BD">
            <w:pPr>
              <w:keepNext/>
              <w:spacing w:line="440" w:lineRule="exact"/>
              <w:jc w:val="center"/>
              <w:rPr>
                <w:rFonts w:cs="宋体"/>
                <w:szCs w:val="21"/>
                <w:highlight w:val="none"/>
              </w:rPr>
            </w:pPr>
            <w:r>
              <w:rPr>
                <w:rFonts w:hint="eastAsia" w:cs="宋体"/>
                <w:szCs w:val="21"/>
                <w:highlight w:val="none"/>
              </w:rPr>
              <w:t>数量</w:t>
            </w:r>
          </w:p>
        </w:tc>
        <w:tc>
          <w:tcPr>
            <w:tcW w:w="745" w:type="pct"/>
            <w:tcBorders>
              <w:top w:val="single" w:color="auto" w:sz="12" w:space="0"/>
              <w:bottom w:val="double" w:color="auto" w:sz="6" w:space="0"/>
            </w:tcBorders>
            <w:vAlign w:val="center"/>
          </w:tcPr>
          <w:p w14:paraId="1683BB5D">
            <w:pPr>
              <w:keepNext/>
              <w:spacing w:line="440" w:lineRule="exact"/>
              <w:jc w:val="center"/>
              <w:rPr>
                <w:rFonts w:cs="宋体"/>
                <w:szCs w:val="21"/>
                <w:highlight w:val="none"/>
              </w:rPr>
            </w:pPr>
            <w:r>
              <w:rPr>
                <w:rFonts w:hint="eastAsia" w:cs="宋体"/>
                <w:szCs w:val="21"/>
                <w:highlight w:val="none"/>
              </w:rPr>
              <w:t>单价（元）</w:t>
            </w:r>
          </w:p>
        </w:tc>
        <w:tc>
          <w:tcPr>
            <w:tcW w:w="781" w:type="pct"/>
            <w:tcBorders>
              <w:top w:val="single" w:color="auto" w:sz="12" w:space="0"/>
              <w:bottom w:val="double" w:color="auto" w:sz="6" w:space="0"/>
            </w:tcBorders>
            <w:vAlign w:val="center"/>
          </w:tcPr>
          <w:p w14:paraId="729B8B1D">
            <w:pPr>
              <w:keepNext/>
              <w:spacing w:line="440" w:lineRule="exact"/>
              <w:jc w:val="center"/>
              <w:rPr>
                <w:rFonts w:cs="宋体"/>
                <w:szCs w:val="21"/>
                <w:highlight w:val="none"/>
              </w:rPr>
            </w:pPr>
            <w:r>
              <w:rPr>
                <w:rFonts w:hint="eastAsia" w:cs="宋体"/>
                <w:szCs w:val="21"/>
                <w:highlight w:val="none"/>
              </w:rPr>
              <w:t>合价（元）</w:t>
            </w:r>
          </w:p>
        </w:tc>
        <w:tc>
          <w:tcPr>
            <w:tcW w:w="938" w:type="pct"/>
            <w:tcBorders>
              <w:top w:val="single" w:color="auto" w:sz="12" w:space="0"/>
              <w:bottom w:val="double" w:color="auto" w:sz="6" w:space="0"/>
            </w:tcBorders>
            <w:vAlign w:val="center"/>
          </w:tcPr>
          <w:p w14:paraId="5EEFF74F">
            <w:pPr>
              <w:keepNext/>
              <w:spacing w:line="440" w:lineRule="exact"/>
              <w:jc w:val="center"/>
              <w:rPr>
                <w:rFonts w:cs="宋体"/>
                <w:szCs w:val="21"/>
                <w:highlight w:val="none"/>
              </w:rPr>
            </w:pPr>
            <w:r>
              <w:rPr>
                <w:rFonts w:hint="eastAsia" w:cs="宋体"/>
                <w:szCs w:val="21"/>
                <w:highlight w:val="none"/>
              </w:rPr>
              <w:t>备注</w:t>
            </w:r>
          </w:p>
        </w:tc>
      </w:tr>
      <w:tr w14:paraId="5C52F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14EEF10">
            <w:pPr>
              <w:keepNext/>
              <w:spacing w:line="440" w:lineRule="exact"/>
              <w:jc w:val="center"/>
              <w:rPr>
                <w:rFonts w:cs="宋体"/>
                <w:szCs w:val="21"/>
                <w:highlight w:val="none"/>
              </w:rPr>
            </w:pPr>
          </w:p>
        </w:tc>
        <w:tc>
          <w:tcPr>
            <w:tcW w:w="1094" w:type="pct"/>
            <w:tcBorders>
              <w:top w:val="double" w:color="auto" w:sz="6" w:space="0"/>
            </w:tcBorders>
            <w:vAlign w:val="center"/>
          </w:tcPr>
          <w:p w14:paraId="170D0559">
            <w:pPr>
              <w:keepNext/>
              <w:spacing w:line="440" w:lineRule="exact"/>
              <w:jc w:val="center"/>
              <w:rPr>
                <w:rFonts w:cs="宋体"/>
                <w:szCs w:val="21"/>
                <w:highlight w:val="none"/>
              </w:rPr>
            </w:pPr>
          </w:p>
        </w:tc>
        <w:tc>
          <w:tcPr>
            <w:tcW w:w="468" w:type="pct"/>
            <w:tcBorders>
              <w:top w:val="double" w:color="auto" w:sz="6" w:space="0"/>
            </w:tcBorders>
            <w:vAlign w:val="center"/>
          </w:tcPr>
          <w:p w14:paraId="558939B6">
            <w:pPr>
              <w:keepNext/>
              <w:spacing w:line="440" w:lineRule="exact"/>
              <w:jc w:val="center"/>
              <w:rPr>
                <w:rFonts w:cs="宋体"/>
                <w:szCs w:val="21"/>
                <w:highlight w:val="none"/>
              </w:rPr>
            </w:pPr>
          </w:p>
        </w:tc>
        <w:tc>
          <w:tcPr>
            <w:tcW w:w="426" w:type="pct"/>
            <w:tcBorders>
              <w:top w:val="double" w:color="auto" w:sz="6" w:space="0"/>
            </w:tcBorders>
            <w:vAlign w:val="center"/>
          </w:tcPr>
          <w:p w14:paraId="0BB7FFA1">
            <w:pPr>
              <w:keepNext/>
              <w:spacing w:line="440" w:lineRule="exact"/>
              <w:jc w:val="center"/>
              <w:rPr>
                <w:rFonts w:cs="宋体"/>
                <w:szCs w:val="21"/>
                <w:highlight w:val="none"/>
              </w:rPr>
            </w:pPr>
          </w:p>
        </w:tc>
        <w:tc>
          <w:tcPr>
            <w:tcW w:w="745" w:type="pct"/>
            <w:tcBorders>
              <w:top w:val="double" w:color="auto" w:sz="6" w:space="0"/>
            </w:tcBorders>
            <w:vAlign w:val="center"/>
          </w:tcPr>
          <w:p w14:paraId="7978A48D">
            <w:pPr>
              <w:keepNext/>
              <w:spacing w:line="440" w:lineRule="exact"/>
              <w:jc w:val="center"/>
              <w:rPr>
                <w:rFonts w:cs="宋体"/>
                <w:szCs w:val="21"/>
                <w:highlight w:val="none"/>
              </w:rPr>
            </w:pPr>
          </w:p>
        </w:tc>
        <w:tc>
          <w:tcPr>
            <w:tcW w:w="781" w:type="pct"/>
            <w:tcBorders>
              <w:top w:val="double" w:color="auto" w:sz="6" w:space="0"/>
            </w:tcBorders>
            <w:vAlign w:val="center"/>
          </w:tcPr>
          <w:p w14:paraId="1D46E1A2">
            <w:pPr>
              <w:keepNext/>
              <w:spacing w:line="440" w:lineRule="exact"/>
              <w:jc w:val="center"/>
              <w:rPr>
                <w:rFonts w:cs="宋体"/>
                <w:szCs w:val="21"/>
                <w:highlight w:val="none"/>
              </w:rPr>
            </w:pPr>
          </w:p>
        </w:tc>
        <w:tc>
          <w:tcPr>
            <w:tcW w:w="938" w:type="pct"/>
            <w:tcBorders>
              <w:top w:val="double" w:color="auto" w:sz="6" w:space="0"/>
            </w:tcBorders>
            <w:vAlign w:val="center"/>
          </w:tcPr>
          <w:p w14:paraId="0763678B">
            <w:pPr>
              <w:keepNext/>
              <w:spacing w:line="440" w:lineRule="exact"/>
              <w:jc w:val="center"/>
              <w:rPr>
                <w:rFonts w:cs="宋体"/>
                <w:szCs w:val="21"/>
                <w:highlight w:val="none"/>
              </w:rPr>
            </w:pPr>
          </w:p>
        </w:tc>
      </w:tr>
      <w:tr w14:paraId="52A77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3DB46488">
            <w:pPr>
              <w:keepNext/>
              <w:spacing w:line="440" w:lineRule="exact"/>
              <w:jc w:val="center"/>
              <w:rPr>
                <w:rFonts w:cs="宋体"/>
                <w:szCs w:val="21"/>
                <w:highlight w:val="none"/>
              </w:rPr>
            </w:pPr>
          </w:p>
        </w:tc>
        <w:tc>
          <w:tcPr>
            <w:tcW w:w="1094" w:type="pct"/>
            <w:tcBorders>
              <w:top w:val="nil"/>
            </w:tcBorders>
            <w:vAlign w:val="center"/>
          </w:tcPr>
          <w:p w14:paraId="2B9B9BB6">
            <w:pPr>
              <w:keepNext/>
              <w:spacing w:line="440" w:lineRule="exact"/>
              <w:jc w:val="center"/>
              <w:rPr>
                <w:rFonts w:cs="宋体"/>
                <w:szCs w:val="21"/>
                <w:highlight w:val="none"/>
              </w:rPr>
            </w:pPr>
          </w:p>
        </w:tc>
        <w:tc>
          <w:tcPr>
            <w:tcW w:w="468" w:type="pct"/>
            <w:tcBorders>
              <w:top w:val="nil"/>
            </w:tcBorders>
            <w:vAlign w:val="center"/>
          </w:tcPr>
          <w:p w14:paraId="0E6A1F32">
            <w:pPr>
              <w:keepNext/>
              <w:spacing w:line="440" w:lineRule="exact"/>
              <w:jc w:val="center"/>
              <w:rPr>
                <w:rFonts w:cs="宋体"/>
                <w:szCs w:val="21"/>
                <w:highlight w:val="none"/>
              </w:rPr>
            </w:pPr>
          </w:p>
        </w:tc>
        <w:tc>
          <w:tcPr>
            <w:tcW w:w="426" w:type="pct"/>
            <w:tcBorders>
              <w:top w:val="nil"/>
            </w:tcBorders>
            <w:vAlign w:val="center"/>
          </w:tcPr>
          <w:p w14:paraId="2573CB54">
            <w:pPr>
              <w:keepNext/>
              <w:spacing w:line="440" w:lineRule="exact"/>
              <w:jc w:val="center"/>
              <w:rPr>
                <w:rFonts w:cs="宋体"/>
                <w:szCs w:val="21"/>
                <w:highlight w:val="none"/>
              </w:rPr>
            </w:pPr>
          </w:p>
        </w:tc>
        <w:tc>
          <w:tcPr>
            <w:tcW w:w="745" w:type="pct"/>
            <w:tcBorders>
              <w:top w:val="nil"/>
            </w:tcBorders>
            <w:vAlign w:val="center"/>
          </w:tcPr>
          <w:p w14:paraId="3D6FD908">
            <w:pPr>
              <w:keepNext/>
              <w:spacing w:line="440" w:lineRule="exact"/>
              <w:jc w:val="center"/>
              <w:rPr>
                <w:rFonts w:cs="宋体"/>
                <w:szCs w:val="21"/>
                <w:highlight w:val="none"/>
              </w:rPr>
            </w:pPr>
          </w:p>
        </w:tc>
        <w:tc>
          <w:tcPr>
            <w:tcW w:w="781" w:type="pct"/>
            <w:tcBorders>
              <w:top w:val="nil"/>
            </w:tcBorders>
            <w:vAlign w:val="center"/>
          </w:tcPr>
          <w:p w14:paraId="7055C483">
            <w:pPr>
              <w:keepNext/>
              <w:spacing w:line="440" w:lineRule="exact"/>
              <w:jc w:val="center"/>
              <w:rPr>
                <w:rFonts w:cs="宋体"/>
                <w:szCs w:val="21"/>
                <w:highlight w:val="none"/>
              </w:rPr>
            </w:pPr>
          </w:p>
        </w:tc>
        <w:tc>
          <w:tcPr>
            <w:tcW w:w="938" w:type="pct"/>
            <w:tcBorders>
              <w:top w:val="nil"/>
            </w:tcBorders>
            <w:vAlign w:val="center"/>
          </w:tcPr>
          <w:p w14:paraId="37BBA2D2">
            <w:pPr>
              <w:keepNext/>
              <w:spacing w:line="440" w:lineRule="exact"/>
              <w:jc w:val="center"/>
              <w:rPr>
                <w:rFonts w:cs="宋体"/>
                <w:szCs w:val="21"/>
                <w:highlight w:val="none"/>
              </w:rPr>
            </w:pPr>
          </w:p>
        </w:tc>
      </w:tr>
      <w:tr w14:paraId="7C258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0256222">
            <w:pPr>
              <w:keepNext/>
              <w:spacing w:line="440" w:lineRule="exact"/>
              <w:jc w:val="center"/>
              <w:rPr>
                <w:rFonts w:cs="宋体"/>
                <w:szCs w:val="21"/>
                <w:highlight w:val="none"/>
              </w:rPr>
            </w:pPr>
          </w:p>
        </w:tc>
        <w:tc>
          <w:tcPr>
            <w:tcW w:w="1094" w:type="pct"/>
            <w:vAlign w:val="center"/>
          </w:tcPr>
          <w:p w14:paraId="7BE406C3">
            <w:pPr>
              <w:keepNext/>
              <w:spacing w:line="440" w:lineRule="exact"/>
              <w:jc w:val="center"/>
              <w:rPr>
                <w:rFonts w:cs="宋体"/>
                <w:szCs w:val="21"/>
                <w:highlight w:val="none"/>
              </w:rPr>
            </w:pPr>
          </w:p>
        </w:tc>
        <w:tc>
          <w:tcPr>
            <w:tcW w:w="468" w:type="pct"/>
            <w:vAlign w:val="center"/>
          </w:tcPr>
          <w:p w14:paraId="29E5A953">
            <w:pPr>
              <w:keepNext/>
              <w:spacing w:line="440" w:lineRule="exact"/>
              <w:jc w:val="center"/>
              <w:rPr>
                <w:rFonts w:cs="宋体"/>
                <w:szCs w:val="21"/>
                <w:highlight w:val="none"/>
              </w:rPr>
            </w:pPr>
          </w:p>
        </w:tc>
        <w:tc>
          <w:tcPr>
            <w:tcW w:w="426" w:type="pct"/>
            <w:vAlign w:val="center"/>
          </w:tcPr>
          <w:p w14:paraId="4D225616">
            <w:pPr>
              <w:keepNext/>
              <w:spacing w:line="440" w:lineRule="exact"/>
              <w:jc w:val="center"/>
              <w:rPr>
                <w:rFonts w:cs="宋体"/>
                <w:szCs w:val="21"/>
                <w:highlight w:val="none"/>
              </w:rPr>
            </w:pPr>
          </w:p>
        </w:tc>
        <w:tc>
          <w:tcPr>
            <w:tcW w:w="745" w:type="pct"/>
            <w:vAlign w:val="center"/>
          </w:tcPr>
          <w:p w14:paraId="08E866E1">
            <w:pPr>
              <w:keepNext/>
              <w:spacing w:line="440" w:lineRule="exact"/>
              <w:jc w:val="center"/>
              <w:rPr>
                <w:rFonts w:cs="宋体"/>
                <w:szCs w:val="21"/>
                <w:highlight w:val="none"/>
              </w:rPr>
            </w:pPr>
          </w:p>
        </w:tc>
        <w:tc>
          <w:tcPr>
            <w:tcW w:w="781" w:type="pct"/>
            <w:vAlign w:val="center"/>
          </w:tcPr>
          <w:p w14:paraId="35712CD6">
            <w:pPr>
              <w:keepNext/>
              <w:spacing w:line="440" w:lineRule="exact"/>
              <w:jc w:val="center"/>
              <w:rPr>
                <w:rFonts w:cs="宋体"/>
                <w:szCs w:val="21"/>
                <w:highlight w:val="none"/>
              </w:rPr>
            </w:pPr>
          </w:p>
        </w:tc>
        <w:tc>
          <w:tcPr>
            <w:tcW w:w="938" w:type="pct"/>
            <w:vAlign w:val="center"/>
          </w:tcPr>
          <w:p w14:paraId="6AC3A514">
            <w:pPr>
              <w:keepNext/>
              <w:spacing w:line="440" w:lineRule="exact"/>
              <w:jc w:val="center"/>
              <w:rPr>
                <w:rFonts w:cs="宋体"/>
                <w:szCs w:val="21"/>
                <w:highlight w:val="none"/>
              </w:rPr>
            </w:pPr>
          </w:p>
        </w:tc>
      </w:tr>
      <w:tr w14:paraId="250A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C974F99">
            <w:pPr>
              <w:keepNext/>
              <w:spacing w:line="440" w:lineRule="exact"/>
              <w:jc w:val="center"/>
              <w:rPr>
                <w:rFonts w:cs="宋体"/>
                <w:szCs w:val="21"/>
                <w:highlight w:val="none"/>
              </w:rPr>
            </w:pPr>
          </w:p>
        </w:tc>
        <w:tc>
          <w:tcPr>
            <w:tcW w:w="1094" w:type="pct"/>
            <w:tcBorders>
              <w:bottom w:val="single" w:color="auto" w:sz="12" w:space="0"/>
            </w:tcBorders>
            <w:vAlign w:val="center"/>
          </w:tcPr>
          <w:p w14:paraId="7D85F55A">
            <w:pPr>
              <w:keepNext/>
              <w:spacing w:line="440" w:lineRule="exact"/>
              <w:jc w:val="center"/>
              <w:rPr>
                <w:rFonts w:cs="宋体"/>
                <w:szCs w:val="21"/>
                <w:highlight w:val="none"/>
              </w:rPr>
            </w:pPr>
          </w:p>
        </w:tc>
        <w:tc>
          <w:tcPr>
            <w:tcW w:w="468" w:type="pct"/>
            <w:tcBorders>
              <w:bottom w:val="single" w:color="auto" w:sz="12" w:space="0"/>
            </w:tcBorders>
            <w:vAlign w:val="center"/>
          </w:tcPr>
          <w:p w14:paraId="0998DE85">
            <w:pPr>
              <w:keepNext/>
              <w:spacing w:line="440" w:lineRule="exact"/>
              <w:jc w:val="center"/>
              <w:rPr>
                <w:rFonts w:cs="宋体"/>
                <w:szCs w:val="21"/>
                <w:highlight w:val="none"/>
              </w:rPr>
            </w:pPr>
          </w:p>
        </w:tc>
        <w:tc>
          <w:tcPr>
            <w:tcW w:w="426" w:type="pct"/>
            <w:tcBorders>
              <w:bottom w:val="single" w:color="auto" w:sz="12" w:space="0"/>
            </w:tcBorders>
            <w:vAlign w:val="center"/>
          </w:tcPr>
          <w:p w14:paraId="21D77E3F">
            <w:pPr>
              <w:keepNext/>
              <w:spacing w:line="440" w:lineRule="exact"/>
              <w:jc w:val="center"/>
              <w:rPr>
                <w:rFonts w:cs="宋体"/>
                <w:szCs w:val="21"/>
                <w:highlight w:val="none"/>
              </w:rPr>
            </w:pPr>
          </w:p>
        </w:tc>
        <w:tc>
          <w:tcPr>
            <w:tcW w:w="745" w:type="pct"/>
            <w:tcBorders>
              <w:bottom w:val="single" w:color="auto" w:sz="12" w:space="0"/>
            </w:tcBorders>
            <w:vAlign w:val="center"/>
          </w:tcPr>
          <w:p w14:paraId="488821E1">
            <w:pPr>
              <w:keepNext/>
              <w:spacing w:line="440" w:lineRule="exact"/>
              <w:jc w:val="center"/>
              <w:rPr>
                <w:rFonts w:cs="宋体"/>
                <w:szCs w:val="21"/>
                <w:highlight w:val="none"/>
              </w:rPr>
            </w:pPr>
          </w:p>
        </w:tc>
        <w:tc>
          <w:tcPr>
            <w:tcW w:w="781" w:type="pct"/>
            <w:tcBorders>
              <w:bottom w:val="single" w:color="auto" w:sz="12" w:space="0"/>
            </w:tcBorders>
            <w:vAlign w:val="center"/>
          </w:tcPr>
          <w:p w14:paraId="78BEF8AF">
            <w:pPr>
              <w:keepNext/>
              <w:spacing w:line="440" w:lineRule="exact"/>
              <w:jc w:val="center"/>
              <w:rPr>
                <w:rFonts w:cs="宋体"/>
                <w:szCs w:val="21"/>
                <w:highlight w:val="none"/>
              </w:rPr>
            </w:pPr>
          </w:p>
        </w:tc>
        <w:tc>
          <w:tcPr>
            <w:tcW w:w="938" w:type="pct"/>
            <w:tcBorders>
              <w:bottom w:val="single" w:color="auto" w:sz="12" w:space="0"/>
            </w:tcBorders>
            <w:vAlign w:val="center"/>
          </w:tcPr>
          <w:p w14:paraId="7B206641">
            <w:pPr>
              <w:keepNext/>
              <w:spacing w:line="440" w:lineRule="exact"/>
              <w:jc w:val="center"/>
              <w:rPr>
                <w:rFonts w:cs="宋体"/>
                <w:szCs w:val="21"/>
                <w:highlight w:val="none"/>
              </w:rPr>
            </w:pPr>
          </w:p>
        </w:tc>
      </w:tr>
    </w:tbl>
    <w:p w14:paraId="3F5A83D2">
      <w:pPr>
        <w:rPr>
          <w:rFonts w:cs="宋体"/>
          <w:szCs w:val="21"/>
          <w:highlight w:val="none"/>
        </w:rPr>
      </w:pPr>
    </w:p>
    <w:p w14:paraId="26083787">
      <w:pPr>
        <w:spacing w:before="312" w:beforeLines="100" w:after="312" w:afterLines="100"/>
        <w:outlineLvl w:val="2"/>
        <w:rPr>
          <w:rFonts w:ascii="Times New Roman" w:eastAsia="黑体"/>
          <w:highlight w:val="none"/>
        </w:rPr>
      </w:pPr>
      <w:r>
        <w:rPr>
          <w:rFonts w:hint="eastAsia" w:cs="宋体"/>
          <w:bCs/>
          <w:highlight w:val="none"/>
        </w:rPr>
        <w:br w:type="page"/>
      </w:r>
      <w:bookmarkStart w:id="684" w:name="_Toc128950248"/>
      <w:r>
        <w:rPr>
          <w:rFonts w:hint="eastAsia" w:ascii="Times New Roman" w:eastAsia="黑体"/>
          <w:highlight w:val="none"/>
        </w:rPr>
        <w:t>附件13：安全生产合同</w:t>
      </w:r>
      <w:bookmarkEnd w:id="684"/>
    </w:p>
    <w:p w14:paraId="5BBBC90A">
      <w:pPr>
        <w:spacing w:before="156" w:beforeLines="50" w:after="156" w:afterLines="50" w:line="360" w:lineRule="auto"/>
        <w:jc w:val="center"/>
        <w:rPr>
          <w:rFonts w:cs="宋体"/>
          <w:b/>
          <w:sz w:val="32"/>
          <w:szCs w:val="32"/>
          <w:highlight w:val="none"/>
        </w:rPr>
      </w:pPr>
      <w:bookmarkStart w:id="685" w:name="_Toc11475"/>
      <w:bookmarkStart w:id="686" w:name="_Toc23792"/>
      <w:r>
        <w:rPr>
          <w:rFonts w:hint="eastAsia" w:cs="宋体"/>
          <w:b/>
          <w:sz w:val="32"/>
          <w:szCs w:val="32"/>
          <w:highlight w:val="none"/>
        </w:rPr>
        <w:t>安全生产合同</w:t>
      </w:r>
      <w:bookmarkEnd w:id="685"/>
      <w:bookmarkEnd w:id="686"/>
    </w:p>
    <w:p w14:paraId="51E817EB">
      <w:pPr>
        <w:spacing w:line="360" w:lineRule="auto"/>
        <w:ind w:firstLine="420" w:firstLineChars="200"/>
        <w:rPr>
          <w:rFonts w:cs="宋体"/>
          <w:szCs w:val="21"/>
          <w:highlight w:val="none"/>
        </w:rPr>
      </w:pPr>
      <w:r>
        <w:rPr>
          <w:rFonts w:hint="eastAsia" w:cs="宋体"/>
          <w:szCs w:val="21"/>
          <w:highlight w:val="none"/>
        </w:rPr>
        <w:t>为在</w:t>
      </w:r>
      <w:r>
        <w:rPr>
          <w:rFonts w:hint="eastAsia" w:cs="宋体"/>
          <w:szCs w:val="21"/>
          <w:highlight w:val="none"/>
          <w:u w:val="single"/>
        </w:rPr>
        <w:t xml:space="preserve">            </w:t>
      </w:r>
      <w:r>
        <w:rPr>
          <w:rFonts w:hint="eastAsia" w:cs="宋体"/>
          <w:szCs w:val="21"/>
          <w:highlight w:val="none"/>
        </w:rPr>
        <w:t>（项目名称）施工合同的实施过程中创造安全、高效的施工环境，切实搞好本项目的安全管理工作，本项目发包人</w:t>
      </w:r>
      <w:r>
        <w:rPr>
          <w:rFonts w:hint="eastAsia" w:cs="宋体"/>
          <w:szCs w:val="21"/>
          <w:highlight w:val="none"/>
          <w:u w:val="single"/>
        </w:rPr>
        <w:t xml:space="preserve">       </w:t>
      </w:r>
      <w:r>
        <w:rPr>
          <w:rFonts w:hint="eastAsia" w:cs="宋体"/>
          <w:szCs w:val="21"/>
          <w:highlight w:val="none"/>
        </w:rPr>
        <w:t>（发包人名称，以下简称“发包人”）与承包人</w:t>
      </w:r>
      <w:r>
        <w:rPr>
          <w:rFonts w:hint="eastAsia" w:cs="宋体"/>
          <w:szCs w:val="21"/>
          <w:highlight w:val="none"/>
          <w:u w:val="single"/>
        </w:rPr>
        <w:t xml:space="preserve">         </w:t>
      </w:r>
      <w:r>
        <w:rPr>
          <w:rFonts w:hint="eastAsia" w:cs="宋体"/>
          <w:szCs w:val="21"/>
          <w:highlight w:val="none"/>
        </w:rPr>
        <w:t>（承包人名称，以下简称“承包人”）特此签订安全生产合同：</w:t>
      </w:r>
    </w:p>
    <w:p w14:paraId="358D5D5C">
      <w:pPr>
        <w:spacing w:line="360" w:lineRule="auto"/>
        <w:ind w:firstLine="420" w:firstLineChars="200"/>
        <w:rPr>
          <w:rFonts w:cs="宋体"/>
          <w:szCs w:val="21"/>
          <w:highlight w:val="none"/>
        </w:rPr>
      </w:pPr>
      <w:r>
        <w:rPr>
          <w:rFonts w:hint="eastAsia" w:cs="宋体"/>
          <w:szCs w:val="21"/>
          <w:highlight w:val="none"/>
        </w:rPr>
        <w:t>1.发包人职责</w:t>
      </w:r>
    </w:p>
    <w:p w14:paraId="395EDB19">
      <w:pPr>
        <w:spacing w:line="360" w:lineRule="auto"/>
        <w:ind w:firstLine="420" w:firstLineChars="200"/>
        <w:rPr>
          <w:rFonts w:cs="宋体"/>
          <w:szCs w:val="21"/>
          <w:highlight w:val="none"/>
        </w:rPr>
      </w:pPr>
      <w:r>
        <w:rPr>
          <w:rFonts w:hint="eastAsia" w:cs="宋体"/>
          <w:szCs w:val="21"/>
          <w:highlight w:val="none"/>
        </w:rPr>
        <w:t>（1）严格遵守国家有关安全生产的法律法规，认真执行工程承包合同中的有关安全要求。</w:t>
      </w:r>
    </w:p>
    <w:p w14:paraId="01F6BFAF">
      <w:pPr>
        <w:spacing w:line="360" w:lineRule="auto"/>
        <w:ind w:firstLine="420" w:firstLineChars="200"/>
        <w:rPr>
          <w:rFonts w:cs="宋体"/>
          <w:szCs w:val="21"/>
          <w:highlight w:val="none"/>
        </w:rPr>
      </w:pPr>
      <w:r>
        <w:rPr>
          <w:rFonts w:hint="eastAsia" w:cs="宋体"/>
          <w:szCs w:val="21"/>
          <w:highlight w:val="none"/>
        </w:rPr>
        <w:t>（2）按照“安全第一、预防为主”和坚持“管生产必须管安全”的原则进行安全生产管理，做到生产与安全工作同时计划、布置、检查、总结和评比。</w:t>
      </w:r>
    </w:p>
    <w:p w14:paraId="1AC6C3FF">
      <w:pPr>
        <w:spacing w:line="360" w:lineRule="auto"/>
        <w:ind w:firstLine="420" w:firstLineChars="200"/>
        <w:rPr>
          <w:rFonts w:cs="宋体"/>
          <w:szCs w:val="21"/>
          <w:highlight w:val="none"/>
        </w:rPr>
      </w:pPr>
      <w:r>
        <w:rPr>
          <w:rFonts w:hint="eastAsia" w:cs="宋体"/>
          <w:szCs w:val="21"/>
          <w:highlight w:val="none"/>
        </w:rPr>
        <w:t>（3）重要的安全设施必须坚持与主体工程“三同时”的原则，即：同时设计、审批，同时施工，同时验收，投入使用。</w:t>
      </w:r>
    </w:p>
    <w:p w14:paraId="73759121">
      <w:pPr>
        <w:spacing w:line="360" w:lineRule="auto"/>
        <w:ind w:firstLine="420" w:firstLineChars="200"/>
        <w:rPr>
          <w:rFonts w:cs="宋体"/>
          <w:szCs w:val="21"/>
          <w:highlight w:val="none"/>
        </w:rPr>
      </w:pPr>
      <w:r>
        <w:rPr>
          <w:rFonts w:hint="eastAsia" w:cs="宋体"/>
          <w:szCs w:val="21"/>
          <w:highlight w:val="none"/>
        </w:rPr>
        <w:t>（4）定期召开安全生产调度会，及时传达中央及地方有关安全生产的精神。</w:t>
      </w:r>
    </w:p>
    <w:p w14:paraId="2800DD99">
      <w:pPr>
        <w:spacing w:line="360" w:lineRule="auto"/>
        <w:ind w:firstLine="420" w:firstLineChars="200"/>
        <w:rPr>
          <w:rFonts w:cs="宋体"/>
          <w:szCs w:val="21"/>
          <w:highlight w:val="none"/>
        </w:rPr>
      </w:pPr>
      <w:r>
        <w:rPr>
          <w:rFonts w:hint="eastAsia" w:cs="宋体"/>
          <w:szCs w:val="21"/>
          <w:highlight w:val="none"/>
        </w:rPr>
        <w:t>（5）组织对承包人施工现场安全生产检查，监督承包人及时处理发现的各种安全隐患。</w:t>
      </w:r>
    </w:p>
    <w:p w14:paraId="5C86D918">
      <w:pPr>
        <w:spacing w:line="360" w:lineRule="auto"/>
        <w:ind w:firstLine="420" w:firstLineChars="200"/>
        <w:rPr>
          <w:rFonts w:cs="宋体"/>
          <w:szCs w:val="21"/>
          <w:highlight w:val="none"/>
        </w:rPr>
      </w:pPr>
      <w:r>
        <w:rPr>
          <w:rFonts w:hint="eastAsia" w:cs="宋体"/>
          <w:szCs w:val="21"/>
          <w:highlight w:val="none"/>
        </w:rPr>
        <w:t>2.承包人职责</w:t>
      </w:r>
    </w:p>
    <w:p w14:paraId="5706EAE2">
      <w:pPr>
        <w:spacing w:line="360" w:lineRule="auto"/>
        <w:ind w:firstLine="420" w:firstLineChars="200"/>
        <w:rPr>
          <w:rFonts w:cs="宋体"/>
          <w:szCs w:val="21"/>
          <w:highlight w:val="none"/>
        </w:rPr>
      </w:pPr>
      <w:r>
        <w:rPr>
          <w:rFonts w:hint="eastAsia" w:cs="宋体"/>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E5D88A1">
      <w:pPr>
        <w:spacing w:line="360" w:lineRule="auto"/>
        <w:ind w:firstLine="420" w:firstLineChars="200"/>
        <w:rPr>
          <w:rFonts w:cs="宋体"/>
          <w:szCs w:val="21"/>
          <w:highlight w:val="none"/>
        </w:rPr>
      </w:pPr>
      <w:r>
        <w:rPr>
          <w:rFonts w:hint="eastAsia" w:cs="宋体"/>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24FC660">
      <w:pPr>
        <w:spacing w:line="360" w:lineRule="auto"/>
        <w:ind w:firstLine="420" w:firstLineChars="200"/>
        <w:rPr>
          <w:rFonts w:cs="宋体"/>
          <w:szCs w:val="21"/>
          <w:highlight w:val="none"/>
        </w:rPr>
      </w:pPr>
      <w:r>
        <w:rPr>
          <w:rFonts w:hint="eastAsia" w:cs="宋体"/>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B8B8DFB">
      <w:pPr>
        <w:spacing w:line="360" w:lineRule="auto"/>
        <w:ind w:firstLine="420" w:firstLineChars="200"/>
        <w:rPr>
          <w:rFonts w:cs="宋体"/>
          <w:szCs w:val="21"/>
          <w:highlight w:val="none"/>
        </w:rPr>
      </w:pPr>
      <w:r>
        <w:rPr>
          <w:rFonts w:hint="eastAsia" w:cs="宋体"/>
          <w:szCs w:val="21"/>
          <w:highlight w:val="none"/>
        </w:rPr>
        <w:t>（4）承包人在任何时候都应采取各种合理的预防措施，防止其员工发生任何违法、违禁、暴力或妨碍治安的行为。</w:t>
      </w:r>
    </w:p>
    <w:p w14:paraId="0367C052">
      <w:pPr>
        <w:spacing w:line="360" w:lineRule="auto"/>
        <w:ind w:firstLine="420" w:firstLineChars="200"/>
        <w:rPr>
          <w:rFonts w:cs="宋体"/>
          <w:szCs w:val="21"/>
          <w:highlight w:val="none"/>
        </w:rPr>
      </w:pPr>
      <w:r>
        <w:rPr>
          <w:rFonts w:hint="eastAsia" w:cs="宋体"/>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CABCBF1">
      <w:pPr>
        <w:spacing w:line="360" w:lineRule="auto"/>
        <w:ind w:firstLine="420" w:firstLineChars="200"/>
        <w:rPr>
          <w:rFonts w:cs="宋体"/>
          <w:szCs w:val="21"/>
          <w:highlight w:val="none"/>
        </w:rPr>
      </w:pPr>
      <w:r>
        <w:rPr>
          <w:rFonts w:hint="eastAsia" w:cs="宋体"/>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CD78554">
      <w:pPr>
        <w:spacing w:line="360" w:lineRule="auto"/>
        <w:ind w:firstLine="420" w:firstLineChars="200"/>
        <w:rPr>
          <w:rFonts w:cs="宋体"/>
          <w:szCs w:val="21"/>
          <w:highlight w:val="none"/>
        </w:rPr>
      </w:pPr>
      <w:r>
        <w:rPr>
          <w:rFonts w:hint="eastAsia" w:cs="宋体"/>
          <w:szCs w:val="21"/>
          <w:highlight w:val="none"/>
        </w:rPr>
        <w:t>（7）操作人员上岗，必须按规定穿戴防护用品。施工负责人和安全检查员应随时检查劳动防护用品的穿戴情况，不按规定穿戴防护用品的人员不得上岗。</w:t>
      </w:r>
    </w:p>
    <w:p w14:paraId="454559F7">
      <w:pPr>
        <w:spacing w:line="360" w:lineRule="auto"/>
        <w:ind w:firstLine="420" w:firstLineChars="200"/>
        <w:rPr>
          <w:rFonts w:cs="宋体"/>
          <w:szCs w:val="21"/>
          <w:highlight w:val="none"/>
        </w:rPr>
      </w:pPr>
      <w:r>
        <w:rPr>
          <w:rFonts w:hint="eastAsia" w:cs="宋体"/>
          <w:szCs w:val="21"/>
          <w:highlight w:val="none"/>
        </w:rPr>
        <w:t>（8）所有施工机具设备和高空作业的设备均应定期检查，并有安全员的签字记录，保证其经常处于完好状态；不合格的机具、设备和劳动保护用品严禁使用：</w:t>
      </w:r>
    </w:p>
    <w:p w14:paraId="0BE81FDE">
      <w:pPr>
        <w:spacing w:line="360" w:lineRule="auto"/>
        <w:ind w:firstLine="420" w:firstLineChars="200"/>
        <w:rPr>
          <w:rFonts w:cs="宋体"/>
          <w:szCs w:val="21"/>
          <w:highlight w:val="none"/>
        </w:rPr>
      </w:pPr>
      <w:r>
        <w:rPr>
          <w:rFonts w:hint="eastAsia" w:cs="宋体"/>
          <w:szCs w:val="21"/>
          <w:highlight w:val="none"/>
        </w:rPr>
        <w:t>（9）施工中采用新技术、新工艺、新设备、新材料时，必须制定相应的安全技术措施，施工现场必须具有相关的安全标志牌。</w:t>
      </w:r>
    </w:p>
    <w:p w14:paraId="714F2AE9">
      <w:pPr>
        <w:spacing w:line="360" w:lineRule="auto"/>
        <w:ind w:firstLine="420" w:firstLineChars="200"/>
        <w:rPr>
          <w:rFonts w:cs="宋体"/>
          <w:szCs w:val="21"/>
          <w:highlight w:val="none"/>
        </w:rPr>
      </w:pPr>
      <w:r>
        <w:rPr>
          <w:rFonts w:hint="eastAsia" w:cs="宋体"/>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5260337">
      <w:pPr>
        <w:spacing w:line="360" w:lineRule="auto"/>
        <w:ind w:firstLine="420" w:firstLineChars="200"/>
        <w:rPr>
          <w:rFonts w:cs="宋体"/>
          <w:szCs w:val="21"/>
          <w:highlight w:val="none"/>
        </w:rPr>
      </w:pPr>
      <w:r>
        <w:rPr>
          <w:rFonts w:hint="eastAsia" w:cs="宋体"/>
          <w:szCs w:val="21"/>
          <w:highlight w:val="none"/>
        </w:rPr>
        <w:t>（11）安全生产费用按照《建设工程安全生产管理条例》的相关规定使用和管理。</w:t>
      </w:r>
    </w:p>
    <w:p w14:paraId="02F4D368">
      <w:pPr>
        <w:spacing w:line="360" w:lineRule="auto"/>
        <w:ind w:firstLine="420" w:firstLineChars="200"/>
        <w:rPr>
          <w:rFonts w:cs="宋体"/>
          <w:szCs w:val="21"/>
          <w:highlight w:val="none"/>
        </w:rPr>
      </w:pPr>
      <w:r>
        <w:rPr>
          <w:rFonts w:hint="eastAsia" w:cs="宋体"/>
          <w:szCs w:val="21"/>
          <w:highlight w:val="none"/>
        </w:rPr>
        <w:t>3.违约责任</w:t>
      </w:r>
    </w:p>
    <w:p w14:paraId="75BB78D1">
      <w:pPr>
        <w:spacing w:line="360" w:lineRule="auto"/>
        <w:ind w:firstLine="420" w:firstLineChars="200"/>
        <w:rPr>
          <w:rFonts w:cs="宋体"/>
          <w:szCs w:val="21"/>
          <w:highlight w:val="none"/>
        </w:rPr>
      </w:pPr>
      <w:r>
        <w:rPr>
          <w:rFonts w:hint="eastAsia" w:cs="宋体"/>
          <w:szCs w:val="21"/>
          <w:highlight w:val="none"/>
        </w:rPr>
        <w:t>如因发包人或承包人违约造成安全事故，将依法追究责任。</w:t>
      </w:r>
    </w:p>
    <w:p w14:paraId="29F0D52F">
      <w:pPr>
        <w:spacing w:line="360" w:lineRule="auto"/>
        <w:ind w:firstLine="420" w:firstLineChars="200"/>
        <w:rPr>
          <w:rFonts w:cs="宋体"/>
          <w:szCs w:val="21"/>
          <w:highlight w:val="none"/>
        </w:rPr>
      </w:pPr>
      <w:r>
        <w:rPr>
          <w:rFonts w:hint="eastAsia" w:cs="宋体"/>
          <w:szCs w:val="21"/>
          <w:highlight w:val="none"/>
        </w:rPr>
        <w:t>4.本合同由双方法定代表人或其授权的代理人签署并加盖单位章后生效，全部工程竣工验收后失效。</w:t>
      </w:r>
    </w:p>
    <w:p w14:paraId="0A25C25D">
      <w:pPr>
        <w:spacing w:line="360" w:lineRule="auto"/>
        <w:ind w:firstLine="420" w:firstLineChars="200"/>
        <w:rPr>
          <w:rFonts w:cs="宋体"/>
          <w:szCs w:val="21"/>
          <w:highlight w:val="none"/>
        </w:rPr>
      </w:pPr>
      <w:r>
        <w:rPr>
          <w:rFonts w:hint="eastAsia" w:cs="宋体"/>
          <w:szCs w:val="21"/>
          <w:highlight w:val="none"/>
        </w:rPr>
        <w:t>5.本合同正本—式</w:t>
      </w:r>
      <w:r>
        <w:rPr>
          <w:rFonts w:hint="eastAsia" w:cs="宋体"/>
          <w:szCs w:val="21"/>
          <w:highlight w:val="none"/>
          <w:u w:val="single"/>
        </w:rPr>
        <w:t xml:space="preserve">   </w:t>
      </w:r>
      <w:r>
        <w:rPr>
          <w:rFonts w:hint="eastAsia" w:cs="宋体"/>
          <w:szCs w:val="21"/>
          <w:highlight w:val="none"/>
        </w:rPr>
        <w:t>份，副本</w:t>
      </w:r>
      <w:r>
        <w:rPr>
          <w:rFonts w:hint="eastAsia" w:cs="宋体"/>
          <w:szCs w:val="21"/>
          <w:highlight w:val="none"/>
          <w:u w:val="single"/>
        </w:rPr>
        <w:t xml:space="preserve">  </w:t>
      </w:r>
      <w:r>
        <w:rPr>
          <w:rFonts w:hint="eastAsia" w:cs="宋体"/>
          <w:szCs w:val="21"/>
          <w:highlight w:val="none"/>
        </w:rPr>
        <w:t>份，合同双方各执正本—份，副本</w:t>
      </w:r>
      <w:r>
        <w:rPr>
          <w:rFonts w:hint="eastAsia" w:cs="宋体"/>
          <w:szCs w:val="21"/>
          <w:highlight w:val="none"/>
          <w:u w:val="single"/>
        </w:rPr>
        <w:t xml:space="preserve">  </w:t>
      </w:r>
      <w:r>
        <w:rPr>
          <w:rFonts w:hint="eastAsia" w:cs="宋体"/>
          <w:szCs w:val="21"/>
          <w:highlight w:val="none"/>
        </w:rPr>
        <w:t>份，当正本与副本的内容不一致时，以正本为准。</w:t>
      </w:r>
    </w:p>
    <w:p w14:paraId="6E7B1F9B">
      <w:pPr>
        <w:spacing w:line="360" w:lineRule="auto"/>
        <w:rPr>
          <w:rFonts w:cs="宋体"/>
          <w:szCs w:val="21"/>
          <w:highlight w:val="none"/>
        </w:rPr>
      </w:pPr>
    </w:p>
    <w:p w14:paraId="4227E56B">
      <w:pPr>
        <w:spacing w:line="360" w:lineRule="auto"/>
        <w:rPr>
          <w:rFonts w:cs="宋体"/>
          <w:szCs w:val="21"/>
          <w:highlight w:val="none"/>
        </w:rPr>
      </w:pPr>
    </w:p>
    <w:p w14:paraId="503DA26D">
      <w:pPr>
        <w:spacing w:line="360" w:lineRule="auto"/>
        <w:rPr>
          <w:rFonts w:cs="宋体"/>
          <w:szCs w:val="21"/>
          <w:highlight w:val="none"/>
        </w:rPr>
      </w:pPr>
      <w:r>
        <w:rPr>
          <w:rFonts w:hint="eastAsia" w:cs="宋体"/>
          <w:szCs w:val="21"/>
          <w:highlight w:val="none"/>
        </w:rPr>
        <w:t>发包人：</w:t>
      </w:r>
      <w:r>
        <w:rPr>
          <w:rFonts w:hint="eastAsia" w:cs="宋体"/>
          <w:szCs w:val="21"/>
          <w:highlight w:val="none"/>
          <w:u w:val="single"/>
        </w:rPr>
        <w:t xml:space="preserve">            </w:t>
      </w:r>
      <w:r>
        <w:rPr>
          <w:rFonts w:hint="eastAsia" w:cs="宋体"/>
          <w:szCs w:val="21"/>
          <w:highlight w:val="none"/>
        </w:rPr>
        <w:t>（盖单位章）          承包人：</w:t>
      </w:r>
      <w:r>
        <w:rPr>
          <w:rFonts w:hint="eastAsia" w:cs="宋体"/>
          <w:szCs w:val="21"/>
          <w:highlight w:val="none"/>
          <w:u w:val="single"/>
        </w:rPr>
        <w:t xml:space="preserve">        </w:t>
      </w:r>
      <w:r>
        <w:rPr>
          <w:rFonts w:hint="eastAsia" w:cs="宋体"/>
          <w:szCs w:val="21"/>
          <w:highlight w:val="none"/>
        </w:rPr>
        <w:t>（盖单位章）</w:t>
      </w:r>
    </w:p>
    <w:p w14:paraId="5E18925E">
      <w:pPr>
        <w:spacing w:line="360" w:lineRule="auto"/>
        <w:rPr>
          <w:rFonts w:cs="宋体"/>
          <w:szCs w:val="21"/>
          <w:highlight w:val="none"/>
        </w:rPr>
      </w:pPr>
    </w:p>
    <w:p w14:paraId="578A46CC">
      <w:pPr>
        <w:spacing w:line="360" w:lineRule="auto"/>
        <w:rPr>
          <w:rFonts w:cs="宋体"/>
          <w:szCs w:val="21"/>
          <w:highlight w:val="none"/>
        </w:rPr>
      </w:pPr>
      <w:r>
        <w:rPr>
          <w:rFonts w:hint="eastAsia" w:cs="宋体"/>
          <w:szCs w:val="21"/>
          <w:highlight w:val="none"/>
        </w:rPr>
        <w:t>法定代表人或其委托代理人：</w:t>
      </w:r>
      <w:r>
        <w:rPr>
          <w:rFonts w:hint="eastAsia" w:cs="宋体"/>
          <w:szCs w:val="21"/>
          <w:highlight w:val="none"/>
          <w:u w:val="single"/>
        </w:rPr>
        <w:t xml:space="preserve">  </w:t>
      </w:r>
      <w:r>
        <w:rPr>
          <w:rFonts w:hint="eastAsia" w:cs="宋体"/>
          <w:szCs w:val="21"/>
          <w:highlight w:val="none"/>
        </w:rPr>
        <w:t>（签字）     法定代表人或其委托代理人：</w:t>
      </w:r>
      <w:r>
        <w:rPr>
          <w:rFonts w:hint="eastAsia" w:cs="宋体"/>
          <w:szCs w:val="21"/>
          <w:highlight w:val="none"/>
          <w:u w:val="single"/>
        </w:rPr>
        <w:t xml:space="preserve">   </w:t>
      </w:r>
      <w:r>
        <w:rPr>
          <w:rFonts w:hint="eastAsia" w:cs="宋体"/>
          <w:szCs w:val="21"/>
          <w:highlight w:val="none"/>
        </w:rPr>
        <w:t>（签字）</w:t>
      </w:r>
    </w:p>
    <w:p w14:paraId="4D077140">
      <w:pPr>
        <w:spacing w:line="360" w:lineRule="auto"/>
        <w:rPr>
          <w:rFonts w:cs="宋体"/>
          <w:szCs w:val="21"/>
          <w:highlight w:val="none"/>
        </w:rPr>
      </w:pPr>
    </w:p>
    <w:p w14:paraId="50EE4703">
      <w:pPr>
        <w:spacing w:line="360" w:lineRule="auto"/>
        <w:ind w:firstLine="840"/>
        <w:rPr>
          <w:rFonts w:cs="宋体"/>
          <w:szCs w:val="21"/>
          <w:highlight w:val="none"/>
        </w:rPr>
      </w:pP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 xml:space="preserve">日                </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w:t>
      </w:r>
    </w:p>
    <w:p w14:paraId="66B40F54">
      <w:pPr>
        <w:spacing w:before="312" w:beforeLines="100" w:after="312" w:afterLines="100"/>
        <w:outlineLvl w:val="2"/>
        <w:rPr>
          <w:rFonts w:ascii="Times New Roman" w:eastAsia="黑体"/>
          <w:highlight w:val="none"/>
        </w:rPr>
      </w:pPr>
      <w:r>
        <w:rPr>
          <w:rFonts w:hint="eastAsia" w:cs="宋体"/>
          <w:bCs/>
          <w:kern w:val="44"/>
          <w:szCs w:val="21"/>
          <w:highlight w:val="none"/>
        </w:rPr>
        <w:br w:type="page"/>
      </w:r>
      <w:bookmarkStart w:id="687" w:name="_Toc128950249"/>
      <w:r>
        <w:rPr>
          <w:rFonts w:hint="eastAsia" w:ascii="Times New Roman" w:eastAsia="黑体"/>
          <w:highlight w:val="none"/>
        </w:rPr>
        <w:t>附件14：项目经理质量终身责任制承诺</w:t>
      </w:r>
      <w:bookmarkEnd w:id="687"/>
    </w:p>
    <w:p w14:paraId="5988207F">
      <w:pPr>
        <w:spacing w:before="156" w:beforeLines="50" w:after="156" w:afterLines="50" w:line="360" w:lineRule="auto"/>
        <w:jc w:val="center"/>
        <w:rPr>
          <w:rFonts w:cs="宋体"/>
          <w:b/>
          <w:sz w:val="32"/>
          <w:szCs w:val="32"/>
          <w:highlight w:val="none"/>
        </w:rPr>
      </w:pPr>
      <w:bookmarkStart w:id="688" w:name="_Toc128950250"/>
      <w:bookmarkStart w:id="689" w:name="_Toc14540"/>
      <w:bookmarkStart w:id="690" w:name="_Toc19417"/>
      <w:r>
        <w:rPr>
          <w:rFonts w:hint="eastAsia" w:cs="宋体"/>
          <w:b/>
          <w:sz w:val="32"/>
          <w:szCs w:val="32"/>
          <w:highlight w:val="none"/>
        </w:rPr>
        <w:t>项目经理质量终身责任制承诺</w:t>
      </w:r>
      <w:bookmarkEnd w:id="688"/>
      <w:bookmarkEnd w:id="689"/>
      <w:bookmarkEnd w:id="690"/>
    </w:p>
    <w:p w14:paraId="0E2D067E">
      <w:pPr>
        <w:spacing w:line="360" w:lineRule="auto"/>
        <w:rPr>
          <w:rFonts w:cs="宋体"/>
          <w:bCs/>
          <w:szCs w:val="21"/>
          <w:highlight w:val="none"/>
        </w:rPr>
      </w:pPr>
      <w:r>
        <w:rPr>
          <w:rFonts w:hint="eastAsia" w:cs="宋体"/>
          <w:bCs/>
          <w:szCs w:val="21"/>
          <w:highlight w:val="none"/>
        </w:rPr>
        <w:t>致：</w:t>
      </w:r>
      <w:r>
        <w:rPr>
          <w:rFonts w:hint="eastAsia" w:cs="宋体"/>
          <w:bCs/>
          <w:szCs w:val="21"/>
          <w:highlight w:val="none"/>
          <w:u w:val="single"/>
        </w:rPr>
        <w:t>（采购人）</w:t>
      </w:r>
    </w:p>
    <w:p w14:paraId="13D66A88">
      <w:pPr>
        <w:spacing w:line="360" w:lineRule="auto"/>
        <w:ind w:firstLine="420" w:firstLineChars="200"/>
        <w:rPr>
          <w:rFonts w:cs="宋体"/>
          <w:bCs/>
          <w:szCs w:val="21"/>
          <w:highlight w:val="none"/>
        </w:rPr>
      </w:pPr>
      <w:r>
        <w:rPr>
          <w:rFonts w:hint="eastAsia" w:cs="宋体"/>
          <w:bCs/>
          <w:szCs w:val="21"/>
          <w:highlight w:val="none"/>
        </w:rPr>
        <w:t>本人作为施工项目经理，承担相关质量终身责任，现郑重承诺如下：</w:t>
      </w:r>
    </w:p>
    <w:p w14:paraId="47F6B407">
      <w:pPr>
        <w:spacing w:line="360" w:lineRule="auto"/>
        <w:ind w:firstLine="420" w:firstLineChars="200"/>
        <w:rPr>
          <w:rFonts w:cs="宋体"/>
          <w:bCs/>
          <w:szCs w:val="21"/>
          <w:highlight w:val="none"/>
        </w:rPr>
      </w:pPr>
      <w:r>
        <w:rPr>
          <w:rFonts w:hint="eastAsia" w:cs="宋体"/>
          <w:bCs/>
          <w:szCs w:val="21"/>
          <w:highlight w:val="none"/>
        </w:rPr>
        <w:t>一、在取得施工许可证后进行施工。</w:t>
      </w:r>
    </w:p>
    <w:p w14:paraId="6BE79C93">
      <w:pPr>
        <w:spacing w:line="360" w:lineRule="auto"/>
        <w:ind w:firstLine="420" w:firstLineChars="200"/>
        <w:rPr>
          <w:rFonts w:cs="宋体"/>
          <w:bCs/>
          <w:szCs w:val="21"/>
          <w:highlight w:val="none"/>
        </w:rPr>
      </w:pPr>
      <w:r>
        <w:rPr>
          <w:rFonts w:hint="eastAsia" w:cs="宋体"/>
          <w:bCs/>
          <w:szCs w:val="21"/>
          <w:highlight w:val="none"/>
        </w:rPr>
        <w:t>二、严格执行施工规范及标准。</w:t>
      </w:r>
    </w:p>
    <w:p w14:paraId="1FFCCD64">
      <w:pPr>
        <w:spacing w:line="360" w:lineRule="auto"/>
        <w:ind w:firstLine="420" w:firstLineChars="200"/>
        <w:rPr>
          <w:rFonts w:cs="宋体"/>
          <w:bCs/>
          <w:szCs w:val="21"/>
          <w:highlight w:val="none"/>
        </w:rPr>
      </w:pPr>
      <w:r>
        <w:rPr>
          <w:rFonts w:hint="eastAsia" w:cs="宋体"/>
          <w:bCs/>
          <w:szCs w:val="21"/>
          <w:highlight w:val="none"/>
        </w:rPr>
        <w:t>三、严格按规定配备施工项目部关键岗位人员，并确保所有人员到岗履职。</w:t>
      </w:r>
    </w:p>
    <w:p w14:paraId="3F09C696">
      <w:pPr>
        <w:spacing w:line="360" w:lineRule="auto"/>
        <w:ind w:firstLine="420" w:firstLineChars="200"/>
        <w:rPr>
          <w:rFonts w:cs="宋体"/>
          <w:bCs/>
          <w:szCs w:val="21"/>
          <w:highlight w:val="none"/>
        </w:rPr>
      </w:pPr>
      <w:r>
        <w:rPr>
          <w:rFonts w:hint="eastAsia" w:cs="宋体"/>
          <w:bCs/>
          <w:szCs w:val="21"/>
          <w:highlight w:val="none"/>
        </w:rPr>
        <w:t>四、严格按照经施工图审查机构审查合格的工程设计文件及合同约定的质量标准精心组织施工。</w:t>
      </w:r>
    </w:p>
    <w:p w14:paraId="4C40ECC5">
      <w:pPr>
        <w:spacing w:line="360" w:lineRule="auto"/>
        <w:ind w:firstLine="420" w:firstLineChars="200"/>
        <w:rPr>
          <w:rFonts w:cs="宋体"/>
          <w:bCs/>
          <w:szCs w:val="21"/>
          <w:highlight w:val="none"/>
        </w:rPr>
      </w:pPr>
      <w:r>
        <w:rPr>
          <w:rFonts w:hint="eastAsia" w:cs="宋体"/>
          <w:bCs/>
          <w:szCs w:val="21"/>
          <w:highlight w:val="none"/>
        </w:rPr>
        <w:t>五、施工中采用合格的建筑材料、建筑构配件和设备等，并严格按规定执行见证取样制度。</w:t>
      </w:r>
    </w:p>
    <w:p w14:paraId="2C0F2DB2">
      <w:pPr>
        <w:spacing w:line="360" w:lineRule="auto"/>
        <w:ind w:firstLine="420" w:firstLineChars="200"/>
        <w:rPr>
          <w:rFonts w:cs="宋体"/>
          <w:bCs/>
          <w:szCs w:val="21"/>
          <w:highlight w:val="none"/>
        </w:rPr>
      </w:pPr>
      <w:r>
        <w:rPr>
          <w:rFonts w:hint="eastAsia" w:cs="宋体"/>
          <w:bCs/>
          <w:szCs w:val="21"/>
          <w:highlight w:val="none"/>
        </w:rPr>
        <w:t>六、建立、健全质量检查、验收制度，严格工序管理，做好隐蔽工程质量的检查和记录。</w:t>
      </w:r>
    </w:p>
    <w:p w14:paraId="734917D3">
      <w:pPr>
        <w:spacing w:line="360" w:lineRule="auto"/>
        <w:ind w:firstLine="420" w:firstLineChars="200"/>
        <w:rPr>
          <w:rFonts w:cs="宋体"/>
          <w:bCs/>
          <w:szCs w:val="21"/>
          <w:highlight w:val="none"/>
        </w:rPr>
      </w:pPr>
      <w:r>
        <w:rPr>
          <w:rFonts w:hint="eastAsia" w:cs="宋体"/>
          <w:bCs/>
          <w:szCs w:val="21"/>
          <w:highlight w:val="none"/>
        </w:rPr>
        <w:t>七、对施工中出现的质量问题，及时进行整改。严格依法依规履行义务。</w:t>
      </w:r>
    </w:p>
    <w:p w14:paraId="28B2D496">
      <w:pPr>
        <w:spacing w:line="360" w:lineRule="auto"/>
        <w:ind w:firstLine="420" w:firstLineChars="200"/>
        <w:rPr>
          <w:rFonts w:cs="宋体"/>
          <w:bCs/>
          <w:szCs w:val="21"/>
          <w:highlight w:val="none"/>
        </w:rPr>
      </w:pPr>
      <w:r>
        <w:rPr>
          <w:rFonts w:hint="eastAsia" w:cs="宋体"/>
          <w:bCs/>
          <w:szCs w:val="21"/>
          <w:highlight w:val="none"/>
        </w:rPr>
        <w:t>八、履行相关工程质量检查、验收及事故处理等职责。</w:t>
      </w:r>
    </w:p>
    <w:p w14:paraId="4930F744">
      <w:pPr>
        <w:spacing w:line="360" w:lineRule="auto"/>
        <w:ind w:firstLine="420" w:firstLineChars="200"/>
        <w:rPr>
          <w:rFonts w:cs="宋体"/>
          <w:bCs/>
          <w:szCs w:val="21"/>
          <w:highlight w:val="none"/>
        </w:rPr>
      </w:pPr>
      <w:r>
        <w:rPr>
          <w:rFonts w:hint="eastAsia" w:cs="宋体"/>
          <w:bCs/>
          <w:szCs w:val="21"/>
          <w:highlight w:val="none"/>
        </w:rPr>
        <w:t>九、履行其他法律法规规定的职责。</w:t>
      </w:r>
    </w:p>
    <w:p w14:paraId="071EA2A8">
      <w:pPr>
        <w:spacing w:line="360" w:lineRule="auto"/>
        <w:ind w:left="359" w:leftChars="171" w:firstLine="630" w:firstLineChars="300"/>
        <w:rPr>
          <w:rFonts w:cs="宋体"/>
          <w:bCs/>
          <w:szCs w:val="21"/>
          <w:highlight w:val="none"/>
        </w:rPr>
      </w:pPr>
    </w:p>
    <w:p w14:paraId="75482001">
      <w:pPr>
        <w:spacing w:line="360" w:lineRule="auto"/>
        <w:ind w:left="359" w:leftChars="171" w:firstLine="630" w:firstLineChars="300"/>
        <w:rPr>
          <w:rFonts w:cs="宋体"/>
          <w:bCs/>
          <w:szCs w:val="21"/>
          <w:highlight w:val="none"/>
        </w:rPr>
      </w:pPr>
    </w:p>
    <w:p w14:paraId="72D0E4CF">
      <w:pPr>
        <w:spacing w:line="360" w:lineRule="auto"/>
        <w:ind w:left="359" w:leftChars="171" w:firstLine="630" w:firstLineChars="300"/>
        <w:rPr>
          <w:rFonts w:cs="宋体"/>
          <w:bCs/>
          <w:szCs w:val="21"/>
          <w:highlight w:val="none"/>
        </w:rPr>
      </w:pPr>
      <w:r>
        <w:rPr>
          <w:rFonts w:hint="eastAsia" w:cs="宋体"/>
          <w:bCs/>
          <w:szCs w:val="21"/>
          <w:highlight w:val="none"/>
        </w:rPr>
        <w:t>项目经理：</w:t>
      </w:r>
      <w:r>
        <w:rPr>
          <w:rFonts w:hint="eastAsia" w:cs="宋体"/>
          <w:bCs/>
          <w:szCs w:val="21"/>
          <w:highlight w:val="none"/>
          <w:u w:val="single"/>
        </w:rPr>
        <w:t xml:space="preserve">                   </w:t>
      </w:r>
      <w:r>
        <w:rPr>
          <w:rFonts w:hint="eastAsia" w:cs="宋体"/>
          <w:bCs/>
          <w:szCs w:val="21"/>
          <w:highlight w:val="none"/>
        </w:rPr>
        <w:t>（签字）</w:t>
      </w:r>
    </w:p>
    <w:p w14:paraId="19EC7EF8">
      <w:pPr>
        <w:spacing w:line="360" w:lineRule="auto"/>
        <w:ind w:left="359" w:leftChars="171" w:firstLine="630" w:firstLineChars="300"/>
        <w:rPr>
          <w:rFonts w:cs="宋体"/>
          <w:bCs/>
          <w:szCs w:val="21"/>
          <w:highlight w:val="none"/>
        </w:rPr>
      </w:pPr>
      <w:r>
        <w:rPr>
          <w:rFonts w:hint="eastAsia" w:cs="宋体"/>
          <w:bCs/>
          <w:szCs w:val="21"/>
          <w:highlight w:val="none"/>
        </w:rPr>
        <w:t>日期：_____年____月____日</w:t>
      </w:r>
    </w:p>
    <w:p w14:paraId="3A7972DF">
      <w:pPr>
        <w:pStyle w:val="2"/>
        <w:rPr>
          <w:rFonts w:ascii="宋体" w:hAnsi="宋体" w:eastAsia="宋体" w:cs="宋体"/>
          <w:bCs/>
          <w:szCs w:val="21"/>
          <w:highlight w:val="none"/>
        </w:rPr>
      </w:pPr>
    </w:p>
    <w:p w14:paraId="2FB84E23">
      <w:pPr>
        <w:suppressAutoHyphens/>
        <w:autoSpaceDE w:val="0"/>
        <w:autoSpaceDN w:val="0"/>
        <w:adjustRightInd w:val="0"/>
        <w:spacing w:line="360" w:lineRule="auto"/>
        <w:rPr>
          <w:rFonts w:ascii="宋体" w:hAnsi="宋体" w:eastAsia="宋体" w:cs="宋体"/>
          <w:kern w:val="0"/>
          <w:sz w:val="24"/>
          <w:highlight w:val="none"/>
          <w:lang w:val="zh-CN"/>
        </w:rPr>
      </w:pPr>
    </w:p>
    <w:p w14:paraId="30831AA5">
      <w:pPr>
        <w:spacing w:line="440" w:lineRule="exact"/>
        <w:jc w:val="left"/>
        <w:rPr>
          <w:rFonts w:ascii="宋体" w:hAnsi="宋体" w:eastAsia="宋体" w:cs="宋体"/>
          <w:kern w:val="0"/>
          <w:sz w:val="24"/>
          <w:highlight w:val="none"/>
          <w:lang w:bidi="en-US"/>
        </w:rPr>
      </w:pPr>
      <w:r>
        <w:rPr>
          <w:rFonts w:hint="eastAsia" w:ascii="宋体" w:hAnsi="宋体" w:eastAsia="宋体" w:cs="宋体"/>
          <w:b/>
          <w:bCs/>
          <w:kern w:val="44"/>
          <w:sz w:val="24"/>
          <w:highlight w:val="none"/>
        </w:rPr>
        <w:br w:type="page"/>
      </w:r>
    </w:p>
    <w:p w14:paraId="32DB4C09">
      <w:pPr>
        <w:pStyle w:val="53"/>
        <w:ind w:firstLine="210"/>
        <w:rPr>
          <w:highlight w:val="none"/>
        </w:rPr>
      </w:pPr>
    </w:p>
    <w:p w14:paraId="62D282AB">
      <w:pPr>
        <w:spacing w:line="360" w:lineRule="auto"/>
        <w:jc w:val="center"/>
        <w:outlineLvl w:val="0"/>
        <w:rPr>
          <w:rFonts w:asciiTheme="minorEastAsia" w:hAnsiTheme="minorEastAsia"/>
          <w:b/>
          <w:sz w:val="28"/>
          <w:highlight w:val="none"/>
        </w:rPr>
      </w:pPr>
      <w:r>
        <w:rPr>
          <w:rFonts w:hint="eastAsia" w:asciiTheme="minorEastAsia" w:hAnsiTheme="minorEastAsia"/>
          <w:b/>
          <w:sz w:val="28"/>
          <w:highlight w:val="none"/>
        </w:rPr>
        <w:t>第六章  响应文件格式</w:t>
      </w:r>
      <w:bookmarkEnd w:id="43"/>
    </w:p>
    <w:p w14:paraId="2B0592A8">
      <w:pPr>
        <w:spacing w:line="900" w:lineRule="exact"/>
        <w:jc w:val="center"/>
        <w:rPr>
          <w:rFonts w:asciiTheme="minorEastAsia" w:hAnsiTheme="minorEastAsia"/>
          <w:b/>
          <w:sz w:val="72"/>
          <w:highlight w:val="none"/>
        </w:rPr>
      </w:pPr>
    </w:p>
    <w:p w14:paraId="4A14DE79">
      <w:pPr>
        <w:spacing w:line="900" w:lineRule="exact"/>
        <w:jc w:val="center"/>
        <w:rPr>
          <w:rFonts w:asciiTheme="minorEastAsia" w:hAnsiTheme="minorEastAsia"/>
          <w:b/>
          <w:sz w:val="72"/>
          <w:highlight w:val="none"/>
        </w:rPr>
      </w:pPr>
      <w:r>
        <w:rPr>
          <w:rFonts w:hint="eastAsia" w:asciiTheme="minorEastAsia" w:hAnsiTheme="minorEastAsia"/>
          <w:b/>
          <w:sz w:val="72"/>
          <w:highlight w:val="none"/>
        </w:rPr>
        <w:t>响</w:t>
      </w:r>
    </w:p>
    <w:p w14:paraId="27BEFD32">
      <w:pPr>
        <w:spacing w:line="900" w:lineRule="exact"/>
        <w:jc w:val="center"/>
        <w:rPr>
          <w:rFonts w:asciiTheme="minorEastAsia" w:hAnsiTheme="minorEastAsia"/>
          <w:b/>
          <w:sz w:val="72"/>
          <w:highlight w:val="none"/>
        </w:rPr>
      </w:pPr>
    </w:p>
    <w:p w14:paraId="4B2587BD">
      <w:pPr>
        <w:spacing w:line="900" w:lineRule="exact"/>
        <w:jc w:val="center"/>
        <w:rPr>
          <w:rFonts w:asciiTheme="minorEastAsia" w:hAnsiTheme="minorEastAsia"/>
          <w:b/>
          <w:sz w:val="72"/>
          <w:highlight w:val="none"/>
        </w:rPr>
      </w:pPr>
      <w:r>
        <w:rPr>
          <w:rFonts w:hint="eastAsia" w:asciiTheme="minorEastAsia" w:hAnsiTheme="minorEastAsia"/>
          <w:b/>
          <w:sz w:val="72"/>
          <w:highlight w:val="none"/>
        </w:rPr>
        <w:t>应</w:t>
      </w:r>
    </w:p>
    <w:p w14:paraId="0112EED3">
      <w:pPr>
        <w:spacing w:line="900" w:lineRule="exact"/>
        <w:jc w:val="center"/>
        <w:rPr>
          <w:rFonts w:asciiTheme="minorEastAsia" w:hAnsiTheme="minorEastAsia"/>
          <w:b/>
          <w:sz w:val="72"/>
          <w:highlight w:val="none"/>
        </w:rPr>
      </w:pPr>
    </w:p>
    <w:p w14:paraId="33307799">
      <w:pPr>
        <w:spacing w:line="900" w:lineRule="exact"/>
        <w:jc w:val="center"/>
        <w:rPr>
          <w:rFonts w:asciiTheme="minorEastAsia" w:hAnsiTheme="minorEastAsia"/>
          <w:b/>
          <w:sz w:val="72"/>
          <w:highlight w:val="none"/>
        </w:rPr>
      </w:pPr>
      <w:r>
        <w:rPr>
          <w:rFonts w:hint="eastAsia" w:asciiTheme="minorEastAsia" w:hAnsiTheme="minorEastAsia"/>
          <w:b/>
          <w:sz w:val="72"/>
          <w:highlight w:val="none"/>
        </w:rPr>
        <w:t>文</w:t>
      </w:r>
    </w:p>
    <w:p w14:paraId="1745E5EF">
      <w:pPr>
        <w:spacing w:line="900" w:lineRule="exact"/>
        <w:jc w:val="center"/>
        <w:rPr>
          <w:rFonts w:asciiTheme="minorEastAsia" w:hAnsiTheme="minorEastAsia"/>
          <w:b/>
          <w:sz w:val="72"/>
          <w:highlight w:val="none"/>
        </w:rPr>
      </w:pPr>
    </w:p>
    <w:p w14:paraId="192D5ADD">
      <w:pPr>
        <w:jc w:val="center"/>
        <w:rPr>
          <w:rFonts w:asciiTheme="minorEastAsia" w:hAnsiTheme="minorEastAsia"/>
          <w:b/>
          <w:sz w:val="72"/>
          <w:highlight w:val="none"/>
        </w:rPr>
      </w:pPr>
      <w:r>
        <w:rPr>
          <w:rFonts w:hint="eastAsia" w:asciiTheme="minorEastAsia" w:hAnsiTheme="minorEastAsia"/>
          <w:b/>
          <w:sz w:val="72"/>
          <w:highlight w:val="none"/>
        </w:rPr>
        <w:t>件</w:t>
      </w:r>
    </w:p>
    <w:p w14:paraId="635785A1">
      <w:pPr>
        <w:spacing w:after="156" w:afterLines="50"/>
        <w:jc w:val="center"/>
        <w:rPr>
          <w:rFonts w:asciiTheme="minorEastAsia" w:hAnsiTheme="minorEastAsia"/>
          <w:b/>
          <w:sz w:val="72"/>
          <w:highlight w:val="none"/>
        </w:rPr>
      </w:pPr>
    </w:p>
    <w:p w14:paraId="55135E4B">
      <w:pPr>
        <w:spacing w:after="156" w:afterLines="50" w:line="500" w:lineRule="exact"/>
        <w:jc w:val="center"/>
        <w:rPr>
          <w:rFonts w:asciiTheme="minorEastAsia" w:hAnsiTheme="minorEastAsia"/>
          <w:b/>
          <w:sz w:val="28"/>
          <w:szCs w:val="28"/>
          <w:highlight w:val="none"/>
        </w:rPr>
      </w:pPr>
    </w:p>
    <w:p w14:paraId="2E88E17B">
      <w:pPr>
        <w:spacing w:after="156" w:afterLines="50" w:line="500" w:lineRule="exact"/>
        <w:jc w:val="center"/>
        <w:rPr>
          <w:rFonts w:asciiTheme="minorEastAsia" w:hAnsiTheme="minorEastAsia"/>
          <w:b/>
          <w:sz w:val="28"/>
          <w:szCs w:val="28"/>
          <w:highlight w:val="none"/>
        </w:rPr>
      </w:pPr>
    </w:p>
    <w:p w14:paraId="2B583097">
      <w:pPr>
        <w:tabs>
          <w:tab w:val="left" w:pos="2410"/>
        </w:tabs>
        <w:autoSpaceDE w:val="0"/>
        <w:autoSpaceDN w:val="0"/>
        <w:adjustRightInd w:val="0"/>
        <w:snapToGrid w:val="0"/>
        <w:spacing w:line="360" w:lineRule="auto"/>
        <w:ind w:firstLine="1928" w:firstLineChars="600"/>
        <w:rPr>
          <w:rFonts w:ascii="宋体" w:hAnsi="宋体" w:eastAsia="宋体"/>
          <w:b/>
          <w:spacing w:val="20"/>
          <w:kern w:val="0"/>
          <w:sz w:val="32"/>
          <w:szCs w:val="32"/>
          <w:highlight w:val="none"/>
        </w:rPr>
      </w:pPr>
      <w:r>
        <w:rPr>
          <w:rFonts w:hint="eastAsia" w:asciiTheme="minorEastAsia" w:hAnsiTheme="minorEastAsia"/>
          <w:b/>
          <w:sz w:val="32"/>
          <w:highlight w:val="none"/>
        </w:rPr>
        <w:t>项目名称：</w:t>
      </w:r>
      <w:r>
        <w:rPr>
          <w:rFonts w:hint="eastAsia" w:asciiTheme="minorEastAsia" w:hAnsiTheme="minorEastAsia"/>
          <w:b/>
          <w:sz w:val="32"/>
          <w:highlight w:val="none"/>
          <w:u w:val="single"/>
        </w:rPr>
        <w:t xml:space="preserve">                  </w:t>
      </w:r>
    </w:p>
    <w:p w14:paraId="53CA5113">
      <w:pPr>
        <w:tabs>
          <w:tab w:val="left" w:pos="2410"/>
        </w:tabs>
        <w:autoSpaceDE w:val="0"/>
        <w:autoSpaceDN w:val="0"/>
        <w:adjustRightInd w:val="0"/>
        <w:snapToGrid w:val="0"/>
        <w:spacing w:line="360" w:lineRule="auto"/>
        <w:ind w:firstLine="1928" w:firstLineChars="600"/>
        <w:rPr>
          <w:rFonts w:asciiTheme="minorEastAsia" w:hAnsiTheme="minorEastAsia"/>
          <w:b/>
          <w:sz w:val="32"/>
          <w:highlight w:val="none"/>
          <w:u w:val="single"/>
        </w:rPr>
      </w:pPr>
      <w:r>
        <w:rPr>
          <w:rFonts w:hint="eastAsia" w:asciiTheme="minorEastAsia" w:hAnsiTheme="minorEastAsia"/>
          <w:b/>
          <w:sz w:val="32"/>
          <w:highlight w:val="none"/>
        </w:rPr>
        <w:t>项目编号：</w:t>
      </w:r>
      <w:r>
        <w:rPr>
          <w:rFonts w:hint="eastAsia" w:asciiTheme="minorEastAsia" w:hAnsiTheme="minorEastAsia"/>
          <w:b/>
          <w:sz w:val="32"/>
          <w:highlight w:val="none"/>
          <w:u w:val="single"/>
        </w:rPr>
        <w:t xml:space="preserve">                  </w:t>
      </w:r>
    </w:p>
    <w:p w14:paraId="7A7A7CD9">
      <w:pPr>
        <w:tabs>
          <w:tab w:val="left" w:pos="2410"/>
        </w:tabs>
        <w:autoSpaceDE w:val="0"/>
        <w:autoSpaceDN w:val="0"/>
        <w:adjustRightInd w:val="0"/>
        <w:snapToGrid w:val="0"/>
        <w:spacing w:line="360" w:lineRule="auto"/>
        <w:ind w:firstLine="1928" w:firstLineChars="600"/>
        <w:rPr>
          <w:rFonts w:asciiTheme="minorEastAsia" w:hAnsiTheme="minorEastAsia"/>
          <w:b/>
          <w:sz w:val="32"/>
          <w:highlight w:val="none"/>
          <w:u w:val="single"/>
        </w:rPr>
      </w:pPr>
      <w:r>
        <w:rPr>
          <w:rFonts w:hint="eastAsia" w:asciiTheme="minorEastAsia" w:hAnsiTheme="minorEastAsia"/>
          <w:b/>
          <w:sz w:val="32"/>
          <w:highlight w:val="none"/>
        </w:rPr>
        <w:t>供 应 商：</w:t>
      </w:r>
      <w:r>
        <w:rPr>
          <w:rFonts w:hint="eastAsia" w:asciiTheme="minorEastAsia" w:hAnsiTheme="minorEastAsia"/>
          <w:b/>
          <w:sz w:val="32"/>
          <w:highlight w:val="none"/>
          <w:u w:val="single"/>
        </w:rPr>
        <w:t xml:space="preserve">                  </w:t>
      </w:r>
    </w:p>
    <w:p w14:paraId="7A8EE98F">
      <w:pPr>
        <w:spacing w:after="156" w:afterLines="50" w:line="500" w:lineRule="exact"/>
        <w:jc w:val="center"/>
        <w:rPr>
          <w:rFonts w:asciiTheme="minorEastAsia" w:hAnsiTheme="minorEastAsia"/>
          <w:b/>
          <w:sz w:val="32"/>
          <w:highlight w:val="none"/>
        </w:rPr>
      </w:pPr>
      <w:r>
        <w:rPr>
          <w:rFonts w:hint="eastAsia" w:asciiTheme="minorEastAsia" w:hAnsiTheme="minorEastAsia"/>
          <w:b/>
          <w:sz w:val="32"/>
          <w:highlight w:val="none"/>
          <w:u w:val="single"/>
        </w:rPr>
        <w:t xml:space="preserve">    </w:t>
      </w:r>
      <w:bookmarkStart w:id="691" w:name="_Toc24911"/>
      <w:bookmarkStart w:id="692" w:name="_Toc19892"/>
      <w:r>
        <w:rPr>
          <w:rFonts w:hint="eastAsia" w:asciiTheme="minorEastAsia" w:hAnsiTheme="minorEastAsia"/>
          <w:b/>
          <w:sz w:val="32"/>
          <w:highlight w:val="none"/>
        </w:rPr>
        <w:t>年</w:t>
      </w:r>
      <w:r>
        <w:rPr>
          <w:rFonts w:hint="eastAsia" w:asciiTheme="minorEastAsia" w:hAnsiTheme="minorEastAsia"/>
          <w:b/>
          <w:sz w:val="32"/>
          <w:highlight w:val="none"/>
          <w:u w:val="single"/>
        </w:rPr>
        <w:t xml:space="preserve">  </w:t>
      </w:r>
      <w:r>
        <w:rPr>
          <w:rFonts w:hint="eastAsia" w:asciiTheme="minorEastAsia" w:hAnsiTheme="minorEastAsia"/>
          <w:b/>
          <w:sz w:val="32"/>
          <w:highlight w:val="none"/>
        </w:rPr>
        <w:t>月</w:t>
      </w:r>
      <w:r>
        <w:rPr>
          <w:rFonts w:hint="eastAsia" w:asciiTheme="minorEastAsia" w:hAnsiTheme="minorEastAsia"/>
          <w:b/>
          <w:sz w:val="32"/>
          <w:highlight w:val="none"/>
          <w:u w:val="single"/>
        </w:rPr>
        <w:t xml:space="preserve">  </w:t>
      </w:r>
      <w:r>
        <w:rPr>
          <w:rFonts w:hint="eastAsia" w:asciiTheme="minorEastAsia" w:hAnsiTheme="minorEastAsia"/>
          <w:b/>
          <w:sz w:val="32"/>
          <w:highlight w:val="none"/>
        </w:rPr>
        <w:t>日</w:t>
      </w:r>
      <w:bookmarkEnd w:id="691"/>
      <w:bookmarkEnd w:id="692"/>
    </w:p>
    <w:p w14:paraId="48A0D4A3">
      <w:pPr>
        <w:widowControl/>
        <w:jc w:val="left"/>
        <w:rPr>
          <w:rFonts w:asciiTheme="minorEastAsia" w:hAnsiTheme="minorEastAsia"/>
          <w:b/>
          <w:sz w:val="28"/>
          <w:highlight w:val="none"/>
        </w:rPr>
      </w:pPr>
      <w:r>
        <w:rPr>
          <w:rFonts w:asciiTheme="minorEastAsia" w:hAnsiTheme="minorEastAsia"/>
          <w:b/>
          <w:sz w:val="28"/>
          <w:highlight w:val="none"/>
        </w:rPr>
        <w:br w:type="page"/>
      </w:r>
    </w:p>
    <w:p w14:paraId="5B32EE66">
      <w:pPr>
        <w:spacing w:line="360" w:lineRule="auto"/>
        <w:jc w:val="center"/>
        <w:outlineLvl w:val="1"/>
        <w:rPr>
          <w:rFonts w:asciiTheme="minorEastAsia" w:hAnsiTheme="minorEastAsia"/>
          <w:b/>
          <w:sz w:val="24"/>
          <w:highlight w:val="none"/>
        </w:rPr>
      </w:pPr>
      <w:bookmarkStart w:id="693" w:name="_Toc461053086"/>
      <w:bookmarkStart w:id="694" w:name="_Toc461056631"/>
      <w:bookmarkStart w:id="695" w:name="_Toc21496"/>
      <w:bookmarkStart w:id="696" w:name="_Toc520983587"/>
      <w:bookmarkStart w:id="697" w:name="_Toc28280"/>
      <w:r>
        <w:rPr>
          <w:rFonts w:hint="eastAsia" w:asciiTheme="minorEastAsia" w:hAnsiTheme="minorEastAsia"/>
          <w:b/>
          <w:sz w:val="24"/>
          <w:highlight w:val="none"/>
        </w:rPr>
        <w:t>一</w:t>
      </w:r>
      <w:bookmarkEnd w:id="693"/>
      <w:bookmarkEnd w:id="694"/>
      <w:r>
        <w:rPr>
          <w:rFonts w:hint="eastAsia" w:asciiTheme="minorEastAsia" w:hAnsiTheme="minorEastAsia"/>
          <w:b/>
          <w:sz w:val="24"/>
          <w:highlight w:val="none"/>
        </w:rPr>
        <w:t>、报价表格式</w:t>
      </w:r>
      <w:bookmarkEnd w:id="695"/>
      <w:bookmarkEnd w:id="696"/>
      <w:bookmarkEnd w:id="697"/>
    </w:p>
    <w:p w14:paraId="38DC88CD">
      <w:pPr>
        <w:spacing w:before="156" w:beforeLines="50" w:after="156" w:afterLines="50" w:line="360" w:lineRule="auto"/>
        <w:jc w:val="left"/>
        <w:rPr>
          <w:rFonts w:cs="@仿宋_GB2312" w:asciiTheme="minorEastAsia" w:hAnsiTheme="minorEastAsia"/>
          <w:b/>
          <w:sz w:val="24"/>
          <w:highlight w:val="none"/>
        </w:rPr>
      </w:pPr>
      <w:r>
        <w:rPr>
          <w:rFonts w:hint="eastAsia" w:cs="@仿宋_GB2312" w:asciiTheme="minorEastAsia" w:hAnsiTheme="minorEastAsia"/>
          <w:b/>
          <w:sz w:val="24"/>
          <w:highlight w:val="none"/>
        </w:rPr>
        <w:t>1-1 报价表</w:t>
      </w:r>
    </w:p>
    <w:p w14:paraId="24A5B9AB">
      <w:pPr>
        <w:snapToGrid w:val="0"/>
        <w:spacing w:line="360" w:lineRule="auto"/>
        <w:jc w:val="left"/>
        <w:rPr>
          <w:rFonts w:cs="宋体" w:asciiTheme="minorEastAsia" w:hAnsiTheme="minorEastAsia"/>
          <w:b/>
          <w:sz w:val="24"/>
          <w:highlight w:val="none"/>
        </w:rPr>
      </w:pPr>
      <w:r>
        <w:rPr>
          <w:rFonts w:hint="eastAsia" w:cs="宋体" w:asciiTheme="minorEastAsia" w:hAnsiTheme="minorEastAsia"/>
          <w:b/>
          <w:sz w:val="24"/>
          <w:highlight w:val="none"/>
        </w:rPr>
        <w:t>项目名称：</w:t>
      </w:r>
      <w:r>
        <w:rPr>
          <w:rFonts w:hint="eastAsia" w:cs="宋体" w:asciiTheme="minorEastAsia" w:hAnsiTheme="minorEastAsia"/>
          <w:b/>
          <w:sz w:val="24"/>
          <w:highlight w:val="none"/>
          <w:u w:val="single"/>
        </w:rPr>
        <w:t xml:space="preserve"> 某项目    </w:t>
      </w:r>
    </w:p>
    <w:p w14:paraId="674CED79">
      <w:pPr>
        <w:snapToGrid w:val="0"/>
        <w:spacing w:after="156" w:afterLines="50" w:line="360" w:lineRule="auto"/>
        <w:jc w:val="left"/>
        <w:rPr>
          <w:rFonts w:cs="宋体" w:asciiTheme="minorEastAsia" w:hAnsiTheme="minorEastAsia"/>
          <w:b/>
          <w:bCs/>
          <w:sz w:val="24"/>
          <w:highlight w:val="none"/>
          <w:u w:val="single"/>
        </w:rPr>
      </w:pPr>
      <w:r>
        <w:rPr>
          <w:rFonts w:hint="eastAsia" w:cs="宋体" w:asciiTheme="minorEastAsia" w:hAnsiTheme="minorEastAsia"/>
          <w:b/>
          <w:sz w:val="24"/>
          <w:highlight w:val="none"/>
        </w:rPr>
        <w:t>项目编号：</w:t>
      </w:r>
      <w:r>
        <w:rPr>
          <w:rFonts w:hint="eastAsia" w:cs="宋体" w:asciiTheme="minorEastAsia" w:hAnsiTheme="minorEastAsia"/>
          <w:b/>
          <w:sz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AD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4F2B6DD">
            <w:pPr>
              <w:jc w:val="center"/>
              <w:rPr>
                <w:rFonts w:cs="宋体" w:asciiTheme="minorEastAsia" w:hAnsiTheme="minorEastAsia"/>
                <w:b/>
                <w:sz w:val="24"/>
                <w:highlight w:val="none"/>
              </w:rPr>
            </w:pPr>
            <w:r>
              <w:rPr>
                <w:rFonts w:hint="eastAsia" w:cs="宋体" w:asciiTheme="minorEastAsia" w:hAnsiTheme="minorEastAsia"/>
                <w:b/>
                <w:sz w:val="24"/>
                <w:highlight w:val="none"/>
              </w:rPr>
              <w:t>供应商名称</w:t>
            </w:r>
          </w:p>
        </w:tc>
        <w:tc>
          <w:tcPr>
            <w:tcW w:w="3557" w:type="pct"/>
            <w:tcBorders>
              <w:left w:val="single" w:color="auto" w:sz="4" w:space="0"/>
            </w:tcBorders>
          </w:tcPr>
          <w:p w14:paraId="12F76AAF">
            <w:pPr>
              <w:rPr>
                <w:rFonts w:cs="宋体" w:asciiTheme="minorEastAsia" w:hAnsiTheme="minorEastAsia"/>
                <w:b/>
                <w:sz w:val="24"/>
                <w:highlight w:val="none"/>
              </w:rPr>
            </w:pPr>
          </w:p>
        </w:tc>
      </w:tr>
      <w:tr w14:paraId="532B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C84E21">
            <w:pPr>
              <w:jc w:val="center"/>
              <w:rPr>
                <w:rFonts w:cs="宋体" w:asciiTheme="minorEastAsia" w:hAnsiTheme="minorEastAsia"/>
                <w:b/>
                <w:sz w:val="24"/>
                <w:highlight w:val="none"/>
              </w:rPr>
            </w:pPr>
            <w:r>
              <w:rPr>
                <w:rFonts w:hint="eastAsia" w:cs="宋体" w:asciiTheme="minorEastAsia" w:hAnsiTheme="minorEastAsia"/>
                <w:b/>
                <w:bCs/>
                <w:sz w:val="24"/>
                <w:highlight w:val="none"/>
              </w:rPr>
              <w:t>磋商</w:t>
            </w:r>
            <w:r>
              <w:rPr>
                <w:rFonts w:hint="eastAsia" w:cs="宋体" w:asciiTheme="minorEastAsia" w:hAnsiTheme="minorEastAsia"/>
                <w:b/>
                <w:sz w:val="24"/>
                <w:highlight w:val="none"/>
              </w:rPr>
              <w:t>范围</w:t>
            </w:r>
          </w:p>
        </w:tc>
        <w:tc>
          <w:tcPr>
            <w:tcW w:w="3557" w:type="pct"/>
            <w:tcBorders>
              <w:left w:val="single" w:color="auto" w:sz="4" w:space="0"/>
            </w:tcBorders>
            <w:vAlign w:val="center"/>
          </w:tcPr>
          <w:p w14:paraId="66CA4B67">
            <w:pPr>
              <w:widowControl/>
              <w:rPr>
                <w:rFonts w:cs="宋体" w:asciiTheme="minorEastAsia" w:hAnsiTheme="minorEastAsia"/>
                <w:b/>
                <w:sz w:val="24"/>
                <w:highlight w:val="none"/>
              </w:rPr>
            </w:pPr>
            <w:r>
              <w:rPr>
                <w:rFonts w:hint="eastAsia" w:cs="@仿宋_GB2312" w:asciiTheme="minorEastAsia" w:hAnsiTheme="minorEastAsia"/>
                <w:sz w:val="24"/>
                <w:szCs w:val="28"/>
                <w:highlight w:val="none"/>
              </w:rPr>
              <w:t>第</w:t>
            </w:r>
            <w:r>
              <w:rPr>
                <w:rFonts w:hint="eastAsia" w:cs="@仿宋_GB2312" w:asciiTheme="minorEastAsia" w:hAnsiTheme="minorEastAsia"/>
                <w:sz w:val="24"/>
                <w:szCs w:val="28"/>
                <w:highlight w:val="none"/>
                <w:u w:val="single"/>
              </w:rPr>
              <w:t xml:space="preserve">   </w:t>
            </w:r>
            <w:r>
              <w:rPr>
                <w:rFonts w:hint="eastAsia" w:cs="@仿宋_GB2312" w:asciiTheme="minorEastAsia" w:hAnsiTheme="minorEastAsia"/>
                <w:sz w:val="24"/>
                <w:szCs w:val="28"/>
                <w:highlight w:val="none"/>
              </w:rPr>
              <w:t>包</w:t>
            </w:r>
          </w:p>
        </w:tc>
      </w:tr>
      <w:tr w14:paraId="1875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15FD51B">
            <w:pPr>
              <w:spacing w:line="360" w:lineRule="auto"/>
              <w:jc w:val="center"/>
              <w:rPr>
                <w:rFonts w:cs="@仿宋_GB2312"/>
                <w:b/>
                <w:sz w:val="24"/>
                <w:highlight w:val="none"/>
              </w:rPr>
            </w:pPr>
            <w:r>
              <w:rPr>
                <w:rFonts w:hint="eastAsia" w:cs="@仿宋_GB2312"/>
                <w:b/>
                <w:sz w:val="24"/>
                <w:highlight w:val="none"/>
              </w:rPr>
              <w:t>报价</w:t>
            </w:r>
          </w:p>
          <w:p w14:paraId="07165600">
            <w:pPr>
              <w:jc w:val="center"/>
              <w:rPr>
                <w:rFonts w:cs="宋体" w:asciiTheme="minorEastAsia" w:hAnsiTheme="minorEastAsia"/>
                <w:b/>
                <w:sz w:val="24"/>
                <w:highlight w:val="none"/>
              </w:rPr>
            </w:pPr>
          </w:p>
        </w:tc>
        <w:tc>
          <w:tcPr>
            <w:tcW w:w="3557" w:type="pct"/>
            <w:vAlign w:val="center"/>
          </w:tcPr>
          <w:p w14:paraId="6E3A064F">
            <w:pPr>
              <w:snapToGrid w:val="0"/>
              <w:rPr>
                <w:rFonts w:cs="宋体" w:asciiTheme="minorEastAsia" w:hAnsiTheme="minorEastAsia"/>
                <w:sz w:val="24"/>
                <w:highlight w:val="none"/>
              </w:rPr>
            </w:pPr>
          </w:p>
          <w:p w14:paraId="73F5A190">
            <w:pPr>
              <w:snapToGrid w:val="0"/>
              <w:spacing w:line="360" w:lineRule="auto"/>
              <w:jc w:val="left"/>
              <w:rPr>
                <w:rFonts w:ascii="宋体" w:hAnsi="宋体" w:eastAsia="宋体" w:cs="宋体"/>
                <w:bCs/>
                <w:sz w:val="24"/>
                <w:highlight w:val="none"/>
                <w:u w:val="single"/>
              </w:rPr>
            </w:pPr>
            <w:r>
              <w:rPr>
                <w:rFonts w:hint="eastAsia" w:ascii="宋体" w:hAnsi="宋体" w:eastAsia="宋体" w:cs="宋体"/>
                <w:bCs/>
                <w:sz w:val="24"/>
                <w:highlight w:val="none"/>
              </w:rPr>
              <w:t>人民币大写：</w:t>
            </w:r>
            <w:r>
              <w:rPr>
                <w:rFonts w:hint="eastAsia" w:ascii="宋体" w:hAnsi="宋体" w:eastAsia="宋体" w:cs="宋体"/>
                <w:bCs/>
                <w:sz w:val="24"/>
                <w:highlight w:val="none"/>
                <w:u w:val="single"/>
              </w:rPr>
              <w:t xml:space="preserve">                     </w:t>
            </w:r>
          </w:p>
          <w:p w14:paraId="251A5437">
            <w:pPr>
              <w:spacing w:line="360" w:lineRule="auto"/>
              <w:ind w:right="-670"/>
              <w:rPr>
                <w:rFonts w:cs="宋体" w:asciiTheme="minorEastAsia" w:hAnsiTheme="minorEastAsia"/>
                <w:b/>
                <w:sz w:val="24"/>
                <w:highlight w:val="none"/>
              </w:rPr>
            </w:pPr>
            <w:r>
              <w:rPr>
                <w:rFonts w:hint="eastAsia" w:ascii="宋体" w:hAnsi="宋体" w:eastAsia="宋体" w:cs="宋体"/>
                <w:bCs/>
                <w:sz w:val="24"/>
                <w:highlight w:val="none"/>
              </w:rPr>
              <w:t>人民币小写：</w:t>
            </w:r>
            <w:r>
              <w:rPr>
                <w:rFonts w:hint="eastAsia" w:ascii="宋体" w:hAnsi="宋体" w:eastAsia="宋体" w:cs="宋体"/>
                <w:bCs/>
                <w:sz w:val="24"/>
                <w:highlight w:val="none"/>
                <w:u w:val="single"/>
              </w:rPr>
              <w:t xml:space="preserve">                     </w:t>
            </w:r>
          </w:p>
        </w:tc>
      </w:tr>
      <w:tr w14:paraId="13E7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43" w:type="pct"/>
            <w:tcBorders>
              <w:top w:val="single" w:color="auto" w:sz="4" w:space="0"/>
            </w:tcBorders>
            <w:vAlign w:val="center"/>
          </w:tcPr>
          <w:p w14:paraId="0315F649">
            <w:pPr>
              <w:jc w:val="center"/>
              <w:rPr>
                <w:rFonts w:cs="宋体" w:asciiTheme="minorEastAsia" w:hAnsiTheme="minorEastAsia"/>
                <w:b/>
                <w:sz w:val="24"/>
                <w:highlight w:val="none"/>
              </w:rPr>
            </w:pPr>
            <w:r>
              <w:rPr>
                <w:rFonts w:hint="eastAsia" w:cs="宋体" w:asciiTheme="minorEastAsia" w:hAnsiTheme="minorEastAsia"/>
                <w:b/>
                <w:sz w:val="24"/>
                <w:highlight w:val="none"/>
              </w:rPr>
              <w:t>折扣（详见备注说明）</w:t>
            </w:r>
          </w:p>
        </w:tc>
        <w:tc>
          <w:tcPr>
            <w:tcW w:w="3557" w:type="pct"/>
            <w:vAlign w:val="center"/>
          </w:tcPr>
          <w:p w14:paraId="1834C6CF">
            <w:pPr>
              <w:snapToGrid w:val="0"/>
              <w:rPr>
                <w:rFonts w:cs="宋体" w:asciiTheme="minorEastAsia" w:hAnsiTheme="minorEastAsia"/>
                <w:b/>
                <w:sz w:val="24"/>
                <w:highlight w:val="none"/>
              </w:rPr>
            </w:pPr>
          </w:p>
        </w:tc>
      </w:tr>
      <w:tr w14:paraId="6C81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43" w:type="pct"/>
            <w:tcBorders>
              <w:top w:val="single" w:color="auto" w:sz="4" w:space="0"/>
            </w:tcBorders>
            <w:vAlign w:val="center"/>
          </w:tcPr>
          <w:p w14:paraId="6F559F0A">
            <w:pPr>
              <w:snapToGrid w:val="0"/>
              <w:jc w:val="center"/>
              <w:rPr>
                <w:rFonts w:cs="宋体" w:asciiTheme="minorEastAsia" w:hAnsiTheme="minorEastAsia"/>
                <w:b/>
                <w:sz w:val="24"/>
                <w:highlight w:val="none"/>
              </w:rPr>
            </w:pPr>
            <w:r>
              <w:rPr>
                <w:rFonts w:hint="eastAsia" w:cs="宋体" w:asciiTheme="minorEastAsia" w:hAnsiTheme="minorEastAsia"/>
                <w:b/>
                <w:bCs/>
                <w:sz w:val="24"/>
                <w:highlight w:val="none"/>
              </w:rPr>
              <w:t>质量标准</w:t>
            </w:r>
          </w:p>
        </w:tc>
        <w:tc>
          <w:tcPr>
            <w:tcW w:w="3557" w:type="pct"/>
            <w:vAlign w:val="center"/>
          </w:tcPr>
          <w:p w14:paraId="1A5BDF1A">
            <w:pPr>
              <w:snapToGrid w:val="0"/>
              <w:rPr>
                <w:rFonts w:cs="宋体" w:asciiTheme="minorEastAsia" w:hAnsiTheme="minorEastAsia"/>
                <w:b/>
                <w:sz w:val="24"/>
                <w:highlight w:val="none"/>
              </w:rPr>
            </w:pPr>
            <w:r>
              <w:rPr>
                <w:rFonts w:hint="eastAsia" w:ascii="宋体" w:hAnsi="宋体" w:eastAsia="宋体"/>
                <w:sz w:val="24"/>
                <w:szCs w:val="18"/>
                <w:highlight w:val="none"/>
              </w:rPr>
              <w:t>合格</w:t>
            </w:r>
          </w:p>
        </w:tc>
      </w:tr>
      <w:tr w14:paraId="0FC8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76727D2">
            <w:pPr>
              <w:snapToGrid w:val="0"/>
              <w:jc w:val="center"/>
              <w:rPr>
                <w:rFonts w:cs="宋体" w:asciiTheme="minorEastAsia" w:hAnsiTheme="minorEastAsia"/>
                <w:b/>
                <w:sz w:val="24"/>
                <w:highlight w:val="none"/>
              </w:rPr>
            </w:pPr>
            <w:r>
              <w:rPr>
                <w:rFonts w:hint="eastAsia" w:cs="宋体" w:asciiTheme="minorEastAsia" w:hAnsiTheme="minorEastAsia"/>
                <w:b/>
                <w:bCs/>
                <w:sz w:val="24"/>
                <w:highlight w:val="none"/>
              </w:rPr>
              <w:t>合同履约期限</w:t>
            </w:r>
          </w:p>
        </w:tc>
        <w:tc>
          <w:tcPr>
            <w:tcW w:w="3557" w:type="pct"/>
            <w:vAlign w:val="center"/>
          </w:tcPr>
          <w:p w14:paraId="35C7DF34">
            <w:pPr>
              <w:snapToGrid w:val="0"/>
              <w:rPr>
                <w:rFonts w:cs="宋体" w:asciiTheme="minorEastAsia" w:hAnsiTheme="minorEastAsia"/>
                <w:b/>
                <w:sz w:val="24"/>
                <w:highlight w:val="none"/>
              </w:rPr>
            </w:pPr>
            <w:r>
              <w:rPr>
                <w:rFonts w:hint="eastAsia" w:cs="宋体" w:asciiTheme="minorEastAsia" w:hAnsiTheme="minorEastAsia"/>
                <w:b/>
                <w:sz w:val="24"/>
                <w:highlight w:val="none"/>
                <w:u w:val="single"/>
              </w:rPr>
              <w:t xml:space="preserve">    </w:t>
            </w:r>
            <w:r>
              <w:rPr>
                <w:rFonts w:hint="eastAsia" w:cs="宋体" w:asciiTheme="minorEastAsia" w:hAnsiTheme="minorEastAsia"/>
                <w:b/>
                <w:sz w:val="24"/>
                <w:highlight w:val="none"/>
              </w:rPr>
              <w:t>日历日</w:t>
            </w:r>
          </w:p>
        </w:tc>
      </w:tr>
      <w:tr w14:paraId="67F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00672F9">
            <w:pPr>
              <w:snapToGrid w:val="0"/>
              <w:jc w:val="center"/>
              <w:rPr>
                <w:rFonts w:cs="宋体" w:asciiTheme="minorEastAsia" w:hAnsiTheme="minorEastAsia"/>
                <w:b/>
                <w:bCs/>
                <w:sz w:val="24"/>
                <w:highlight w:val="none"/>
              </w:rPr>
            </w:pPr>
            <w:r>
              <w:rPr>
                <w:rFonts w:hint="eastAsia" w:cs="宋体" w:asciiTheme="minorEastAsia" w:hAnsiTheme="minorEastAsia"/>
                <w:b/>
                <w:bCs/>
                <w:sz w:val="24"/>
                <w:highlight w:val="none"/>
              </w:rPr>
              <w:t>是否响应付款方式</w:t>
            </w:r>
          </w:p>
        </w:tc>
        <w:tc>
          <w:tcPr>
            <w:tcW w:w="3557" w:type="pct"/>
            <w:vAlign w:val="center"/>
          </w:tcPr>
          <w:p w14:paraId="08FDE88C">
            <w:pPr>
              <w:snapToGrid w:val="0"/>
              <w:rPr>
                <w:rFonts w:cs="宋体" w:asciiTheme="minorEastAsia" w:hAnsiTheme="minorEastAsia"/>
                <w:bCs/>
                <w:sz w:val="24"/>
                <w:highlight w:val="none"/>
              </w:rPr>
            </w:pPr>
            <w:r>
              <w:rPr>
                <w:rFonts w:hint="eastAsia" w:cs="宋体" w:asciiTheme="minorEastAsia" w:hAnsiTheme="minorEastAsia"/>
                <w:sz w:val="24"/>
                <w:highlight w:val="none"/>
              </w:rPr>
              <w:t>是☑    否□   （划√）</w:t>
            </w:r>
          </w:p>
        </w:tc>
      </w:tr>
      <w:tr w14:paraId="2B56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33A49A35">
            <w:pPr>
              <w:jc w:val="center"/>
              <w:rPr>
                <w:rFonts w:cs="宋体" w:asciiTheme="minorEastAsia" w:hAnsiTheme="minorEastAsia"/>
                <w:b/>
                <w:sz w:val="24"/>
                <w:highlight w:val="none"/>
              </w:rPr>
            </w:pPr>
            <w:r>
              <w:rPr>
                <w:rFonts w:hint="eastAsia" w:cs="宋体" w:asciiTheme="minorEastAsia" w:hAnsiTheme="minorEastAsia"/>
                <w:b/>
                <w:sz w:val="24"/>
                <w:highlight w:val="none"/>
              </w:rPr>
              <w:t>备注说明</w:t>
            </w:r>
          </w:p>
        </w:tc>
        <w:tc>
          <w:tcPr>
            <w:tcW w:w="3557" w:type="pct"/>
          </w:tcPr>
          <w:p w14:paraId="049AE8DA">
            <w:pPr>
              <w:rPr>
                <w:rFonts w:cs="宋体" w:asciiTheme="minorEastAsia" w:hAnsiTheme="minorEastAsia"/>
                <w:b/>
                <w:sz w:val="24"/>
                <w:highlight w:val="none"/>
              </w:rPr>
            </w:pPr>
          </w:p>
        </w:tc>
      </w:tr>
    </w:tbl>
    <w:p w14:paraId="5FC3F618">
      <w:pPr>
        <w:spacing w:line="440" w:lineRule="exact"/>
        <w:ind w:firstLine="4800" w:firstLineChars="2000"/>
        <w:rPr>
          <w:rFonts w:cs="@仿宋_GB2312"/>
          <w:sz w:val="24"/>
          <w:highlight w:val="none"/>
          <w:u w:val="single"/>
        </w:rPr>
      </w:pPr>
      <w:r>
        <w:rPr>
          <w:rFonts w:hint="eastAsia" w:cs="@仿宋_GB2312"/>
          <w:sz w:val="24"/>
          <w:highlight w:val="none"/>
        </w:rPr>
        <w:t>供应商电子签章：</w:t>
      </w:r>
      <w:r>
        <w:rPr>
          <w:rFonts w:hint="eastAsia" w:cs="@仿宋_GB2312"/>
          <w:sz w:val="24"/>
          <w:highlight w:val="none"/>
          <w:u w:val="single"/>
        </w:rPr>
        <w:t xml:space="preserve">     </w:t>
      </w:r>
      <w:r>
        <w:rPr>
          <w:rFonts w:cs="@仿宋_GB2312"/>
          <w:sz w:val="24"/>
          <w:highlight w:val="none"/>
          <w:u w:val="single"/>
        </w:rPr>
        <w:t xml:space="preserve">    </w:t>
      </w:r>
      <w:r>
        <w:rPr>
          <w:rFonts w:hint="eastAsia" w:cs="@仿宋_GB2312"/>
          <w:sz w:val="24"/>
          <w:highlight w:val="none"/>
          <w:u w:val="single"/>
        </w:rPr>
        <w:t xml:space="preserve">    </w:t>
      </w:r>
    </w:p>
    <w:p w14:paraId="4C33547F">
      <w:pPr>
        <w:spacing w:line="440" w:lineRule="exact"/>
        <w:ind w:firstLine="4800" w:firstLineChars="2000"/>
        <w:rPr>
          <w:rFonts w:cs="@仿宋_GB2312"/>
          <w:sz w:val="24"/>
          <w:highlight w:val="none"/>
          <w:u w:val="single"/>
        </w:rPr>
      </w:pPr>
      <w:r>
        <w:rPr>
          <w:rFonts w:hint="eastAsia" w:cs="@仿宋_GB2312"/>
          <w:sz w:val="24"/>
          <w:highlight w:val="none"/>
        </w:rPr>
        <w:t xml:space="preserve">日     </w:t>
      </w:r>
      <w:r>
        <w:rPr>
          <w:rFonts w:cs="@仿宋_GB2312"/>
          <w:sz w:val="24"/>
          <w:highlight w:val="none"/>
        </w:rPr>
        <w:t xml:space="preserve">    </w:t>
      </w:r>
      <w:r>
        <w:rPr>
          <w:rFonts w:hint="eastAsia" w:cs="@仿宋_GB2312"/>
          <w:sz w:val="24"/>
          <w:highlight w:val="none"/>
        </w:rPr>
        <w:t xml:space="preserve"> 期：</w:t>
      </w:r>
      <w:r>
        <w:rPr>
          <w:rFonts w:hint="eastAsia" w:cs="@仿宋_GB2312"/>
          <w:sz w:val="24"/>
          <w:highlight w:val="none"/>
          <w:u w:val="single"/>
        </w:rPr>
        <w:t xml:space="preserve">             </w:t>
      </w:r>
    </w:p>
    <w:p w14:paraId="7B798CB7">
      <w:pPr>
        <w:adjustRightInd w:val="0"/>
        <w:snapToGrid w:val="0"/>
        <w:spacing w:line="360" w:lineRule="auto"/>
        <w:rPr>
          <w:rFonts w:cs="宋体" w:asciiTheme="minorEastAsia" w:hAnsiTheme="minorEastAsia"/>
          <w:b/>
          <w:bCs/>
          <w:sz w:val="24"/>
          <w:highlight w:val="none"/>
        </w:rPr>
      </w:pPr>
      <w:r>
        <w:rPr>
          <w:rFonts w:hint="eastAsia" w:cs="宋体" w:asciiTheme="minorEastAsia" w:hAnsiTheme="minorEastAsia"/>
          <w:b/>
          <w:bCs/>
          <w:sz w:val="24"/>
          <w:highlight w:val="none"/>
        </w:rPr>
        <w:t>注：</w:t>
      </w:r>
    </w:p>
    <w:p w14:paraId="7C2E70C5">
      <w:pPr>
        <w:adjustRightInd w:val="0"/>
        <w:snapToGrid w:val="0"/>
        <w:spacing w:line="360" w:lineRule="auto"/>
        <w:ind w:firstLine="482" w:firstLineChars="200"/>
        <w:rPr>
          <w:rFonts w:cs="宋体" w:asciiTheme="minorEastAsia" w:hAnsiTheme="minorEastAsia"/>
          <w:sz w:val="24"/>
          <w:highlight w:val="none"/>
        </w:rPr>
      </w:pPr>
      <w:r>
        <w:rPr>
          <w:rFonts w:hint="eastAsia" w:cs="宋体" w:asciiTheme="minorEastAsia" w:hAnsiTheme="minorEastAsia"/>
          <w:b/>
          <w:bCs/>
          <w:sz w:val="24"/>
          <w:highlight w:val="none"/>
        </w:rPr>
        <w:t>1.本表内容根据磋商文件要求包括了磋商文件要求提供的全部内容的所有费用。</w:t>
      </w:r>
    </w:p>
    <w:p w14:paraId="076B61A5">
      <w:pPr>
        <w:adjustRightInd w:val="0"/>
        <w:snapToGrid w:val="0"/>
        <w:spacing w:line="360" w:lineRule="auto"/>
        <w:ind w:firstLine="482" w:firstLineChars="200"/>
        <w:rPr>
          <w:rFonts w:cs="宋体" w:asciiTheme="minorEastAsia" w:hAnsiTheme="minorEastAsia"/>
          <w:b/>
          <w:bCs/>
          <w:sz w:val="24"/>
          <w:highlight w:val="none"/>
        </w:rPr>
      </w:pPr>
      <w:r>
        <w:rPr>
          <w:rFonts w:hint="eastAsia" w:cs="宋体" w:asciiTheme="minorEastAsia" w:hAnsiTheme="minorEastAsia"/>
          <w:b/>
          <w:bCs/>
          <w:sz w:val="24"/>
          <w:highlight w:val="none"/>
        </w:rPr>
        <w:t>2.特殊事项在备注中注明。</w:t>
      </w:r>
    </w:p>
    <w:p w14:paraId="697648B5">
      <w:pPr>
        <w:adjustRightInd w:val="0"/>
        <w:snapToGrid w:val="0"/>
        <w:spacing w:line="360" w:lineRule="auto"/>
        <w:ind w:firstLine="482" w:firstLineChars="200"/>
        <w:rPr>
          <w:rFonts w:ascii="宋体" w:hAnsi="宋体" w:eastAsia="宋体"/>
          <w:b/>
          <w:bCs/>
          <w:sz w:val="24"/>
          <w:szCs w:val="28"/>
          <w:highlight w:val="none"/>
        </w:rPr>
      </w:pPr>
      <w:r>
        <w:rPr>
          <w:rFonts w:hint="eastAsia"/>
          <w:b/>
          <w:bCs/>
          <w:sz w:val="24"/>
          <w:szCs w:val="28"/>
          <w:highlight w:val="none"/>
        </w:rPr>
        <w:t>3</w:t>
      </w:r>
      <w:r>
        <w:rPr>
          <w:rFonts w:hint="eastAsia" w:ascii="宋体" w:hAnsi="宋体" w:eastAsia="宋体"/>
          <w:b/>
          <w:bCs/>
          <w:sz w:val="24"/>
          <w:szCs w:val="28"/>
          <w:highlight w:val="none"/>
        </w:rPr>
        <w:t>.表中大写金额与小写金额不一致的，以大写金额为准。</w:t>
      </w:r>
    </w:p>
    <w:p w14:paraId="6A9B10A7">
      <w:pPr>
        <w:rPr>
          <w:rFonts w:ascii="宋体" w:hAnsi="宋体" w:eastAsia="宋体"/>
          <w:b/>
          <w:bCs/>
          <w:sz w:val="24"/>
          <w:szCs w:val="28"/>
          <w:highlight w:val="none"/>
        </w:rPr>
      </w:pPr>
      <w:r>
        <w:rPr>
          <w:rFonts w:hint="eastAsia" w:ascii="宋体" w:hAnsi="宋体" w:eastAsia="宋体"/>
          <w:b/>
          <w:bCs/>
          <w:sz w:val="24"/>
          <w:szCs w:val="28"/>
          <w:highlight w:val="none"/>
        </w:rPr>
        <w:br w:type="page"/>
      </w:r>
    </w:p>
    <w:p w14:paraId="44B883C6">
      <w:pPr>
        <w:numPr>
          <w:ilvl w:val="1"/>
          <w:numId w:val="0"/>
        </w:numPr>
        <w:spacing w:before="156" w:beforeLines="50" w:after="156" w:afterLines="50" w:line="360" w:lineRule="auto"/>
        <w:jc w:val="left"/>
        <w:rPr>
          <w:rFonts w:cs="@仿宋_GB2312" w:asciiTheme="minorEastAsia" w:hAnsiTheme="minorEastAsia"/>
          <w:b/>
          <w:sz w:val="24"/>
          <w:highlight w:val="none"/>
        </w:rPr>
      </w:pPr>
      <w:r>
        <w:rPr>
          <w:rFonts w:cs="@仿宋_GB2312" w:asciiTheme="minorEastAsia" w:hAnsiTheme="minorEastAsia"/>
          <w:b/>
          <w:sz w:val="24"/>
          <w:highlight w:val="none"/>
        </w:rPr>
        <w:t>1-</w:t>
      </w:r>
      <w:r>
        <w:rPr>
          <w:rFonts w:hint="eastAsia" w:cs="@仿宋_GB2312" w:asciiTheme="minorEastAsia" w:hAnsiTheme="minorEastAsia"/>
          <w:b/>
          <w:sz w:val="24"/>
          <w:highlight w:val="none"/>
        </w:rPr>
        <w:t>2工程量清单报价书</w:t>
      </w:r>
    </w:p>
    <w:p w14:paraId="4F3CC22A">
      <w:pPr>
        <w:adjustRightInd w:val="0"/>
        <w:snapToGrid w:val="0"/>
        <w:spacing w:line="360" w:lineRule="auto"/>
        <w:ind w:firstLine="482" w:firstLineChars="200"/>
        <w:jc w:val="center"/>
        <w:rPr>
          <w:rFonts w:cs="宋体" w:asciiTheme="minorEastAsia" w:hAnsiTheme="minorEastAsia"/>
          <w:b/>
          <w:bCs/>
          <w:sz w:val="24"/>
          <w:highlight w:val="none"/>
        </w:rPr>
      </w:pPr>
      <w:bookmarkStart w:id="698" w:name="_Toc26702"/>
      <w:bookmarkStart w:id="699" w:name="_Toc1874"/>
      <w:r>
        <w:rPr>
          <w:rFonts w:hint="eastAsia" w:cs="宋体" w:asciiTheme="minorEastAsia" w:hAnsiTheme="minorEastAsia"/>
          <w:b/>
          <w:bCs/>
          <w:sz w:val="24"/>
          <w:highlight w:val="none"/>
        </w:rPr>
        <w:t>工程量清单报价书</w:t>
      </w:r>
      <w:bookmarkEnd w:id="698"/>
      <w:bookmarkEnd w:id="699"/>
    </w:p>
    <w:p w14:paraId="3ECFBCD5">
      <w:pPr>
        <w:adjustRightInd w:val="0"/>
        <w:snapToGrid w:val="0"/>
        <w:spacing w:line="360" w:lineRule="auto"/>
        <w:ind w:firstLine="482" w:firstLineChars="200"/>
        <w:jc w:val="center"/>
        <w:rPr>
          <w:rFonts w:cs="宋体" w:asciiTheme="minorEastAsia" w:hAnsiTheme="minorEastAsia"/>
          <w:b/>
          <w:bCs/>
          <w:sz w:val="24"/>
          <w:highlight w:val="none"/>
        </w:rPr>
      </w:pPr>
      <w:r>
        <w:rPr>
          <w:rFonts w:hint="eastAsia" w:cs="宋体" w:asciiTheme="minorEastAsia" w:hAnsiTheme="minorEastAsia"/>
          <w:b/>
          <w:bCs/>
          <w:sz w:val="24"/>
          <w:highlight w:val="none"/>
        </w:rPr>
        <w:t>（格式详见工程量清单）</w:t>
      </w:r>
    </w:p>
    <w:p w14:paraId="16C08F89">
      <w:pPr>
        <w:adjustRightInd w:val="0"/>
        <w:snapToGrid w:val="0"/>
        <w:spacing w:line="360" w:lineRule="auto"/>
        <w:ind w:firstLine="482" w:firstLineChars="200"/>
        <w:rPr>
          <w:rFonts w:cs="宋体" w:asciiTheme="minorEastAsia" w:hAnsiTheme="minorEastAsia"/>
          <w:b/>
          <w:bCs/>
          <w:sz w:val="24"/>
          <w:highlight w:val="none"/>
        </w:rPr>
      </w:pPr>
      <w:r>
        <w:rPr>
          <w:rFonts w:cs="宋体" w:asciiTheme="minorEastAsia" w:hAnsiTheme="minorEastAsia"/>
          <w:b/>
          <w:bCs/>
          <w:sz w:val="24"/>
          <w:highlight w:val="none"/>
        </w:rPr>
        <w:br w:type="page"/>
      </w:r>
    </w:p>
    <w:p w14:paraId="1EB95BDE">
      <w:pPr>
        <w:spacing w:line="360" w:lineRule="auto"/>
        <w:jc w:val="center"/>
        <w:outlineLvl w:val="1"/>
        <w:rPr>
          <w:rFonts w:asciiTheme="minorEastAsia" w:hAnsiTheme="minorEastAsia"/>
          <w:b/>
          <w:sz w:val="24"/>
          <w:highlight w:val="none"/>
        </w:rPr>
      </w:pPr>
      <w:bookmarkStart w:id="700" w:name="_Toc461053087"/>
      <w:bookmarkStart w:id="701" w:name="_Toc461056632"/>
      <w:bookmarkStart w:id="702" w:name="_Toc20879"/>
      <w:bookmarkStart w:id="703" w:name="_Toc520983588"/>
      <w:bookmarkStart w:id="704" w:name="_Toc22341"/>
      <w:r>
        <w:rPr>
          <w:rFonts w:hint="eastAsia" w:asciiTheme="minorEastAsia" w:hAnsiTheme="minorEastAsia"/>
          <w:b/>
          <w:sz w:val="24"/>
          <w:highlight w:val="none"/>
        </w:rPr>
        <w:t>二</w:t>
      </w:r>
      <w:bookmarkEnd w:id="700"/>
      <w:bookmarkEnd w:id="701"/>
      <w:r>
        <w:rPr>
          <w:rFonts w:hint="eastAsia" w:asciiTheme="minorEastAsia" w:hAnsiTheme="minorEastAsia"/>
          <w:b/>
          <w:sz w:val="24"/>
          <w:highlight w:val="none"/>
        </w:rPr>
        <w:t>、最后承诺报价表</w:t>
      </w:r>
      <w:bookmarkEnd w:id="702"/>
      <w:bookmarkEnd w:id="703"/>
      <w:bookmarkEnd w:id="704"/>
    </w:p>
    <w:p w14:paraId="65D79A68">
      <w:pPr>
        <w:spacing w:before="156" w:beforeLines="50" w:after="156" w:afterLines="50" w:line="360" w:lineRule="auto"/>
        <w:ind w:firstLine="236" w:firstLineChars="98"/>
        <w:jc w:val="center"/>
        <w:rPr>
          <w:b/>
          <w:sz w:val="24"/>
          <w:szCs w:val="28"/>
          <w:highlight w:val="none"/>
        </w:rPr>
      </w:pPr>
      <w:bookmarkStart w:id="705" w:name="_Toc13333"/>
      <w:bookmarkStart w:id="706" w:name="_Toc8562"/>
      <w:r>
        <w:rPr>
          <w:rFonts w:hint="eastAsia"/>
          <w:b/>
          <w:sz w:val="24"/>
          <w:szCs w:val="28"/>
          <w:highlight w:val="none"/>
        </w:rPr>
        <w:t>（第</w:t>
      </w:r>
      <w:r>
        <w:rPr>
          <w:rFonts w:hint="eastAsia"/>
          <w:b/>
          <w:sz w:val="24"/>
          <w:szCs w:val="28"/>
          <w:highlight w:val="none"/>
          <w:u w:val="single"/>
        </w:rPr>
        <w:t xml:space="preserve">   </w:t>
      </w:r>
      <w:r>
        <w:rPr>
          <w:rFonts w:hint="eastAsia"/>
          <w:b/>
          <w:sz w:val="24"/>
          <w:szCs w:val="28"/>
          <w:highlight w:val="none"/>
        </w:rPr>
        <w:t>次报价书）</w:t>
      </w:r>
      <w:bookmarkEnd w:id="705"/>
      <w:bookmarkEnd w:id="706"/>
    </w:p>
    <w:p w14:paraId="26E4E2B0">
      <w:pPr>
        <w:snapToGrid w:val="0"/>
        <w:spacing w:line="360" w:lineRule="auto"/>
        <w:jc w:val="left"/>
        <w:rPr>
          <w:rFonts w:cs="宋体" w:asciiTheme="minorEastAsia" w:hAnsiTheme="minorEastAsia"/>
          <w:b/>
          <w:sz w:val="24"/>
          <w:highlight w:val="none"/>
        </w:rPr>
      </w:pPr>
      <w:r>
        <w:rPr>
          <w:rFonts w:hint="eastAsia" w:cs="宋体" w:asciiTheme="minorEastAsia" w:hAnsiTheme="minorEastAsia"/>
          <w:b/>
          <w:sz w:val="24"/>
          <w:highlight w:val="none"/>
        </w:rPr>
        <w:t>项目名称：</w:t>
      </w:r>
      <w:r>
        <w:rPr>
          <w:rFonts w:hint="eastAsia" w:cs="宋体" w:asciiTheme="minorEastAsia" w:hAnsiTheme="minorEastAsia"/>
          <w:b/>
          <w:sz w:val="24"/>
          <w:highlight w:val="none"/>
          <w:u w:val="single"/>
        </w:rPr>
        <w:t xml:space="preserve">          </w:t>
      </w:r>
    </w:p>
    <w:p w14:paraId="11E466CF">
      <w:pPr>
        <w:snapToGrid w:val="0"/>
        <w:spacing w:after="156" w:afterLines="50" w:line="360" w:lineRule="auto"/>
        <w:jc w:val="left"/>
        <w:rPr>
          <w:rFonts w:cs="宋体" w:asciiTheme="minorEastAsia" w:hAnsiTheme="minorEastAsia"/>
          <w:b/>
          <w:bCs/>
          <w:sz w:val="24"/>
          <w:highlight w:val="none"/>
          <w:u w:val="single"/>
        </w:rPr>
      </w:pPr>
      <w:r>
        <w:rPr>
          <w:rFonts w:hint="eastAsia" w:cs="宋体" w:asciiTheme="minorEastAsia" w:hAnsiTheme="minorEastAsia"/>
          <w:b/>
          <w:sz w:val="24"/>
          <w:highlight w:val="none"/>
        </w:rPr>
        <w:t>项目编号：</w:t>
      </w:r>
      <w:r>
        <w:rPr>
          <w:rFonts w:hint="eastAsia" w:cs="宋体" w:asciiTheme="minorEastAsia" w:hAnsiTheme="minorEastAsia"/>
          <w:b/>
          <w:sz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6006"/>
      </w:tblGrid>
      <w:tr w14:paraId="0E41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76" w:type="pct"/>
            <w:tcBorders>
              <w:top w:val="single" w:color="auto" w:sz="4" w:space="0"/>
              <w:left w:val="single" w:color="auto" w:sz="4" w:space="0"/>
              <w:bottom w:val="single" w:color="auto" w:sz="4" w:space="0"/>
              <w:right w:val="single" w:color="auto" w:sz="4" w:space="0"/>
            </w:tcBorders>
            <w:vAlign w:val="center"/>
          </w:tcPr>
          <w:p w14:paraId="1919F116">
            <w:pPr>
              <w:jc w:val="center"/>
              <w:rPr>
                <w:rFonts w:cs="宋体" w:asciiTheme="minorEastAsia" w:hAnsiTheme="minorEastAsia"/>
                <w:b/>
                <w:sz w:val="24"/>
                <w:highlight w:val="none"/>
              </w:rPr>
            </w:pPr>
            <w:r>
              <w:rPr>
                <w:rFonts w:hint="eastAsia" w:cs="宋体" w:asciiTheme="minorEastAsia" w:hAnsiTheme="minorEastAsia"/>
                <w:b/>
                <w:sz w:val="24"/>
                <w:highlight w:val="none"/>
              </w:rPr>
              <w:t>供应商名称</w:t>
            </w:r>
          </w:p>
        </w:tc>
        <w:tc>
          <w:tcPr>
            <w:tcW w:w="3523" w:type="pct"/>
            <w:tcBorders>
              <w:left w:val="single" w:color="auto" w:sz="4" w:space="0"/>
            </w:tcBorders>
          </w:tcPr>
          <w:p w14:paraId="55F34C9C">
            <w:pPr>
              <w:rPr>
                <w:rFonts w:cs="宋体" w:asciiTheme="minorEastAsia" w:hAnsiTheme="minorEastAsia"/>
                <w:b/>
                <w:sz w:val="24"/>
                <w:highlight w:val="none"/>
              </w:rPr>
            </w:pPr>
          </w:p>
        </w:tc>
      </w:tr>
      <w:tr w14:paraId="226B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76" w:type="pct"/>
            <w:tcBorders>
              <w:top w:val="single" w:color="auto" w:sz="4" w:space="0"/>
              <w:left w:val="single" w:color="auto" w:sz="4" w:space="0"/>
              <w:bottom w:val="single" w:color="auto" w:sz="4" w:space="0"/>
              <w:right w:val="single" w:color="auto" w:sz="4" w:space="0"/>
            </w:tcBorders>
            <w:vAlign w:val="center"/>
          </w:tcPr>
          <w:p w14:paraId="7D5E166B">
            <w:pPr>
              <w:jc w:val="center"/>
              <w:rPr>
                <w:rFonts w:cs="宋体" w:asciiTheme="minorEastAsia" w:hAnsiTheme="minorEastAsia"/>
                <w:b/>
                <w:sz w:val="24"/>
                <w:highlight w:val="none"/>
              </w:rPr>
            </w:pPr>
            <w:r>
              <w:rPr>
                <w:rFonts w:hint="eastAsia" w:cs="宋体" w:asciiTheme="minorEastAsia" w:hAnsiTheme="minorEastAsia"/>
                <w:b/>
                <w:bCs/>
                <w:sz w:val="24"/>
                <w:highlight w:val="none"/>
              </w:rPr>
              <w:t>磋商</w:t>
            </w:r>
            <w:r>
              <w:rPr>
                <w:rFonts w:hint="eastAsia" w:cs="宋体" w:asciiTheme="minorEastAsia" w:hAnsiTheme="minorEastAsia"/>
                <w:b/>
                <w:sz w:val="24"/>
                <w:highlight w:val="none"/>
              </w:rPr>
              <w:t>范围</w:t>
            </w:r>
          </w:p>
        </w:tc>
        <w:tc>
          <w:tcPr>
            <w:tcW w:w="3523" w:type="pct"/>
            <w:tcBorders>
              <w:left w:val="single" w:color="auto" w:sz="4" w:space="0"/>
            </w:tcBorders>
            <w:vAlign w:val="center"/>
          </w:tcPr>
          <w:p w14:paraId="45CD057B">
            <w:pPr>
              <w:widowControl/>
              <w:rPr>
                <w:rFonts w:cs="宋体" w:asciiTheme="minorEastAsia" w:hAnsiTheme="minorEastAsia"/>
                <w:b/>
                <w:sz w:val="24"/>
                <w:highlight w:val="none"/>
              </w:rPr>
            </w:pPr>
            <w:r>
              <w:rPr>
                <w:rFonts w:hint="eastAsia" w:cs="@仿宋_GB2312" w:asciiTheme="minorEastAsia" w:hAnsiTheme="minorEastAsia"/>
                <w:sz w:val="24"/>
                <w:szCs w:val="28"/>
                <w:highlight w:val="none"/>
              </w:rPr>
              <w:t>第</w:t>
            </w:r>
            <w:r>
              <w:rPr>
                <w:rFonts w:hint="eastAsia" w:cs="@仿宋_GB2312" w:asciiTheme="minorEastAsia" w:hAnsiTheme="minorEastAsia"/>
                <w:sz w:val="24"/>
                <w:szCs w:val="28"/>
                <w:highlight w:val="none"/>
                <w:u w:val="single"/>
              </w:rPr>
              <w:t xml:space="preserve">   </w:t>
            </w:r>
            <w:r>
              <w:rPr>
                <w:rFonts w:hint="eastAsia" w:cs="@仿宋_GB2312" w:asciiTheme="minorEastAsia" w:hAnsiTheme="minorEastAsia"/>
                <w:sz w:val="24"/>
                <w:szCs w:val="28"/>
                <w:highlight w:val="none"/>
              </w:rPr>
              <w:t>包</w:t>
            </w:r>
          </w:p>
        </w:tc>
      </w:tr>
      <w:tr w14:paraId="2415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476" w:type="pct"/>
            <w:tcBorders>
              <w:top w:val="single" w:color="auto" w:sz="4" w:space="0"/>
            </w:tcBorders>
            <w:vAlign w:val="center"/>
          </w:tcPr>
          <w:p w14:paraId="4881E51B">
            <w:pPr>
              <w:spacing w:line="360" w:lineRule="auto"/>
              <w:jc w:val="center"/>
              <w:rPr>
                <w:rFonts w:cs="@仿宋_GB2312"/>
                <w:b/>
                <w:sz w:val="24"/>
                <w:highlight w:val="none"/>
              </w:rPr>
            </w:pPr>
            <w:r>
              <w:rPr>
                <w:rFonts w:hint="eastAsia" w:cs="@仿宋_GB2312"/>
                <w:b/>
                <w:bCs/>
                <w:sz w:val="24"/>
                <w:szCs w:val="28"/>
                <w:highlight w:val="none"/>
              </w:rPr>
              <w:t>最后报价</w:t>
            </w:r>
          </w:p>
          <w:p w14:paraId="59B3F16A">
            <w:pPr>
              <w:jc w:val="center"/>
              <w:rPr>
                <w:rFonts w:cs="宋体" w:asciiTheme="minorEastAsia" w:hAnsiTheme="minorEastAsia"/>
                <w:b/>
                <w:sz w:val="24"/>
                <w:highlight w:val="none"/>
              </w:rPr>
            </w:pPr>
          </w:p>
        </w:tc>
        <w:tc>
          <w:tcPr>
            <w:tcW w:w="3523" w:type="pct"/>
            <w:vAlign w:val="center"/>
          </w:tcPr>
          <w:p w14:paraId="55E1115A">
            <w:pPr>
              <w:snapToGrid w:val="0"/>
              <w:spacing w:line="360" w:lineRule="auto"/>
              <w:jc w:val="left"/>
              <w:rPr>
                <w:rFonts w:ascii="宋体" w:hAnsi="宋体" w:eastAsia="宋体" w:cs="宋体"/>
                <w:bCs/>
                <w:sz w:val="24"/>
                <w:highlight w:val="none"/>
                <w:u w:val="single"/>
              </w:rPr>
            </w:pPr>
            <w:r>
              <w:rPr>
                <w:rFonts w:hint="eastAsia" w:ascii="宋体" w:hAnsi="宋体" w:eastAsia="宋体" w:cs="宋体"/>
                <w:bCs/>
                <w:sz w:val="24"/>
                <w:highlight w:val="none"/>
              </w:rPr>
              <w:t>人民币大写：</w:t>
            </w:r>
            <w:r>
              <w:rPr>
                <w:rFonts w:hint="eastAsia" w:ascii="宋体" w:hAnsi="宋体" w:eastAsia="宋体" w:cs="宋体"/>
                <w:bCs/>
                <w:sz w:val="24"/>
                <w:highlight w:val="none"/>
                <w:u w:val="single"/>
              </w:rPr>
              <w:t xml:space="preserve">                     </w:t>
            </w:r>
          </w:p>
          <w:p w14:paraId="745A4B97">
            <w:pPr>
              <w:spacing w:line="360" w:lineRule="auto"/>
              <w:ind w:right="-670"/>
              <w:rPr>
                <w:rFonts w:cs="宋体" w:asciiTheme="minorEastAsia" w:hAnsiTheme="minorEastAsia"/>
                <w:b/>
                <w:sz w:val="24"/>
                <w:highlight w:val="none"/>
              </w:rPr>
            </w:pPr>
            <w:r>
              <w:rPr>
                <w:rFonts w:hint="eastAsia" w:ascii="宋体" w:hAnsi="宋体" w:eastAsia="宋体" w:cs="宋体"/>
                <w:bCs/>
                <w:sz w:val="24"/>
                <w:highlight w:val="none"/>
              </w:rPr>
              <w:t>人民币小写：</w:t>
            </w:r>
            <w:r>
              <w:rPr>
                <w:rFonts w:hint="eastAsia" w:ascii="宋体" w:hAnsi="宋体" w:eastAsia="宋体" w:cs="宋体"/>
                <w:bCs/>
                <w:sz w:val="24"/>
                <w:highlight w:val="none"/>
                <w:u w:val="single"/>
              </w:rPr>
              <w:t xml:space="preserve">                     </w:t>
            </w:r>
          </w:p>
        </w:tc>
      </w:tr>
      <w:tr w14:paraId="1E01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516" w:type="dxa"/>
            <w:tcBorders>
              <w:top w:val="single" w:color="auto" w:sz="4" w:space="0"/>
            </w:tcBorders>
            <w:vAlign w:val="center"/>
          </w:tcPr>
          <w:p w14:paraId="291AB40C">
            <w:pPr>
              <w:jc w:val="center"/>
              <w:rPr>
                <w:rFonts w:cs="宋体" w:asciiTheme="minorEastAsia" w:hAnsiTheme="minorEastAsia"/>
                <w:b/>
                <w:sz w:val="24"/>
                <w:highlight w:val="none"/>
              </w:rPr>
            </w:pPr>
            <w:r>
              <w:rPr>
                <w:rFonts w:hint="eastAsia" w:cs="宋体" w:asciiTheme="minorEastAsia" w:hAnsiTheme="minorEastAsia"/>
                <w:b/>
                <w:sz w:val="24"/>
                <w:highlight w:val="none"/>
              </w:rPr>
              <w:t>折扣（详见备注说明）</w:t>
            </w:r>
          </w:p>
        </w:tc>
        <w:tc>
          <w:tcPr>
            <w:tcW w:w="6006" w:type="dxa"/>
            <w:vAlign w:val="center"/>
          </w:tcPr>
          <w:p w14:paraId="1C669FE1">
            <w:pPr>
              <w:snapToGrid w:val="0"/>
              <w:rPr>
                <w:rFonts w:ascii="宋体" w:hAnsi="宋体" w:eastAsia="宋体" w:cs="宋体"/>
                <w:bCs/>
                <w:sz w:val="24"/>
                <w:highlight w:val="none"/>
              </w:rPr>
            </w:pPr>
          </w:p>
        </w:tc>
      </w:tr>
      <w:tr w14:paraId="5E9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76" w:type="pct"/>
            <w:tcBorders>
              <w:top w:val="single" w:color="auto" w:sz="4" w:space="0"/>
            </w:tcBorders>
            <w:vAlign w:val="center"/>
          </w:tcPr>
          <w:p w14:paraId="4ACF6966">
            <w:pPr>
              <w:snapToGrid w:val="0"/>
              <w:jc w:val="center"/>
              <w:rPr>
                <w:rFonts w:cs="宋体" w:asciiTheme="minorEastAsia" w:hAnsiTheme="minorEastAsia"/>
                <w:b/>
                <w:sz w:val="24"/>
                <w:highlight w:val="none"/>
              </w:rPr>
            </w:pPr>
            <w:r>
              <w:rPr>
                <w:rFonts w:hint="eastAsia" w:cs="宋体" w:asciiTheme="minorEastAsia" w:hAnsiTheme="minorEastAsia"/>
                <w:b/>
                <w:bCs/>
                <w:sz w:val="24"/>
                <w:highlight w:val="none"/>
              </w:rPr>
              <w:t>质量标准</w:t>
            </w:r>
          </w:p>
        </w:tc>
        <w:tc>
          <w:tcPr>
            <w:tcW w:w="3523" w:type="pct"/>
            <w:vAlign w:val="center"/>
          </w:tcPr>
          <w:p w14:paraId="347D4A83">
            <w:pPr>
              <w:snapToGrid w:val="0"/>
              <w:rPr>
                <w:rFonts w:cs="宋体" w:asciiTheme="minorEastAsia" w:hAnsiTheme="minorEastAsia"/>
                <w:b/>
                <w:sz w:val="24"/>
                <w:highlight w:val="none"/>
              </w:rPr>
            </w:pPr>
            <w:r>
              <w:rPr>
                <w:rFonts w:hint="eastAsia" w:ascii="宋体" w:hAnsi="宋体" w:eastAsia="宋体"/>
                <w:sz w:val="24"/>
                <w:szCs w:val="18"/>
                <w:highlight w:val="none"/>
              </w:rPr>
              <w:t>合格</w:t>
            </w:r>
          </w:p>
        </w:tc>
      </w:tr>
      <w:tr w14:paraId="437B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76" w:type="pct"/>
            <w:tcBorders>
              <w:top w:val="single" w:color="auto" w:sz="4" w:space="0"/>
            </w:tcBorders>
            <w:vAlign w:val="center"/>
          </w:tcPr>
          <w:p w14:paraId="06A97F2E">
            <w:pPr>
              <w:snapToGrid w:val="0"/>
              <w:jc w:val="center"/>
              <w:rPr>
                <w:rFonts w:cs="宋体" w:asciiTheme="minorEastAsia" w:hAnsiTheme="minorEastAsia"/>
                <w:b/>
                <w:sz w:val="24"/>
                <w:highlight w:val="none"/>
              </w:rPr>
            </w:pPr>
            <w:r>
              <w:rPr>
                <w:rFonts w:hint="eastAsia" w:cs="宋体" w:asciiTheme="minorEastAsia" w:hAnsiTheme="minorEastAsia"/>
                <w:b/>
                <w:bCs/>
                <w:sz w:val="24"/>
                <w:highlight w:val="none"/>
              </w:rPr>
              <w:t>合同履约期限</w:t>
            </w:r>
          </w:p>
        </w:tc>
        <w:tc>
          <w:tcPr>
            <w:tcW w:w="3523" w:type="pct"/>
            <w:vAlign w:val="center"/>
          </w:tcPr>
          <w:p w14:paraId="3382F3B2">
            <w:pPr>
              <w:snapToGrid w:val="0"/>
              <w:rPr>
                <w:rFonts w:cs="宋体" w:asciiTheme="minorEastAsia" w:hAnsiTheme="minorEastAsia"/>
                <w:b/>
                <w:sz w:val="24"/>
                <w:highlight w:val="none"/>
              </w:rPr>
            </w:pPr>
            <w:r>
              <w:rPr>
                <w:rFonts w:hint="eastAsia" w:cs="宋体" w:asciiTheme="minorEastAsia" w:hAnsiTheme="minorEastAsia"/>
                <w:b/>
                <w:sz w:val="24"/>
                <w:highlight w:val="none"/>
                <w:u w:val="single"/>
              </w:rPr>
              <w:t xml:space="preserve">    </w:t>
            </w:r>
            <w:r>
              <w:rPr>
                <w:rFonts w:hint="eastAsia" w:cs="宋体" w:asciiTheme="minorEastAsia" w:hAnsiTheme="minorEastAsia"/>
                <w:b/>
                <w:sz w:val="24"/>
                <w:highlight w:val="none"/>
              </w:rPr>
              <w:t>日历日</w:t>
            </w:r>
          </w:p>
        </w:tc>
      </w:tr>
      <w:tr w14:paraId="62F4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76" w:type="pct"/>
            <w:tcBorders>
              <w:top w:val="single" w:color="auto" w:sz="4" w:space="0"/>
            </w:tcBorders>
            <w:vAlign w:val="center"/>
          </w:tcPr>
          <w:p w14:paraId="70041B45">
            <w:pPr>
              <w:snapToGrid w:val="0"/>
              <w:jc w:val="center"/>
              <w:rPr>
                <w:rFonts w:cs="宋体" w:asciiTheme="minorEastAsia" w:hAnsiTheme="minorEastAsia"/>
                <w:b/>
                <w:bCs/>
                <w:sz w:val="24"/>
                <w:highlight w:val="none"/>
              </w:rPr>
            </w:pPr>
            <w:r>
              <w:rPr>
                <w:rFonts w:hint="eastAsia" w:cs="宋体" w:asciiTheme="minorEastAsia" w:hAnsiTheme="minorEastAsia"/>
                <w:b/>
                <w:bCs/>
                <w:sz w:val="24"/>
                <w:highlight w:val="none"/>
              </w:rPr>
              <w:t>是否响应付款方式</w:t>
            </w:r>
          </w:p>
        </w:tc>
        <w:tc>
          <w:tcPr>
            <w:tcW w:w="3523" w:type="pct"/>
            <w:vAlign w:val="center"/>
          </w:tcPr>
          <w:p w14:paraId="3A5D6F47">
            <w:pPr>
              <w:snapToGrid w:val="0"/>
              <w:rPr>
                <w:rFonts w:cs="宋体" w:asciiTheme="minorEastAsia" w:hAnsiTheme="minorEastAsia"/>
                <w:bCs/>
                <w:sz w:val="24"/>
                <w:highlight w:val="none"/>
              </w:rPr>
            </w:pPr>
            <w:r>
              <w:rPr>
                <w:rFonts w:hint="eastAsia" w:cs="宋体" w:asciiTheme="minorEastAsia" w:hAnsiTheme="minorEastAsia"/>
                <w:sz w:val="24"/>
                <w:highlight w:val="none"/>
              </w:rPr>
              <w:t>是☑    否□   （划√）</w:t>
            </w:r>
          </w:p>
        </w:tc>
      </w:tr>
      <w:tr w14:paraId="60E0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476" w:type="pct"/>
            <w:vAlign w:val="center"/>
          </w:tcPr>
          <w:p w14:paraId="505E1344">
            <w:pPr>
              <w:jc w:val="center"/>
              <w:rPr>
                <w:rFonts w:cs="宋体" w:asciiTheme="minorEastAsia" w:hAnsiTheme="minorEastAsia"/>
                <w:b/>
                <w:sz w:val="24"/>
                <w:highlight w:val="none"/>
              </w:rPr>
            </w:pPr>
            <w:r>
              <w:rPr>
                <w:rFonts w:hint="eastAsia" w:cs="宋体" w:asciiTheme="minorEastAsia" w:hAnsiTheme="minorEastAsia"/>
                <w:b/>
                <w:sz w:val="24"/>
                <w:highlight w:val="none"/>
              </w:rPr>
              <w:t>备注说明</w:t>
            </w:r>
          </w:p>
        </w:tc>
        <w:tc>
          <w:tcPr>
            <w:tcW w:w="3523" w:type="pct"/>
          </w:tcPr>
          <w:p w14:paraId="02E5D1AB">
            <w:pPr>
              <w:rPr>
                <w:rFonts w:cs="宋体" w:asciiTheme="minorEastAsia" w:hAnsiTheme="minorEastAsia"/>
                <w:b/>
                <w:sz w:val="24"/>
                <w:highlight w:val="none"/>
              </w:rPr>
            </w:pPr>
          </w:p>
        </w:tc>
      </w:tr>
      <w:tr w14:paraId="57B0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476" w:type="pct"/>
            <w:vAlign w:val="center"/>
          </w:tcPr>
          <w:p w14:paraId="54C61022">
            <w:pPr>
              <w:jc w:val="center"/>
              <w:rPr>
                <w:rFonts w:cs="宋体" w:asciiTheme="minorEastAsia" w:hAnsiTheme="minorEastAsia"/>
                <w:b/>
                <w:sz w:val="24"/>
                <w:highlight w:val="none"/>
              </w:rPr>
            </w:pPr>
            <w:r>
              <w:rPr>
                <w:rFonts w:hint="eastAsia" w:cs="宋体" w:asciiTheme="minorEastAsia" w:hAnsiTheme="minorEastAsia"/>
                <w:b/>
                <w:sz w:val="24"/>
                <w:highlight w:val="none"/>
              </w:rPr>
              <w:t>磋商小组签字</w:t>
            </w:r>
          </w:p>
        </w:tc>
        <w:tc>
          <w:tcPr>
            <w:tcW w:w="3523" w:type="pct"/>
          </w:tcPr>
          <w:p w14:paraId="6EFF40B2">
            <w:pPr>
              <w:rPr>
                <w:rFonts w:cs="宋体" w:asciiTheme="minorEastAsia" w:hAnsiTheme="minorEastAsia"/>
                <w:b/>
                <w:sz w:val="24"/>
                <w:highlight w:val="none"/>
              </w:rPr>
            </w:pPr>
          </w:p>
        </w:tc>
      </w:tr>
    </w:tbl>
    <w:p w14:paraId="6F9CC188">
      <w:pPr>
        <w:spacing w:line="440" w:lineRule="exact"/>
        <w:ind w:firstLine="3600" w:firstLineChars="1500"/>
        <w:rPr>
          <w:rFonts w:cs="@仿宋_GB2312"/>
          <w:sz w:val="24"/>
          <w:highlight w:val="none"/>
          <w:u w:val="single"/>
        </w:rPr>
      </w:pPr>
      <w:r>
        <w:rPr>
          <w:rFonts w:hint="eastAsia" w:cs="@仿宋_GB2312"/>
          <w:sz w:val="24"/>
          <w:highlight w:val="none"/>
        </w:rPr>
        <w:t>供应商公章或授权代表签字：</w:t>
      </w:r>
      <w:r>
        <w:rPr>
          <w:rFonts w:hint="eastAsia" w:cs="@仿宋_GB2312"/>
          <w:sz w:val="24"/>
          <w:highlight w:val="none"/>
          <w:u w:val="single"/>
        </w:rPr>
        <w:t xml:space="preserve">     </w:t>
      </w:r>
      <w:r>
        <w:rPr>
          <w:rFonts w:cs="@仿宋_GB2312"/>
          <w:sz w:val="24"/>
          <w:highlight w:val="none"/>
          <w:u w:val="single"/>
        </w:rPr>
        <w:t xml:space="preserve">    </w:t>
      </w:r>
      <w:r>
        <w:rPr>
          <w:rFonts w:hint="eastAsia" w:cs="@仿宋_GB2312"/>
          <w:sz w:val="24"/>
          <w:highlight w:val="none"/>
          <w:u w:val="single"/>
        </w:rPr>
        <w:t xml:space="preserve">    </w:t>
      </w:r>
    </w:p>
    <w:p w14:paraId="23F81213">
      <w:pPr>
        <w:spacing w:line="440" w:lineRule="exact"/>
        <w:ind w:firstLine="4800" w:firstLineChars="2000"/>
        <w:rPr>
          <w:rFonts w:cs="宋体" w:asciiTheme="minorEastAsia" w:hAnsiTheme="minorEastAsia"/>
          <w:b/>
          <w:bCs/>
          <w:sz w:val="24"/>
          <w:highlight w:val="none"/>
        </w:rPr>
      </w:pPr>
      <w:r>
        <w:rPr>
          <w:rFonts w:hint="eastAsia" w:cs="@仿宋_GB2312"/>
          <w:sz w:val="24"/>
          <w:highlight w:val="none"/>
        </w:rPr>
        <w:t xml:space="preserve">日     </w:t>
      </w:r>
      <w:r>
        <w:rPr>
          <w:rFonts w:cs="@仿宋_GB2312"/>
          <w:sz w:val="24"/>
          <w:highlight w:val="none"/>
        </w:rPr>
        <w:t xml:space="preserve">    </w:t>
      </w:r>
      <w:r>
        <w:rPr>
          <w:rFonts w:hint="eastAsia" w:cs="@仿宋_GB2312"/>
          <w:sz w:val="24"/>
          <w:highlight w:val="none"/>
        </w:rPr>
        <w:t xml:space="preserve"> 期：</w:t>
      </w:r>
      <w:r>
        <w:rPr>
          <w:rFonts w:hint="eastAsia" w:cs="@仿宋_GB2312"/>
          <w:sz w:val="24"/>
          <w:highlight w:val="none"/>
          <w:u w:val="single"/>
        </w:rPr>
        <w:t xml:space="preserve">             </w:t>
      </w:r>
    </w:p>
    <w:p w14:paraId="3154BF84">
      <w:pPr>
        <w:spacing w:line="360" w:lineRule="auto"/>
        <w:jc w:val="left"/>
        <w:rPr>
          <w:rFonts w:cs="宋体" w:asciiTheme="minorEastAsia" w:hAnsiTheme="minorEastAsia"/>
          <w:b/>
          <w:bCs/>
          <w:sz w:val="24"/>
          <w:highlight w:val="none"/>
        </w:rPr>
      </w:pPr>
      <w:r>
        <w:rPr>
          <w:rFonts w:hint="eastAsia" w:cs="宋体" w:asciiTheme="minorEastAsia" w:hAnsiTheme="minorEastAsia"/>
          <w:b/>
          <w:bCs/>
          <w:sz w:val="24"/>
          <w:highlight w:val="none"/>
        </w:rPr>
        <w:t>注：</w:t>
      </w:r>
    </w:p>
    <w:p w14:paraId="3373C35C">
      <w:pPr>
        <w:spacing w:line="360" w:lineRule="auto"/>
        <w:ind w:firstLine="482" w:firstLineChars="200"/>
        <w:jc w:val="left"/>
        <w:rPr>
          <w:bCs/>
          <w:sz w:val="24"/>
          <w:highlight w:val="none"/>
        </w:rPr>
      </w:pPr>
      <w:r>
        <w:rPr>
          <w:rFonts w:hint="eastAsia" w:cs="宋体" w:asciiTheme="minorEastAsia" w:hAnsiTheme="minorEastAsia"/>
          <w:b/>
          <w:bCs/>
          <w:sz w:val="24"/>
          <w:highlight w:val="none"/>
        </w:rPr>
        <w:t>1.</w:t>
      </w:r>
      <w:r>
        <w:rPr>
          <w:rFonts w:hint="eastAsia" w:cs="@仿宋_GB2312"/>
          <w:b/>
          <w:bCs/>
          <w:sz w:val="24"/>
          <w:highlight w:val="none"/>
        </w:rPr>
        <w:t>本页《报价表》由供应商在接到报价通知后依据磋商情况填写,并在规定时间内提交。</w:t>
      </w:r>
    </w:p>
    <w:p w14:paraId="71681F23">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2.表中大写金额与小写金额不一致的，以大写金额为准。</w:t>
      </w:r>
    </w:p>
    <w:p w14:paraId="34C9DCED">
      <w:pPr>
        <w:widowControl/>
        <w:jc w:val="left"/>
        <w:rPr>
          <w:bCs/>
          <w:sz w:val="24"/>
          <w:highlight w:val="none"/>
        </w:rPr>
      </w:pPr>
      <w:r>
        <w:rPr>
          <w:bCs/>
          <w:sz w:val="24"/>
          <w:highlight w:val="none"/>
        </w:rPr>
        <w:br w:type="page"/>
      </w:r>
    </w:p>
    <w:p w14:paraId="5734690D">
      <w:pPr>
        <w:keepNext/>
        <w:keepLines/>
        <w:spacing w:before="260" w:after="260" w:line="416" w:lineRule="auto"/>
        <w:jc w:val="center"/>
        <w:outlineLvl w:val="1"/>
        <w:rPr>
          <w:rFonts w:cs="@仿宋_GB2312" w:asciiTheme="minorEastAsia" w:hAnsiTheme="minorEastAsia"/>
          <w:b/>
          <w:bCs/>
          <w:sz w:val="24"/>
          <w:highlight w:val="none"/>
        </w:rPr>
      </w:pPr>
      <w:bookmarkStart w:id="707" w:name="_Toc7943"/>
      <w:bookmarkStart w:id="708" w:name="_Toc22429"/>
      <w:bookmarkStart w:id="709" w:name="_Toc520983591"/>
      <w:r>
        <w:rPr>
          <w:rFonts w:hint="eastAsia" w:cs="@仿宋_GB2312" w:asciiTheme="minorEastAsia" w:hAnsiTheme="minorEastAsia"/>
          <w:b/>
          <w:bCs/>
          <w:sz w:val="24"/>
          <w:highlight w:val="none"/>
        </w:rPr>
        <w:t>三、供应商综合情况简介</w:t>
      </w:r>
      <w:bookmarkEnd w:id="707"/>
      <w:bookmarkEnd w:id="708"/>
    </w:p>
    <w:p w14:paraId="3652D9F0">
      <w:pPr>
        <w:spacing w:before="156" w:beforeLines="50" w:after="156" w:afterLines="50" w:line="360" w:lineRule="auto"/>
        <w:ind w:firstLine="235" w:firstLineChars="98"/>
        <w:jc w:val="center"/>
        <w:rPr>
          <w:sz w:val="24"/>
          <w:szCs w:val="28"/>
          <w:highlight w:val="none"/>
        </w:rPr>
      </w:pPr>
      <w:r>
        <w:rPr>
          <w:rFonts w:hint="eastAsia"/>
          <w:sz w:val="24"/>
          <w:szCs w:val="28"/>
          <w:highlight w:val="none"/>
        </w:rPr>
        <w:t>（供应商可自行制作格式）</w:t>
      </w:r>
    </w:p>
    <w:p w14:paraId="63E90625">
      <w:pPr>
        <w:widowControl/>
        <w:jc w:val="left"/>
        <w:rPr>
          <w:rFonts w:asciiTheme="minorEastAsia" w:hAnsiTheme="minorEastAsia"/>
          <w:b/>
          <w:sz w:val="24"/>
          <w:highlight w:val="none"/>
        </w:rPr>
      </w:pPr>
      <w:r>
        <w:rPr>
          <w:rFonts w:asciiTheme="minorEastAsia" w:hAnsiTheme="minorEastAsia"/>
          <w:b/>
          <w:sz w:val="24"/>
          <w:highlight w:val="none"/>
        </w:rPr>
        <w:br w:type="page"/>
      </w:r>
    </w:p>
    <w:p w14:paraId="42E5B970">
      <w:pPr>
        <w:spacing w:line="360" w:lineRule="auto"/>
        <w:jc w:val="center"/>
        <w:outlineLvl w:val="1"/>
        <w:rPr>
          <w:rFonts w:asciiTheme="minorEastAsia" w:hAnsiTheme="minorEastAsia"/>
          <w:b/>
          <w:sz w:val="24"/>
          <w:highlight w:val="none"/>
        </w:rPr>
      </w:pPr>
      <w:bookmarkStart w:id="710" w:name="_Toc8006"/>
      <w:bookmarkStart w:id="711" w:name="_Toc28160"/>
      <w:r>
        <w:rPr>
          <w:rFonts w:hint="eastAsia" w:asciiTheme="minorEastAsia" w:hAnsiTheme="minorEastAsia"/>
          <w:b/>
          <w:sz w:val="24"/>
          <w:highlight w:val="none"/>
        </w:rPr>
        <w:t>四、磋商响应函</w:t>
      </w:r>
      <w:bookmarkEnd w:id="709"/>
      <w:bookmarkEnd w:id="710"/>
      <w:bookmarkEnd w:id="711"/>
    </w:p>
    <w:p w14:paraId="605BBDFF">
      <w:pPr>
        <w:spacing w:line="360" w:lineRule="auto"/>
        <w:rPr>
          <w:rFonts w:cs="宋体" w:asciiTheme="minorEastAsia" w:hAnsiTheme="minorEastAsia"/>
          <w:b/>
          <w:sz w:val="24"/>
          <w:highlight w:val="none"/>
          <w:u w:val="single"/>
        </w:rPr>
      </w:pPr>
      <w:r>
        <w:rPr>
          <w:rFonts w:hint="eastAsia" w:cs="宋体" w:asciiTheme="minorEastAsia" w:hAnsiTheme="minorEastAsia"/>
          <w:b/>
          <w:sz w:val="24"/>
          <w:highlight w:val="none"/>
        </w:rPr>
        <w:t>致：</w:t>
      </w:r>
      <w:r>
        <w:rPr>
          <w:rFonts w:hint="eastAsia" w:cs="宋体" w:asciiTheme="minorEastAsia" w:hAnsiTheme="minorEastAsia"/>
          <w:b/>
          <w:sz w:val="24"/>
          <w:highlight w:val="none"/>
          <w:u w:val="single"/>
        </w:rPr>
        <w:t>采购人</w:t>
      </w:r>
    </w:p>
    <w:p w14:paraId="44AA2A21">
      <w:pPr>
        <w:spacing w:line="360" w:lineRule="auto"/>
        <w:ind w:firstLine="480" w:firstLineChars="200"/>
        <w:rPr>
          <w:rFonts w:cs="宋体" w:asciiTheme="minorEastAsia" w:hAnsiTheme="minorEastAsia"/>
          <w:sz w:val="24"/>
          <w:highlight w:val="none"/>
        </w:rPr>
      </w:pPr>
      <w:r>
        <w:rPr>
          <w:rFonts w:hint="eastAsia" w:cs="宋体" w:asciiTheme="minorEastAsia" w:hAnsiTheme="minorEastAsia"/>
          <w:sz w:val="24"/>
          <w:highlight w:val="none"/>
        </w:rPr>
        <w:t>根据贵方的竞争性磋商公告和磋商邀请，我方兹宣布同意如下：</w:t>
      </w:r>
    </w:p>
    <w:p w14:paraId="351028D6">
      <w:pPr>
        <w:spacing w:line="360" w:lineRule="auto"/>
        <w:ind w:firstLine="480" w:firstLineChars="200"/>
        <w:rPr>
          <w:rFonts w:cs="宋体" w:asciiTheme="minorEastAsia" w:hAnsiTheme="minorEastAsia"/>
          <w:sz w:val="24"/>
          <w:highlight w:val="none"/>
          <w:u w:val="single"/>
        </w:rPr>
      </w:pPr>
      <w:r>
        <w:rPr>
          <w:rFonts w:hint="eastAsia" w:cs="宋体" w:asciiTheme="minorEastAsia" w:hAnsiTheme="minorEastAsia"/>
          <w:sz w:val="24"/>
          <w:highlight w:val="none"/>
        </w:rPr>
        <w:t>1.经踏勘项目现场和研究上述磋商文件的磋商须知、合同条款、图纸和工程建设技术标准及其他有关文件后，我方接受上述文件要求，并对最高投标限价无异议。我方</w:t>
      </w:r>
      <w:r>
        <w:rPr>
          <w:rFonts w:hint="eastAsia" w:cs="宋体" w:asciiTheme="minorEastAsia" w:hAnsiTheme="minorEastAsia"/>
          <w:bCs/>
          <w:sz w:val="24"/>
          <w:highlight w:val="none"/>
        </w:rPr>
        <w:t>承诺按本磋商文件、施工图纸、合同条款和工程建设技术标准的条件、</w:t>
      </w:r>
      <w:r>
        <w:rPr>
          <w:rFonts w:hint="eastAsia" w:cs="宋体" w:asciiTheme="minorEastAsia" w:hAnsiTheme="minorEastAsia"/>
          <w:sz w:val="24"/>
          <w:highlight w:val="none"/>
        </w:rPr>
        <w:t>承担</w:t>
      </w:r>
      <w:r>
        <w:rPr>
          <w:rFonts w:hint="eastAsia" w:cs="宋体" w:asciiTheme="minorEastAsia" w:hAnsiTheme="minorEastAsia"/>
          <w:bCs/>
          <w:sz w:val="24"/>
          <w:highlight w:val="none"/>
        </w:rPr>
        <w:t>上述工程的施工、竣工，并承担任何质量缺陷保修责任。</w:t>
      </w:r>
    </w:p>
    <w:p w14:paraId="6F0866FD">
      <w:pPr>
        <w:spacing w:line="360" w:lineRule="auto"/>
        <w:ind w:firstLine="480" w:firstLineChars="200"/>
        <w:rPr>
          <w:rFonts w:cs="宋体" w:asciiTheme="minorEastAsia" w:hAnsiTheme="minorEastAsia"/>
          <w:sz w:val="24"/>
          <w:highlight w:val="none"/>
        </w:rPr>
      </w:pPr>
      <w:r>
        <w:rPr>
          <w:rFonts w:hint="eastAsia" w:cs="宋体" w:asciiTheme="minorEastAsia" w:hAnsiTheme="minorEastAsia"/>
          <w:sz w:val="24"/>
          <w:highlight w:val="none"/>
        </w:rPr>
        <w:t>2.我方已详细审核并确认全部磋商文件及有关附件，充分理解磋商价格不得低于企业个别成本有关规定。我方经成本核算，所填报的磋商报价不低于企业个别成本。</w:t>
      </w:r>
    </w:p>
    <w:p w14:paraId="42B79D19">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3.我方保证按磋商文件约定的工期和磋商文件或业主开工令的要求如期开工、工程质量达到合格标准、如期竣工并移交整个工程。</w:t>
      </w:r>
    </w:p>
    <w:p w14:paraId="2D301171">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4.我方同意所提交的响应文件在磋商文件规定的磋商有效期内有效，在此期间内如果成交，我方将受此约束。</w:t>
      </w:r>
    </w:p>
    <w:p w14:paraId="0BF3447E">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5.除非另外达成协议并生效，你方的成交通知书和本响应文件以及磋商文件、磋商文件澄清、修改、补充将成为约束双方的合同文件的组成部分。</w:t>
      </w:r>
    </w:p>
    <w:p w14:paraId="7B37A8DB">
      <w:pPr>
        <w:spacing w:line="360" w:lineRule="auto"/>
        <w:ind w:firstLine="480" w:firstLineChars="200"/>
        <w:rPr>
          <w:rFonts w:cs="宋体" w:asciiTheme="minorEastAsia" w:hAnsiTheme="minorEastAsia"/>
          <w:sz w:val="24"/>
          <w:highlight w:val="none"/>
          <w:u w:val="single"/>
        </w:rPr>
      </w:pPr>
      <w:r>
        <w:rPr>
          <w:rFonts w:hint="eastAsia" w:cs="宋体"/>
          <w:sz w:val="24"/>
          <w:highlight w:val="none"/>
        </w:rPr>
        <w:t>6</w:t>
      </w:r>
      <w:r>
        <w:rPr>
          <w:rFonts w:hint="eastAsia" w:ascii="宋体" w:hAnsi="宋体" w:eastAsia="宋体" w:cs="宋体"/>
          <w:sz w:val="24"/>
          <w:highlight w:val="none"/>
        </w:rPr>
        <w:t>.其他补充说明</w:t>
      </w:r>
      <w:r>
        <w:rPr>
          <w:rFonts w:hint="eastAsia" w:cs="宋体" w:asciiTheme="minorEastAsia" w:hAnsiTheme="minorEastAsia"/>
          <w:sz w:val="24"/>
          <w:highlight w:val="none"/>
        </w:rPr>
        <w:t>：</w:t>
      </w:r>
      <w:r>
        <w:rPr>
          <w:rFonts w:hint="eastAsia" w:cs="宋体" w:asciiTheme="minorEastAsia" w:hAnsiTheme="minorEastAsia"/>
          <w:sz w:val="24"/>
          <w:highlight w:val="none"/>
          <w:u w:val="single"/>
        </w:rPr>
        <w:t xml:space="preserve">  （</w:t>
      </w:r>
      <w:r>
        <w:rPr>
          <w:rFonts w:hint="eastAsia" w:cs="宋体" w:asciiTheme="minorEastAsia" w:hAnsiTheme="minorEastAsia"/>
          <w:i/>
          <w:iCs/>
          <w:sz w:val="24"/>
          <w:highlight w:val="none"/>
          <w:u w:val="single"/>
        </w:rPr>
        <w:t>如有</w:t>
      </w:r>
      <w:r>
        <w:rPr>
          <w:rFonts w:hint="eastAsia" w:cs="宋体" w:asciiTheme="minorEastAsia" w:hAnsiTheme="minorEastAsia"/>
          <w:sz w:val="24"/>
          <w:highlight w:val="none"/>
          <w:u w:val="single"/>
        </w:rPr>
        <w:t xml:space="preserve">）       </w:t>
      </w:r>
    </w:p>
    <w:p w14:paraId="4E2F2B51">
      <w:pPr>
        <w:pStyle w:val="53"/>
        <w:ind w:firstLine="210"/>
        <w:rPr>
          <w:highlight w:val="none"/>
        </w:rPr>
      </w:pPr>
    </w:p>
    <w:p w14:paraId="70D2CB30">
      <w:pPr>
        <w:spacing w:line="360" w:lineRule="auto"/>
        <w:ind w:firstLine="4800" w:firstLineChars="2000"/>
        <w:rPr>
          <w:rFonts w:cs="@仿宋_GB2312"/>
          <w:sz w:val="24"/>
          <w:highlight w:val="none"/>
        </w:rPr>
      </w:pPr>
      <w:r>
        <w:rPr>
          <w:rFonts w:hint="eastAsia" w:cs="@仿宋_GB2312"/>
          <w:sz w:val="24"/>
          <w:highlight w:val="none"/>
        </w:rPr>
        <w:t>供应商电子签章：</w:t>
      </w:r>
      <w:r>
        <w:rPr>
          <w:rFonts w:hint="eastAsia" w:cs="@仿宋_GB2312"/>
          <w:sz w:val="24"/>
          <w:highlight w:val="none"/>
          <w:u w:val="single"/>
        </w:rPr>
        <w:t xml:space="preserve">             </w:t>
      </w:r>
    </w:p>
    <w:p w14:paraId="30941692">
      <w:pPr>
        <w:spacing w:line="360" w:lineRule="auto"/>
        <w:ind w:firstLine="4800" w:firstLineChars="2000"/>
        <w:rPr>
          <w:rFonts w:cs="@仿宋_GB2312"/>
          <w:sz w:val="24"/>
          <w:highlight w:val="none"/>
          <w:u w:val="single"/>
        </w:rPr>
      </w:pPr>
      <w:r>
        <w:rPr>
          <w:rFonts w:hint="eastAsia" w:cs="@仿宋_GB2312"/>
          <w:sz w:val="24"/>
          <w:highlight w:val="none"/>
        </w:rPr>
        <w:t>日          期：</w:t>
      </w:r>
      <w:r>
        <w:rPr>
          <w:rFonts w:hint="eastAsia" w:cs="@仿宋_GB2312"/>
          <w:sz w:val="24"/>
          <w:highlight w:val="none"/>
          <w:u w:val="single"/>
        </w:rPr>
        <w:t xml:space="preserve">             </w:t>
      </w:r>
    </w:p>
    <w:p w14:paraId="0F6C639D">
      <w:pPr>
        <w:widowControl/>
        <w:jc w:val="left"/>
        <w:rPr>
          <w:sz w:val="24"/>
          <w:highlight w:val="none"/>
        </w:rPr>
      </w:pPr>
      <w:r>
        <w:rPr>
          <w:sz w:val="24"/>
          <w:highlight w:val="none"/>
        </w:rPr>
        <w:br w:type="page"/>
      </w:r>
    </w:p>
    <w:p w14:paraId="1EE8BC70">
      <w:pPr>
        <w:spacing w:line="360" w:lineRule="auto"/>
        <w:jc w:val="center"/>
        <w:outlineLvl w:val="1"/>
        <w:rPr>
          <w:b/>
          <w:i/>
          <w:sz w:val="24"/>
          <w:highlight w:val="none"/>
        </w:rPr>
      </w:pPr>
      <w:bookmarkStart w:id="712" w:name="_Toc2947"/>
      <w:bookmarkStart w:id="713" w:name="_Toc20728"/>
      <w:r>
        <w:rPr>
          <w:rFonts w:hint="eastAsia" w:asciiTheme="minorEastAsia" w:hAnsiTheme="minorEastAsia"/>
          <w:b/>
          <w:sz w:val="24"/>
          <w:highlight w:val="none"/>
        </w:rPr>
        <w:t>五、</w:t>
      </w:r>
      <w:bookmarkEnd w:id="712"/>
      <w:bookmarkStart w:id="714" w:name="_Toc8658"/>
      <w:r>
        <w:rPr>
          <w:rFonts w:hint="eastAsia" w:asciiTheme="minorEastAsia" w:hAnsiTheme="minorEastAsia"/>
          <w:b/>
          <w:sz w:val="24"/>
          <w:highlight w:val="none"/>
        </w:rPr>
        <w:t>供应商资格声明书</w:t>
      </w:r>
      <w:bookmarkEnd w:id="713"/>
      <w:r>
        <w:rPr>
          <w:rFonts w:hint="eastAsia" w:asciiTheme="minorEastAsia" w:hAnsiTheme="minorEastAsia"/>
          <w:b/>
          <w:sz w:val="24"/>
          <w:highlight w:val="none"/>
        </w:rPr>
        <w:t xml:space="preserve"> </w:t>
      </w:r>
    </w:p>
    <w:p w14:paraId="4E5DE870">
      <w:pPr>
        <w:pStyle w:val="29"/>
        <w:spacing w:line="360" w:lineRule="auto"/>
        <w:ind w:left="0" w:leftChars="0"/>
        <w:rPr>
          <w:rFonts w:eastAsia="宋体" w:asciiTheme="minorEastAsia" w:hAnsiTheme="minorEastAsia" w:cstheme="minorEastAsia"/>
          <w:b/>
          <w:bCs/>
          <w:sz w:val="24"/>
          <w:highlight w:val="none"/>
        </w:rPr>
      </w:pPr>
      <w:r>
        <w:rPr>
          <w:rFonts w:hint="eastAsia" w:ascii="宋体" w:hAnsi="宋体"/>
          <w:b/>
          <w:bCs/>
          <w:sz w:val="24"/>
          <w:highlight w:val="none"/>
        </w:rPr>
        <w:t>致：</w:t>
      </w:r>
      <w:r>
        <w:rPr>
          <w:rFonts w:hint="eastAsia" w:ascii="宋体" w:hAnsi="宋体"/>
          <w:b/>
          <w:bCs/>
          <w:sz w:val="24"/>
          <w:highlight w:val="none"/>
          <w:u w:val="single"/>
        </w:rPr>
        <w:t>采购人</w:t>
      </w:r>
    </w:p>
    <w:p w14:paraId="56ED9664">
      <w:pPr>
        <w:widowControl/>
        <w:spacing w:line="360" w:lineRule="auto"/>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lang w:bidi="ar"/>
        </w:rPr>
        <w:t>在参与本次项目磋商中，我单位承诺：</w:t>
      </w:r>
    </w:p>
    <w:p w14:paraId="547C6C00">
      <w:pPr>
        <w:widowControl/>
        <w:spacing w:line="360" w:lineRule="auto"/>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lang w:bidi="ar"/>
        </w:rPr>
        <w:t>（一）具有良好的商业信誉和健全的财务会计制度；</w:t>
      </w:r>
    </w:p>
    <w:p w14:paraId="4E16E465">
      <w:pPr>
        <w:widowControl/>
        <w:spacing w:line="360" w:lineRule="auto"/>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lang w:bidi="ar"/>
        </w:rPr>
        <w:t>（二）具有履行合同所必需的设备和专业技术能力；</w:t>
      </w:r>
    </w:p>
    <w:p w14:paraId="0F8ABD2C">
      <w:pPr>
        <w:widowControl/>
        <w:spacing w:line="360" w:lineRule="auto"/>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lang w:bidi="ar"/>
        </w:rPr>
        <w:t>（三）有依法缴纳税收和社会保障资金的良好记录；</w:t>
      </w:r>
    </w:p>
    <w:p w14:paraId="14A60CEC">
      <w:pPr>
        <w:widowControl/>
        <w:spacing w:line="360" w:lineRule="auto"/>
        <w:jc w:val="left"/>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298B7FE">
      <w:pPr>
        <w:spacing w:line="360" w:lineRule="auto"/>
        <w:rPr>
          <w:rFonts w:ascii="宋体" w:hAnsi="宋体" w:eastAsia="宋体" w:cs="宋体"/>
          <w:sz w:val="24"/>
          <w:highlight w:val="none"/>
        </w:rPr>
      </w:pPr>
      <w:r>
        <w:rPr>
          <w:rFonts w:hint="eastAsia" w:cs="宋体"/>
          <w:sz w:val="24"/>
          <w:highlight w:val="none"/>
        </w:rPr>
        <w:t>（五）我单位</w:t>
      </w:r>
      <w:r>
        <w:rPr>
          <w:rFonts w:hint="eastAsia" w:ascii="宋体" w:hAnsi="宋体" w:eastAsia="宋体" w:cs="宋体"/>
          <w:sz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653AF4F7">
      <w:pPr>
        <w:spacing w:line="360" w:lineRule="auto"/>
        <w:rPr>
          <w:rFonts w:ascii="宋体" w:hAnsi="宋体" w:eastAsia="宋体" w:cs="宋体"/>
          <w:sz w:val="24"/>
          <w:highlight w:val="none"/>
        </w:rPr>
      </w:pPr>
      <w:r>
        <w:rPr>
          <w:rFonts w:hint="eastAsia" w:cs="宋体"/>
          <w:sz w:val="24"/>
          <w:highlight w:val="none"/>
        </w:rPr>
        <w:t>（六）我单位</w:t>
      </w:r>
      <w:r>
        <w:rPr>
          <w:rFonts w:hint="eastAsia" w:ascii="宋体" w:hAnsi="宋体" w:eastAsia="宋体" w:cs="宋体"/>
          <w:sz w:val="24"/>
          <w:highlight w:val="none"/>
        </w:rPr>
        <w:t>在本项目</w:t>
      </w:r>
      <w:r>
        <w:rPr>
          <w:rFonts w:hint="eastAsia" w:cs="宋体"/>
          <w:sz w:val="24"/>
          <w:highlight w:val="none"/>
        </w:rPr>
        <w:t>磋商</w:t>
      </w:r>
      <w:r>
        <w:rPr>
          <w:rFonts w:hint="eastAsia" w:ascii="宋体" w:hAnsi="宋体" w:eastAsia="宋体" w:cs="宋体"/>
          <w:sz w:val="24"/>
          <w:highlight w:val="none"/>
        </w:rPr>
        <w:t>有效期内，在本项目所在区域未存在因质量事故、安全事故等被限期承包工程或市场不良行为等被限制磋商资格行为，且处于处罚期内的情况；</w:t>
      </w:r>
    </w:p>
    <w:p w14:paraId="5BCC6FD0">
      <w:pPr>
        <w:spacing w:line="360" w:lineRule="auto"/>
        <w:rPr>
          <w:highlight w:val="none"/>
        </w:rPr>
      </w:pPr>
      <w:r>
        <w:rPr>
          <w:rFonts w:hint="eastAsia" w:cs="宋体"/>
          <w:sz w:val="24"/>
          <w:highlight w:val="none"/>
        </w:rPr>
        <w:t>（七）我单位</w:t>
      </w:r>
      <w:r>
        <w:rPr>
          <w:rFonts w:hint="eastAsia" w:ascii="宋体" w:hAnsi="宋体" w:eastAsia="宋体" w:cs="宋体"/>
          <w:sz w:val="24"/>
          <w:highlight w:val="none"/>
        </w:rPr>
        <w:t>未被“信用中国”网站列入拖欠农民工工资失信联合惩戒对象名单；</w:t>
      </w:r>
    </w:p>
    <w:p w14:paraId="65729179">
      <w:pPr>
        <w:widowControl/>
        <w:spacing w:line="360" w:lineRule="auto"/>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lang w:bidi="ar"/>
        </w:rPr>
        <w:t>（八）我单位不存在为采购项目提供整体设计、规范编制或者项目管理、监理、检测等服务后，再参加该采购项目的其他采购活动的情形（单一来源采购项目除外）；</w:t>
      </w:r>
    </w:p>
    <w:p w14:paraId="3B7BCF21">
      <w:pPr>
        <w:widowControl/>
        <w:spacing w:line="360" w:lineRule="auto"/>
        <w:jc w:val="left"/>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122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505CDD7">
            <w:pPr>
              <w:widowControl/>
              <w:spacing w:before="156" w:beforeLines="50" w:after="10"/>
              <w:jc w:val="center"/>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序号</w:t>
            </w:r>
          </w:p>
        </w:tc>
        <w:tc>
          <w:tcPr>
            <w:tcW w:w="2841" w:type="dxa"/>
          </w:tcPr>
          <w:p w14:paraId="7374B1A7">
            <w:pPr>
              <w:pStyle w:val="2"/>
              <w:spacing w:before="156" w:beforeLines="50" w:after="10"/>
              <w:jc w:val="center"/>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单位名称</w:t>
            </w:r>
          </w:p>
        </w:tc>
        <w:tc>
          <w:tcPr>
            <w:tcW w:w="2841" w:type="dxa"/>
          </w:tcPr>
          <w:p w14:paraId="2B82CD8D">
            <w:pPr>
              <w:pStyle w:val="2"/>
              <w:spacing w:before="156" w:beforeLines="50" w:after="10"/>
              <w:jc w:val="center"/>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相互关系</w:t>
            </w:r>
          </w:p>
        </w:tc>
      </w:tr>
      <w:tr w14:paraId="37AF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AFDDB3">
            <w:pPr>
              <w:pStyle w:val="2"/>
              <w:spacing w:before="156" w:beforeLines="50" w:after="10"/>
              <w:jc w:val="center"/>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1</w:t>
            </w:r>
          </w:p>
        </w:tc>
        <w:tc>
          <w:tcPr>
            <w:tcW w:w="2841" w:type="dxa"/>
          </w:tcPr>
          <w:p w14:paraId="5E7F1046">
            <w:pPr>
              <w:pStyle w:val="2"/>
              <w:spacing w:before="156" w:beforeLines="50" w:after="10"/>
              <w:jc w:val="center"/>
              <w:rPr>
                <w:rFonts w:asciiTheme="minorEastAsia" w:hAnsiTheme="minorEastAsia" w:cstheme="minorEastAsia"/>
                <w:kern w:val="0"/>
                <w:sz w:val="24"/>
                <w:highlight w:val="none"/>
                <w:lang w:bidi="ar"/>
              </w:rPr>
            </w:pPr>
          </w:p>
        </w:tc>
        <w:tc>
          <w:tcPr>
            <w:tcW w:w="2841" w:type="dxa"/>
          </w:tcPr>
          <w:p w14:paraId="6DB77517">
            <w:pPr>
              <w:pStyle w:val="2"/>
              <w:spacing w:before="156" w:beforeLines="50" w:after="10"/>
              <w:jc w:val="center"/>
              <w:rPr>
                <w:rFonts w:asciiTheme="minorEastAsia" w:hAnsiTheme="minorEastAsia" w:cstheme="minorEastAsia"/>
                <w:kern w:val="0"/>
                <w:sz w:val="24"/>
                <w:highlight w:val="none"/>
                <w:lang w:bidi="ar"/>
              </w:rPr>
            </w:pPr>
          </w:p>
        </w:tc>
      </w:tr>
      <w:tr w14:paraId="4616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CDD9D3C">
            <w:pPr>
              <w:pStyle w:val="2"/>
              <w:spacing w:before="156" w:beforeLines="50" w:after="10"/>
              <w:jc w:val="center"/>
              <w:rPr>
                <w:rFonts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2</w:t>
            </w:r>
          </w:p>
        </w:tc>
        <w:tc>
          <w:tcPr>
            <w:tcW w:w="2841" w:type="dxa"/>
          </w:tcPr>
          <w:p w14:paraId="76A37C7E">
            <w:pPr>
              <w:pStyle w:val="2"/>
              <w:spacing w:before="156" w:beforeLines="50" w:after="10"/>
              <w:jc w:val="center"/>
              <w:rPr>
                <w:rFonts w:asciiTheme="minorEastAsia" w:hAnsiTheme="minorEastAsia" w:cstheme="minorEastAsia"/>
                <w:kern w:val="0"/>
                <w:sz w:val="24"/>
                <w:highlight w:val="none"/>
                <w:lang w:bidi="ar"/>
              </w:rPr>
            </w:pPr>
          </w:p>
        </w:tc>
        <w:tc>
          <w:tcPr>
            <w:tcW w:w="2841" w:type="dxa"/>
          </w:tcPr>
          <w:p w14:paraId="423C8A8F">
            <w:pPr>
              <w:pStyle w:val="2"/>
              <w:spacing w:before="156" w:beforeLines="50" w:after="10"/>
              <w:jc w:val="center"/>
              <w:rPr>
                <w:rFonts w:asciiTheme="minorEastAsia" w:hAnsiTheme="minorEastAsia" w:cstheme="minorEastAsia"/>
                <w:kern w:val="0"/>
                <w:sz w:val="24"/>
                <w:highlight w:val="none"/>
                <w:lang w:bidi="ar"/>
              </w:rPr>
            </w:pPr>
          </w:p>
        </w:tc>
      </w:tr>
    </w:tbl>
    <w:p w14:paraId="7FF42FA0">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sz w:val="24"/>
          <w:highlight w:val="none"/>
        </w:rPr>
        <w:t>上述</w:t>
      </w:r>
      <w:r>
        <w:rPr>
          <w:rFonts w:hint="eastAsia" w:ascii="宋体" w:hAnsi="宋体" w:eastAsia="宋体"/>
          <w:sz w:val="24"/>
          <w:highlight w:val="none"/>
        </w:rPr>
        <w:t>声明的真实性负责。如有虚假，将依法承担相应责任。</w:t>
      </w:r>
    </w:p>
    <w:p w14:paraId="2E21DEFC">
      <w:pPr>
        <w:spacing w:line="360" w:lineRule="auto"/>
        <w:ind w:firstLine="4800" w:firstLineChars="2000"/>
        <w:rPr>
          <w:rFonts w:ascii="宋体" w:hAnsi="宋体" w:eastAsia="宋体"/>
          <w:sz w:val="24"/>
          <w:highlight w:val="none"/>
          <w:u w:val="single"/>
        </w:rPr>
      </w:pPr>
      <w:r>
        <w:rPr>
          <w:rFonts w:hint="eastAsia"/>
          <w:sz w:val="24"/>
          <w:highlight w:val="none"/>
        </w:rPr>
        <w:t>供应商</w:t>
      </w:r>
      <w:r>
        <w:rPr>
          <w:rFonts w:hint="eastAsia" w:ascii="宋体" w:hAnsi="宋体" w:eastAsia="宋体"/>
          <w:sz w:val="24"/>
          <w:highlight w:val="none"/>
        </w:rPr>
        <w:t>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A1FD659">
      <w:pPr>
        <w:spacing w:line="360" w:lineRule="auto"/>
        <w:jc w:val="center"/>
        <w:rPr>
          <w:rFonts w:asciiTheme="minorEastAsia" w:hAnsiTheme="minorEastAsia"/>
          <w:b/>
          <w:sz w:val="24"/>
          <w:highlight w:val="none"/>
        </w:rPr>
        <w:sectPr>
          <w:headerReference r:id="rId6" w:type="default"/>
          <w:footerReference r:id="rId7" w:type="default"/>
          <w:pgSz w:w="11906" w:h="16838"/>
          <w:pgMar w:top="1440" w:right="1800" w:bottom="1440" w:left="1800" w:header="851" w:footer="992" w:gutter="0"/>
          <w:cols w:space="425" w:num="1"/>
          <w:docGrid w:type="lines" w:linePitch="312" w:charSpace="0"/>
        </w:sectPr>
      </w:pPr>
      <w:r>
        <w:rPr>
          <w:rFonts w:hint="eastAsia"/>
          <w:sz w:val="24"/>
          <w:highlight w:val="none"/>
        </w:rPr>
        <w:t xml:space="preserve">                           </w:t>
      </w:r>
      <w:r>
        <w:rPr>
          <w:rFonts w:hint="eastAsia" w:ascii="宋体" w:hAnsi="宋体" w:eastAsia="宋体"/>
          <w:sz w:val="24"/>
          <w:highlight w:val="none"/>
        </w:rPr>
        <w:t>日          期：</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bookmarkEnd w:id="714"/>
    </w:p>
    <w:p w14:paraId="159FFC94">
      <w:pPr>
        <w:widowControl/>
        <w:jc w:val="center"/>
        <w:outlineLvl w:val="1"/>
        <w:rPr>
          <w:rFonts w:asciiTheme="minorEastAsia" w:hAnsiTheme="minorEastAsia"/>
          <w:b/>
          <w:sz w:val="24"/>
          <w:highlight w:val="none"/>
        </w:rPr>
      </w:pPr>
      <w:bookmarkStart w:id="715" w:name="_Toc25503"/>
      <w:bookmarkStart w:id="716" w:name="_Toc516969106"/>
      <w:bookmarkStart w:id="717" w:name="_Toc909"/>
      <w:bookmarkStart w:id="718" w:name="_Toc520983594"/>
      <w:bookmarkStart w:id="719" w:name="_Toc204594911"/>
      <w:bookmarkStart w:id="720" w:name="_Toc121626298"/>
      <w:r>
        <w:rPr>
          <w:rFonts w:hint="eastAsia" w:asciiTheme="minorEastAsia" w:hAnsiTheme="minorEastAsia"/>
          <w:b/>
          <w:sz w:val="24"/>
          <w:highlight w:val="none"/>
        </w:rPr>
        <w:t>六、授权书</w:t>
      </w:r>
      <w:bookmarkEnd w:id="715"/>
      <w:bookmarkEnd w:id="716"/>
      <w:bookmarkEnd w:id="717"/>
      <w:bookmarkEnd w:id="718"/>
      <w:bookmarkEnd w:id="719"/>
      <w:bookmarkEnd w:id="720"/>
    </w:p>
    <w:p w14:paraId="03713AF8">
      <w:pPr>
        <w:spacing w:line="360" w:lineRule="auto"/>
        <w:jc w:val="center"/>
        <w:rPr>
          <w:rFonts w:asciiTheme="minorEastAsia" w:hAnsiTheme="minorEastAsia"/>
          <w:b/>
          <w:sz w:val="24"/>
          <w:highlight w:val="none"/>
        </w:rPr>
      </w:pPr>
    </w:p>
    <w:p w14:paraId="2AA2BB34">
      <w:pPr>
        <w:pStyle w:val="27"/>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E9C74AC">
      <w:pPr>
        <w:pStyle w:val="27"/>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7D3FD117">
      <w:pPr>
        <w:pStyle w:val="27"/>
        <w:snapToGrid w:val="0"/>
        <w:spacing w:line="360" w:lineRule="auto"/>
        <w:ind w:firstLine="480" w:firstLineChars="200"/>
        <w:jc w:val="left"/>
        <w:rPr>
          <w:rFonts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4C3CF3D6">
      <w:pPr>
        <w:pStyle w:val="27"/>
        <w:snapToGrid w:val="0"/>
        <w:spacing w:line="360" w:lineRule="auto"/>
        <w:ind w:firstLine="480" w:firstLineChars="200"/>
        <w:jc w:val="left"/>
        <w:rPr>
          <w:rFonts w:hAnsi="宋体" w:eastAsia="宋体"/>
          <w:sz w:val="24"/>
          <w:highlight w:val="none"/>
        </w:rPr>
      </w:pPr>
    </w:p>
    <w:p w14:paraId="4DDF6BA0">
      <w:pPr>
        <w:pStyle w:val="27"/>
        <w:snapToGrid w:val="0"/>
        <w:spacing w:line="360" w:lineRule="auto"/>
        <w:ind w:firstLine="480" w:firstLineChars="200"/>
        <w:jc w:val="left"/>
        <w:rPr>
          <w:rFonts w:hAnsi="宋体" w:eastAsia="宋体"/>
          <w:sz w:val="24"/>
          <w:highlight w:val="none"/>
        </w:rPr>
      </w:pPr>
    </w:p>
    <w:p w14:paraId="436BC05A">
      <w:pPr>
        <w:pStyle w:val="27"/>
        <w:snapToGrid w:val="0"/>
        <w:spacing w:line="360" w:lineRule="auto"/>
        <w:ind w:firstLine="480" w:firstLineChars="200"/>
        <w:jc w:val="left"/>
        <w:rPr>
          <w:rFonts w:hAnsi="宋体" w:eastAsia="宋体"/>
          <w:sz w:val="24"/>
          <w:highlight w:val="none"/>
        </w:rPr>
      </w:pPr>
    </w:p>
    <w:p w14:paraId="07C2D275">
      <w:pPr>
        <w:pStyle w:val="27"/>
        <w:snapToGrid w:val="0"/>
        <w:spacing w:line="360" w:lineRule="auto"/>
        <w:ind w:firstLine="480" w:firstLineChars="200"/>
        <w:jc w:val="left"/>
        <w:rPr>
          <w:rFonts w:hAnsi="宋体" w:eastAsia="宋体"/>
          <w:sz w:val="24"/>
          <w:highlight w:val="none"/>
        </w:rPr>
      </w:pPr>
    </w:p>
    <w:p w14:paraId="6719943A">
      <w:pPr>
        <w:pStyle w:val="27"/>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5C77F3C5">
      <w:pPr>
        <w:pStyle w:val="27"/>
        <w:snapToGrid w:val="0"/>
        <w:spacing w:line="360" w:lineRule="auto"/>
        <w:ind w:firstLine="480" w:firstLineChars="200"/>
        <w:jc w:val="left"/>
        <w:rPr>
          <w:rFonts w:hAnsi="宋体" w:eastAsia="宋体"/>
          <w:sz w:val="24"/>
          <w:szCs w:val="28"/>
          <w:highlight w:val="none"/>
        </w:rPr>
      </w:pPr>
    </w:p>
    <w:p w14:paraId="7EBB8C86">
      <w:pPr>
        <w:spacing w:line="360" w:lineRule="auto"/>
        <w:ind w:firstLine="360" w:firstLineChars="150"/>
        <w:rPr>
          <w:sz w:val="24"/>
          <w:szCs w:val="28"/>
          <w:highlight w:val="none"/>
        </w:rPr>
      </w:pPr>
      <w:r>
        <w:rPr>
          <w:rFonts w:hint="eastAsia"/>
          <w:sz w:val="24"/>
          <w:szCs w:val="28"/>
          <w:highlight w:val="none"/>
        </w:rPr>
        <w:t>特此声明。</w:t>
      </w:r>
    </w:p>
    <w:p w14:paraId="320F5065">
      <w:pPr>
        <w:spacing w:line="360" w:lineRule="auto"/>
        <w:rPr>
          <w:sz w:val="24"/>
          <w:szCs w:val="28"/>
          <w:highlight w:val="none"/>
        </w:rPr>
      </w:pPr>
    </w:p>
    <w:p w14:paraId="5C343627">
      <w:pPr>
        <w:spacing w:line="360" w:lineRule="auto"/>
        <w:jc w:val="center"/>
        <w:rPr>
          <w:bCs/>
          <w:sz w:val="24"/>
          <w:szCs w:val="28"/>
          <w:highlight w:val="none"/>
        </w:rPr>
      </w:pPr>
      <w:r>
        <w:rPr>
          <w:rFonts w:hint="eastAsia"/>
          <w:bCs/>
          <w:sz w:val="24"/>
          <w:szCs w:val="28"/>
          <w:highlight w:val="none"/>
        </w:rPr>
        <w:t xml:space="preserve">                    供应商电子签章：</w:t>
      </w:r>
      <w:r>
        <w:rPr>
          <w:rFonts w:hint="eastAsia"/>
          <w:bCs/>
          <w:sz w:val="24"/>
          <w:szCs w:val="28"/>
          <w:highlight w:val="none"/>
          <w:u w:val="single"/>
        </w:rPr>
        <w:t xml:space="preserve">                    </w:t>
      </w:r>
    </w:p>
    <w:p w14:paraId="4F1EFA06">
      <w:pPr>
        <w:spacing w:line="360" w:lineRule="auto"/>
        <w:rPr>
          <w:sz w:val="24"/>
          <w:szCs w:val="28"/>
          <w:highlight w:val="none"/>
        </w:rPr>
      </w:pPr>
      <w:r>
        <w:rPr>
          <w:rFonts w:hint="eastAsia"/>
          <w:sz w:val="24"/>
          <w:szCs w:val="28"/>
          <w:highlight w:val="none"/>
        </w:rPr>
        <w:t xml:space="preserve">                                        日          期：</w:t>
      </w:r>
      <w:r>
        <w:rPr>
          <w:rFonts w:hint="eastAsia"/>
          <w:sz w:val="24"/>
          <w:szCs w:val="28"/>
          <w:highlight w:val="none"/>
          <w:u w:val="single"/>
        </w:rPr>
        <w:t xml:space="preserve">                    </w:t>
      </w:r>
    </w:p>
    <w:p w14:paraId="1824A388">
      <w:pPr>
        <w:spacing w:line="360" w:lineRule="auto"/>
        <w:rPr>
          <w:sz w:val="24"/>
          <w:szCs w:val="28"/>
          <w:highlight w:val="none"/>
        </w:rPr>
      </w:pPr>
    </w:p>
    <w:p w14:paraId="17BE5C21">
      <w:pPr>
        <w:pStyle w:val="27"/>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1EF54858">
      <w:pPr>
        <w:pStyle w:val="27"/>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02CC0A5A">
      <w:pPr>
        <w:spacing w:line="360" w:lineRule="auto"/>
        <w:jc w:val="left"/>
        <w:rPr>
          <w:sz w:val="24"/>
          <w:highlight w:val="none"/>
        </w:rPr>
      </w:pPr>
      <w:r>
        <w:rPr>
          <w:rFonts w:hint="eastAsia"/>
          <w:sz w:val="24"/>
          <w:highlight w:val="none"/>
        </w:rPr>
        <w:t>2.法定代表人参加磋商的无需提供授权书，仅提供身份证明扫描件。</w:t>
      </w:r>
    </w:p>
    <w:p w14:paraId="49AE4FDA">
      <w:pPr>
        <w:widowControl/>
        <w:jc w:val="left"/>
        <w:rPr>
          <w:sz w:val="24"/>
          <w:highlight w:val="none"/>
        </w:rPr>
      </w:pPr>
      <w:r>
        <w:rPr>
          <w:sz w:val="24"/>
          <w:highlight w:val="none"/>
        </w:rPr>
        <w:br w:type="page"/>
      </w:r>
    </w:p>
    <w:p w14:paraId="1A650A8C">
      <w:pPr>
        <w:keepNext/>
        <w:keepLines/>
        <w:spacing w:before="260" w:after="260" w:line="416" w:lineRule="auto"/>
        <w:jc w:val="center"/>
        <w:outlineLvl w:val="1"/>
        <w:rPr>
          <w:rFonts w:cs="@仿宋_GB2312" w:asciiTheme="minorEastAsia" w:hAnsiTheme="minorEastAsia"/>
          <w:b/>
          <w:bCs/>
          <w:sz w:val="24"/>
          <w:highlight w:val="none"/>
        </w:rPr>
      </w:pPr>
      <w:bookmarkStart w:id="721" w:name="_Toc32351"/>
      <w:bookmarkStart w:id="722" w:name="_Toc12223"/>
      <w:r>
        <w:rPr>
          <w:rFonts w:hint="eastAsia" w:cs="@仿宋_GB2312" w:asciiTheme="minorEastAsia" w:hAnsiTheme="minorEastAsia"/>
          <w:b/>
          <w:bCs/>
          <w:sz w:val="24"/>
          <w:highlight w:val="none"/>
        </w:rPr>
        <w:t>七、法定代表人身份证明书</w:t>
      </w:r>
      <w:bookmarkEnd w:id="721"/>
      <w:bookmarkEnd w:id="722"/>
    </w:p>
    <w:p w14:paraId="3F470A79">
      <w:pPr>
        <w:autoSpaceDE w:val="0"/>
        <w:autoSpaceDN w:val="0"/>
        <w:adjustRightInd w:val="0"/>
        <w:spacing w:line="360" w:lineRule="auto"/>
        <w:jc w:val="center"/>
        <w:rPr>
          <w:rFonts w:ascii="@仿宋_GB2312" w:eastAsia="@仿宋_GB2312" w:cs="宋体"/>
          <w:b/>
          <w:highlight w:val="none"/>
          <w:lang w:val="zh-CN"/>
        </w:rPr>
      </w:pPr>
    </w:p>
    <w:p w14:paraId="7C67F98C">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rPr>
        <w:t>单位名称：</w:t>
      </w:r>
      <w:r>
        <w:rPr>
          <w:rFonts w:hint="eastAsia" w:ascii="Calibri" w:hAnsi="Calibri" w:cs="Times New Roman"/>
          <w:sz w:val="24"/>
          <w:szCs w:val="28"/>
          <w:highlight w:val="none"/>
          <w:u w:val="single"/>
        </w:rPr>
        <w:t xml:space="preserve">                            </w:t>
      </w:r>
      <w:r>
        <w:rPr>
          <w:rFonts w:ascii="Calibri" w:hAnsi="Calibri" w:cs="Times New Roman"/>
          <w:sz w:val="24"/>
          <w:szCs w:val="28"/>
          <w:highlight w:val="none"/>
          <w:u w:val="single"/>
        </w:rPr>
        <w:t xml:space="preserve">    </w:t>
      </w:r>
      <w:r>
        <w:rPr>
          <w:rFonts w:hint="eastAsia" w:ascii="Calibri" w:hAnsi="Calibri" w:cs="Times New Roman"/>
          <w:sz w:val="24"/>
          <w:szCs w:val="28"/>
          <w:highlight w:val="none"/>
          <w:u w:val="single"/>
        </w:rPr>
        <w:t xml:space="preserve">          </w:t>
      </w:r>
    </w:p>
    <w:p w14:paraId="46A305C1">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rPr>
        <w:t>单位性质：</w:t>
      </w:r>
      <w:r>
        <w:rPr>
          <w:rFonts w:hint="eastAsia" w:ascii="Calibri" w:hAnsi="Calibri" w:cs="Times New Roman"/>
          <w:sz w:val="24"/>
          <w:szCs w:val="28"/>
          <w:highlight w:val="none"/>
          <w:u w:val="single"/>
        </w:rPr>
        <w:t xml:space="preserve">                             </w:t>
      </w:r>
      <w:r>
        <w:rPr>
          <w:rFonts w:ascii="Calibri" w:hAnsi="Calibri" w:cs="Times New Roman"/>
          <w:sz w:val="24"/>
          <w:szCs w:val="28"/>
          <w:highlight w:val="none"/>
          <w:u w:val="single"/>
        </w:rPr>
        <w:t xml:space="preserve">    </w:t>
      </w:r>
      <w:r>
        <w:rPr>
          <w:rFonts w:hint="eastAsia" w:ascii="Calibri" w:hAnsi="Calibri" w:cs="Times New Roman"/>
          <w:sz w:val="24"/>
          <w:szCs w:val="28"/>
          <w:highlight w:val="none"/>
          <w:u w:val="single"/>
        </w:rPr>
        <w:t xml:space="preserve">         </w:t>
      </w:r>
    </w:p>
    <w:p w14:paraId="10AD465C">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rPr>
        <w:t>地    址：</w:t>
      </w:r>
      <w:r>
        <w:rPr>
          <w:rFonts w:hint="eastAsia" w:ascii="Calibri" w:hAnsi="Calibri" w:cs="Times New Roman"/>
          <w:sz w:val="24"/>
          <w:szCs w:val="28"/>
          <w:highlight w:val="none"/>
          <w:u w:val="single"/>
        </w:rPr>
        <w:t xml:space="preserve">                             </w:t>
      </w:r>
      <w:r>
        <w:rPr>
          <w:rFonts w:ascii="Calibri" w:hAnsi="Calibri" w:cs="Times New Roman"/>
          <w:sz w:val="24"/>
          <w:szCs w:val="28"/>
          <w:highlight w:val="none"/>
          <w:u w:val="single"/>
        </w:rPr>
        <w:t xml:space="preserve">    </w:t>
      </w:r>
      <w:r>
        <w:rPr>
          <w:rFonts w:hint="eastAsia" w:ascii="Calibri" w:hAnsi="Calibri" w:cs="Times New Roman"/>
          <w:sz w:val="24"/>
          <w:szCs w:val="28"/>
          <w:highlight w:val="none"/>
          <w:u w:val="single"/>
        </w:rPr>
        <w:t xml:space="preserve">         </w:t>
      </w:r>
    </w:p>
    <w:p w14:paraId="5A237A80">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rPr>
        <w:t>成立时间：</w:t>
      </w:r>
      <w:r>
        <w:rPr>
          <w:rFonts w:hint="eastAsia" w:ascii="Calibri" w:hAnsi="Calibri" w:cs="Times New Roman"/>
          <w:sz w:val="24"/>
          <w:szCs w:val="28"/>
          <w:highlight w:val="none"/>
          <w:u w:val="single"/>
        </w:rPr>
        <w:t xml:space="preserve">              </w:t>
      </w:r>
      <w:r>
        <w:rPr>
          <w:rFonts w:hint="eastAsia" w:ascii="Calibri" w:hAnsi="Calibri" w:cs="Times New Roman"/>
          <w:sz w:val="24"/>
          <w:szCs w:val="28"/>
          <w:highlight w:val="none"/>
        </w:rPr>
        <w:t>年</w:t>
      </w:r>
      <w:r>
        <w:rPr>
          <w:rFonts w:hint="eastAsia" w:ascii="Calibri" w:hAnsi="Calibri" w:cs="Times New Roman"/>
          <w:sz w:val="24"/>
          <w:szCs w:val="28"/>
          <w:highlight w:val="none"/>
          <w:u w:val="single"/>
        </w:rPr>
        <w:t xml:space="preserve">         </w:t>
      </w:r>
      <w:r>
        <w:rPr>
          <w:rFonts w:hint="eastAsia" w:ascii="Calibri" w:hAnsi="Calibri" w:cs="Times New Roman"/>
          <w:sz w:val="24"/>
          <w:szCs w:val="28"/>
          <w:highlight w:val="none"/>
        </w:rPr>
        <w:t>月</w:t>
      </w:r>
      <w:r>
        <w:rPr>
          <w:rFonts w:hint="eastAsia" w:ascii="Calibri" w:hAnsi="Calibri" w:cs="Times New Roman"/>
          <w:sz w:val="24"/>
          <w:szCs w:val="28"/>
          <w:highlight w:val="none"/>
          <w:u w:val="single"/>
        </w:rPr>
        <w:t xml:space="preserve">        </w:t>
      </w:r>
      <w:r>
        <w:rPr>
          <w:rFonts w:hint="eastAsia" w:ascii="Calibri" w:hAnsi="Calibri" w:cs="Times New Roman"/>
          <w:sz w:val="24"/>
          <w:szCs w:val="28"/>
          <w:highlight w:val="none"/>
        </w:rPr>
        <w:t>日</w:t>
      </w:r>
    </w:p>
    <w:p w14:paraId="7861CC74">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rPr>
        <w:t>经营期限：</w:t>
      </w:r>
      <w:r>
        <w:rPr>
          <w:rFonts w:hint="eastAsia" w:ascii="Calibri" w:hAnsi="Calibri" w:cs="Times New Roman"/>
          <w:sz w:val="24"/>
          <w:szCs w:val="28"/>
          <w:highlight w:val="none"/>
          <w:u w:val="single"/>
        </w:rPr>
        <w:t xml:space="preserve">                               </w:t>
      </w:r>
      <w:r>
        <w:rPr>
          <w:rFonts w:ascii="Calibri" w:hAnsi="Calibri" w:cs="Times New Roman"/>
          <w:sz w:val="24"/>
          <w:szCs w:val="28"/>
          <w:highlight w:val="none"/>
          <w:u w:val="single"/>
        </w:rPr>
        <w:t xml:space="preserve">    </w:t>
      </w:r>
      <w:r>
        <w:rPr>
          <w:rFonts w:hint="eastAsia" w:ascii="Calibri" w:hAnsi="Calibri" w:cs="Times New Roman"/>
          <w:sz w:val="24"/>
          <w:szCs w:val="28"/>
          <w:highlight w:val="none"/>
          <w:u w:val="single"/>
        </w:rPr>
        <w:t xml:space="preserve"> </w:t>
      </w:r>
      <w:r>
        <w:rPr>
          <w:rFonts w:ascii="Calibri" w:hAnsi="Calibri" w:cs="Times New Roman"/>
          <w:sz w:val="24"/>
          <w:szCs w:val="28"/>
          <w:highlight w:val="none"/>
          <w:u w:val="single"/>
        </w:rPr>
        <w:t xml:space="preserve"> </w:t>
      </w:r>
      <w:r>
        <w:rPr>
          <w:rFonts w:hint="eastAsia" w:ascii="Calibri" w:hAnsi="Calibri" w:cs="Times New Roman"/>
          <w:sz w:val="24"/>
          <w:szCs w:val="28"/>
          <w:highlight w:val="none"/>
          <w:u w:val="single"/>
        </w:rPr>
        <w:t xml:space="preserve">     </w:t>
      </w:r>
    </w:p>
    <w:p w14:paraId="082BAFAB">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rPr>
        <w:t>姓    名：</w:t>
      </w:r>
      <w:r>
        <w:rPr>
          <w:rFonts w:hint="eastAsia" w:ascii="Calibri" w:hAnsi="Calibri" w:cs="Times New Roman"/>
          <w:sz w:val="24"/>
          <w:szCs w:val="28"/>
          <w:highlight w:val="none"/>
          <w:u w:val="single"/>
        </w:rPr>
        <w:t xml:space="preserve">                  </w:t>
      </w:r>
      <w:r>
        <w:rPr>
          <w:rFonts w:hint="eastAsia" w:ascii="Calibri" w:hAnsi="Calibri" w:cs="Times New Roman"/>
          <w:sz w:val="24"/>
          <w:szCs w:val="28"/>
          <w:highlight w:val="none"/>
        </w:rPr>
        <w:t xml:space="preserve"> 性 </w:t>
      </w:r>
      <w:r>
        <w:rPr>
          <w:rFonts w:ascii="Calibri" w:hAnsi="Calibri" w:cs="Times New Roman"/>
          <w:sz w:val="24"/>
          <w:szCs w:val="28"/>
          <w:highlight w:val="none"/>
        </w:rPr>
        <w:t xml:space="preserve">  </w:t>
      </w:r>
      <w:r>
        <w:rPr>
          <w:rFonts w:hint="eastAsia" w:ascii="Calibri" w:hAnsi="Calibri" w:cs="Times New Roman"/>
          <w:sz w:val="24"/>
          <w:szCs w:val="28"/>
          <w:highlight w:val="none"/>
        </w:rPr>
        <w:t xml:space="preserve"> 别：</w:t>
      </w:r>
      <w:r>
        <w:rPr>
          <w:rFonts w:hint="eastAsia" w:ascii="Calibri" w:hAnsi="Calibri" w:cs="Times New Roman"/>
          <w:sz w:val="24"/>
          <w:szCs w:val="28"/>
          <w:highlight w:val="none"/>
          <w:u w:val="single"/>
        </w:rPr>
        <w:t xml:space="preserve">             </w:t>
      </w:r>
    </w:p>
    <w:p w14:paraId="613525AF">
      <w:pPr>
        <w:snapToGrid w:val="0"/>
        <w:spacing w:line="360" w:lineRule="auto"/>
        <w:ind w:firstLine="480" w:firstLineChars="200"/>
        <w:jc w:val="left"/>
        <w:rPr>
          <w:rFonts w:ascii="Calibri" w:hAnsi="Calibri" w:cs="Times New Roman"/>
          <w:sz w:val="24"/>
          <w:szCs w:val="28"/>
          <w:highlight w:val="none"/>
          <w:u w:val="single"/>
        </w:rPr>
      </w:pPr>
      <w:r>
        <w:rPr>
          <w:rFonts w:hint="eastAsia" w:ascii="Calibri" w:hAnsi="Calibri" w:cs="Times New Roman"/>
          <w:sz w:val="24"/>
          <w:szCs w:val="28"/>
          <w:highlight w:val="none"/>
        </w:rPr>
        <w:t>年    龄：</w:t>
      </w:r>
      <w:r>
        <w:rPr>
          <w:rFonts w:hint="eastAsia" w:ascii="Calibri" w:hAnsi="Calibri" w:cs="Times New Roman"/>
          <w:sz w:val="24"/>
          <w:szCs w:val="28"/>
          <w:highlight w:val="none"/>
          <w:u w:val="single"/>
        </w:rPr>
        <w:t xml:space="preserve">                  </w:t>
      </w:r>
      <w:r>
        <w:rPr>
          <w:rFonts w:hint="eastAsia" w:ascii="Calibri" w:hAnsi="Calibri" w:cs="Times New Roman"/>
          <w:sz w:val="24"/>
          <w:szCs w:val="28"/>
          <w:highlight w:val="none"/>
        </w:rPr>
        <w:t xml:space="preserve"> 职    务：</w:t>
      </w:r>
      <w:r>
        <w:rPr>
          <w:rFonts w:hint="eastAsia" w:ascii="Calibri" w:hAnsi="Calibri" w:cs="Times New Roman"/>
          <w:sz w:val="24"/>
          <w:szCs w:val="28"/>
          <w:highlight w:val="none"/>
          <w:u w:val="single"/>
        </w:rPr>
        <w:t xml:space="preserve">             </w:t>
      </w:r>
    </w:p>
    <w:p w14:paraId="5141F502">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rPr>
        <w:t>联系</w:t>
      </w:r>
      <w:r>
        <w:rPr>
          <w:rFonts w:ascii="Calibri" w:hAnsi="Calibri" w:cs="Times New Roman"/>
          <w:sz w:val="24"/>
          <w:szCs w:val="28"/>
          <w:highlight w:val="none"/>
        </w:rPr>
        <w:t>电话</w:t>
      </w:r>
      <w:r>
        <w:rPr>
          <w:rFonts w:hint="eastAsia" w:ascii="Calibri" w:hAnsi="Calibri" w:cs="Times New Roman"/>
          <w:sz w:val="24"/>
          <w:szCs w:val="28"/>
          <w:highlight w:val="none"/>
        </w:rPr>
        <w:t>：</w:t>
      </w:r>
      <w:r>
        <w:rPr>
          <w:rFonts w:hint="eastAsia" w:ascii="Calibri" w:hAnsi="Calibri" w:cs="Times New Roman"/>
          <w:sz w:val="24"/>
          <w:szCs w:val="28"/>
          <w:highlight w:val="none"/>
          <w:u w:val="single"/>
        </w:rPr>
        <w:t xml:space="preserve">                  </w:t>
      </w:r>
      <w:r>
        <w:rPr>
          <w:rFonts w:hint="eastAsia" w:ascii="Calibri" w:hAnsi="Calibri" w:cs="Times New Roman"/>
          <w:sz w:val="24"/>
          <w:szCs w:val="28"/>
          <w:highlight w:val="none"/>
        </w:rPr>
        <w:t xml:space="preserve"> 手机号码：</w:t>
      </w:r>
      <w:r>
        <w:rPr>
          <w:rFonts w:hint="eastAsia" w:ascii="Calibri" w:hAnsi="Calibri" w:cs="Times New Roman"/>
          <w:sz w:val="24"/>
          <w:szCs w:val="28"/>
          <w:highlight w:val="none"/>
          <w:u w:val="single"/>
        </w:rPr>
        <w:t xml:space="preserve">             </w:t>
      </w:r>
    </w:p>
    <w:p w14:paraId="746E7FA4">
      <w:pPr>
        <w:snapToGrid w:val="0"/>
        <w:spacing w:line="360" w:lineRule="auto"/>
        <w:ind w:firstLine="480" w:firstLineChars="200"/>
        <w:jc w:val="left"/>
        <w:rPr>
          <w:rFonts w:ascii="Calibri" w:hAnsi="Calibri" w:cs="Times New Roman"/>
          <w:sz w:val="24"/>
          <w:szCs w:val="28"/>
          <w:highlight w:val="none"/>
        </w:rPr>
      </w:pPr>
      <w:r>
        <w:rPr>
          <w:rFonts w:hint="eastAsia" w:ascii="Calibri" w:hAnsi="Calibri" w:cs="Times New Roman"/>
          <w:sz w:val="24"/>
          <w:szCs w:val="28"/>
          <w:highlight w:val="none"/>
          <w:u w:val="single"/>
        </w:rPr>
        <w:t xml:space="preserve">        </w:t>
      </w:r>
      <w:r>
        <w:rPr>
          <w:rFonts w:hint="eastAsia" w:ascii="Calibri" w:hAnsi="Calibri" w:cs="Times New Roman"/>
          <w:sz w:val="24"/>
          <w:szCs w:val="28"/>
          <w:highlight w:val="none"/>
        </w:rPr>
        <w:t xml:space="preserve">系  </w:t>
      </w:r>
      <w:r>
        <w:rPr>
          <w:rFonts w:hint="eastAsia" w:ascii="Calibri" w:hAnsi="Calibri" w:cs="Times New Roman"/>
          <w:sz w:val="24"/>
          <w:szCs w:val="28"/>
          <w:highlight w:val="none"/>
          <w:u w:val="single"/>
        </w:rPr>
        <w:t xml:space="preserve">   （供应商单位名称）       </w:t>
      </w:r>
      <w:r>
        <w:rPr>
          <w:rFonts w:hint="eastAsia" w:ascii="Calibri" w:hAnsi="Calibri" w:cs="Times New Roman"/>
          <w:sz w:val="24"/>
          <w:szCs w:val="28"/>
          <w:highlight w:val="none"/>
        </w:rPr>
        <w:t>的法定代表人。</w:t>
      </w:r>
    </w:p>
    <w:p w14:paraId="18566460">
      <w:pPr>
        <w:spacing w:before="62" w:beforeLines="20" w:after="62" w:afterLines="20" w:line="540" w:lineRule="exact"/>
        <w:ind w:firstLine="610"/>
        <w:rPr>
          <w:rFonts w:ascii="@仿宋_GB2312" w:hAnsi="Calibri" w:eastAsia="@仿宋_GB2312" w:cs="宋体"/>
          <w:sz w:val="24"/>
          <w:highlight w:val="none"/>
        </w:rPr>
      </w:pPr>
    </w:p>
    <w:p w14:paraId="1C003CB9">
      <w:pPr>
        <w:spacing w:before="62" w:beforeLines="20" w:after="62" w:afterLines="20" w:line="540" w:lineRule="exact"/>
        <w:ind w:left="420" w:leftChars="200" w:firstLine="240" w:firstLineChars="100"/>
        <w:rPr>
          <w:rFonts w:ascii="Calibri" w:hAnsi="Calibri" w:cs="宋体"/>
          <w:sz w:val="24"/>
          <w:highlight w:val="none"/>
        </w:rPr>
      </w:pPr>
      <w:r>
        <w:rPr>
          <w:rFonts w:hint="eastAsia" w:ascii="Calibri" w:hAnsi="Calibri" w:cs="宋体"/>
          <w:sz w:val="24"/>
          <w:highlight w:val="none"/>
        </w:rPr>
        <w:t>特此证明。</w:t>
      </w:r>
    </w:p>
    <w:p w14:paraId="10B71891">
      <w:pPr>
        <w:tabs>
          <w:tab w:val="left" w:pos="720"/>
          <w:tab w:val="left" w:pos="900"/>
        </w:tabs>
        <w:spacing w:before="62" w:beforeLines="20" w:after="62" w:afterLines="20" w:line="540" w:lineRule="exact"/>
        <w:ind w:firstLine="480" w:firstLineChars="200"/>
        <w:rPr>
          <w:rFonts w:ascii="Calibri" w:hAnsi="Calibri" w:cs="宋体"/>
          <w:sz w:val="24"/>
          <w:highlight w:val="none"/>
        </w:rPr>
      </w:pPr>
      <w:r>
        <w:rPr>
          <w:rFonts w:hint="eastAsia" w:ascii="Calibri" w:hAnsi="Calibri" w:cs="宋体"/>
          <w:sz w:val="24"/>
          <w:highlight w:val="none"/>
        </w:rPr>
        <w:t>附：法定代表人身份证扫描件</w:t>
      </w:r>
    </w:p>
    <w:p w14:paraId="779E5F15">
      <w:pPr>
        <w:tabs>
          <w:tab w:val="left" w:pos="720"/>
          <w:tab w:val="left" w:pos="900"/>
        </w:tabs>
        <w:spacing w:before="62" w:beforeLines="20" w:after="62" w:afterLines="20" w:line="540" w:lineRule="exact"/>
        <w:ind w:firstLine="480" w:firstLineChars="200"/>
        <w:rPr>
          <w:rFonts w:ascii="@仿宋_GB2312" w:hAnsi="Calibri" w:eastAsia="@仿宋_GB2312" w:cs="宋体"/>
          <w:sz w:val="24"/>
          <w:highlight w:val="none"/>
        </w:rPr>
      </w:pPr>
    </w:p>
    <w:p w14:paraId="62D2F7A6">
      <w:pPr>
        <w:tabs>
          <w:tab w:val="left" w:pos="720"/>
          <w:tab w:val="left" w:pos="900"/>
        </w:tabs>
        <w:spacing w:before="62" w:beforeLines="20" w:after="62" w:afterLines="20" w:line="540" w:lineRule="exact"/>
        <w:ind w:firstLine="4560" w:firstLineChars="1900"/>
        <w:rPr>
          <w:rFonts w:ascii="@仿宋_GB2312" w:hAnsi="Calibri" w:eastAsia="@仿宋_GB2312" w:cs="宋体"/>
          <w:sz w:val="24"/>
          <w:highlight w:val="none"/>
        </w:rPr>
      </w:pPr>
    </w:p>
    <w:p w14:paraId="206F3B55">
      <w:pPr>
        <w:spacing w:line="360" w:lineRule="auto"/>
        <w:ind w:firstLine="3840" w:firstLineChars="1600"/>
        <w:rPr>
          <w:rFonts w:cs="宋体"/>
          <w:sz w:val="24"/>
          <w:highlight w:val="none"/>
        </w:rPr>
      </w:pPr>
      <w:r>
        <w:rPr>
          <w:rFonts w:hint="eastAsia" w:cs="宋体"/>
          <w:sz w:val="24"/>
          <w:highlight w:val="none"/>
        </w:rPr>
        <w:t>供应商电子签章：</w:t>
      </w:r>
      <w:r>
        <w:rPr>
          <w:rFonts w:cs="宋体"/>
          <w:sz w:val="24"/>
          <w:highlight w:val="none"/>
          <w:u w:val="single"/>
        </w:rPr>
        <w:t xml:space="preserve">        </w:t>
      </w:r>
      <w:r>
        <w:rPr>
          <w:rFonts w:hint="eastAsia" w:cs="宋体"/>
          <w:sz w:val="24"/>
          <w:highlight w:val="none"/>
          <w:u w:val="single"/>
        </w:rPr>
        <w:t xml:space="preserve">      </w:t>
      </w:r>
      <w:r>
        <w:rPr>
          <w:rFonts w:cs="宋体"/>
          <w:sz w:val="24"/>
          <w:highlight w:val="none"/>
          <w:u w:val="single"/>
        </w:rPr>
        <w:t xml:space="preserve">       </w:t>
      </w:r>
    </w:p>
    <w:p w14:paraId="33C8C444">
      <w:pPr>
        <w:spacing w:line="360" w:lineRule="auto"/>
        <w:ind w:firstLine="3840" w:firstLineChars="1600"/>
        <w:rPr>
          <w:rFonts w:cs="宋体"/>
          <w:sz w:val="24"/>
          <w:highlight w:val="none"/>
        </w:rPr>
      </w:pPr>
      <w:r>
        <w:rPr>
          <w:rFonts w:hint="eastAsia" w:cs="宋体"/>
          <w:sz w:val="24"/>
          <w:highlight w:val="none"/>
        </w:rPr>
        <w:t>日</w:t>
      </w:r>
      <w:r>
        <w:rPr>
          <w:rFonts w:cs="宋体"/>
          <w:sz w:val="24"/>
          <w:highlight w:val="none"/>
        </w:rPr>
        <w:t xml:space="preserve">   </w:t>
      </w:r>
      <w:r>
        <w:rPr>
          <w:rFonts w:hint="eastAsia" w:cs="宋体"/>
          <w:sz w:val="24"/>
          <w:highlight w:val="none"/>
        </w:rPr>
        <w:t xml:space="preserve">    </w:t>
      </w:r>
      <w:r>
        <w:rPr>
          <w:rFonts w:cs="宋体"/>
          <w:sz w:val="24"/>
          <w:highlight w:val="none"/>
        </w:rPr>
        <w:t xml:space="preserve">   </w:t>
      </w:r>
      <w:r>
        <w:rPr>
          <w:rFonts w:hint="eastAsia" w:cs="宋体"/>
          <w:sz w:val="24"/>
          <w:highlight w:val="none"/>
        </w:rPr>
        <w:t>期：</w:t>
      </w:r>
      <w:r>
        <w:rPr>
          <w:rFonts w:cs="宋体"/>
          <w:sz w:val="24"/>
          <w:highlight w:val="none"/>
          <w:u w:val="single"/>
        </w:rPr>
        <w:t xml:space="preserve">           </w:t>
      </w:r>
      <w:r>
        <w:rPr>
          <w:rFonts w:hint="eastAsia" w:cs="宋体"/>
          <w:sz w:val="24"/>
          <w:highlight w:val="none"/>
          <w:u w:val="single"/>
        </w:rPr>
        <w:t xml:space="preserve"> </w:t>
      </w:r>
      <w:r>
        <w:rPr>
          <w:rFonts w:cs="宋体"/>
          <w:sz w:val="24"/>
          <w:highlight w:val="none"/>
          <w:u w:val="single"/>
        </w:rPr>
        <w:t xml:space="preserve">    </w:t>
      </w:r>
      <w:r>
        <w:rPr>
          <w:rFonts w:hint="eastAsia" w:cs="宋体"/>
          <w:sz w:val="24"/>
          <w:highlight w:val="none"/>
          <w:u w:val="single"/>
        </w:rPr>
        <w:t xml:space="preserve">  </w:t>
      </w:r>
      <w:r>
        <w:rPr>
          <w:rFonts w:cs="宋体"/>
          <w:sz w:val="24"/>
          <w:highlight w:val="none"/>
          <w:u w:val="single"/>
        </w:rPr>
        <w:t xml:space="preserve">   </w:t>
      </w:r>
    </w:p>
    <w:p w14:paraId="30751474">
      <w:pPr>
        <w:widowControl/>
        <w:jc w:val="left"/>
        <w:rPr>
          <w:rFonts w:cs="@仿宋_GB2312" w:asciiTheme="minorEastAsia" w:hAnsiTheme="minorEastAsia"/>
          <w:b/>
          <w:bCs/>
          <w:sz w:val="24"/>
          <w:highlight w:val="none"/>
        </w:rPr>
      </w:pPr>
      <w:r>
        <w:rPr>
          <w:rFonts w:cs="@仿宋_GB2312" w:asciiTheme="minorEastAsia" w:hAnsiTheme="minorEastAsia"/>
          <w:sz w:val="24"/>
          <w:highlight w:val="none"/>
        </w:rPr>
        <w:br w:type="page"/>
      </w:r>
    </w:p>
    <w:p w14:paraId="2437E17D">
      <w:pPr>
        <w:keepNext/>
        <w:keepLines/>
        <w:spacing w:before="260" w:after="260" w:line="416" w:lineRule="auto"/>
        <w:jc w:val="center"/>
        <w:outlineLvl w:val="1"/>
        <w:rPr>
          <w:rFonts w:cs="@仿宋_GB2312" w:asciiTheme="minorEastAsia" w:hAnsiTheme="minorEastAsia"/>
          <w:b/>
          <w:bCs/>
          <w:sz w:val="24"/>
          <w:highlight w:val="none"/>
        </w:rPr>
      </w:pPr>
      <w:bookmarkStart w:id="723" w:name="_Toc4373"/>
      <w:bookmarkStart w:id="724" w:name="_Toc20099"/>
      <w:r>
        <w:rPr>
          <w:rFonts w:hint="eastAsia" w:cs="@仿宋_GB2312" w:asciiTheme="minorEastAsia" w:hAnsiTheme="minorEastAsia"/>
          <w:b/>
          <w:bCs/>
          <w:sz w:val="24"/>
          <w:highlight w:val="none"/>
        </w:rPr>
        <w:t>八、项目经理承诺书</w:t>
      </w:r>
      <w:bookmarkEnd w:id="723"/>
      <w:bookmarkEnd w:id="724"/>
    </w:p>
    <w:p w14:paraId="19D7F6C6">
      <w:pPr>
        <w:spacing w:line="360" w:lineRule="auto"/>
        <w:rPr>
          <w:rFonts w:cs="宋体" w:asciiTheme="minorEastAsia" w:hAnsiTheme="minorEastAsia"/>
          <w:sz w:val="24"/>
          <w:highlight w:val="none"/>
        </w:rPr>
      </w:pPr>
      <w:r>
        <w:rPr>
          <w:rFonts w:hint="eastAsia" w:cs="宋体" w:asciiTheme="minorEastAsia" w:hAnsiTheme="minorEastAsia"/>
          <w:b/>
          <w:sz w:val="24"/>
          <w:highlight w:val="none"/>
        </w:rPr>
        <w:t>致：采购人</w:t>
      </w:r>
    </w:p>
    <w:p w14:paraId="4581162C">
      <w:pPr>
        <w:spacing w:line="360" w:lineRule="auto"/>
        <w:ind w:firstLine="480" w:firstLineChars="200"/>
        <w:rPr>
          <w:rFonts w:cs="宋体"/>
          <w:sz w:val="24"/>
          <w:highlight w:val="none"/>
        </w:rPr>
      </w:pPr>
      <w:r>
        <w:rPr>
          <w:rFonts w:hint="eastAsia" w:cs="宋体"/>
          <w:sz w:val="24"/>
          <w:highlight w:val="none"/>
        </w:rPr>
        <w:t>本人作为我单位在本项目磋商担任的项目经理，郑重承诺：</w:t>
      </w:r>
    </w:p>
    <w:p w14:paraId="19BF4FE3">
      <w:pPr>
        <w:spacing w:line="360" w:lineRule="auto"/>
        <w:ind w:firstLine="480" w:firstLineChars="200"/>
        <w:rPr>
          <w:rFonts w:cs="宋体"/>
          <w:sz w:val="24"/>
          <w:highlight w:val="none"/>
        </w:rPr>
      </w:pPr>
      <w:r>
        <w:rPr>
          <w:rFonts w:hint="eastAsia" w:cs="宋体"/>
          <w:sz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14167770">
      <w:pPr>
        <w:spacing w:line="360" w:lineRule="auto"/>
        <w:ind w:firstLine="480" w:firstLineChars="200"/>
        <w:rPr>
          <w:rFonts w:cs="宋体"/>
          <w:sz w:val="24"/>
          <w:highlight w:val="none"/>
        </w:rPr>
      </w:pPr>
      <w:r>
        <w:rPr>
          <w:rFonts w:hint="eastAsia" w:cs="宋体"/>
          <w:sz w:val="24"/>
          <w:highlight w:val="none"/>
        </w:rPr>
        <w:t>二、本人承诺，一旦成交，将严格按照磋商文件规定履约。</w:t>
      </w:r>
    </w:p>
    <w:p w14:paraId="12B0AF16">
      <w:pPr>
        <w:pStyle w:val="69"/>
        <w:pBdr>
          <w:bottom w:val="none" w:color="auto" w:sz="0" w:space="0"/>
        </w:pBdr>
        <w:tabs>
          <w:tab w:val="clear" w:pos="4153"/>
          <w:tab w:val="clear" w:pos="8306"/>
        </w:tabs>
        <w:adjustRightInd/>
        <w:spacing w:line="440" w:lineRule="exact"/>
        <w:ind w:firstLine="480" w:firstLineChars="200"/>
        <w:jc w:val="left"/>
        <w:textAlignment w:val="auto"/>
        <w:rPr>
          <w:rFonts w:cs="宋体"/>
          <w:szCs w:val="24"/>
          <w:highlight w:val="none"/>
        </w:rPr>
      </w:pPr>
      <w:r>
        <w:rPr>
          <w:rFonts w:hint="eastAsia" w:cs="宋体"/>
          <w:szCs w:val="24"/>
          <w:highlight w:val="none"/>
        </w:rPr>
        <w:t>三、本人承诺，</w:t>
      </w:r>
      <w:r>
        <w:rPr>
          <w:rFonts w:hint="eastAsia" w:asciiTheme="minorEastAsia" w:hAnsiTheme="minorEastAsia" w:cstheme="minorEastAsia"/>
          <w:szCs w:val="24"/>
          <w:highlight w:val="none"/>
          <w:shd w:val="clear" w:color="auto" w:fill="FFFFFF"/>
        </w:rPr>
        <w:t xml:space="preserve">不得同时担任两个及以上建设工程施工项目负责人，以下情形除外： ①法定情形； ②虽在其他项目上担任项目经理岗位，但本项目成交后能够从该项目撤离，全面履约。 </w:t>
      </w:r>
    </w:p>
    <w:p w14:paraId="70EEA6C2">
      <w:pPr>
        <w:spacing w:line="360" w:lineRule="auto"/>
        <w:ind w:firstLine="480" w:firstLineChars="200"/>
        <w:rPr>
          <w:rFonts w:cs="宋体"/>
          <w:sz w:val="24"/>
          <w:highlight w:val="none"/>
        </w:rPr>
      </w:pPr>
      <w:r>
        <w:rPr>
          <w:rFonts w:hint="eastAsia" w:cs="宋体"/>
          <w:sz w:val="24"/>
          <w:highlight w:val="none"/>
        </w:rPr>
        <w:t>四、本人声明，对以上承诺，一旦发现虚假现象，本人愿意承担相应法律责任，并随时无条件配合监管部门调查取证。</w:t>
      </w:r>
    </w:p>
    <w:p w14:paraId="556F3C01">
      <w:pPr>
        <w:spacing w:line="360" w:lineRule="auto"/>
        <w:ind w:firstLine="480" w:firstLineChars="200"/>
        <w:rPr>
          <w:rFonts w:cs="宋体"/>
          <w:sz w:val="24"/>
          <w:highlight w:val="none"/>
        </w:rPr>
      </w:pPr>
    </w:p>
    <w:p w14:paraId="3C68C6E5">
      <w:pPr>
        <w:spacing w:line="360" w:lineRule="auto"/>
        <w:ind w:firstLine="4200" w:firstLineChars="1750"/>
        <w:rPr>
          <w:rFonts w:cs="宋体"/>
          <w:sz w:val="24"/>
          <w:highlight w:val="none"/>
        </w:rPr>
      </w:pPr>
      <w:r>
        <w:rPr>
          <w:rFonts w:hint="eastAsia" w:cs="宋体"/>
          <w:sz w:val="24"/>
          <w:highlight w:val="none"/>
        </w:rPr>
        <w:t>项目经理签字：</w:t>
      </w:r>
      <w:r>
        <w:rPr>
          <w:rFonts w:hint="eastAsia" w:cs="宋体"/>
          <w:sz w:val="24"/>
          <w:highlight w:val="none"/>
          <w:u w:val="single"/>
        </w:rPr>
        <w:t xml:space="preserve">                   </w:t>
      </w:r>
    </w:p>
    <w:p w14:paraId="579201AA">
      <w:pPr>
        <w:spacing w:line="360" w:lineRule="auto"/>
        <w:ind w:firstLine="4200" w:firstLineChars="1750"/>
        <w:rPr>
          <w:rFonts w:cs="宋体"/>
          <w:sz w:val="24"/>
          <w:highlight w:val="none"/>
        </w:rPr>
      </w:pPr>
      <w:r>
        <w:rPr>
          <w:rFonts w:hint="eastAsia" w:cs="宋体"/>
          <w:sz w:val="24"/>
          <w:highlight w:val="none"/>
        </w:rPr>
        <w:t>身份证号：</w:t>
      </w:r>
      <w:r>
        <w:rPr>
          <w:rFonts w:hint="eastAsia" w:cs="宋体"/>
          <w:sz w:val="24"/>
          <w:highlight w:val="none"/>
          <w:u w:val="single"/>
        </w:rPr>
        <w:t xml:space="preserve">                       </w:t>
      </w:r>
    </w:p>
    <w:p w14:paraId="1533933C">
      <w:pPr>
        <w:spacing w:line="360" w:lineRule="auto"/>
        <w:ind w:firstLine="4200" w:firstLineChars="1750"/>
        <w:rPr>
          <w:rFonts w:cs="宋体"/>
          <w:sz w:val="24"/>
          <w:highlight w:val="none"/>
        </w:rPr>
      </w:pPr>
      <w:r>
        <w:rPr>
          <w:rFonts w:hint="eastAsia" w:cs="宋体"/>
          <w:sz w:val="24"/>
          <w:highlight w:val="none"/>
        </w:rPr>
        <w:t>日    期：</w:t>
      </w:r>
      <w:r>
        <w:rPr>
          <w:rFonts w:hint="eastAsia" w:cs="宋体"/>
          <w:sz w:val="24"/>
          <w:highlight w:val="none"/>
          <w:u w:val="single"/>
        </w:rPr>
        <w:t xml:space="preserve"> </w:t>
      </w:r>
      <w:r>
        <w:rPr>
          <w:rFonts w:cs="宋体"/>
          <w:sz w:val="24"/>
          <w:highlight w:val="none"/>
          <w:u w:val="single"/>
        </w:rPr>
        <w:t xml:space="preserve"> </w:t>
      </w:r>
      <w:r>
        <w:rPr>
          <w:rFonts w:hint="eastAsia" w:cs="宋体"/>
          <w:sz w:val="24"/>
          <w:highlight w:val="none"/>
          <w:u w:val="single"/>
        </w:rPr>
        <w:t xml:space="preserve">                     </w:t>
      </w:r>
    </w:p>
    <w:p w14:paraId="296F2A46">
      <w:pPr>
        <w:spacing w:line="360" w:lineRule="auto"/>
        <w:ind w:firstLine="480" w:firstLineChars="200"/>
        <w:rPr>
          <w:rFonts w:cs="宋体"/>
          <w:sz w:val="24"/>
          <w:highlight w:val="none"/>
        </w:rPr>
      </w:pPr>
    </w:p>
    <w:p w14:paraId="269E6AF8">
      <w:pPr>
        <w:spacing w:line="360" w:lineRule="auto"/>
        <w:ind w:firstLine="480" w:firstLineChars="200"/>
        <w:rPr>
          <w:rFonts w:cs="宋体" w:asciiTheme="minorEastAsia" w:hAnsiTheme="minorEastAsia"/>
          <w:sz w:val="24"/>
          <w:highlight w:val="none"/>
        </w:rPr>
      </w:pPr>
      <w:r>
        <w:rPr>
          <w:rFonts w:hint="eastAsia" w:cs="宋体"/>
          <w:sz w:val="24"/>
          <w:highlight w:val="none"/>
        </w:rPr>
        <w:t>注：本页后附项目经理身份证明扫描件。</w:t>
      </w:r>
    </w:p>
    <w:p w14:paraId="246B4C9D">
      <w:pPr>
        <w:autoSpaceDE w:val="0"/>
        <w:autoSpaceDN w:val="0"/>
        <w:adjustRightInd w:val="0"/>
        <w:spacing w:line="360" w:lineRule="auto"/>
        <w:jc w:val="center"/>
        <w:rPr>
          <w:rFonts w:ascii="@仿宋_GB2312" w:eastAsia="@仿宋_GB2312" w:cs="宋体"/>
          <w:sz w:val="24"/>
          <w:highlight w:val="none"/>
          <w:lang w:val="zh-CN"/>
        </w:rPr>
      </w:pPr>
      <w:bookmarkStart w:id="725" w:name="_Toc438648628"/>
      <w:r>
        <w:rPr>
          <w:rFonts w:hint="eastAsia" w:ascii="@仿宋_GB2312" w:eastAsia="@仿宋_GB2312" w:cs="宋体"/>
          <w:b/>
          <w:sz w:val="24"/>
          <w:highlight w:val="none"/>
        </w:rPr>
        <w:br w:type="page"/>
      </w:r>
      <w:bookmarkEnd w:id="725"/>
    </w:p>
    <w:p w14:paraId="38FAFBF5">
      <w:pPr>
        <w:spacing w:line="360" w:lineRule="auto"/>
        <w:jc w:val="center"/>
        <w:outlineLvl w:val="1"/>
        <w:rPr>
          <w:rFonts w:asciiTheme="minorEastAsia" w:hAnsiTheme="minorEastAsia"/>
          <w:b/>
          <w:sz w:val="24"/>
          <w:highlight w:val="none"/>
        </w:rPr>
      </w:pPr>
      <w:bookmarkStart w:id="726" w:name="_Toc28359"/>
      <w:bookmarkStart w:id="727" w:name="_Toc31589"/>
      <w:r>
        <w:rPr>
          <w:rFonts w:hint="eastAsia" w:asciiTheme="minorEastAsia" w:hAnsiTheme="minorEastAsia"/>
          <w:b/>
          <w:sz w:val="24"/>
          <w:highlight w:val="none"/>
        </w:rPr>
        <w:t>九、中小企业声明函</w:t>
      </w:r>
      <w:bookmarkEnd w:id="726"/>
      <w:bookmarkEnd w:id="727"/>
    </w:p>
    <w:p w14:paraId="18AD179B">
      <w:pPr>
        <w:pStyle w:val="2"/>
        <w:spacing w:line="360" w:lineRule="auto"/>
        <w:jc w:val="center"/>
        <w:rPr>
          <w:rFonts w:asciiTheme="minorEastAsia" w:hAnsiTheme="minorEastAsia"/>
          <w:sz w:val="24"/>
          <w:highlight w:val="none"/>
        </w:rPr>
      </w:pPr>
    </w:p>
    <w:p w14:paraId="4D4E3C63">
      <w:pPr>
        <w:spacing w:line="360" w:lineRule="auto"/>
        <w:ind w:firstLine="435"/>
        <w:rPr>
          <w:rFonts w:cs="@仿宋_GB2312"/>
          <w:sz w:val="24"/>
          <w:highlight w:val="none"/>
          <w:lang w:val="zh-CN"/>
        </w:rPr>
      </w:pPr>
      <w:r>
        <w:rPr>
          <w:rFonts w:hint="eastAsia" w:cs="@仿宋_GB2312"/>
          <w:sz w:val="24"/>
          <w:highlight w:val="none"/>
          <w:lang w:val="zh-CN"/>
        </w:rPr>
        <w:t>本公司（联合体）郑重声明，根据《政府采购促进中小企业发展管理办法》（财库﹝2020﹞46号）的规定，本公司（联合体）参加</w:t>
      </w:r>
      <w:r>
        <w:rPr>
          <w:rFonts w:hint="eastAsia" w:cs="@仿宋_GB2312"/>
          <w:sz w:val="24"/>
          <w:highlight w:val="none"/>
          <w:u w:val="single"/>
          <w:lang w:val="zh-CN"/>
        </w:rPr>
        <w:t>（单位</w:t>
      </w:r>
      <w:r>
        <w:rPr>
          <w:rFonts w:hint="eastAsia" w:cs="@仿宋_GB2312"/>
          <w:sz w:val="24"/>
          <w:highlight w:val="none"/>
          <w:u w:val="single"/>
        </w:rPr>
        <w:t>名称</w:t>
      </w:r>
      <w:r>
        <w:rPr>
          <w:rFonts w:hint="eastAsia" w:cs="@仿宋_GB2312"/>
          <w:sz w:val="24"/>
          <w:highlight w:val="none"/>
          <w:u w:val="single"/>
          <w:lang w:val="zh-CN"/>
        </w:rPr>
        <w:t>）</w:t>
      </w:r>
      <w:r>
        <w:rPr>
          <w:rFonts w:hint="eastAsia" w:cs="@仿宋_GB2312"/>
          <w:sz w:val="24"/>
          <w:highlight w:val="none"/>
          <w:lang w:val="zh-CN"/>
        </w:rPr>
        <w:t>的</w:t>
      </w:r>
      <w:r>
        <w:rPr>
          <w:rFonts w:hint="eastAsia" w:cs="@仿宋_GB2312"/>
          <w:sz w:val="24"/>
          <w:highlight w:val="none"/>
          <w:u w:val="single"/>
          <w:lang w:val="zh-CN"/>
        </w:rPr>
        <w:t>（项目</w:t>
      </w:r>
      <w:r>
        <w:rPr>
          <w:rFonts w:hint="eastAsia" w:cs="@仿宋_GB2312"/>
          <w:sz w:val="24"/>
          <w:highlight w:val="none"/>
          <w:u w:val="single"/>
        </w:rPr>
        <w:t>名称</w:t>
      </w:r>
      <w:r>
        <w:rPr>
          <w:rFonts w:hint="eastAsia" w:cs="@仿宋_GB2312"/>
          <w:sz w:val="24"/>
          <w:highlight w:val="none"/>
          <w:u w:val="single"/>
          <w:lang w:val="zh-CN"/>
        </w:rPr>
        <w:t>）</w:t>
      </w:r>
      <w:r>
        <w:rPr>
          <w:rFonts w:hint="eastAsia" w:cs="@仿宋_GB2312"/>
          <w:sz w:val="24"/>
          <w:highlight w:val="none"/>
          <w:lang w:val="zh-CN"/>
        </w:rPr>
        <w:t xml:space="preserve">采购活动，工程的施工单位全部为符合政策要求的中小企业。相关企业（含联合体中的中小企业、签订分包意向协议的中小企业）的具体情况如下： </w:t>
      </w:r>
    </w:p>
    <w:p w14:paraId="3D3DDEAB">
      <w:pPr>
        <w:spacing w:line="360" w:lineRule="auto"/>
        <w:ind w:firstLine="435"/>
        <w:rPr>
          <w:rFonts w:cs="@仿宋_GB2312"/>
          <w:sz w:val="24"/>
          <w:highlight w:val="none"/>
          <w:lang w:val="zh-CN"/>
        </w:rPr>
      </w:pPr>
      <w:r>
        <w:rPr>
          <w:rFonts w:hint="eastAsia" w:cs="@仿宋_GB2312"/>
          <w:sz w:val="24"/>
          <w:highlight w:val="none"/>
          <w:lang w:val="zh-CN"/>
        </w:rPr>
        <w:t>1.</w:t>
      </w:r>
      <w:r>
        <w:rPr>
          <w:rFonts w:hint="eastAsia" w:cs="@仿宋_GB2312"/>
          <w:sz w:val="24"/>
          <w:highlight w:val="none"/>
          <w:u w:val="single"/>
          <w:lang w:val="zh-CN"/>
        </w:rPr>
        <w:t xml:space="preserve"> （标的名称） </w:t>
      </w:r>
      <w:r>
        <w:rPr>
          <w:rFonts w:hint="eastAsia" w:cs="@仿宋_GB2312"/>
          <w:sz w:val="24"/>
          <w:highlight w:val="none"/>
          <w:lang w:val="zh-CN"/>
        </w:rPr>
        <w:t>，属于</w:t>
      </w:r>
      <w:r>
        <w:rPr>
          <w:rFonts w:hint="eastAsia" w:cs="@仿宋_GB2312"/>
          <w:sz w:val="24"/>
          <w:highlight w:val="none"/>
          <w:u w:val="single"/>
          <w:lang w:val="zh-CN"/>
        </w:rPr>
        <w:t>（采购文件中明确的所属行业）</w:t>
      </w:r>
      <w:r>
        <w:rPr>
          <w:rFonts w:hint="eastAsia" w:cs="@仿宋_GB2312"/>
          <w:sz w:val="24"/>
          <w:highlight w:val="none"/>
          <w:lang w:val="zh-CN"/>
        </w:rPr>
        <w:t>行业；承建企业为</w:t>
      </w:r>
      <w:r>
        <w:rPr>
          <w:rFonts w:hint="eastAsia" w:cs="@仿宋_GB2312"/>
          <w:sz w:val="24"/>
          <w:highlight w:val="none"/>
          <w:u w:val="single"/>
          <w:lang w:val="zh-CN"/>
        </w:rPr>
        <w:t>（企业名称）</w:t>
      </w:r>
      <w:r>
        <w:rPr>
          <w:rFonts w:hint="eastAsia" w:cs="@仿宋_GB2312"/>
          <w:sz w:val="24"/>
          <w:highlight w:val="none"/>
          <w:lang w:val="zh-CN"/>
        </w:rPr>
        <w:t>，从业人员</w:t>
      </w:r>
      <w:r>
        <w:rPr>
          <w:rFonts w:hint="eastAsia" w:cs="@仿宋_GB2312"/>
          <w:sz w:val="24"/>
          <w:highlight w:val="none"/>
          <w:u w:val="single"/>
          <w:lang w:val="zh-CN"/>
        </w:rPr>
        <w:t xml:space="preserve">     </w:t>
      </w:r>
      <w:r>
        <w:rPr>
          <w:rFonts w:hint="eastAsia" w:cs="@仿宋_GB2312"/>
          <w:sz w:val="24"/>
          <w:highlight w:val="none"/>
          <w:lang w:val="zh-CN"/>
        </w:rPr>
        <w:t>人，营业收入为</w:t>
      </w:r>
      <w:r>
        <w:rPr>
          <w:rFonts w:hint="eastAsia" w:cs="@仿宋_GB2312"/>
          <w:sz w:val="24"/>
          <w:highlight w:val="none"/>
          <w:u w:val="single"/>
          <w:lang w:val="zh-CN"/>
        </w:rPr>
        <w:t xml:space="preserve">     </w:t>
      </w:r>
      <w:r>
        <w:rPr>
          <w:rFonts w:hint="eastAsia" w:cs="@仿宋_GB2312"/>
          <w:sz w:val="24"/>
          <w:highlight w:val="none"/>
          <w:lang w:val="zh-CN"/>
        </w:rPr>
        <w:t>万元，资产总额为</w:t>
      </w:r>
      <w:r>
        <w:rPr>
          <w:rFonts w:hint="eastAsia" w:cs="@仿宋_GB2312"/>
          <w:sz w:val="24"/>
          <w:highlight w:val="none"/>
          <w:u w:val="single"/>
          <w:lang w:val="zh-CN"/>
        </w:rPr>
        <w:t xml:space="preserve">     </w:t>
      </w:r>
      <w:r>
        <w:rPr>
          <w:rFonts w:hint="eastAsia" w:cs="@仿宋_GB2312"/>
          <w:sz w:val="24"/>
          <w:highlight w:val="none"/>
          <w:lang w:val="zh-CN"/>
        </w:rPr>
        <w:t>万元，属于</w:t>
      </w:r>
      <w:r>
        <w:rPr>
          <w:rFonts w:hint="eastAsia" w:cs="@仿宋_GB2312"/>
          <w:sz w:val="24"/>
          <w:highlight w:val="none"/>
          <w:u w:val="single"/>
          <w:lang w:val="zh-CN"/>
        </w:rPr>
        <w:t>（中型企业、小型企业、微型企业）</w:t>
      </w:r>
      <w:r>
        <w:rPr>
          <w:rFonts w:hint="eastAsia" w:cs="@仿宋_GB2312"/>
          <w:sz w:val="24"/>
          <w:highlight w:val="none"/>
          <w:lang w:val="zh-CN"/>
        </w:rPr>
        <w:t xml:space="preserve">； </w:t>
      </w:r>
    </w:p>
    <w:p w14:paraId="6A32C2C0">
      <w:pPr>
        <w:spacing w:line="360" w:lineRule="auto"/>
        <w:ind w:firstLine="435"/>
        <w:rPr>
          <w:rFonts w:cs="@仿宋_GB2312"/>
          <w:sz w:val="24"/>
          <w:highlight w:val="none"/>
          <w:lang w:val="zh-CN"/>
        </w:rPr>
      </w:pPr>
      <w:r>
        <w:rPr>
          <w:rFonts w:hint="eastAsia" w:cs="@仿宋_GB2312"/>
          <w:sz w:val="24"/>
          <w:highlight w:val="none"/>
          <w:lang w:val="zh-CN"/>
        </w:rPr>
        <w:t>2.</w:t>
      </w:r>
      <w:r>
        <w:rPr>
          <w:rFonts w:hint="eastAsia" w:cs="@仿宋_GB2312"/>
          <w:sz w:val="24"/>
          <w:highlight w:val="none"/>
          <w:u w:val="single"/>
          <w:lang w:val="zh-CN"/>
        </w:rPr>
        <w:t xml:space="preserve"> （标的名称） </w:t>
      </w:r>
      <w:r>
        <w:rPr>
          <w:rFonts w:hint="eastAsia" w:cs="@仿宋_GB2312"/>
          <w:sz w:val="24"/>
          <w:highlight w:val="none"/>
          <w:lang w:val="zh-CN"/>
        </w:rPr>
        <w:t>，属于</w:t>
      </w:r>
      <w:r>
        <w:rPr>
          <w:rFonts w:hint="eastAsia" w:cs="@仿宋_GB2312"/>
          <w:sz w:val="24"/>
          <w:highlight w:val="none"/>
          <w:u w:val="single"/>
          <w:lang w:val="zh-CN"/>
        </w:rPr>
        <w:t>（采购文件中明确的所属行业）</w:t>
      </w:r>
      <w:r>
        <w:rPr>
          <w:rFonts w:hint="eastAsia" w:cs="@仿宋_GB2312"/>
          <w:sz w:val="24"/>
          <w:highlight w:val="none"/>
          <w:lang w:val="zh-CN"/>
        </w:rPr>
        <w:t>行业；承建企业为</w:t>
      </w:r>
      <w:r>
        <w:rPr>
          <w:rFonts w:hint="eastAsia" w:cs="@仿宋_GB2312"/>
          <w:sz w:val="24"/>
          <w:highlight w:val="none"/>
          <w:u w:val="single"/>
          <w:lang w:val="zh-CN"/>
        </w:rPr>
        <w:t>（企业名称）</w:t>
      </w:r>
      <w:r>
        <w:rPr>
          <w:rFonts w:hint="eastAsia" w:cs="@仿宋_GB2312"/>
          <w:sz w:val="24"/>
          <w:highlight w:val="none"/>
          <w:lang w:val="zh-CN"/>
        </w:rPr>
        <w:t>，从业人员</w:t>
      </w:r>
      <w:r>
        <w:rPr>
          <w:rFonts w:hint="eastAsia" w:cs="@仿宋_GB2312"/>
          <w:sz w:val="24"/>
          <w:highlight w:val="none"/>
          <w:u w:val="single"/>
          <w:lang w:val="zh-CN"/>
        </w:rPr>
        <w:t xml:space="preserve">     </w:t>
      </w:r>
      <w:r>
        <w:rPr>
          <w:rFonts w:hint="eastAsia" w:cs="@仿宋_GB2312"/>
          <w:sz w:val="24"/>
          <w:highlight w:val="none"/>
          <w:lang w:val="zh-CN"/>
        </w:rPr>
        <w:t>人，营业收入为</w:t>
      </w:r>
      <w:r>
        <w:rPr>
          <w:rFonts w:hint="eastAsia" w:cs="@仿宋_GB2312"/>
          <w:sz w:val="24"/>
          <w:highlight w:val="none"/>
          <w:u w:val="single"/>
          <w:lang w:val="zh-CN"/>
        </w:rPr>
        <w:t xml:space="preserve">     </w:t>
      </w:r>
      <w:r>
        <w:rPr>
          <w:rFonts w:hint="eastAsia" w:cs="@仿宋_GB2312"/>
          <w:sz w:val="24"/>
          <w:highlight w:val="none"/>
          <w:lang w:val="zh-CN"/>
        </w:rPr>
        <w:t>万元，资产总额为</w:t>
      </w:r>
      <w:r>
        <w:rPr>
          <w:rFonts w:hint="eastAsia" w:cs="@仿宋_GB2312"/>
          <w:sz w:val="24"/>
          <w:highlight w:val="none"/>
          <w:u w:val="single"/>
          <w:lang w:val="zh-CN"/>
        </w:rPr>
        <w:t xml:space="preserve">     </w:t>
      </w:r>
      <w:r>
        <w:rPr>
          <w:rFonts w:hint="eastAsia" w:cs="@仿宋_GB2312"/>
          <w:sz w:val="24"/>
          <w:highlight w:val="none"/>
          <w:lang w:val="zh-CN"/>
        </w:rPr>
        <w:t>万元，属于</w:t>
      </w:r>
      <w:r>
        <w:rPr>
          <w:rFonts w:hint="eastAsia" w:cs="@仿宋_GB2312"/>
          <w:sz w:val="24"/>
          <w:highlight w:val="none"/>
          <w:u w:val="single"/>
          <w:lang w:val="zh-CN"/>
        </w:rPr>
        <w:t>（中型企业、小型企业、微型企业）</w:t>
      </w:r>
      <w:r>
        <w:rPr>
          <w:rFonts w:hint="eastAsia" w:cs="@仿宋_GB2312"/>
          <w:sz w:val="24"/>
          <w:highlight w:val="none"/>
          <w:lang w:val="zh-CN"/>
        </w:rPr>
        <w:t xml:space="preserve">； </w:t>
      </w:r>
    </w:p>
    <w:p w14:paraId="2A46AF75">
      <w:pPr>
        <w:spacing w:line="360" w:lineRule="auto"/>
        <w:ind w:firstLine="435"/>
        <w:rPr>
          <w:rFonts w:cs="@仿宋_GB2312"/>
          <w:sz w:val="24"/>
          <w:highlight w:val="none"/>
          <w:lang w:val="zh-CN"/>
        </w:rPr>
      </w:pPr>
      <w:r>
        <w:rPr>
          <w:rFonts w:hint="eastAsia" w:cs="@仿宋_GB2312"/>
          <w:sz w:val="24"/>
          <w:highlight w:val="none"/>
          <w:lang w:val="zh-CN"/>
        </w:rPr>
        <w:t>……</w:t>
      </w:r>
    </w:p>
    <w:p w14:paraId="632164C2">
      <w:pPr>
        <w:spacing w:line="360" w:lineRule="auto"/>
        <w:ind w:firstLine="435"/>
        <w:rPr>
          <w:rFonts w:cs="@仿宋_GB2312"/>
          <w:sz w:val="24"/>
          <w:highlight w:val="none"/>
          <w:lang w:val="zh-CN"/>
        </w:rPr>
      </w:pPr>
      <w:r>
        <w:rPr>
          <w:rFonts w:hint="eastAsia" w:cs="@仿宋_GB2312"/>
          <w:sz w:val="24"/>
          <w:highlight w:val="none"/>
          <w:lang w:val="zh-CN"/>
        </w:rPr>
        <w:t>以上企业，不属于大企业的分支机构，不存在控股股东为大企业的情形，也不存在与大企业的负责人为同一人的情形。</w:t>
      </w:r>
    </w:p>
    <w:p w14:paraId="0C467C6B">
      <w:pPr>
        <w:spacing w:line="360" w:lineRule="auto"/>
        <w:ind w:firstLine="435"/>
        <w:rPr>
          <w:rFonts w:cs="@仿宋_GB2312"/>
          <w:sz w:val="24"/>
          <w:highlight w:val="none"/>
          <w:lang w:val="zh-CN"/>
        </w:rPr>
      </w:pPr>
      <w:r>
        <w:rPr>
          <w:rFonts w:hint="eastAsia" w:cs="@仿宋_GB2312"/>
          <w:sz w:val="24"/>
          <w:highlight w:val="none"/>
          <w:lang w:val="zh-CN"/>
        </w:rPr>
        <w:t xml:space="preserve">本企业对上述声明内容的真实性负责。如有虚假，将依法承担相应责任。 </w:t>
      </w:r>
    </w:p>
    <w:p w14:paraId="71D15D36">
      <w:pPr>
        <w:spacing w:line="360" w:lineRule="auto"/>
        <w:ind w:firstLine="435"/>
        <w:rPr>
          <w:rFonts w:cs="@仿宋_GB2312" w:asciiTheme="minorEastAsia" w:hAnsiTheme="minorEastAsia"/>
          <w:sz w:val="24"/>
          <w:highlight w:val="none"/>
        </w:rPr>
      </w:pPr>
    </w:p>
    <w:p w14:paraId="5A52A32A">
      <w:pPr>
        <w:spacing w:line="360" w:lineRule="auto"/>
        <w:ind w:firstLine="435"/>
        <w:rPr>
          <w:rFonts w:cs="@仿宋_GB2312" w:asciiTheme="minorEastAsia" w:hAnsiTheme="minorEastAsia"/>
          <w:sz w:val="24"/>
          <w:highlight w:val="none"/>
        </w:rPr>
      </w:pPr>
    </w:p>
    <w:p w14:paraId="43AB77C2">
      <w:pPr>
        <w:spacing w:line="360" w:lineRule="auto"/>
        <w:ind w:firstLine="4228" w:firstLineChars="1762"/>
        <w:rPr>
          <w:rFonts w:cs="@仿宋_GB2312" w:asciiTheme="minorEastAsia" w:hAnsiTheme="minorEastAsia"/>
          <w:sz w:val="24"/>
          <w:highlight w:val="none"/>
          <w:u w:val="single"/>
        </w:rPr>
      </w:pPr>
      <w:r>
        <w:rPr>
          <w:rFonts w:hint="eastAsia" w:cs="@仿宋_GB2312" w:asciiTheme="minorEastAsia" w:hAnsiTheme="minorEastAsia"/>
          <w:sz w:val="24"/>
          <w:highlight w:val="none"/>
        </w:rPr>
        <w:t>供应商</w:t>
      </w:r>
      <w:r>
        <w:rPr>
          <w:rFonts w:cs="@仿宋_GB2312" w:asciiTheme="minorEastAsia" w:hAnsiTheme="minorEastAsia"/>
          <w:sz w:val="24"/>
          <w:highlight w:val="none"/>
        </w:rPr>
        <w:t>电子签章</w:t>
      </w:r>
      <w:r>
        <w:rPr>
          <w:rFonts w:hint="eastAsia" w:cs="@仿宋_GB2312" w:asciiTheme="minorEastAsia" w:hAnsiTheme="minorEastAsia"/>
          <w:sz w:val="24"/>
          <w:highlight w:val="none"/>
        </w:rPr>
        <w:t>：</w:t>
      </w:r>
      <w:r>
        <w:rPr>
          <w:rFonts w:cs="@仿宋_GB2312" w:asciiTheme="minorEastAsia" w:hAnsiTheme="minorEastAsia"/>
          <w:sz w:val="24"/>
          <w:highlight w:val="none"/>
          <w:u w:val="single"/>
        </w:rPr>
        <w:t xml:space="preserve">             </w:t>
      </w:r>
    </w:p>
    <w:p w14:paraId="39401DEF">
      <w:pPr>
        <w:tabs>
          <w:tab w:val="left" w:pos="4620"/>
        </w:tabs>
        <w:spacing w:line="360" w:lineRule="auto"/>
        <w:ind w:firstLine="4252" w:firstLineChars="1772"/>
        <w:rPr>
          <w:rFonts w:cs="@仿宋_GB2312" w:asciiTheme="minorEastAsia" w:hAnsiTheme="minorEastAsia"/>
          <w:sz w:val="24"/>
          <w:highlight w:val="none"/>
          <w:u w:val="single"/>
        </w:rPr>
      </w:pPr>
      <w:r>
        <w:rPr>
          <w:rFonts w:hint="eastAsia" w:cs="@仿宋_GB2312" w:asciiTheme="minorEastAsia" w:hAnsiTheme="minorEastAsia"/>
          <w:sz w:val="24"/>
          <w:highlight w:val="none"/>
        </w:rPr>
        <w:t>日</w:t>
      </w:r>
      <w:r>
        <w:rPr>
          <w:rFonts w:cs="@仿宋_GB2312" w:asciiTheme="minorEastAsia" w:hAnsiTheme="minorEastAsia"/>
          <w:sz w:val="24"/>
          <w:highlight w:val="none"/>
        </w:rPr>
        <w:t xml:space="preserve">      </w:t>
      </w:r>
      <w:r>
        <w:rPr>
          <w:rFonts w:hint="eastAsia" w:cs="@仿宋_GB2312" w:asciiTheme="minorEastAsia" w:hAnsiTheme="minorEastAsia"/>
          <w:sz w:val="24"/>
          <w:highlight w:val="none"/>
        </w:rPr>
        <w:t xml:space="preserve">    期：</w:t>
      </w:r>
      <w:r>
        <w:rPr>
          <w:rFonts w:cs="@仿宋_GB2312" w:asciiTheme="minorEastAsia" w:hAnsiTheme="minorEastAsia"/>
          <w:sz w:val="24"/>
          <w:highlight w:val="none"/>
          <w:u w:val="single"/>
        </w:rPr>
        <w:t xml:space="preserve">             </w:t>
      </w:r>
    </w:p>
    <w:p w14:paraId="5A0FF00E">
      <w:pPr>
        <w:tabs>
          <w:tab w:val="left" w:pos="4620"/>
        </w:tabs>
        <w:spacing w:line="360" w:lineRule="auto"/>
        <w:jc w:val="left"/>
        <w:rPr>
          <w:rFonts w:cs="@仿宋_GB2312" w:asciiTheme="minorEastAsia" w:hAnsiTheme="minorEastAsia"/>
          <w:sz w:val="24"/>
          <w:highlight w:val="none"/>
        </w:rPr>
      </w:pPr>
    </w:p>
    <w:p w14:paraId="5133213C">
      <w:pPr>
        <w:tabs>
          <w:tab w:val="left" w:pos="4620"/>
        </w:tabs>
        <w:spacing w:line="360" w:lineRule="auto"/>
        <w:jc w:val="left"/>
        <w:rPr>
          <w:rFonts w:cs="@仿宋_GB2312" w:asciiTheme="minorEastAsia" w:hAnsiTheme="minorEastAsia"/>
          <w:sz w:val="24"/>
          <w:highlight w:val="none"/>
        </w:rPr>
      </w:pPr>
    </w:p>
    <w:p w14:paraId="425117A1">
      <w:pPr>
        <w:tabs>
          <w:tab w:val="left" w:pos="4620"/>
        </w:tabs>
        <w:spacing w:line="360" w:lineRule="auto"/>
        <w:jc w:val="left"/>
        <w:rPr>
          <w:rFonts w:cs="@仿宋_GB2312" w:asciiTheme="minorEastAsia" w:hAnsiTheme="minorEastAsia"/>
          <w:sz w:val="24"/>
          <w:highlight w:val="none"/>
        </w:rPr>
      </w:pPr>
    </w:p>
    <w:p w14:paraId="222EE190">
      <w:pPr>
        <w:tabs>
          <w:tab w:val="left" w:pos="4620"/>
        </w:tabs>
        <w:spacing w:line="360" w:lineRule="auto"/>
        <w:jc w:val="left"/>
        <w:rPr>
          <w:rFonts w:cs="@仿宋_GB2312" w:asciiTheme="minorEastAsia" w:hAnsiTheme="minorEastAsia"/>
          <w:sz w:val="24"/>
          <w:highlight w:val="none"/>
        </w:rPr>
      </w:pPr>
    </w:p>
    <w:p w14:paraId="019A996D">
      <w:pPr>
        <w:tabs>
          <w:tab w:val="left" w:pos="4620"/>
        </w:tabs>
        <w:spacing w:line="360" w:lineRule="auto"/>
        <w:jc w:val="left"/>
        <w:rPr>
          <w:rFonts w:cs="@仿宋_GB2312" w:asciiTheme="minorEastAsia" w:hAnsiTheme="minorEastAsia"/>
          <w:sz w:val="24"/>
          <w:highlight w:val="none"/>
        </w:rPr>
      </w:pPr>
    </w:p>
    <w:p w14:paraId="08B98838">
      <w:pPr>
        <w:tabs>
          <w:tab w:val="left" w:pos="4620"/>
        </w:tabs>
        <w:spacing w:line="360" w:lineRule="auto"/>
        <w:jc w:val="left"/>
        <w:rPr>
          <w:rFonts w:cs="@仿宋_GB2312" w:asciiTheme="minorEastAsia" w:hAnsiTheme="minorEastAsia"/>
          <w:b/>
          <w:highlight w:val="none"/>
        </w:rPr>
      </w:pPr>
      <w:r>
        <w:rPr>
          <w:rFonts w:hint="eastAsia" w:cs="@仿宋_GB2312" w:asciiTheme="minorEastAsia" w:hAnsiTheme="minorEastAsia"/>
          <w:b/>
          <w:highlight w:val="none"/>
        </w:rPr>
        <w:t>注：</w:t>
      </w:r>
    </w:p>
    <w:p w14:paraId="03585B1D">
      <w:pPr>
        <w:tabs>
          <w:tab w:val="left" w:pos="4620"/>
        </w:tabs>
        <w:spacing w:line="360" w:lineRule="auto"/>
        <w:jc w:val="left"/>
        <w:rPr>
          <w:rFonts w:cs="@仿宋_GB2312" w:asciiTheme="minorEastAsia" w:hAnsiTheme="minorEastAsia"/>
          <w:highlight w:val="none"/>
        </w:rPr>
      </w:pPr>
      <w:r>
        <w:rPr>
          <w:rFonts w:cs="@仿宋_GB2312" w:asciiTheme="minorEastAsia" w:hAnsiTheme="minorEastAsia"/>
          <w:highlight w:val="none"/>
        </w:rPr>
        <w:t>1.从业人员、营业收入、资产总额填报上一年数据，无上一年数据的新成立企业可不填报。</w:t>
      </w:r>
    </w:p>
    <w:p w14:paraId="26782C85">
      <w:pPr>
        <w:tabs>
          <w:tab w:val="left" w:pos="4620"/>
        </w:tabs>
        <w:spacing w:line="360" w:lineRule="auto"/>
        <w:jc w:val="left"/>
        <w:rPr>
          <w:rFonts w:cs="宋体"/>
          <w:b/>
          <w:bCs/>
          <w:szCs w:val="21"/>
          <w:highlight w:val="none"/>
        </w:rPr>
      </w:pPr>
      <w:r>
        <w:rPr>
          <w:rFonts w:hint="eastAsia" w:cs="宋体"/>
          <w:b/>
          <w:bCs/>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cs="宋体"/>
          <w:b/>
          <w:bCs/>
          <w:szCs w:val="21"/>
          <w:highlight w:val="none"/>
          <w:lang w:val="zh-CN"/>
        </w:rPr>
        <w:t>如有虚假，将依法承担相应责任。</w:t>
      </w:r>
      <w:r>
        <w:rPr>
          <w:rFonts w:hint="eastAsia" w:cs="宋体"/>
          <w:b/>
          <w:bCs/>
          <w:szCs w:val="21"/>
          <w:highlight w:val="none"/>
        </w:rPr>
        <w:t>供应商自行登录工业和信息化部官网进行中小企业规模类型自测（查询网址https://www.miit.gov.cn/）。</w:t>
      </w:r>
    </w:p>
    <w:p w14:paraId="742D743C">
      <w:pPr>
        <w:tabs>
          <w:tab w:val="left" w:pos="4620"/>
        </w:tabs>
        <w:spacing w:line="360" w:lineRule="auto"/>
        <w:jc w:val="left"/>
        <w:rPr>
          <w:rFonts w:cs="宋体"/>
          <w:b/>
          <w:bCs/>
          <w:szCs w:val="21"/>
          <w:highlight w:val="none"/>
        </w:rPr>
      </w:pPr>
      <w:r>
        <w:rPr>
          <w:rFonts w:hint="eastAsia" w:cs="宋体"/>
          <w:b/>
          <w:bCs/>
          <w:szCs w:val="21"/>
          <w:highlight w:val="none"/>
        </w:rPr>
        <w:t>3.上述“</w:t>
      </w:r>
      <w:r>
        <w:rPr>
          <w:rFonts w:hint="eastAsia" w:cs="宋体"/>
          <w:b/>
          <w:bCs/>
          <w:szCs w:val="21"/>
          <w:highlight w:val="none"/>
          <w:u w:val="single"/>
          <w:lang w:val="zh-CN"/>
        </w:rPr>
        <w:t>标的名称</w:t>
      </w:r>
      <w:r>
        <w:rPr>
          <w:rFonts w:hint="eastAsia" w:cs="宋体"/>
          <w:b/>
          <w:bCs/>
          <w:szCs w:val="21"/>
          <w:highlight w:val="none"/>
        </w:rPr>
        <w:t>”，详见第三章采购需求前附表中明确的“标的名称”。</w:t>
      </w:r>
    </w:p>
    <w:p w14:paraId="5895AB80">
      <w:pPr>
        <w:tabs>
          <w:tab w:val="left" w:pos="4620"/>
        </w:tabs>
        <w:spacing w:line="360" w:lineRule="auto"/>
        <w:jc w:val="left"/>
        <w:rPr>
          <w:rFonts w:cs="宋体"/>
          <w:b/>
          <w:bCs/>
          <w:szCs w:val="21"/>
          <w:highlight w:val="none"/>
        </w:rPr>
      </w:pPr>
      <w:r>
        <w:rPr>
          <w:rFonts w:hint="eastAsia" w:cs="宋体"/>
          <w:b/>
          <w:bCs/>
          <w:szCs w:val="21"/>
          <w:highlight w:val="none"/>
        </w:rPr>
        <w:t>4.上述“</w:t>
      </w:r>
      <w:r>
        <w:rPr>
          <w:rFonts w:hint="eastAsia" w:cs="宋体"/>
          <w:b/>
          <w:bCs/>
          <w:szCs w:val="21"/>
          <w:highlight w:val="none"/>
          <w:u w:val="single"/>
        </w:rPr>
        <w:t>采购文件中明确的所属行业</w:t>
      </w:r>
      <w:r>
        <w:rPr>
          <w:rFonts w:hint="eastAsia" w:cs="宋体"/>
          <w:b/>
          <w:bCs/>
          <w:szCs w:val="21"/>
          <w:highlight w:val="none"/>
        </w:rPr>
        <w:t>”，详见第三章采购需求前附表中明确的“所属行业”。</w:t>
      </w:r>
    </w:p>
    <w:p w14:paraId="58E44786">
      <w:pPr>
        <w:tabs>
          <w:tab w:val="left" w:pos="4620"/>
        </w:tabs>
        <w:spacing w:line="360" w:lineRule="auto"/>
        <w:jc w:val="left"/>
        <w:rPr>
          <w:rFonts w:cs="宋体"/>
          <w:b/>
          <w:bCs/>
          <w:szCs w:val="21"/>
          <w:highlight w:val="none"/>
        </w:rPr>
      </w:pPr>
      <w:r>
        <w:rPr>
          <w:rFonts w:hint="eastAsia" w:cs="宋体"/>
          <w:b/>
          <w:bCs/>
          <w:szCs w:val="21"/>
          <w:highlight w:val="none"/>
        </w:rPr>
        <w:t>5．填写示例：</w:t>
      </w:r>
      <w:r>
        <w:rPr>
          <w:rFonts w:hint="eastAsia" w:cs="宋体"/>
          <w:b/>
          <w:bCs/>
          <w:szCs w:val="21"/>
          <w:highlight w:val="none"/>
          <w:u w:val="single"/>
        </w:rPr>
        <w:t>某标的名称</w:t>
      </w:r>
      <w:r>
        <w:rPr>
          <w:rFonts w:hint="eastAsia" w:cs="宋体"/>
          <w:b/>
          <w:bCs/>
          <w:szCs w:val="21"/>
          <w:highlight w:val="none"/>
        </w:rPr>
        <w:t>（</w:t>
      </w:r>
      <w:r>
        <w:rPr>
          <w:rFonts w:hint="eastAsia" w:cs="宋体"/>
          <w:b/>
          <w:bCs/>
          <w:szCs w:val="21"/>
          <w:highlight w:val="none"/>
          <w:u w:val="single"/>
        </w:rPr>
        <w:t>填写第三章采购需求前附表中明确的“标的名称”</w:t>
      </w:r>
      <w:r>
        <w:rPr>
          <w:rFonts w:hint="eastAsia" w:cs="宋体"/>
          <w:b/>
          <w:bCs/>
          <w:szCs w:val="21"/>
          <w:highlight w:val="none"/>
        </w:rPr>
        <w:t>），属于</w:t>
      </w:r>
      <w:r>
        <w:rPr>
          <w:rFonts w:hint="eastAsia" w:cs="宋体"/>
          <w:b/>
          <w:bCs/>
          <w:szCs w:val="21"/>
          <w:highlight w:val="none"/>
          <w:u w:val="single"/>
        </w:rPr>
        <w:t>（填写第三章采购需求前附表中明确的“所属行业”，如建筑业）</w:t>
      </w:r>
      <w:r>
        <w:rPr>
          <w:rFonts w:hint="eastAsia" w:cs="宋体"/>
          <w:b/>
          <w:bCs/>
          <w:szCs w:val="21"/>
          <w:highlight w:val="none"/>
        </w:rPr>
        <w:t>行业；承接企业为</w:t>
      </w:r>
      <w:r>
        <w:rPr>
          <w:rFonts w:hint="eastAsia" w:cs="宋体"/>
          <w:b/>
          <w:bCs/>
          <w:szCs w:val="21"/>
          <w:highlight w:val="none"/>
          <w:u w:val="single"/>
          <w:lang w:val="zh-CN"/>
        </w:rPr>
        <w:t>某公司</w:t>
      </w:r>
      <w:r>
        <w:rPr>
          <w:rFonts w:hint="eastAsia" w:cs="宋体"/>
          <w:b/>
          <w:bCs/>
          <w:szCs w:val="21"/>
          <w:highlight w:val="none"/>
        </w:rPr>
        <w:t>，</w:t>
      </w:r>
      <w:r>
        <w:rPr>
          <w:rFonts w:hint="eastAsia" w:cs="宋体"/>
          <w:b/>
          <w:bCs/>
          <w:szCs w:val="21"/>
          <w:highlight w:val="none"/>
          <w:lang w:val="zh-CN"/>
        </w:rPr>
        <w:t>从业人员</w:t>
      </w:r>
      <w:r>
        <w:rPr>
          <w:rFonts w:hint="eastAsia" w:cs="宋体"/>
          <w:b/>
          <w:bCs/>
          <w:szCs w:val="21"/>
          <w:highlight w:val="none"/>
          <w:u w:val="single"/>
        </w:rPr>
        <w:t>100</w:t>
      </w:r>
      <w:r>
        <w:rPr>
          <w:rFonts w:hint="eastAsia" w:cs="宋体"/>
          <w:b/>
          <w:bCs/>
          <w:szCs w:val="21"/>
          <w:highlight w:val="none"/>
          <w:lang w:val="zh-CN"/>
        </w:rPr>
        <w:t>人</w:t>
      </w:r>
      <w:r>
        <w:rPr>
          <w:rFonts w:hint="eastAsia" w:cs="宋体"/>
          <w:b/>
          <w:bCs/>
          <w:szCs w:val="21"/>
          <w:highlight w:val="none"/>
        </w:rPr>
        <w:t>，</w:t>
      </w:r>
      <w:r>
        <w:rPr>
          <w:rFonts w:hint="eastAsia" w:cs="宋体"/>
          <w:b/>
          <w:bCs/>
          <w:szCs w:val="21"/>
          <w:highlight w:val="none"/>
          <w:lang w:val="zh-CN"/>
        </w:rPr>
        <w:t>营业收入为</w:t>
      </w:r>
      <w:r>
        <w:rPr>
          <w:rFonts w:hint="eastAsia" w:cs="宋体"/>
          <w:b/>
          <w:bCs/>
          <w:szCs w:val="21"/>
          <w:highlight w:val="none"/>
          <w:u w:val="single"/>
        </w:rPr>
        <w:t>10000</w:t>
      </w:r>
      <w:r>
        <w:rPr>
          <w:rFonts w:hint="eastAsia" w:cs="宋体"/>
          <w:b/>
          <w:bCs/>
          <w:szCs w:val="21"/>
          <w:highlight w:val="none"/>
          <w:lang w:val="zh-CN"/>
        </w:rPr>
        <w:t>万元</w:t>
      </w:r>
      <w:r>
        <w:rPr>
          <w:rFonts w:hint="eastAsia" w:cs="宋体"/>
          <w:b/>
          <w:bCs/>
          <w:szCs w:val="21"/>
          <w:highlight w:val="none"/>
        </w:rPr>
        <w:t>，</w:t>
      </w:r>
      <w:r>
        <w:rPr>
          <w:rFonts w:hint="eastAsia" w:cs="宋体"/>
          <w:b/>
          <w:bCs/>
          <w:szCs w:val="21"/>
          <w:highlight w:val="none"/>
          <w:lang w:val="zh-CN"/>
        </w:rPr>
        <w:t>资产总额为</w:t>
      </w:r>
      <w:r>
        <w:rPr>
          <w:rFonts w:hint="eastAsia" w:cs="宋体"/>
          <w:b/>
          <w:bCs/>
          <w:szCs w:val="21"/>
          <w:highlight w:val="none"/>
          <w:u w:val="single"/>
        </w:rPr>
        <w:t>5000</w:t>
      </w:r>
      <w:r>
        <w:rPr>
          <w:rFonts w:hint="eastAsia" w:cs="宋体"/>
          <w:b/>
          <w:bCs/>
          <w:szCs w:val="21"/>
          <w:highlight w:val="none"/>
          <w:lang w:val="zh-CN"/>
        </w:rPr>
        <w:t>万元</w:t>
      </w:r>
      <w:r>
        <w:rPr>
          <w:rFonts w:hint="eastAsia" w:cs="宋体"/>
          <w:b/>
          <w:bCs/>
          <w:szCs w:val="21"/>
          <w:highlight w:val="none"/>
        </w:rPr>
        <w:t>，</w:t>
      </w:r>
      <w:r>
        <w:rPr>
          <w:rFonts w:hint="eastAsia" w:cs="宋体"/>
          <w:b/>
          <w:bCs/>
          <w:szCs w:val="21"/>
          <w:highlight w:val="none"/>
          <w:lang w:val="zh-CN"/>
        </w:rPr>
        <w:t>属于</w:t>
      </w:r>
      <w:r>
        <w:rPr>
          <w:rFonts w:hint="eastAsia" w:cs="宋体"/>
          <w:b/>
          <w:bCs/>
          <w:szCs w:val="21"/>
          <w:highlight w:val="none"/>
        </w:rPr>
        <w:t>中</w:t>
      </w:r>
      <w:r>
        <w:rPr>
          <w:rFonts w:hint="eastAsia" w:cs="宋体"/>
          <w:b/>
          <w:bCs/>
          <w:szCs w:val="21"/>
          <w:highlight w:val="none"/>
          <w:u w:val="single"/>
          <w:lang w:val="zh-CN"/>
        </w:rPr>
        <w:t>型</w:t>
      </w:r>
      <w:r>
        <w:rPr>
          <w:rFonts w:hint="eastAsia" w:cs="宋体"/>
          <w:b/>
          <w:bCs/>
          <w:szCs w:val="21"/>
          <w:highlight w:val="none"/>
          <w:lang w:val="zh-CN"/>
        </w:rPr>
        <w:t>企业</w:t>
      </w:r>
      <w:r>
        <w:rPr>
          <w:rFonts w:hint="eastAsia" w:cs="宋体"/>
          <w:b/>
          <w:bCs/>
          <w:szCs w:val="21"/>
          <w:highlight w:val="none"/>
        </w:rPr>
        <w:t>[供应商自行登录工业和信息化部官网进行中小企业规模类型自测（查询网址https://www.miit.gov.cn/）]</w:t>
      </w:r>
      <w:r>
        <w:rPr>
          <w:rFonts w:hint="eastAsia" w:cs="宋体"/>
          <w:b/>
          <w:bCs/>
          <w:szCs w:val="21"/>
          <w:highlight w:val="none"/>
          <w:lang w:val="zh-CN"/>
        </w:rPr>
        <w:t>。</w:t>
      </w:r>
    </w:p>
    <w:p w14:paraId="6F7F8F46">
      <w:pPr>
        <w:widowControl/>
        <w:jc w:val="left"/>
        <w:rPr>
          <w:rFonts w:asciiTheme="minorEastAsia" w:hAnsiTheme="minorEastAsia"/>
          <w:sz w:val="24"/>
          <w:highlight w:val="none"/>
        </w:rPr>
      </w:pPr>
      <w:r>
        <w:rPr>
          <w:rFonts w:asciiTheme="minorEastAsia" w:hAnsiTheme="minorEastAsia"/>
          <w:sz w:val="24"/>
          <w:highlight w:val="none"/>
        </w:rPr>
        <w:br w:type="page"/>
      </w:r>
    </w:p>
    <w:p w14:paraId="09E7123D">
      <w:pPr>
        <w:spacing w:line="360" w:lineRule="auto"/>
        <w:jc w:val="center"/>
        <w:outlineLvl w:val="1"/>
        <w:rPr>
          <w:rFonts w:asciiTheme="minorEastAsia" w:hAnsiTheme="minorEastAsia"/>
          <w:b/>
          <w:sz w:val="24"/>
          <w:highlight w:val="none"/>
        </w:rPr>
      </w:pPr>
      <w:bookmarkStart w:id="728" w:name="_Toc17154"/>
      <w:bookmarkStart w:id="729" w:name="_Toc17813"/>
      <w:r>
        <w:rPr>
          <w:rFonts w:hint="eastAsia" w:asciiTheme="minorEastAsia" w:hAnsiTheme="minorEastAsia"/>
          <w:b/>
          <w:sz w:val="24"/>
          <w:highlight w:val="none"/>
        </w:rPr>
        <w:t>十、残疾人福利性单位声明函</w:t>
      </w:r>
      <w:bookmarkEnd w:id="728"/>
      <w:bookmarkEnd w:id="729"/>
    </w:p>
    <w:p w14:paraId="2BCC81FE">
      <w:pPr>
        <w:pStyle w:val="2"/>
        <w:spacing w:line="360" w:lineRule="auto"/>
        <w:jc w:val="center"/>
        <w:rPr>
          <w:rFonts w:ascii="宋体" w:hAnsi="宋体" w:eastAsia="宋体"/>
          <w:i/>
          <w:sz w:val="24"/>
          <w:highlight w:val="none"/>
        </w:rPr>
      </w:pPr>
      <w:r>
        <w:rPr>
          <w:rFonts w:hint="eastAsia" w:ascii="宋体" w:hAnsi="宋体" w:eastAsia="宋体"/>
          <w:i/>
          <w:sz w:val="24"/>
          <w:highlight w:val="none"/>
        </w:rPr>
        <w:t>（非残疾人福利性单位磋商，请删去“残疾人福利性单位声明函”）</w:t>
      </w:r>
    </w:p>
    <w:p w14:paraId="65262218">
      <w:pPr>
        <w:spacing w:line="360" w:lineRule="auto"/>
        <w:ind w:firstLine="435"/>
        <w:rPr>
          <w:rFonts w:cs="Times New Roman"/>
          <w:spacing w:val="6"/>
          <w:sz w:val="24"/>
          <w:highlight w:val="none"/>
        </w:rPr>
      </w:pPr>
      <w:r>
        <w:rPr>
          <w:rFonts w:hint="eastAsia" w:cs="Times New Roman"/>
          <w:spacing w:val="6"/>
          <w:sz w:val="24"/>
          <w:highlight w:val="none"/>
        </w:rPr>
        <w:t>本单位</w:t>
      </w:r>
      <w:r>
        <w:rPr>
          <w:rFonts w:hint="eastAsia" w:cs="Times New Roman"/>
          <w:sz w:val="24"/>
          <w:szCs w:val="22"/>
          <w:highlight w:val="none"/>
        </w:rPr>
        <w:t>郑重</w:t>
      </w:r>
      <w:r>
        <w:rPr>
          <w:rFonts w:hint="eastAsia" w:cs="Times New Roman"/>
          <w:spacing w:val="6"/>
          <w:sz w:val="24"/>
          <w:highlight w:val="none"/>
        </w:rPr>
        <w:t>声明，根据《财政部 民政部 中国残疾人联合会关于促进残疾人就业政府采购政策的通知》（财库</w:t>
      </w:r>
      <w:r>
        <w:rPr>
          <w:rFonts w:hint="eastAsia" w:cs="Times New Roman"/>
          <w:sz w:val="24"/>
          <w:highlight w:val="none"/>
        </w:rPr>
        <w:t>〔2017〕141</w:t>
      </w:r>
      <w:r>
        <w:rPr>
          <w:rFonts w:hint="eastAsia" w:cs="Times New Roman"/>
          <w:spacing w:val="6"/>
          <w:sz w:val="24"/>
          <w:highlight w:val="none"/>
        </w:rPr>
        <w:t>号）的规定，</w:t>
      </w:r>
      <w:r>
        <w:rPr>
          <w:rFonts w:hint="eastAsia" w:asciiTheme="minorEastAsia" w:hAnsiTheme="minorEastAsia"/>
          <w:spacing w:val="6"/>
          <w:sz w:val="24"/>
          <w:highlight w:val="none"/>
        </w:rPr>
        <w:t>本单位为</w:t>
      </w:r>
      <w:r>
        <w:rPr>
          <w:rFonts w:hint="eastAsia" w:asciiTheme="minorEastAsia" w:hAnsiTheme="minorEastAsia"/>
          <w:bCs/>
          <w:sz w:val="24"/>
          <w:highlight w:val="none"/>
        </w:rPr>
        <w:t>符合</w:t>
      </w:r>
      <w:r>
        <w:rPr>
          <w:rFonts w:hint="eastAsia" w:asciiTheme="minorEastAsia" w:hAnsiTheme="minorEastAsia"/>
          <w:spacing w:val="6"/>
          <w:sz w:val="24"/>
          <w:highlight w:val="none"/>
        </w:rPr>
        <w:t>条件的残疾人福利性单位，且本单位参加</w:t>
      </w:r>
      <w:r>
        <w:rPr>
          <w:rFonts w:hint="eastAsia" w:asciiTheme="minorEastAsia" w:hAnsiTheme="minorEastAsia"/>
          <w:spacing w:val="6"/>
          <w:sz w:val="24"/>
          <w:highlight w:val="none"/>
          <w:u w:val="single"/>
        </w:rPr>
        <w:t xml:space="preserve">      </w:t>
      </w:r>
      <w:r>
        <w:rPr>
          <w:rFonts w:hint="eastAsia" w:asciiTheme="minorEastAsia" w:hAnsiTheme="minorEastAsia"/>
          <w:spacing w:val="6"/>
          <w:sz w:val="24"/>
          <w:highlight w:val="none"/>
        </w:rPr>
        <w:t>单位的</w:t>
      </w:r>
      <w:r>
        <w:rPr>
          <w:rFonts w:hint="eastAsia" w:asciiTheme="minorEastAsia" w:hAnsiTheme="minorEastAsia"/>
          <w:spacing w:val="6"/>
          <w:sz w:val="24"/>
          <w:highlight w:val="none"/>
          <w:u w:val="single"/>
        </w:rPr>
        <w:t xml:space="preserve">      </w:t>
      </w:r>
      <w:r>
        <w:rPr>
          <w:rFonts w:hint="eastAsia" w:asciiTheme="minorEastAsia" w:hAnsi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1997737">
      <w:pPr>
        <w:spacing w:line="360" w:lineRule="auto"/>
        <w:ind w:firstLine="435"/>
        <w:rPr>
          <w:rFonts w:cs="Times New Roman"/>
          <w:spacing w:val="6"/>
          <w:sz w:val="24"/>
          <w:highlight w:val="none"/>
        </w:rPr>
      </w:pPr>
      <w:r>
        <w:rPr>
          <w:rFonts w:hint="eastAsia" w:cs="Times New Roman"/>
          <w:spacing w:val="6"/>
          <w:sz w:val="24"/>
          <w:highlight w:val="none"/>
        </w:rPr>
        <w:t>本单位对上述声明的真实性负责。如有虚假，将依法承担相应责任。</w:t>
      </w:r>
    </w:p>
    <w:p w14:paraId="236A6F69">
      <w:pPr>
        <w:spacing w:line="360" w:lineRule="auto"/>
        <w:ind w:firstLine="4228" w:firstLineChars="1762"/>
        <w:rPr>
          <w:rFonts w:cs="Times New Roman"/>
          <w:sz w:val="24"/>
          <w:highlight w:val="none"/>
        </w:rPr>
      </w:pPr>
    </w:p>
    <w:p w14:paraId="0A64AFEC">
      <w:pPr>
        <w:spacing w:line="360" w:lineRule="auto"/>
        <w:ind w:firstLine="4228" w:firstLineChars="1762"/>
        <w:rPr>
          <w:rFonts w:cs="Times New Roman"/>
          <w:sz w:val="24"/>
          <w:highlight w:val="none"/>
        </w:rPr>
      </w:pPr>
    </w:p>
    <w:p w14:paraId="5F61AA93">
      <w:pPr>
        <w:spacing w:line="360" w:lineRule="auto"/>
        <w:ind w:firstLine="4228" w:firstLineChars="1762"/>
        <w:rPr>
          <w:rFonts w:cs="Times New Roman"/>
          <w:sz w:val="24"/>
          <w:highlight w:val="none"/>
          <w:u w:val="single"/>
        </w:rPr>
      </w:pPr>
      <w:r>
        <w:rPr>
          <w:rFonts w:hint="eastAsia" w:cs="Times New Roman"/>
          <w:sz w:val="24"/>
          <w:highlight w:val="none"/>
        </w:rPr>
        <w:t>供应商</w:t>
      </w:r>
      <w:r>
        <w:rPr>
          <w:rFonts w:cs="Times New Roman"/>
          <w:sz w:val="24"/>
          <w:highlight w:val="none"/>
        </w:rPr>
        <w:t>电子签章</w:t>
      </w:r>
      <w:r>
        <w:rPr>
          <w:rFonts w:hint="eastAsia" w:cs="Times New Roman"/>
          <w:sz w:val="24"/>
          <w:highlight w:val="none"/>
        </w:rPr>
        <w:t>：</w:t>
      </w:r>
      <w:r>
        <w:rPr>
          <w:rFonts w:cs="Times New Roman"/>
          <w:sz w:val="24"/>
          <w:highlight w:val="none"/>
          <w:u w:val="single"/>
        </w:rPr>
        <w:t xml:space="preserve">             </w:t>
      </w:r>
    </w:p>
    <w:p w14:paraId="01293F1E">
      <w:pPr>
        <w:tabs>
          <w:tab w:val="left" w:pos="4620"/>
        </w:tabs>
        <w:spacing w:line="360" w:lineRule="auto"/>
        <w:ind w:firstLine="4252" w:firstLineChars="1772"/>
        <w:rPr>
          <w:rFonts w:cs="Times New Roman"/>
          <w:sz w:val="24"/>
          <w:highlight w:val="none"/>
          <w:u w:val="single"/>
        </w:rPr>
      </w:pPr>
      <w:r>
        <w:rPr>
          <w:rFonts w:hint="eastAsia" w:cs="Times New Roman"/>
          <w:sz w:val="24"/>
          <w:highlight w:val="none"/>
        </w:rPr>
        <w:t>日</w:t>
      </w:r>
      <w:r>
        <w:rPr>
          <w:rFonts w:cs="Times New Roman"/>
          <w:sz w:val="24"/>
          <w:highlight w:val="none"/>
        </w:rPr>
        <w:t xml:space="preserve">      </w:t>
      </w:r>
      <w:r>
        <w:rPr>
          <w:rFonts w:hint="eastAsia" w:cs="Times New Roman"/>
          <w:sz w:val="24"/>
          <w:highlight w:val="none"/>
        </w:rPr>
        <w:t xml:space="preserve">    期：</w:t>
      </w:r>
      <w:r>
        <w:rPr>
          <w:rFonts w:cs="Times New Roman"/>
          <w:sz w:val="24"/>
          <w:highlight w:val="none"/>
          <w:u w:val="single"/>
        </w:rPr>
        <w:t xml:space="preserve">             </w:t>
      </w:r>
    </w:p>
    <w:p w14:paraId="0F6069BB">
      <w:pPr>
        <w:widowControl/>
        <w:jc w:val="left"/>
        <w:rPr>
          <w:rFonts w:asciiTheme="minorEastAsia" w:hAnsiTheme="minorEastAsia"/>
          <w:sz w:val="24"/>
          <w:highlight w:val="none"/>
        </w:rPr>
      </w:pPr>
      <w:r>
        <w:rPr>
          <w:rFonts w:asciiTheme="minorEastAsia" w:hAnsiTheme="minorEastAsia"/>
          <w:sz w:val="24"/>
          <w:highlight w:val="none"/>
        </w:rPr>
        <w:br w:type="page"/>
      </w:r>
    </w:p>
    <w:p w14:paraId="22E800EF">
      <w:pPr>
        <w:spacing w:line="360" w:lineRule="auto"/>
        <w:jc w:val="center"/>
        <w:outlineLvl w:val="1"/>
        <w:rPr>
          <w:rFonts w:asciiTheme="minorEastAsia" w:hAnsiTheme="minorEastAsia"/>
          <w:b/>
          <w:sz w:val="24"/>
          <w:highlight w:val="none"/>
        </w:rPr>
      </w:pPr>
      <w:bookmarkStart w:id="730" w:name="_Toc26894"/>
      <w:bookmarkStart w:id="731" w:name="_Toc17768"/>
      <w:bookmarkStart w:id="732" w:name="_Hlk44283088"/>
      <w:r>
        <w:rPr>
          <w:rFonts w:hint="eastAsia" w:asciiTheme="minorEastAsia" w:hAnsiTheme="minorEastAsia"/>
          <w:b/>
          <w:sz w:val="24"/>
          <w:highlight w:val="none"/>
        </w:rPr>
        <w:t>十一、诚信履约承诺函</w:t>
      </w:r>
      <w:bookmarkEnd w:id="730"/>
      <w:bookmarkEnd w:id="731"/>
    </w:p>
    <w:p w14:paraId="259A821E">
      <w:pPr>
        <w:spacing w:line="360" w:lineRule="auto"/>
        <w:rPr>
          <w:rFonts w:cs="@仿宋_GB2312" w:asciiTheme="minorEastAsia" w:hAnsiTheme="minorEastAsia"/>
          <w:b/>
          <w:bCs/>
          <w:sz w:val="24"/>
          <w:highlight w:val="none"/>
        </w:rPr>
      </w:pPr>
    </w:p>
    <w:p w14:paraId="4DAC74F1">
      <w:pPr>
        <w:spacing w:line="360" w:lineRule="auto"/>
        <w:rPr>
          <w:rFonts w:cs="@仿宋_GB2312" w:asciiTheme="minorEastAsia" w:hAnsiTheme="minorEastAsia"/>
          <w:b/>
          <w:bCs/>
          <w:sz w:val="24"/>
          <w:highlight w:val="none"/>
          <w:u w:val="single"/>
        </w:rPr>
      </w:pPr>
      <w:r>
        <w:rPr>
          <w:rFonts w:hint="eastAsia" w:cs="@仿宋_GB2312" w:asciiTheme="minorEastAsia" w:hAnsiTheme="minorEastAsia"/>
          <w:b/>
          <w:bCs/>
          <w:sz w:val="24"/>
          <w:highlight w:val="none"/>
        </w:rPr>
        <w:t>致：采购人</w:t>
      </w:r>
    </w:p>
    <w:p w14:paraId="5D35C63F">
      <w:pPr>
        <w:spacing w:line="360" w:lineRule="auto"/>
        <w:ind w:firstLine="480" w:firstLineChars="200"/>
        <w:rPr>
          <w:rFonts w:cs="@仿宋_GB2312" w:asciiTheme="minorEastAsia" w:hAnsiTheme="minorEastAsia"/>
          <w:bCs/>
          <w:sz w:val="24"/>
          <w:highlight w:val="none"/>
        </w:rPr>
      </w:pPr>
      <w:r>
        <w:rPr>
          <w:rFonts w:hint="eastAsia" w:cs="@仿宋_GB2312" w:asciiTheme="minorEastAsia" w:hAnsiTheme="minorEastAsia"/>
          <w:bCs/>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82C5EB0">
      <w:pPr>
        <w:spacing w:line="360" w:lineRule="auto"/>
        <w:ind w:firstLine="480" w:firstLineChars="200"/>
        <w:rPr>
          <w:rFonts w:cs="@仿宋_GB2312" w:asciiTheme="minorEastAsia" w:hAnsiTheme="minorEastAsia"/>
          <w:bCs/>
          <w:sz w:val="24"/>
          <w:highlight w:val="none"/>
        </w:rPr>
      </w:pPr>
      <w:r>
        <w:rPr>
          <w:rFonts w:hint="eastAsia" w:cs="@仿宋_GB2312" w:asciiTheme="minorEastAsia" w:hAnsiTheme="minorEastAsia"/>
          <w:bCs/>
          <w:sz w:val="24"/>
          <w:highlight w:val="none"/>
        </w:rPr>
        <w:t>（1）中标或者成交后无正当理由拒不与采购人签订政府采购合同；</w:t>
      </w:r>
    </w:p>
    <w:p w14:paraId="2480502A">
      <w:pPr>
        <w:spacing w:line="360" w:lineRule="auto"/>
        <w:ind w:firstLine="480" w:firstLineChars="200"/>
        <w:rPr>
          <w:rFonts w:cs="@仿宋_GB2312" w:asciiTheme="minorEastAsia" w:hAnsiTheme="minorEastAsia"/>
          <w:bCs/>
          <w:sz w:val="24"/>
          <w:highlight w:val="none"/>
        </w:rPr>
      </w:pPr>
      <w:r>
        <w:rPr>
          <w:rFonts w:hint="eastAsia" w:cs="@仿宋_GB2312" w:asciiTheme="minorEastAsia" w:hAnsiTheme="minorEastAsia"/>
          <w:bCs/>
          <w:sz w:val="24"/>
          <w:highlight w:val="none"/>
        </w:rPr>
        <w:t>（2）未按照采购文件确定的事项签订政府采购合同；</w:t>
      </w:r>
    </w:p>
    <w:p w14:paraId="35D45C0C">
      <w:pPr>
        <w:spacing w:line="360" w:lineRule="auto"/>
        <w:ind w:firstLine="480" w:firstLineChars="200"/>
        <w:rPr>
          <w:rFonts w:cs="@仿宋_GB2312" w:asciiTheme="minorEastAsia" w:hAnsiTheme="minorEastAsia"/>
          <w:bCs/>
          <w:sz w:val="24"/>
          <w:highlight w:val="none"/>
        </w:rPr>
      </w:pPr>
      <w:r>
        <w:rPr>
          <w:rFonts w:hint="eastAsia" w:cs="@仿宋_GB2312" w:asciiTheme="minorEastAsia" w:hAnsiTheme="minorEastAsia"/>
          <w:bCs/>
          <w:sz w:val="24"/>
          <w:highlight w:val="none"/>
        </w:rPr>
        <w:t>（3）将政府采购合同转包；</w:t>
      </w:r>
    </w:p>
    <w:p w14:paraId="0EAFDEC8">
      <w:pPr>
        <w:spacing w:line="360" w:lineRule="auto"/>
        <w:ind w:firstLine="480" w:firstLineChars="200"/>
        <w:rPr>
          <w:rFonts w:cs="@仿宋_GB2312" w:asciiTheme="minorEastAsia" w:hAnsiTheme="minorEastAsia"/>
          <w:bCs/>
          <w:sz w:val="24"/>
          <w:highlight w:val="none"/>
        </w:rPr>
      </w:pPr>
      <w:r>
        <w:rPr>
          <w:rFonts w:hint="eastAsia" w:cs="@仿宋_GB2312" w:asciiTheme="minorEastAsia" w:hAnsiTheme="minorEastAsia"/>
          <w:bCs/>
          <w:sz w:val="24"/>
          <w:highlight w:val="none"/>
        </w:rPr>
        <w:t>（4）提供假冒伪劣产品；</w:t>
      </w:r>
    </w:p>
    <w:p w14:paraId="0CF9B1B2">
      <w:pPr>
        <w:spacing w:line="360" w:lineRule="auto"/>
        <w:ind w:firstLine="480" w:firstLineChars="200"/>
        <w:rPr>
          <w:rFonts w:cs="@仿宋_GB2312" w:asciiTheme="minorEastAsia" w:hAnsiTheme="minorEastAsia"/>
          <w:bCs/>
          <w:sz w:val="24"/>
          <w:highlight w:val="none"/>
        </w:rPr>
      </w:pPr>
      <w:r>
        <w:rPr>
          <w:rFonts w:hint="eastAsia" w:cs="@仿宋_GB2312" w:asciiTheme="minorEastAsia" w:hAnsiTheme="minorEastAsia"/>
          <w:bCs/>
          <w:sz w:val="24"/>
          <w:highlight w:val="none"/>
        </w:rPr>
        <w:t>（5）擅自变更、中止或者终止政府采购合同。</w:t>
      </w:r>
    </w:p>
    <w:p w14:paraId="66180055">
      <w:pPr>
        <w:spacing w:line="360" w:lineRule="auto"/>
        <w:ind w:firstLine="480" w:firstLineChars="200"/>
        <w:rPr>
          <w:rFonts w:cs="@仿宋_GB2312" w:asciiTheme="minorEastAsia" w:hAnsiTheme="minorEastAsia"/>
          <w:bCs/>
          <w:sz w:val="24"/>
          <w:highlight w:val="none"/>
        </w:rPr>
      </w:pPr>
      <w:r>
        <w:rPr>
          <w:rFonts w:hint="eastAsia" w:cs="@仿宋_GB2312" w:asciiTheme="minorEastAsia" w:hAnsi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F8E1BC">
      <w:pPr>
        <w:spacing w:line="360" w:lineRule="auto"/>
        <w:rPr>
          <w:rFonts w:cs="@仿宋_GB2312" w:asciiTheme="minorEastAsia" w:hAnsiTheme="minorEastAsia"/>
          <w:bCs/>
          <w:sz w:val="24"/>
          <w:highlight w:val="none"/>
        </w:rPr>
      </w:pPr>
    </w:p>
    <w:p w14:paraId="4EF5B0EB">
      <w:pPr>
        <w:spacing w:line="360" w:lineRule="auto"/>
        <w:rPr>
          <w:rFonts w:cs="@仿宋_GB2312" w:asciiTheme="minorEastAsia" w:hAnsiTheme="minorEastAsia"/>
          <w:bCs/>
          <w:sz w:val="24"/>
          <w:highlight w:val="none"/>
        </w:rPr>
      </w:pPr>
    </w:p>
    <w:p w14:paraId="4276117E">
      <w:pPr>
        <w:spacing w:line="360" w:lineRule="auto"/>
        <w:ind w:firstLine="4320" w:firstLineChars="1800"/>
        <w:rPr>
          <w:rFonts w:cs="@仿宋_GB2312" w:asciiTheme="minorEastAsia" w:hAnsiTheme="minorEastAsia"/>
          <w:bCs/>
          <w:sz w:val="24"/>
          <w:highlight w:val="none"/>
          <w:u w:val="single"/>
        </w:rPr>
      </w:pPr>
      <w:r>
        <w:rPr>
          <w:rFonts w:hint="eastAsia" w:cs="@仿宋_GB2312" w:asciiTheme="minorEastAsia" w:hAnsiTheme="minorEastAsia"/>
          <w:bCs/>
          <w:sz w:val="24"/>
          <w:highlight w:val="none"/>
        </w:rPr>
        <w:t>供应商电子签章：</w:t>
      </w:r>
      <w:r>
        <w:rPr>
          <w:rFonts w:hint="eastAsia" w:cs="@仿宋_GB2312" w:asciiTheme="minorEastAsia" w:hAnsiTheme="minorEastAsia"/>
          <w:bCs/>
          <w:sz w:val="24"/>
          <w:highlight w:val="none"/>
          <w:u w:val="single"/>
        </w:rPr>
        <w:t xml:space="preserve">     </w:t>
      </w:r>
      <w:r>
        <w:rPr>
          <w:rFonts w:cs="@仿宋_GB2312" w:asciiTheme="minorEastAsia" w:hAnsiTheme="minorEastAsia"/>
          <w:bCs/>
          <w:sz w:val="24"/>
          <w:highlight w:val="none"/>
          <w:u w:val="single"/>
        </w:rPr>
        <w:t xml:space="preserve">    </w:t>
      </w:r>
      <w:r>
        <w:rPr>
          <w:rFonts w:hint="eastAsia" w:cs="@仿宋_GB2312" w:asciiTheme="minorEastAsia" w:hAnsiTheme="minorEastAsia"/>
          <w:bCs/>
          <w:sz w:val="24"/>
          <w:highlight w:val="none"/>
          <w:u w:val="single"/>
        </w:rPr>
        <w:t xml:space="preserve">    </w:t>
      </w:r>
    </w:p>
    <w:p w14:paraId="6C8334AB">
      <w:pPr>
        <w:spacing w:line="360" w:lineRule="auto"/>
        <w:ind w:firstLine="4320" w:firstLineChars="1800"/>
        <w:rPr>
          <w:rFonts w:cs="@仿宋_GB2312" w:asciiTheme="minorEastAsia" w:hAnsiTheme="minorEastAsia"/>
          <w:bCs/>
          <w:sz w:val="24"/>
          <w:highlight w:val="none"/>
        </w:rPr>
      </w:pPr>
      <w:r>
        <w:rPr>
          <w:rFonts w:hint="eastAsia" w:cs="@仿宋_GB2312" w:asciiTheme="minorEastAsia" w:hAnsiTheme="minorEastAsia"/>
          <w:bCs/>
          <w:sz w:val="24"/>
          <w:highlight w:val="none"/>
        </w:rPr>
        <w:t>日          期：</w:t>
      </w:r>
      <w:r>
        <w:rPr>
          <w:rFonts w:hint="eastAsia" w:cs="@仿宋_GB2312" w:asciiTheme="minorEastAsia" w:hAnsiTheme="minorEastAsia"/>
          <w:bCs/>
          <w:sz w:val="24"/>
          <w:highlight w:val="none"/>
          <w:u w:val="single"/>
        </w:rPr>
        <w:t xml:space="preserve">             </w:t>
      </w:r>
    </w:p>
    <w:p w14:paraId="143BEB0F">
      <w:pPr>
        <w:widowControl/>
        <w:jc w:val="left"/>
        <w:rPr>
          <w:rFonts w:asciiTheme="minorEastAsia" w:hAnsiTheme="minorEastAsia"/>
          <w:b/>
          <w:sz w:val="24"/>
          <w:highlight w:val="none"/>
        </w:rPr>
      </w:pPr>
      <w:r>
        <w:rPr>
          <w:rFonts w:asciiTheme="minorEastAsia" w:hAnsiTheme="minorEastAsia"/>
          <w:b/>
          <w:sz w:val="24"/>
          <w:highlight w:val="none"/>
        </w:rPr>
        <w:br w:type="page"/>
      </w:r>
    </w:p>
    <w:bookmarkEnd w:id="732"/>
    <w:p w14:paraId="56B57987">
      <w:pPr>
        <w:spacing w:line="360" w:lineRule="auto"/>
        <w:jc w:val="center"/>
        <w:outlineLvl w:val="1"/>
        <w:rPr>
          <w:rFonts w:asciiTheme="minorEastAsia" w:hAnsiTheme="minorEastAsia"/>
          <w:b/>
          <w:sz w:val="24"/>
          <w:highlight w:val="none"/>
        </w:rPr>
      </w:pPr>
      <w:bookmarkStart w:id="733" w:name="_Toc28645"/>
      <w:bookmarkStart w:id="734" w:name="_Toc8176"/>
      <w:r>
        <w:rPr>
          <w:rFonts w:hint="eastAsia" w:asciiTheme="minorEastAsia" w:hAnsiTheme="minorEastAsia"/>
          <w:b/>
          <w:sz w:val="24"/>
          <w:highlight w:val="none"/>
        </w:rPr>
        <w:t>十二、其他相关证明材料</w:t>
      </w:r>
      <w:bookmarkEnd w:id="733"/>
      <w:bookmarkEnd w:id="734"/>
    </w:p>
    <w:p w14:paraId="72A099CB">
      <w:pPr>
        <w:spacing w:line="360" w:lineRule="auto"/>
        <w:ind w:firstLine="435"/>
        <w:rPr>
          <w:rFonts w:asciiTheme="minorEastAsia" w:hAnsiTheme="minorEastAsia"/>
          <w:sz w:val="24"/>
          <w:highlight w:val="none"/>
        </w:rPr>
      </w:pPr>
      <w:r>
        <w:rPr>
          <w:rFonts w:hint="eastAsia" w:asciiTheme="minorEastAsia" w:hAnsiTheme="minorEastAsia"/>
          <w:sz w:val="24"/>
          <w:highlight w:val="none"/>
        </w:rPr>
        <w:t>提供符合磋商邀请、采购需求及评标方法和标准规定的相关证明文件。</w:t>
      </w:r>
    </w:p>
    <w:p w14:paraId="6C453519">
      <w:pPr>
        <w:spacing w:line="360" w:lineRule="auto"/>
        <w:ind w:firstLine="480" w:firstLineChars="200"/>
        <w:rPr>
          <w:rFonts w:asciiTheme="minorEastAsia" w:hAnsiTheme="minorEastAsia"/>
          <w:sz w:val="24"/>
          <w:highlight w:val="none"/>
        </w:rPr>
      </w:pPr>
    </w:p>
    <w:p w14:paraId="430CAB85">
      <w:pPr>
        <w:spacing w:line="360" w:lineRule="auto"/>
        <w:ind w:firstLine="435"/>
        <w:rPr>
          <w:rFonts w:asciiTheme="minorEastAsia" w:hAnsiTheme="minorEastAsia"/>
          <w:b/>
          <w:sz w:val="24"/>
          <w:highlight w:val="none"/>
        </w:rPr>
      </w:pPr>
      <w:r>
        <w:rPr>
          <w:rFonts w:hint="eastAsia" w:asciiTheme="minorEastAsia" w:hAnsiTheme="minorEastAsia"/>
          <w:b/>
          <w:sz w:val="24"/>
          <w:highlight w:val="none"/>
        </w:rPr>
        <w:t>特别提示：</w:t>
      </w:r>
    </w:p>
    <w:p w14:paraId="011CFEAE">
      <w:pPr>
        <w:spacing w:line="360" w:lineRule="auto"/>
        <w:ind w:firstLine="435"/>
        <w:rPr>
          <w:rFonts w:asciiTheme="minorEastAsia" w:hAnsiTheme="minorEastAsia"/>
          <w:sz w:val="24"/>
          <w:highlight w:val="none"/>
        </w:rPr>
      </w:pPr>
      <w:r>
        <w:rPr>
          <w:rFonts w:hint="eastAsia" w:asciiTheme="minorEastAsia" w:hAnsiTheme="minorEastAsia"/>
          <w:sz w:val="24"/>
          <w:highlight w:val="none"/>
        </w:rPr>
        <w:t>供应商在响应文件制作时可在此栏内上传磋商文件</w:t>
      </w:r>
      <w:r>
        <w:rPr>
          <w:rFonts w:asciiTheme="minorEastAsia" w:hAnsiTheme="minorEastAsia"/>
          <w:sz w:val="24"/>
          <w:highlight w:val="none"/>
        </w:rPr>
        <w:t>要求上传的证明资料</w:t>
      </w:r>
      <w:r>
        <w:rPr>
          <w:rFonts w:hint="eastAsia" w:asciiTheme="minorEastAsia" w:hAnsiTheme="minorEastAsia"/>
          <w:sz w:val="24"/>
          <w:highlight w:val="none"/>
        </w:rPr>
        <w:t>，如营业执照、证书、证明、合同、交/竣工验收证明文件、服务方案、审计承诺函</w:t>
      </w:r>
      <w:r>
        <w:rPr>
          <w:rFonts w:asciiTheme="minorEastAsia" w:hAnsiTheme="minorEastAsia"/>
          <w:sz w:val="24"/>
          <w:highlight w:val="none"/>
        </w:rPr>
        <w:t>等，应将上述证明材料制作成扫描件上传。</w:t>
      </w:r>
    </w:p>
    <w:p w14:paraId="33029BD4">
      <w:pPr>
        <w:pStyle w:val="50"/>
        <w:spacing w:line="360" w:lineRule="auto"/>
        <w:ind w:firstLine="640"/>
        <w:rPr>
          <w:highlight w:val="none"/>
        </w:rPr>
      </w:pPr>
      <w:r>
        <w:rPr>
          <w:rFonts w:asciiTheme="minorEastAsia" w:hAnsiTheme="minorEastAsia"/>
          <w:highlight w:val="none"/>
        </w:rPr>
        <w:br w:type="page"/>
      </w:r>
    </w:p>
    <w:p w14:paraId="652D79EA">
      <w:pPr>
        <w:widowControl/>
        <w:jc w:val="center"/>
        <w:outlineLvl w:val="0"/>
        <w:rPr>
          <w:b/>
          <w:bCs/>
          <w:sz w:val="28"/>
          <w:highlight w:val="none"/>
        </w:rPr>
      </w:pPr>
      <w:bookmarkStart w:id="735" w:name="_Toc24879"/>
      <w:r>
        <w:rPr>
          <w:rFonts w:hint="eastAsia"/>
          <w:b/>
          <w:bCs/>
          <w:sz w:val="28"/>
          <w:highlight w:val="none"/>
        </w:rPr>
        <w:t>第七章  政府采购</w:t>
      </w:r>
      <w:r>
        <w:rPr>
          <w:rFonts w:hint="eastAsia" w:asciiTheme="minorEastAsia" w:hAnsiTheme="minorEastAsia"/>
          <w:b/>
          <w:sz w:val="28"/>
          <w:highlight w:val="none"/>
        </w:rPr>
        <w:t>供应</w:t>
      </w:r>
      <w:r>
        <w:rPr>
          <w:rFonts w:hint="eastAsia"/>
          <w:b/>
          <w:bCs/>
          <w:sz w:val="28"/>
          <w:highlight w:val="none"/>
        </w:rPr>
        <w:t>商询问函和质疑函范本</w:t>
      </w:r>
      <w:bookmarkEnd w:id="735"/>
    </w:p>
    <w:p w14:paraId="2B0D2362">
      <w:pPr>
        <w:spacing w:line="360" w:lineRule="auto"/>
        <w:jc w:val="center"/>
        <w:outlineLvl w:val="1"/>
        <w:rPr>
          <w:rFonts w:ascii="仿宋" w:hAnsi="仿宋" w:eastAsia="仿宋" w:cs="仿宋"/>
          <w:b/>
          <w:bCs/>
          <w:sz w:val="32"/>
          <w:szCs w:val="44"/>
          <w:highlight w:val="none"/>
        </w:rPr>
      </w:pPr>
      <w:bookmarkStart w:id="736" w:name="_Toc2290"/>
      <w:bookmarkStart w:id="737" w:name="_Toc26448"/>
      <w:r>
        <w:rPr>
          <w:rFonts w:hint="eastAsia" w:ascii="仿宋" w:hAnsi="仿宋" w:eastAsia="仿宋" w:cs="仿宋"/>
          <w:b/>
          <w:bCs/>
          <w:sz w:val="32"/>
          <w:szCs w:val="44"/>
          <w:highlight w:val="none"/>
        </w:rPr>
        <w:t>询问函范本</w:t>
      </w:r>
      <w:bookmarkEnd w:id="736"/>
      <w:bookmarkEnd w:id="737"/>
    </w:p>
    <w:p w14:paraId="7BA37C1C">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i/>
          <w:iCs/>
          <w:sz w:val="24"/>
          <w:highlight w:val="none"/>
        </w:rPr>
        <w:t>（如为对采购文件或采购程序的询问或疑问，请按询问函范本或电子交易系统中网上询问格式附件进行提交）</w:t>
      </w:r>
    </w:p>
    <w:p w14:paraId="3089BA8C">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致：采购人</w:t>
      </w:r>
    </w:p>
    <w:p w14:paraId="095B0242">
      <w:pPr>
        <w:adjustRightInd w:val="0"/>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我单位拟参与</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i/>
          <w:iCs/>
          <w:sz w:val="24"/>
          <w:highlight w:val="none"/>
        </w:rPr>
        <w:t>项目名称、编号</w:t>
      </w:r>
      <w:r>
        <w:rPr>
          <w:rFonts w:hint="eastAsia" w:cs="仿宋" w:asciiTheme="minorEastAsia" w:hAnsiTheme="minorEastAsia"/>
          <w:sz w:val="24"/>
          <w:highlight w:val="none"/>
        </w:rPr>
        <w:t>）的采购活动，现有以下内容(或条款)存在疑问(或无法理解)，特提出询问。</w:t>
      </w:r>
    </w:p>
    <w:p w14:paraId="5F9E1575">
      <w:pPr>
        <w:adjustRightInd w:val="0"/>
        <w:snapToGrid w:val="0"/>
        <w:spacing w:line="360" w:lineRule="auto"/>
        <w:ind w:firstLine="480" w:firstLineChars="200"/>
        <w:outlineLvl w:val="1"/>
        <w:rPr>
          <w:rFonts w:cs="仿宋" w:asciiTheme="minorEastAsia" w:hAnsiTheme="minorEastAsia"/>
          <w:sz w:val="24"/>
          <w:highlight w:val="none"/>
        </w:rPr>
      </w:pPr>
      <w:bookmarkStart w:id="738" w:name="_Toc14234"/>
      <w:bookmarkStart w:id="739" w:name="_Toc32070"/>
      <w:r>
        <w:rPr>
          <w:rFonts w:hint="eastAsia" w:cs="仿宋" w:asciiTheme="minorEastAsia" w:hAnsiTheme="minorEastAsia"/>
          <w:sz w:val="24"/>
          <w:highlight w:val="none"/>
        </w:rPr>
        <w:t>一、(事项一)</w:t>
      </w:r>
      <w:bookmarkEnd w:id="738"/>
      <w:bookmarkEnd w:id="739"/>
    </w:p>
    <w:p w14:paraId="7E637367">
      <w:pPr>
        <w:adjustRightInd w:val="0"/>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1、(内容或条款)</w:t>
      </w:r>
    </w:p>
    <w:p w14:paraId="149D83F0">
      <w:pPr>
        <w:adjustRightInd w:val="0"/>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2、(说明疑问或无法理解原因)</w:t>
      </w:r>
    </w:p>
    <w:p w14:paraId="55324FE5">
      <w:pPr>
        <w:adjustRightInd w:val="0"/>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3、(建议)</w:t>
      </w:r>
    </w:p>
    <w:p w14:paraId="163CB977">
      <w:pPr>
        <w:adjustRightInd w:val="0"/>
        <w:snapToGrid w:val="0"/>
        <w:spacing w:line="360" w:lineRule="auto"/>
        <w:ind w:firstLine="480" w:firstLineChars="200"/>
        <w:outlineLvl w:val="1"/>
        <w:rPr>
          <w:rFonts w:cs="仿宋" w:asciiTheme="minorEastAsia" w:hAnsiTheme="minorEastAsia"/>
          <w:sz w:val="24"/>
          <w:highlight w:val="none"/>
        </w:rPr>
      </w:pPr>
      <w:bookmarkStart w:id="740" w:name="_Toc6489"/>
      <w:bookmarkStart w:id="741" w:name="_Toc16507"/>
      <w:r>
        <w:rPr>
          <w:rFonts w:hint="eastAsia" w:cs="仿宋" w:asciiTheme="minorEastAsia" w:hAnsiTheme="minorEastAsia"/>
          <w:sz w:val="24"/>
          <w:highlight w:val="none"/>
        </w:rPr>
        <w:t>二、(事项二)</w:t>
      </w:r>
      <w:bookmarkEnd w:id="740"/>
      <w:bookmarkEnd w:id="741"/>
    </w:p>
    <w:p w14:paraId="2E457A16">
      <w:pPr>
        <w:adjustRightInd w:val="0"/>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p>
    <w:p w14:paraId="071DEF5D">
      <w:pPr>
        <w:adjustRightInd w:val="0"/>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随附相关证明材料如下： </w:t>
      </w:r>
    </w:p>
    <w:p w14:paraId="4D318C90">
      <w:pPr>
        <w:spacing w:line="360" w:lineRule="auto"/>
        <w:ind w:firstLine="4228" w:firstLineChars="1762"/>
        <w:rPr>
          <w:rFonts w:asciiTheme="minorEastAsia" w:hAnsiTheme="minorEastAsia"/>
          <w:sz w:val="24"/>
          <w:highlight w:val="none"/>
          <w:u w:val="single"/>
        </w:rPr>
      </w:pPr>
      <w:r>
        <w:rPr>
          <w:rFonts w:hint="eastAsia" w:asciiTheme="minorEastAsia" w:hAnsiTheme="minorEastAsia"/>
          <w:sz w:val="24"/>
          <w:highlight w:val="none"/>
        </w:rPr>
        <w:t>联 系 人：</w:t>
      </w:r>
      <w:r>
        <w:rPr>
          <w:rFonts w:hint="eastAsia" w:asciiTheme="minorEastAsia" w:hAnsiTheme="minorEastAsia"/>
          <w:sz w:val="24"/>
          <w:highlight w:val="none"/>
          <w:u w:val="single"/>
        </w:rPr>
        <w:t xml:space="preserve">              </w:t>
      </w:r>
    </w:p>
    <w:p w14:paraId="6525AE42">
      <w:pPr>
        <w:spacing w:line="360" w:lineRule="auto"/>
        <w:ind w:firstLine="4228" w:firstLineChars="1762"/>
        <w:rPr>
          <w:rFonts w:asciiTheme="minorEastAsia" w:hAnsiTheme="minorEastAsia"/>
          <w:sz w:val="24"/>
          <w:highlight w:val="none"/>
          <w:u w:val="single"/>
        </w:rPr>
      </w:pPr>
      <w:r>
        <w:rPr>
          <w:rFonts w:hint="eastAsia" w:asciiTheme="minorEastAsia" w:hAnsiTheme="minorEastAsia"/>
          <w:sz w:val="24"/>
          <w:highlight w:val="none"/>
        </w:rPr>
        <w:t>联系电话：</w:t>
      </w:r>
      <w:r>
        <w:rPr>
          <w:rFonts w:hint="eastAsia" w:asciiTheme="minorEastAsia" w:hAnsiTheme="minorEastAsia"/>
          <w:sz w:val="24"/>
          <w:highlight w:val="none"/>
          <w:u w:val="single"/>
        </w:rPr>
        <w:t xml:space="preserve">              </w:t>
      </w:r>
    </w:p>
    <w:p w14:paraId="7EFD5854">
      <w:pPr>
        <w:tabs>
          <w:tab w:val="left" w:pos="630"/>
        </w:tabs>
        <w:spacing w:line="360" w:lineRule="auto"/>
        <w:ind w:firstLine="4228" w:firstLineChars="1762"/>
        <w:rPr>
          <w:rFonts w:asciiTheme="minorEastAsia" w:hAnsiTheme="minorEastAsia"/>
          <w:sz w:val="24"/>
          <w:highlight w:val="none"/>
          <w:u w:val="single"/>
        </w:rPr>
      </w:pPr>
      <w:r>
        <w:rPr>
          <w:rFonts w:hint="eastAsia" w:asciiTheme="minorEastAsia" w:hAnsiTheme="minorEastAsia"/>
          <w:sz w:val="24"/>
          <w:highlight w:val="none"/>
        </w:rPr>
        <w:t>日    期：</w:t>
      </w:r>
      <w:r>
        <w:rPr>
          <w:rFonts w:hint="eastAsia" w:asciiTheme="minorEastAsia" w:hAnsiTheme="minorEastAsia"/>
          <w:sz w:val="24"/>
          <w:highlight w:val="none"/>
          <w:u w:val="single"/>
        </w:rPr>
        <w:t xml:space="preserve">       </w:t>
      </w:r>
      <w:r>
        <w:rPr>
          <w:rFonts w:asciiTheme="minorEastAsia" w:hAnsiTheme="minorEastAsia"/>
          <w:sz w:val="24"/>
          <w:highlight w:val="none"/>
          <w:u w:val="single"/>
        </w:rPr>
        <w:t xml:space="preserve">   </w:t>
      </w:r>
      <w:r>
        <w:rPr>
          <w:rFonts w:hint="eastAsia" w:asciiTheme="minorEastAsia" w:hAnsiTheme="minorEastAsia"/>
          <w:sz w:val="24"/>
          <w:highlight w:val="none"/>
          <w:u w:val="single"/>
        </w:rPr>
        <w:t xml:space="preserve">    </w:t>
      </w:r>
    </w:p>
    <w:p w14:paraId="718E2444">
      <w:pPr>
        <w:rPr>
          <w:rFonts w:asciiTheme="minorEastAsia" w:hAnsiTheme="minorEastAsia"/>
          <w:b/>
          <w:sz w:val="52"/>
          <w:highlight w:val="none"/>
        </w:rPr>
      </w:pPr>
      <w:r>
        <w:rPr>
          <w:rFonts w:hint="eastAsia" w:ascii="仿宋" w:hAnsi="仿宋" w:eastAsia="仿宋" w:cs="仿宋"/>
          <w:b/>
          <w:bCs/>
          <w:sz w:val="32"/>
          <w:szCs w:val="44"/>
          <w:highlight w:val="none"/>
        </w:rPr>
        <w:br w:type="page"/>
      </w:r>
    </w:p>
    <w:p w14:paraId="66BDA38B">
      <w:pPr>
        <w:jc w:val="center"/>
        <w:outlineLvl w:val="1"/>
        <w:rPr>
          <w:rFonts w:ascii="仿宋" w:hAnsi="仿宋" w:eastAsia="仿宋" w:cs="仿宋"/>
          <w:b/>
          <w:bCs/>
          <w:sz w:val="32"/>
          <w:szCs w:val="44"/>
          <w:highlight w:val="none"/>
        </w:rPr>
      </w:pPr>
      <w:bookmarkStart w:id="742" w:name="_Toc4923"/>
      <w:bookmarkStart w:id="743" w:name="_Toc26224"/>
      <w:r>
        <w:rPr>
          <w:rFonts w:hint="eastAsia" w:ascii="仿宋" w:hAnsi="仿宋" w:eastAsia="仿宋" w:cs="仿宋"/>
          <w:b/>
          <w:bCs/>
          <w:sz w:val="32"/>
          <w:szCs w:val="44"/>
          <w:highlight w:val="none"/>
        </w:rPr>
        <w:t>质疑函范本</w:t>
      </w:r>
      <w:bookmarkEnd w:id="742"/>
      <w:bookmarkEnd w:id="743"/>
    </w:p>
    <w:p w14:paraId="5E445091">
      <w:pPr>
        <w:adjustRightInd w:val="0"/>
        <w:snapToGrid w:val="0"/>
        <w:spacing w:before="312" w:beforeLines="100" w:line="360" w:lineRule="auto"/>
        <w:outlineLvl w:val="1"/>
        <w:rPr>
          <w:rFonts w:cs="仿宋" w:asciiTheme="minorEastAsia" w:hAnsiTheme="minorEastAsia"/>
          <w:b/>
          <w:bCs/>
          <w:sz w:val="24"/>
          <w:highlight w:val="none"/>
        </w:rPr>
      </w:pPr>
      <w:bookmarkStart w:id="744" w:name="_Toc3847"/>
      <w:bookmarkStart w:id="745" w:name="_Toc10663"/>
      <w:r>
        <w:rPr>
          <w:rFonts w:hint="eastAsia" w:cs="仿宋" w:asciiTheme="minorEastAsia" w:hAnsiTheme="minorEastAsia"/>
          <w:b/>
          <w:bCs/>
          <w:sz w:val="24"/>
          <w:highlight w:val="none"/>
        </w:rPr>
        <w:t>一、质疑供应商基本信息</w:t>
      </w:r>
      <w:bookmarkEnd w:id="744"/>
      <w:bookmarkEnd w:id="745"/>
    </w:p>
    <w:p w14:paraId="63F5B3E7">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质疑供应商：</w:t>
      </w:r>
      <w:r>
        <w:rPr>
          <w:rFonts w:hint="eastAsia" w:cs="仿宋" w:asciiTheme="minorEastAsia" w:hAnsiTheme="minorEastAsia"/>
          <w:sz w:val="24"/>
          <w:highlight w:val="none"/>
          <w:u w:val="dotted"/>
        </w:rPr>
        <w:t xml:space="preserve">                                        </w:t>
      </w:r>
    </w:p>
    <w:p w14:paraId="7B1BF9DD">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地址：</w:t>
      </w:r>
      <w:r>
        <w:rPr>
          <w:rFonts w:hint="eastAsia" w:cs="仿宋" w:asciiTheme="minorEastAsia" w:hAnsiTheme="minorEastAsia"/>
          <w:sz w:val="24"/>
          <w:highlight w:val="none"/>
          <w:u w:val="dotted"/>
        </w:rPr>
        <w:t xml:space="preserve">                          </w:t>
      </w:r>
      <w:r>
        <w:rPr>
          <w:rFonts w:hint="eastAsia" w:cs="仿宋" w:asciiTheme="minorEastAsia" w:hAnsiTheme="minorEastAsia"/>
          <w:sz w:val="24"/>
          <w:highlight w:val="none"/>
        </w:rPr>
        <w:t>邮编：</w:t>
      </w:r>
      <w:r>
        <w:rPr>
          <w:rFonts w:hint="eastAsia" w:cs="仿宋" w:asciiTheme="minorEastAsia" w:hAnsiTheme="minorEastAsia"/>
          <w:sz w:val="24"/>
          <w:highlight w:val="none"/>
          <w:u w:val="dotted"/>
        </w:rPr>
        <w:t xml:space="preserve">              </w:t>
      </w:r>
    </w:p>
    <w:p w14:paraId="6E666D39">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u w:val="dotted"/>
        </w:rPr>
        <w:t xml:space="preserve">                      </w:t>
      </w:r>
      <w:r>
        <w:rPr>
          <w:rFonts w:hint="eastAsia" w:cs="仿宋" w:asciiTheme="minorEastAsia" w:hAnsiTheme="minorEastAsia"/>
          <w:sz w:val="24"/>
          <w:highlight w:val="none"/>
        </w:rPr>
        <w:t>联系电话：</w:t>
      </w:r>
      <w:r>
        <w:rPr>
          <w:rFonts w:hint="eastAsia" w:cs="仿宋" w:asciiTheme="minorEastAsia" w:hAnsiTheme="minorEastAsia"/>
          <w:sz w:val="24"/>
          <w:highlight w:val="none"/>
          <w:u w:val="dotted"/>
        </w:rPr>
        <w:t xml:space="preserve">            </w:t>
      </w:r>
    </w:p>
    <w:p w14:paraId="23AD5DF6">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授权代表：</w:t>
      </w:r>
      <w:r>
        <w:rPr>
          <w:rFonts w:hint="eastAsia" w:cs="仿宋" w:asciiTheme="minorEastAsia" w:hAnsiTheme="minorEastAsia"/>
          <w:sz w:val="24"/>
          <w:highlight w:val="none"/>
          <w:u w:val="dotted"/>
        </w:rPr>
        <w:t xml:space="preserve">                                          </w:t>
      </w:r>
    </w:p>
    <w:p w14:paraId="2B5AED6C">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联系电话：</w:t>
      </w:r>
      <w:r>
        <w:rPr>
          <w:rFonts w:hint="eastAsia" w:cs="仿宋" w:asciiTheme="minorEastAsia" w:hAnsiTheme="minorEastAsia"/>
          <w:sz w:val="24"/>
          <w:highlight w:val="none"/>
          <w:u w:val="dotted"/>
        </w:rPr>
        <w:t xml:space="preserve">                                          </w:t>
      </w:r>
    </w:p>
    <w:p w14:paraId="39B23680">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地址：</w:t>
      </w:r>
      <w:r>
        <w:rPr>
          <w:rFonts w:cs="仿宋" w:asciiTheme="minorEastAsia" w:hAnsiTheme="minorEastAsia"/>
          <w:sz w:val="24"/>
          <w:highlight w:val="none"/>
        </w:rPr>
        <w:t xml:space="preserve"> </w:t>
      </w:r>
      <w:r>
        <w:rPr>
          <w:rFonts w:hint="eastAsia" w:cs="仿宋" w:asciiTheme="minorEastAsia" w:hAnsiTheme="minorEastAsia"/>
          <w:sz w:val="24"/>
          <w:highlight w:val="none"/>
          <w:u w:val="dotted"/>
        </w:rPr>
        <w:t xml:space="preserve">                        </w:t>
      </w:r>
      <w:r>
        <w:rPr>
          <w:rFonts w:hint="eastAsia" w:cs="仿宋" w:asciiTheme="minorEastAsia" w:hAnsiTheme="minorEastAsia"/>
          <w:sz w:val="24"/>
          <w:highlight w:val="none"/>
        </w:rPr>
        <w:t>邮编：</w:t>
      </w:r>
      <w:r>
        <w:rPr>
          <w:rFonts w:hint="eastAsia" w:cs="仿宋" w:asciiTheme="minorEastAsia" w:hAnsiTheme="minorEastAsia"/>
          <w:sz w:val="24"/>
          <w:highlight w:val="none"/>
          <w:u w:val="dotted"/>
        </w:rPr>
        <w:t xml:space="preserve">               </w:t>
      </w:r>
    </w:p>
    <w:p w14:paraId="12B46654">
      <w:pPr>
        <w:adjustRightInd w:val="0"/>
        <w:snapToGrid w:val="0"/>
        <w:spacing w:line="360" w:lineRule="auto"/>
        <w:outlineLvl w:val="1"/>
        <w:rPr>
          <w:rFonts w:cs="仿宋" w:asciiTheme="minorEastAsia" w:hAnsiTheme="minorEastAsia"/>
          <w:b/>
          <w:bCs/>
          <w:sz w:val="24"/>
          <w:highlight w:val="none"/>
        </w:rPr>
      </w:pPr>
      <w:bookmarkStart w:id="746" w:name="_Toc19182"/>
      <w:bookmarkStart w:id="747" w:name="_Toc30012"/>
      <w:r>
        <w:rPr>
          <w:rFonts w:hint="eastAsia" w:cs="仿宋" w:asciiTheme="minorEastAsia" w:hAnsiTheme="minorEastAsia"/>
          <w:b/>
          <w:bCs/>
          <w:sz w:val="24"/>
          <w:highlight w:val="none"/>
        </w:rPr>
        <w:t>二、质疑项目基本情况</w:t>
      </w:r>
      <w:bookmarkEnd w:id="746"/>
      <w:bookmarkEnd w:id="747"/>
    </w:p>
    <w:p w14:paraId="61EC973E">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质疑项目的名称：</w:t>
      </w:r>
      <w:r>
        <w:rPr>
          <w:rFonts w:hint="eastAsia" w:cs="仿宋" w:asciiTheme="minorEastAsia" w:hAnsiTheme="minorEastAsia"/>
          <w:sz w:val="24"/>
          <w:highlight w:val="none"/>
          <w:u w:val="dotted"/>
        </w:rPr>
        <w:t xml:space="preserve">                                    </w:t>
      </w:r>
    </w:p>
    <w:p w14:paraId="6FE34152">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质疑项目的编号：</w:t>
      </w:r>
      <w:r>
        <w:rPr>
          <w:rFonts w:hint="eastAsia" w:cs="仿宋" w:asciiTheme="minorEastAsia" w:hAnsiTheme="minorEastAsia"/>
          <w:sz w:val="24"/>
          <w:highlight w:val="none"/>
          <w:u w:val="dotted"/>
        </w:rPr>
        <w:t xml:space="preserve">               </w:t>
      </w:r>
      <w:r>
        <w:rPr>
          <w:rFonts w:hint="eastAsia" w:cs="仿宋" w:asciiTheme="minorEastAsia" w:hAnsiTheme="minorEastAsia"/>
          <w:sz w:val="24"/>
          <w:highlight w:val="none"/>
        </w:rPr>
        <w:t>包号：</w:t>
      </w:r>
      <w:r>
        <w:rPr>
          <w:rFonts w:hint="eastAsia" w:cs="仿宋" w:asciiTheme="minorEastAsia" w:hAnsiTheme="minorEastAsia"/>
          <w:sz w:val="24"/>
          <w:highlight w:val="none"/>
          <w:u w:val="dotted"/>
        </w:rPr>
        <w:t xml:space="preserve">               </w:t>
      </w:r>
    </w:p>
    <w:p w14:paraId="620FBCF4">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采购人名称：</w:t>
      </w:r>
      <w:r>
        <w:rPr>
          <w:rFonts w:hint="eastAsia" w:cs="仿宋" w:asciiTheme="minorEastAsia" w:hAnsiTheme="minorEastAsia"/>
          <w:sz w:val="24"/>
          <w:highlight w:val="none"/>
          <w:u w:val="dotted"/>
        </w:rPr>
        <w:t xml:space="preserve">                                        </w:t>
      </w:r>
    </w:p>
    <w:p w14:paraId="731993AE">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采购文件获取日期：</w:t>
      </w:r>
      <w:r>
        <w:rPr>
          <w:rFonts w:hint="eastAsia" w:cs="仿宋" w:asciiTheme="minorEastAsia" w:hAnsiTheme="minorEastAsia"/>
          <w:sz w:val="24"/>
          <w:highlight w:val="none"/>
          <w:u w:val="dotted"/>
        </w:rPr>
        <w:t xml:space="preserve">                                  </w:t>
      </w:r>
    </w:p>
    <w:p w14:paraId="76ED7EF2">
      <w:pPr>
        <w:adjustRightInd w:val="0"/>
        <w:snapToGrid w:val="0"/>
        <w:spacing w:line="360" w:lineRule="auto"/>
        <w:outlineLvl w:val="1"/>
        <w:rPr>
          <w:rFonts w:cs="仿宋" w:asciiTheme="minorEastAsia" w:hAnsiTheme="minorEastAsia"/>
          <w:b/>
          <w:bCs/>
          <w:sz w:val="24"/>
          <w:highlight w:val="none"/>
        </w:rPr>
      </w:pPr>
      <w:bookmarkStart w:id="748" w:name="_Toc9989"/>
      <w:bookmarkStart w:id="749" w:name="_Toc21700"/>
      <w:r>
        <w:rPr>
          <w:rFonts w:hint="eastAsia" w:cs="仿宋" w:asciiTheme="minorEastAsia" w:hAnsiTheme="minorEastAsia"/>
          <w:b/>
          <w:bCs/>
          <w:sz w:val="24"/>
          <w:highlight w:val="none"/>
        </w:rPr>
        <w:t>三、质疑事项具体内容</w:t>
      </w:r>
      <w:bookmarkEnd w:id="748"/>
      <w:bookmarkEnd w:id="749"/>
    </w:p>
    <w:p w14:paraId="40B3A943">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质疑事项1：</w:t>
      </w:r>
      <w:r>
        <w:rPr>
          <w:rFonts w:hint="eastAsia" w:cs="仿宋" w:asciiTheme="minorEastAsia" w:hAnsiTheme="minorEastAsia"/>
          <w:sz w:val="24"/>
          <w:highlight w:val="none"/>
          <w:u w:val="dotted"/>
        </w:rPr>
        <w:t xml:space="preserve">                                         </w:t>
      </w:r>
    </w:p>
    <w:p w14:paraId="2C9AFA79">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事实依据：</w:t>
      </w:r>
      <w:r>
        <w:rPr>
          <w:rFonts w:hint="eastAsia" w:cs="仿宋" w:asciiTheme="minorEastAsia" w:hAnsiTheme="minorEastAsia"/>
          <w:sz w:val="24"/>
          <w:highlight w:val="none"/>
          <w:u w:val="dotted"/>
        </w:rPr>
        <w:t xml:space="preserve">                                          </w:t>
      </w:r>
    </w:p>
    <w:p w14:paraId="0F613212">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u w:val="dotted"/>
        </w:rPr>
        <w:t xml:space="preserve">                                                    </w:t>
      </w:r>
    </w:p>
    <w:p w14:paraId="21FE9ADC">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法律依据：</w:t>
      </w:r>
      <w:r>
        <w:rPr>
          <w:rFonts w:hint="eastAsia" w:cs="仿宋" w:asciiTheme="minorEastAsia" w:hAnsiTheme="minorEastAsia"/>
          <w:sz w:val="24"/>
          <w:highlight w:val="none"/>
          <w:u w:val="dotted"/>
        </w:rPr>
        <w:t xml:space="preserve">                                          </w:t>
      </w:r>
    </w:p>
    <w:p w14:paraId="7205D3A2">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u w:val="dotted"/>
        </w:rPr>
        <w:t xml:space="preserve">                                                    </w:t>
      </w:r>
    </w:p>
    <w:p w14:paraId="66C4338A">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质疑事项2</w:t>
      </w:r>
    </w:p>
    <w:p w14:paraId="5E9A64DB">
      <w:pPr>
        <w:adjustRightInd w:val="0"/>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p>
    <w:p w14:paraId="49B94455">
      <w:pPr>
        <w:adjustRightInd w:val="0"/>
        <w:snapToGrid w:val="0"/>
        <w:spacing w:line="360" w:lineRule="auto"/>
        <w:outlineLvl w:val="1"/>
        <w:rPr>
          <w:rFonts w:cs="仿宋" w:asciiTheme="minorEastAsia" w:hAnsiTheme="minorEastAsia"/>
          <w:b/>
          <w:bCs/>
          <w:sz w:val="24"/>
          <w:highlight w:val="none"/>
        </w:rPr>
      </w:pPr>
      <w:bookmarkStart w:id="750" w:name="_Toc19016"/>
      <w:bookmarkStart w:id="751" w:name="_Toc10625"/>
      <w:r>
        <w:rPr>
          <w:rFonts w:hint="eastAsia" w:cs="仿宋" w:asciiTheme="minorEastAsia" w:hAnsiTheme="minorEastAsia"/>
          <w:b/>
          <w:bCs/>
          <w:sz w:val="24"/>
          <w:highlight w:val="none"/>
        </w:rPr>
        <w:t>四、与质疑事项相关的质疑请求</w:t>
      </w:r>
      <w:bookmarkEnd w:id="750"/>
      <w:bookmarkEnd w:id="751"/>
    </w:p>
    <w:p w14:paraId="768A7AB6">
      <w:pPr>
        <w:adjustRightInd w:val="0"/>
        <w:snapToGrid w:val="0"/>
        <w:spacing w:line="360" w:lineRule="auto"/>
        <w:rPr>
          <w:rFonts w:cs="仿宋" w:asciiTheme="minorEastAsia" w:hAnsiTheme="minorEastAsia"/>
          <w:sz w:val="24"/>
          <w:highlight w:val="none"/>
          <w:u w:val="dotted"/>
        </w:rPr>
      </w:pPr>
      <w:r>
        <w:rPr>
          <w:rFonts w:hint="eastAsia" w:cs="仿宋" w:asciiTheme="minorEastAsia" w:hAnsiTheme="minorEastAsia"/>
          <w:sz w:val="24"/>
          <w:highlight w:val="none"/>
        </w:rPr>
        <w:t>请求：</w:t>
      </w:r>
      <w:r>
        <w:rPr>
          <w:rFonts w:hint="eastAsia" w:cs="仿宋" w:asciiTheme="minorEastAsia" w:hAnsiTheme="minorEastAsia"/>
          <w:sz w:val="24"/>
          <w:highlight w:val="none"/>
          <w:u w:val="dotted"/>
        </w:rPr>
        <w:t xml:space="preserve">                                              </w:t>
      </w:r>
    </w:p>
    <w:p w14:paraId="45D29B80">
      <w:pPr>
        <w:spacing w:line="360" w:lineRule="auto"/>
        <w:rPr>
          <w:rFonts w:asciiTheme="minorEastAsia" w:hAnsiTheme="minorEastAsia"/>
          <w:sz w:val="24"/>
          <w:highlight w:val="none"/>
        </w:rPr>
      </w:pPr>
      <w:r>
        <w:rPr>
          <w:rFonts w:hint="eastAsia" w:asciiTheme="minorEastAsia" w:hAnsiTheme="minorEastAsia"/>
          <w:sz w:val="24"/>
          <w:highlight w:val="none"/>
        </w:rPr>
        <w:t xml:space="preserve">签字(签章)：                   公章：                      </w:t>
      </w:r>
    </w:p>
    <w:p w14:paraId="22E0564F">
      <w:pPr>
        <w:spacing w:line="360" w:lineRule="auto"/>
        <w:rPr>
          <w:rFonts w:asciiTheme="minorEastAsia" w:hAnsiTheme="minorEastAsia"/>
          <w:sz w:val="24"/>
          <w:highlight w:val="none"/>
        </w:rPr>
      </w:pPr>
      <w:r>
        <w:rPr>
          <w:rFonts w:hint="eastAsia" w:asciiTheme="minorEastAsia" w:hAnsiTheme="minorEastAsia"/>
          <w:sz w:val="24"/>
          <w:highlight w:val="none"/>
        </w:rPr>
        <w:t xml:space="preserve">日期：    </w:t>
      </w:r>
    </w:p>
    <w:p w14:paraId="0CDC95B6">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3B0C5AE8">
      <w:pPr>
        <w:outlineLvl w:val="0"/>
        <w:rPr>
          <w:rFonts w:asciiTheme="minorEastAsia" w:hAnsiTheme="minorEastAsia"/>
          <w:b/>
          <w:sz w:val="28"/>
          <w:szCs w:val="32"/>
          <w:highlight w:val="none"/>
        </w:rPr>
      </w:pPr>
      <w:bookmarkStart w:id="752" w:name="_Toc25274"/>
      <w:bookmarkStart w:id="753" w:name="_Toc17684"/>
      <w:r>
        <w:rPr>
          <w:rFonts w:hint="eastAsia" w:asciiTheme="minorEastAsia" w:hAnsiTheme="minorEastAsia"/>
          <w:b/>
          <w:sz w:val="28"/>
          <w:szCs w:val="32"/>
          <w:highlight w:val="none"/>
        </w:rPr>
        <w:t>质疑函制作说明：</w:t>
      </w:r>
      <w:bookmarkEnd w:id="752"/>
      <w:bookmarkEnd w:id="753"/>
    </w:p>
    <w:p w14:paraId="5F71B4EE">
      <w:pPr>
        <w:spacing w:line="360" w:lineRule="auto"/>
        <w:ind w:firstLine="435"/>
        <w:rPr>
          <w:rFonts w:asciiTheme="minorEastAsia" w:hAnsiTheme="minorEastAsia"/>
          <w:sz w:val="24"/>
          <w:highlight w:val="none"/>
        </w:rPr>
      </w:pPr>
      <w:r>
        <w:rPr>
          <w:rFonts w:hint="eastAsia" w:asciiTheme="minorEastAsia" w:hAnsiTheme="minorEastAsia"/>
          <w:sz w:val="24"/>
          <w:highlight w:val="none"/>
        </w:rPr>
        <w:t>1.供应商提出质疑时，应提交质疑函和必要的证明材料。</w:t>
      </w:r>
    </w:p>
    <w:p w14:paraId="6E41D881">
      <w:pPr>
        <w:spacing w:line="360" w:lineRule="auto"/>
        <w:ind w:firstLine="435"/>
        <w:rPr>
          <w:rFonts w:asciiTheme="minorEastAsia" w:hAnsiTheme="minorEastAsia"/>
          <w:sz w:val="24"/>
          <w:highlight w:val="none"/>
        </w:rPr>
      </w:pPr>
      <w:r>
        <w:rPr>
          <w:rFonts w:hint="eastAsia" w:asciiTheme="minorEastAsia" w:hAnsi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E52B41">
      <w:pPr>
        <w:spacing w:line="360" w:lineRule="auto"/>
        <w:ind w:firstLine="435"/>
        <w:rPr>
          <w:rFonts w:asciiTheme="minorEastAsia" w:hAnsiTheme="minorEastAsia"/>
          <w:sz w:val="24"/>
          <w:highlight w:val="none"/>
        </w:rPr>
      </w:pPr>
      <w:r>
        <w:rPr>
          <w:rFonts w:hint="eastAsia" w:asciiTheme="minorEastAsia" w:hAnsiTheme="minorEastAsia"/>
          <w:sz w:val="24"/>
          <w:highlight w:val="none"/>
        </w:rPr>
        <w:t>3.质疑供应商若对项目的某一分包进行质疑，质疑函中应列明具体分包号。</w:t>
      </w:r>
    </w:p>
    <w:p w14:paraId="51694802">
      <w:pPr>
        <w:spacing w:line="360" w:lineRule="auto"/>
        <w:ind w:firstLine="435"/>
        <w:rPr>
          <w:rFonts w:asciiTheme="minorEastAsia" w:hAnsiTheme="minorEastAsia"/>
          <w:sz w:val="24"/>
          <w:highlight w:val="none"/>
        </w:rPr>
      </w:pPr>
      <w:r>
        <w:rPr>
          <w:rFonts w:hint="eastAsia" w:asciiTheme="minorEastAsia" w:hAnsiTheme="minorEastAsia"/>
          <w:sz w:val="24"/>
          <w:highlight w:val="none"/>
        </w:rPr>
        <w:t>4.质疑函的质疑事项应具体、明确，并有必要的事实依据和法律依据。</w:t>
      </w:r>
    </w:p>
    <w:p w14:paraId="1E53984A">
      <w:pPr>
        <w:spacing w:line="360" w:lineRule="auto"/>
        <w:ind w:firstLine="435"/>
        <w:rPr>
          <w:rFonts w:asciiTheme="minorEastAsia" w:hAnsiTheme="minorEastAsia"/>
          <w:sz w:val="24"/>
          <w:highlight w:val="none"/>
        </w:rPr>
      </w:pPr>
      <w:r>
        <w:rPr>
          <w:rFonts w:hint="eastAsia" w:asciiTheme="minorEastAsia" w:hAnsiTheme="minorEastAsia"/>
          <w:sz w:val="24"/>
          <w:highlight w:val="none"/>
        </w:rPr>
        <w:t>5.质疑函的质疑请求应与质疑事项相关。</w:t>
      </w:r>
    </w:p>
    <w:p w14:paraId="6D0F4A8C">
      <w:pPr>
        <w:spacing w:line="360" w:lineRule="auto"/>
        <w:ind w:firstLine="435"/>
        <w:rPr>
          <w:rFonts w:asciiTheme="minorEastAsia" w:hAnsiTheme="minorEastAsia"/>
          <w:sz w:val="24"/>
          <w:highlight w:val="none"/>
        </w:rPr>
      </w:pPr>
      <w:r>
        <w:rPr>
          <w:rFonts w:hint="eastAsia" w:asciiTheme="minorEastAsia" w:hAnsi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AD9A">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BDB6">
    <w:pPr>
      <w:pStyle w:val="32"/>
    </w:pP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8102">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13C6C">
                          <w:pPr>
                            <w:pStyle w:val="3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013C6C">
                    <w:pPr>
                      <w:pStyle w:val="3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8DE6">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5AF52">
                          <w:pPr>
                            <w:pStyle w:val="32"/>
                            <w:jc w:val="center"/>
                          </w:pPr>
                          <w:r>
                            <w:fldChar w:fldCharType="begin"/>
                          </w:r>
                          <w:r>
                            <w:instrText xml:space="preserve"> PAGE   \* MERGEFORMAT </w:instrText>
                          </w:r>
                          <w:r>
                            <w:fldChar w:fldCharType="separate"/>
                          </w:r>
                          <w:r>
                            <w:rPr>
                              <w:lang w:val="zh-CN"/>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B5AF52">
                    <w:pPr>
                      <w:pStyle w:val="32"/>
                      <w:jc w:val="center"/>
                    </w:pPr>
                    <w:r>
                      <w:fldChar w:fldCharType="begin"/>
                    </w:r>
                    <w:r>
                      <w:instrText xml:space="preserve"> PAGE   \* MERGEFORMAT </w:instrText>
                    </w:r>
                    <w:r>
                      <w:fldChar w:fldCharType="separate"/>
                    </w:r>
                    <w:r>
                      <w:rPr>
                        <w:lang w:val="zh-CN"/>
                      </w:rP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331C">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F5A9">
    <w:pPr>
      <w:pStyle w:val="3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188F9681"/>
    <w:multiLevelType w:val="singleLevel"/>
    <w:tmpl w:val="188F9681"/>
    <w:lvl w:ilvl="0" w:tentative="0">
      <w:start w:val="3"/>
      <w:numFmt w:val="decimal"/>
      <w:lvlText w:val="%1."/>
      <w:lvlJc w:val="left"/>
      <w:pPr>
        <w:tabs>
          <w:tab w:val="left" w:pos="312"/>
        </w:tabs>
      </w:pPr>
    </w:lvl>
  </w:abstractNum>
  <w:abstractNum w:abstractNumId="3">
    <w:nsid w:val="19F927FE"/>
    <w:multiLevelType w:val="singleLevel"/>
    <w:tmpl w:val="19F927FE"/>
    <w:lvl w:ilvl="0" w:tentative="0">
      <w:start w:val="3"/>
      <w:numFmt w:val="chineseCounting"/>
      <w:suff w:val="space"/>
      <w:lvlText w:val="第%1章"/>
      <w:lvlJc w:val="left"/>
      <w:rPr>
        <w:rFonts w:hint="eastAsia"/>
      </w:rPr>
    </w:lvl>
  </w:abstractNum>
  <w:abstractNum w:abstractNumId="4">
    <w:nsid w:val="34F75875"/>
    <w:multiLevelType w:val="singleLevel"/>
    <w:tmpl w:val="34F75875"/>
    <w:lvl w:ilvl="0" w:tentative="0">
      <w:start w:val="1"/>
      <w:numFmt w:val="decimal"/>
      <w:suff w:val="nothing"/>
      <w:lvlText w:val="（%1）"/>
      <w:lvlJc w:val="left"/>
    </w:lvl>
  </w:abstractNum>
  <w:abstractNum w:abstractNumId="5">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23C3"/>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857A5"/>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514E"/>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007"/>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4B6"/>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B7E60"/>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4753"/>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3547F3F"/>
    <w:rsid w:val="03741448"/>
    <w:rsid w:val="03A222F4"/>
    <w:rsid w:val="042C68E8"/>
    <w:rsid w:val="04615792"/>
    <w:rsid w:val="0468513B"/>
    <w:rsid w:val="04A62A1C"/>
    <w:rsid w:val="0520276B"/>
    <w:rsid w:val="05757657"/>
    <w:rsid w:val="05CA098C"/>
    <w:rsid w:val="060D5ED0"/>
    <w:rsid w:val="06335A2E"/>
    <w:rsid w:val="067918F3"/>
    <w:rsid w:val="06EE74DB"/>
    <w:rsid w:val="071E213B"/>
    <w:rsid w:val="072015CC"/>
    <w:rsid w:val="0774295E"/>
    <w:rsid w:val="07E2764F"/>
    <w:rsid w:val="081658FD"/>
    <w:rsid w:val="082D3682"/>
    <w:rsid w:val="08617CF0"/>
    <w:rsid w:val="093E5132"/>
    <w:rsid w:val="096B2DAF"/>
    <w:rsid w:val="099C3247"/>
    <w:rsid w:val="09C726B5"/>
    <w:rsid w:val="09F359DF"/>
    <w:rsid w:val="0A021741"/>
    <w:rsid w:val="0A0F0A9B"/>
    <w:rsid w:val="0A0F4881"/>
    <w:rsid w:val="0A8C3DF0"/>
    <w:rsid w:val="0A9269BE"/>
    <w:rsid w:val="0AFA0204"/>
    <w:rsid w:val="0B116715"/>
    <w:rsid w:val="0B34273F"/>
    <w:rsid w:val="0B4B782E"/>
    <w:rsid w:val="0B5759D8"/>
    <w:rsid w:val="0B584B6B"/>
    <w:rsid w:val="0B9A6428"/>
    <w:rsid w:val="0BC76A6E"/>
    <w:rsid w:val="0BD069A1"/>
    <w:rsid w:val="0BF8009D"/>
    <w:rsid w:val="0C0B76AE"/>
    <w:rsid w:val="0C160487"/>
    <w:rsid w:val="0C695EBF"/>
    <w:rsid w:val="0C764D16"/>
    <w:rsid w:val="0C8A2C23"/>
    <w:rsid w:val="0CF62067"/>
    <w:rsid w:val="0D277ACB"/>
    <w:rsid w:val="0D2B61B4"/>
    <w:rsid w:val="0D3E7892"/>
    <w:rsid w:val="0D471131"/>
    <w:rsid w:val="0D5533F1"/>
    <w:rsid w:val="0DB72352"/>
    <w:rsid w:val="0DFC12FE"/>
    <w:rsid w:val="0DFF1A91"/>
    <w:rsid w:val="0DFF49A0"/>
    <w:rsid w:val="0E2520B0"/>
    <w:rsid w:val="0E30091C"/>
    <w:rsid w:val="0E415563"/>
    <w:rsid w:val="0E614A59"/>
    <w:rsid w:val="0E7C136E"/>
    <w:rsid w:val="0EA50C7E"/>
    <w:rsid w:val="0EAB7F23"/>
    <w:rsid w:val="0EB116DF"/>
    <w:rsid w:val="0EB9796D"/>
    <w:rsid w:val="0EBC4BEA"/>
    <w:rsid w:val="0ED1121C"/>
    <w:rsid w:val="0ED93BBF"/>
    <w:rsid w:val="0F45532D"/>
    <w:rsid w:val="0FC54316"/>
    <w:rsid w:val="0FC76BB7"/>
    <w:rsid w:val="10663C27"/>
    <w:rsid w:val="107134FF"/>
    <w:rsid w:val="10F935A7"/>
    <w:rsid w:val="118C11EC"/>
    <w:rsid w:val="11E963CE"/>
    <w:rsid w:val="12162641"/>
    <w:rsid w:val="12E83133"/>
    <w:rsid w:val="13607801"/>
    <w:rsid w:val="1375778E"/>
    <w:rsid w:val="142F5647"/>
    <w:rsid w:val="14E43199"/>
    <w:rsid w:val="15B649BD"/>
    <w:rsid w:val="15C03212"/>
    <w:rsid w:val="162B2D81"/>
    <w:rsid w:val="16685A1A"/>
    <w:rsid w:val="16BE4BE9"/>
    <w:rsid w:val="16D30781"/>
    <w:rsid w:val="16F15C51"/>
    <w:rsid w:val="17146EEB"/>
    <w:rsid w:val="17501CD7"/>
    <w:rsid w:val="178A0858"/>
    <w:rsid w:val="1822771A"/>
    <w:rsid w:val="18A85F98"/>
    <w:rsid w:val="18EB7C71"/>
    <w:rsid w:val="19000B10"/>
    <w:rsid w:val="19193365"/>
    <w:rsid w:val="1A7807B0"/>
    <w:rsid w:val="1A9A04D6"/>
    <w:rsid w:val="1B1069E9"/>
    <w:rsid w:val="1B210BF7"/>
    <w:rsid w:val="1C87785C"/>
    <w:rsid w:val="1D015171"/>
    <w:rsid w:val="1D0B55C8"/>
    <w:rsid w:val="1D163641"/>
    <w:rsid w:val="1D191BE5"/>
    <w:rsid w:val="1D3232AA"/>
    <w:rsid w:val="1D3B78BE"/>
    <w:rsid w:val="1DDA5B5C"/>
    <w:rsid w:val="1DEC70E9"/>
    <w:rsid w:val="1E0B00F8"/>
    <w:rsid w:val="1E0F0C19"/>
    <w:rsid w:val="1E112FC8"/>
    <w:rsid w:val="1ED26670"/>
    <w:rsid w:val="1EEB6F36"/>
    <w:rsid w:val="1F2E6A6D"/>
    <w:rsid w:val="1F9A0F77"/>
    <w:rsid w:val="1FCE2910"/>
    <w:rsid w:val="20390044"/>
    <w:rsid w:val="206B0B17"/>
    <w:rsid w:val="20D7049A"/>
    <w:rsid w:val="21326E5F"/>
    <w:rsid w:val="21A12912"/>
    <w:rsid w:val="22C5630B"/>
    <w:rsid w:val="23047F32"/>
    <w:rsid w:val="237C1D35"/>
    <w:rsid w:val="23B5121F"/>
    <w:rsid w:val="23CC456F"/>
    <w:rsid w:val="24003A9F"/>
    <w:rsid w:val="24080473"/>
    <w:rsid w:val="241D3932"/>
    <w:rsid w:val="245E7561"/>
    <w:rsid w:val="247E2DFD"/>
    <w:rsid w:val="252523ED"/>
    <w:rsid w:val="261957EE"/>
    <w:rsid w:val="261A49B6"/>
    <w:rsid w:val="264A37F0"/>
    <w:rsid w:val="265B0373"/>
    <w:rsid w:val="26803368"/>
    <w:rsid w:val="26A67592"/>
    <w:rsid w:val="27433CA3"/>
    <w:rsid w:val="274D5052"/>
    <w:rsid w:val="27D668C5"/>
    <w:rsid w:val="27E85AF1"/>
    <w:rsid w:val="288E11CC"/>
    <w:rsid w:val="28A96E2F"/>
    <w:rsid w:val="2936586D"/>
    <w:rsid w:val="296F11F9"/>
    <w:rsid w:val="298E38FB"/>
    <w:rsid w:val="299D58EC"/>
    <w:rsid w:val="29CD70DD"/>
    <w:rsid w:val="2A1534D2"/>
    <w:rsid w:val="2B5044AE"/>
    <w:rsid w:val="2B6E5792"/>
    <w:rsid w:val="2B89414F"/>
    <w:rsid w:val="2B980A61"/>
    <w:rsid w:val="2C251BC9"/>
    <w:rsid w:val="2CFE4335"/>
    <w:rsid w:val="2D1633EB"/>
    <w:rsid w:val="2D3553A7"/>
    <w:rsid w:val="2D611D48"/>
    <w:rsid w:val="2D7B5F44"/>
    <w:rsid w:val="2DBE22D5"/>
    <w:rsid w:val="2DD81577"/>
    <w:rsid w:val="2DE33C41"/>
    <w:rsid w:val="2E992065"/>
    <w:rsid w:val="2EAE6E61"/>
    <w:rsid w:val="2EB60132"/>
    <w:rsid w:val="2EE47B19"/>
    <w:rsid w:val="2F850E2A"/>
    <w:rsid w:val="2F8779B7"/>
    <w:rsid w:val="2FD04090"/>
    <w:rsid w:val="30562C99"/>
    <w:rsid w:val="307B1397"/>
    <w:rsid w:val="30FF5F8E"/>
    <w:rsid w:val="319A341E"/>
    <w:rsid w:val="31E24A78"/>
    <w:rsid w:val="3215051D"/>
    <w:rsid w:val="32292413"/>
    <w:rsid w:val="322D4F5F"/>
    <w:rsid w:val="32543208"/>
    <w:rsid w:val="32BD2B5B"/>
    <w:rsid w:val="33111CDE"/>
    <w:rsid w:val="331C5AD4"/>
    <w:rsid w:val="33B62674"/>
    <w:rsid w:val="33E076B7"/>
    <w:rsid w:val="34152599"/>
    <w:rsid w:val="342F5CDB"/>
    <w:rsid w:val="345D5598"/>
    <w:rsid w:val="34E46AC5"/>
    <w:rsid w:val="350E7E29"/>
    <w:rsid w:val="3544508A"/>
    <w:rsid w:val="35DC515B"/>
    <w:rsid w:val="36127662"/>
    <w:rsid w:val="36AD04C3"/>
    <w:rsid w:val="36BB7DC1"/>
    <w:rsid w:val="36DC00CA"/>
    <w:rsid w:val="36E71BB0"/>
    <w:rsid w:val="378930A1"/>
    <w:rsid w:val="379A76D6"/>
    <w:rsid w:val="37B02C8E"/>
    <w:rsid w:val="37E312B6"/>
    <w:rsid w:val="380D1E8F"/>
    <w:rsid w:val="385414FE"/>
    <w:rsid w:val="38CD4FE1"/>
    <w:rsid w:val="390F0C82"/>
    <w:rsid w:val="39CB01C6"/>
    <w:rsid w:val="39FE3361"/>
    <w:rsid w:val="3A993EAE"/>
    <w:rsid w:val="3AFE154B"/>
    <w:rsid w:val="3B5006E0"/>
    <w:rsid w:val="3B885D5C"/>
    <w:rsid w:val="3BC211E2"/>
    <w:rsid w:val="3C2546B9"/>
    <w:rsid w:val="3C9227B9"/>
    <w:rsid w:val="3CB66F99"/>
    <w:rsid w:val="3CBE1034"/>
    <w:rsid w:val="3CC03974"/>
    <w:rsid w:val="3D12613E"/>
    <w:rsid w:val="3D6060DD"/>
    <w:rsid w:val="3DF333BE"/>
    <w:rsid w:val="3E4511DF"/>
    <w:rsid w:val="3E65398B"/>
    <w:rsid w:val="3E7F00AD"/>
    <w:rsid w:val="3E99447C"/>
    <w:rsid w:val="3ED2798E"/>
    <w:rsid w:val="3F2168A1"/>
    <w:rsid w:val="3F33520C"/>
    <w:rsid w:val="3F3F3186"/>
    <w:rsid w:val="3F666E0D"/>
    <w:rsid w:val="3F873E13"/>
    <w:rsid w:val="3FA8698D"/>
    <w:rsid w:val="40047E9F"/>
    <w:rsid w:val="408D59ED"/>
    <w:rsid w:val="40B54BA9"/>
    <w:rsid w:val="40CB6D8B"/>
    <w:rsid w:val="41553C61"/>
    <w:rsid w:val="41AF2209"/>
    <w:rsid w:val="421D4D98"/>
    <w:rsid w:val="43406525"/>
    <w:rsid w:val="434075BC"/>
    <w:rsid w:val="435E4B7C"/>
    <w:rsid w:val="44A74B8D"/>
    <w:rsid w:val="44C935E1"/>
    <w:rsid w:val="44CC5046"/>
    <w:rsid w:val="44F243AD"/>
    <w:rsid w:val="45637592"/>
    <w:rsid w:val="45723C79"/>
    <w:rsid w:val="4594172E"/>
    <w:rsid w:val="45B04295"/>
    <w:rsid w:val="45B649C6"/>
    <w:rsid w:val="46020B59"/>
    <w:rsid w:val="467604ED"/>
    <w:rsid w:val="46D629D1"/>
    <w:rsid w:val="475B79E4"/>
    <w:rsid w:val="475C13DC"/>
    <w:rsid w:val="47BF14D3"/>
    <w:rsid w:val="47C27D6C"/>
    <w:rsid w:val="47C92022"/>
    <w:rsid w:val="4838270D"/>
    <w:rsid w:val="487405B7"/>
    <w:rsid w:val="48EC3373"/>
    <w:rsid w:val="48F007C1"/>
    <w:rsid w:val="493B64BB"/>
    <w:rsid w:val="495E0E6D"/>
    <w:rsid w:val="49C44019"/>
    <w:rsid w:val="49CD7090"/>
    <w:rsid w:val="49D50181"/>
    <w:rsid w:val="49D55251"/>
    <w:rsid w:val="49DF123A"/>
    <w:rsid w:val="49E72655"/>
    <w:rsid w:val="4A05330E"/>
    <w:rsid w:val="4A712751"/>
    <w:rsid w:val="4B67651C"/>
    <w:rsid w:val="4B841923"/>
    <w:rsid w:val="4BA53584"/>
    <w:rsid w:val="4BE87A98"/>
    <w:rsid w:val="4BE95D3A"/>
    <w:rsid w:val="4C1743E7"/>
    <w:rsid w:val="4C2E43AC"/>
    <w:rsid w:val="4C620E5B"/>
    <w:rsid w:val="4C6D7D07"/>
    <w:rsid w:val="4CCC1EC1"/>
    <w:rsid w:val="4E355844"/>
    <w:rsid w:val="4E616C92"/>
    <w:rsid w:val="4E6F2E5D"/>
    <w:rsid w:val="4EE927D0"/>
    <w:rsid w:val="4EE95ECE"/>
    <w:rsid w:val="4F9B25B3"/>
    <w:rsid w:val="508A5A0C"/>
    <w:rsid w:val="50B13DEA"/>
    <w:rsid w:val="50BC1250"/>
    <w:rsid w:val="50F33EC0"/>
    <w:rsid w:val="50FC7A24"/>
    <w:rsid w:val="51316796"/>
    <w:rsid w:val="522351DD"/>
    <w:rsid w:val="523227C6"/>
    <w:rsid w:val="53144422"/>
    <w:rsid w:val="538E1C7E"/>
    <w:rsid w:val="538E6122"/>
    <w:rsid w:val="53C90F08"/>
    <w:rsid w:val="5407371F"/>
    <w:rsid w:val="55076EDB"/>
    <w:rsid w:val="555B2034"/>
    <w:rsid w:val="55624328"/>
    <w:rsid w:val="557F62EE"/>
    <w:rsid w:val="55F36710"/>
    <w:rsid w:val="563D798B"/>
    <w:rsid w:val="565019E7"/>
    <w:rsid w:val="56861129"/>
    <w:rsid w:val="569861B6"/>
    <w:rsid w:val="56B6493F"/>
    <w:rsid w:val="56C31D24"/>
    <w:rsid w:val="56D26221"/>
    <w:rsid w:val="579F740A"/>
    <w:rsid w:val="57B772D0"/>
    <w:rsid w:val="57D85A11"/>
    <w:rsid w:val="57E95DAE"/>
    <w:rsid w:val="5809250B"/>
    <w:rsid w:val="58247055"/>
    <w:rsid w:val="58461A08"/>
    <w:rsid w:val="5846521D"/>
    <w:rsid w:val="58946959"/>
    <w:rsid w:val="589E1721"/>
    <w:rsid w:val="594F1EAF"/>
    <w:rsid w:val="596D4A2C"/>
    <w:rsid w:val="597A4717"/>
    <w:rsid w:val="59F42B62"/>
    <w:rsid w:val="5A074538"/>
    <w:rsid w:val="5A5113C2"/>
    <w:rsid w:val="5A5C0D28"/>
    <w:rsid w:val="5A945878"/>
    <w:rsid w:val="5AE44879"/>
    <w:rsid w:val="5AFC7E15"/>
    <w:rsid w:val="5B955B74"/>
    <w:rsid w:val="5BA877A0"/>
    <w:rsid w:val="5C880F1C"/>
    <w:rsid w:val="5C8F7148"/>
    <w:rsid w:val="5CFD4365"/>
    <w:rsid w:val="5D4474EC"/>
    <w:rsid w:val="5D5B355A"/>
    <w:rsid w:val="5D8C4430"/>
    <w:rsid w:val="5DFF1D51"/>
    <w:rsid w:val="5E9465B6"/>
    <w:rsid w:val="5EA901E5"/>
    <w:rsid w:val="5EB563DC"/>
    <w:rsid w:val="5F6103C2"/>
    <w:rsid w:val="5FCD130C"/>
    <w:rsid w:val="5FD07FE9"/>
    <w:rsid w:val="60613CC2"/>
    <w:rsid w:val="60B30F76"/>
    <w:rsid w:val="60D81856"/>
    <w:rsid w:val="61737CE0"/>
    <w:rsid w:val="617A62BB"/>
    <w:rsid w:val="61DB4C28"/>
    <w:rsid w:val="620E6099"/>
    <w:rsid w:val="62450E0A"/>
    <w:rsid w:val="626D75E9"/>
    <w:rsid w:val="6270505E"/>
    <w:rsid w:val="62A2790D"/>
    <w:rsid w:val="62EB49FC"/>
    <w:rsid w:val="632B05B6"/>
    <w:rsid w:val="63A67FEF"/>
    <w:rsid w:val="63AC6BB8"/>
    <w:rsid w:val="63D905AD"/>
    <w:rsid w:val="645D7791"/>
    <w:rsid w:val="645F3309"/>
    <w:rsid w:val="647A03AB"/>
    <w:rsid w:val="64F16511"/>
    <w:rsid w:val="651641C9"/>
    <w:rsid w:val="652674EA"/>
    <w:rsid w:val="652A1A66"/>
    <w:rsid w:val="658A61BC"/>
    <w:rsid w:val="65AA0A45"/>
    <w:rsid w:val="65B46500"/>
    <w:rsid w:val="66353945"/>
    <w:rsid w:val="669F4F58"/>
    <w:rsid w:val="66C83C4E"/>
    <w:rsid w:val="66E2747D"/>
    <w:rsid w:val="66F7550A"/>
    <w:rsid w:val="673047EC"/>
    <w:rsid w:val="67B6759E"/>
    <w:rsid w:val="67C65A33"/>
    <w:rsid w:val="6833421D"/>
    <w:rsid w:val="683B31A6"/>
    <w:rsid w:val="68444BA9"/>
    <w:rsid w:val="68CA77A4"/>
    <w:rsid w:val="69281B69"/>
    <w:rsid w:val="69CF4947"/>
    <w:rsid w:val="6A164A33"/>
    <w:rsid w:val="6A4B69A3"/>
    <w:rsid w:val="6A9874AE"/>
    <w:rsid w:val="6AAD1A41"/>
    <w:rsid w:val="6AAD4C88"/>
    <w:rsid w:val="6AF91C7B"/>
    <w:rsid w:val="6B787867"/>
    <w:rsid w:val="6B9C347D"/>
    <w:rsid w:val="6BAC18E9"/>
    <w:rsid w:val="6BF25DF2"/>
    <w:rsid w:val="6CD62D60"/>
    <w:rsid w:val="6D2F1B21"/>
    <w:rsid w:val="6D8B4E16"/>
    <w:rsid w:val="6E074F8D"/>
    <w:rsid w:val="6E5F172B"/>
    <w:rsid w:val="6E8166C0"/>
    <w:rsid w:val="6EB2140D"/>
    <w:rsid w:val="6ED81688"/>
    <w:rsid w:val="6F0A0B17"/>
    <w:rsid w:val="6F5D0B2F"/>
    <w:rsid w:val="6F5D4A0D"/>
    <w:rsid w:val="6F6117F5"/>
    <w:rsid w:val="6F6406E9"/>
    <w:rsid w:val="6F84274A"/>
    <w:rsid w:val="6FB579C0"/>
    <w:rsid w:val="6FBE314B"/>
    <w:rsid w:val="6FDC216E"/>
    <w:rsid w:val="6FF57296"/>
    <w:rsid w:val="70217AAF"/>
    <w:rsid w:val="707149AA"/>
    <w:rsid w:val="708F765B"/>
    <w:rsid w:val="70A0444C"/>
    <w:rsid w:val="70B12FF8"/>
    <w:rsid w:val="70B30B1E"/>
    <w:rsid w:val="71891E0D"/>
    <w:rsid w:val="71E7396A"/>
    <w:rsid w:val="721271FF"/>
    <w:rsid w:val="72A8143C"/>
    <w:rsid w:val="73C117A4"/>
    <w:rsid w:val="74542618"/>
    <w:rsid w:val="74A5312C"/>
    <w:rsid w:val="74E31AB7"/>
    <w:rsid w:val="74FC2405"/>
    <w:rsid w:val="75322959"/>
    <w:rsid w:val="75742F72"/>
    <w:rsid w:val="75A0176F"/>
    <w:rsid w:val="75C612F4"/>
    <w:rsid w:val="75D05CCE"/>
    <w:rsid w:val="75E43523"/>
    <w:rsid w:val="75FD5B65"/>
    <w:rsid w:val="76163B9B"/>
    <w:rsid w:val="76AB7F66"/>
    <w:rsid w:val="77A613DD"/>
    <w:rsid w:val="78041313"/>
    <w:rsid w:val="780829A6"/>
    <w:rsid w:val="78373BAC"/>
    <w:rsid w:val="78B83FD0"/>
    <w:rsid w:val="78D4376C"/>
    <w:rsid w:val="78F951D2"/>
    <w:rsid w:val="795F0CEA"/>
    <w:rsid w:val="79775D93"/>
    <w:rsid w:val="798B2638"/>
    <w:rsid w:val="799B26EC"/>
    <w:rsid w:val="799B4504"/>
    <w:rsid w:val="79C55BB6"/>
    <w:rsid w:val="79DA107C"/>
    <w:rsid w:val="79EE5915"/>
    <w:rsid w:val="7A357087"/>
    <w:rsid w:val="7AA546EA"/>
    <w:rsid w:val="7AC459C1"/>
    <w:rsid w:val="7B853EC3"/>
    <w:rsid w:val="7BB302F8"/>
    <w:rsid w:val="7C0F50CC"/>
    <w:rsid w:val="7CAE2B9E"/>
    <w:rsid w:val="7CE172A5"/>
    <w:rsid w:val="7CE61D90"/>
    <w:rsid w:val="7D18299B"/>
    <w:rsid w:val="7E2255F8"/>
    <w:rsid w:val="7E2F5732"/>
    <w:rsid w:val="7E9D2C00"/>
    <w:rsid w:val="7FAB2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84"/>
    <w:qFormat/>
    <w:uiPriority w:val="0"/>
    <w:pPr>
      <w:keepNext/>
      <w:keepLines/>
      <w:spacing w:before="340" w:after="330" w:line="576" w:lineRule="auto"/>
      <w:outlineLvl w:val="0"/>
    </w:pPr>
    <w:rPr>
      <w:b/>
      <w:kern w:val="44"/>
      <w:sz w:val="44"/>
    </w:rPr>
  </w:style>
  <w:style w:type="paragraph" w:styleId="4">
    <w:name w:val="heading 2"/>
    <w:basedOn w:val="1"/>
    <w:next w:val="1"/>
    <w:link w:val="97"/>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6"/>
    <w:unhideWhenUsed/>
    <w:qFormat/>
    <w:uiPriority w:val="0"/>
    <w:pPr>
      <w:keepNext/>
      <w:keepLines/>
      <w:spacing w:before="260" w:after="260" w:line="413" w:lineRule="auto"/>
      <w:outlineLvl w:val="2"/>
    </w:pPr>
    <w:rPr>
      <w:b/>
      <w:sz w:val="32"/>
    </w:rPr>
  </w:style>
  <w:style w:type="paragraph" w:styleId="6">
    <w:name w:val="heading 4"/>
    <w:basedOn w:val="1"/>
    <w:next w:val="1"/>
    <w:link w:val="91"/>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98"/>
    <w:semiHidden/>
    <w:unhideWhenUsed/>
    <w:qFormat/>
    <w:uiPriority w:val="0"/>
    <w:pPr>
      <w:keepNext/>
      <w:keepLines/>
      <w:spacing w:before="280" w:after="290" w:line="372" w:lineRule="auto"/>
      <w:outlineLvl w:val="4"/>
    </w:pPr>
    <w:rPr>
      <w:b/>
      <w:sz w:val="28"/>
    </w:rPr>
  </w:style>
  <w:style w:type="paragraph" w:styleId="8">
    <w:name w:val="heading 6"/>
    <w:basedOn w:val="1"/>
    <w:next w:val="1"/>
    <w:link w:val="99"/>
    <w:semiHidden/>
    <w:unhideWhenUsed/>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100"/>
    <w:semiHidden/>
    <w:unhideWhenUsed/>
    <w:qFormat/>
    <w:uiPriority w:val="0"/>
    <w:pPr>
      <w:keepNext/>
      <w:keepLines/>
      <w:spacing w:before="240" w:after="64" w:line="317" w:lineRule="auto"/>
      <w:outlineLvl w:val="6"/>
    </w:pPr>
    <w:rPr>
      <w:b/>
      <w:sz w:val="24"/>
    </w:rPr>
  </w:style>
  <w:style w:type="paragraph" w:styleId="10">
    <w:name w:val="heading 8"/>
    <w:basedOn w:val="1"/>
    <w:next w:val="1"/>
    <w:link w:val="101"/>
    <w:semiHidden/>
    <w:unhideWhenUsed/>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102"/>
    <w:semiHidden/>
    <w:unhideWhenUsed/>
    <w:qFormat/>
    <w:uiPriority w:val="0"/>
    <w:pPr>
      <w:keepNext/>
      <w:keepLines/>
      <w:spacing w:before="240" w:after="64" w:line="317"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2"/>
    <w:qFormat/>
    <w:uiPriority w:val="0"/>
    <w:pPr>
      <w:spacing w:after="120"/>
    </w:p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Normal Indent"/>
    <w:basedOn w:val="1"/>
    <w:qFormat/>
    <w:uiPriority w:val="0"/>
    <w:pPr>
      <w:ind w:firstLine="420" w:firstLineChars="200"/>
    </w:pPr>
  </w:style>
  <w:style w:type="paragraph" w:styleId="15">
    <w:name w:val="caption"/>
    <w:basedOn w:val="1"/>
    <w:next w:val="1"/>
    <w:semiHidden/>
    <w:unhideWhenUsed/>
    <w:qFormat/>
    <w:uiPriority w:val="0"/>
    <w:rPr>
      <w:rFonts w:ascii="Arial" w:hAnsi="Arial" w:eastAsia="黑体"/>
      <w:sz w:val="20"/>
    </w:rPr>
  </w:style>
  <w:style w:type="paragraph" w:styleId="16">
    <w:name w:val="Document Map"/>
    <w:basedOn w:val="1"/>
    <w:next w:val="1"/>
    <w:link w:val="147"/>
    <w:qFormat/>
    <w:uiPriority w:val="0"/>
    <w:pPr>
      <w:shd w:val="clear" w:color="auto" w:fill="000080"/>
    </w:pPr>
  </w:style>
  <w:style w:type="paragraph" w:styleId="17">
    <w:name w:val="annotation text"/>
    <w:basedOn w:val="1"/>
    <w:link w:val="83"/>
    <w:qFormat/>
    <w:uiPriority w:val="0"/>
    <w:pPr>
      <w:jc w:val="left"/>
    </w:pPr>
  </w:style>
  <w:style w:type="paragraph" w:styleId="18">
    <w:name w:val="Salutation"/>
    <w:basedOn w:val="1"/>
    <w:next w:val="1"/>
    <w:link w:val="113"/>
    <w:qFormat/>
    <w:uiPriority w:val="0"/>
  </w:style>
  <w:style w:type="paragraph" w:styleId="19">
    <w:name w:val="Body Text 3"/>
    <w:basedOn w:val="1"/>
    <w:link w:val="133"/>
    <w:qFormat/>
    <w:uiPriority w:val="0"/>
    <w:pPr>
      <w:spacing w:after="120"/>
    </w:pPr>
    <w:rPr>
      <w:sz w:val="16"/>
    </w:rPr>
  </w:style>
  <w:style w:type="paragraph" w:styleId="20">
    <w:name w:val="Body Text Indent"/>
    <w:basedOn w:val="1"/>
    <w:link w:val="107"/>
    <w:qFormat/>
    <w:uiPriority w:val="0"/>
    <w:pPr>
      <w:spacing w:after="120"/>
      <w:ind w:left="420" w:leftChars="200"/>
    </w:p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spacing w:after="120"/>
      <w:ind w:left="420" w:leftChars="200"/>
    </w:pPr>
  </w:style>
  <w:style w:type="paragraph" w:styleId="23">
    <w:name w:val="Block Text"/>
    <w:basedOn w:val="1"/>
    <w:qFormat/>
    <w:uiPriority w:val="0"/>
    <w:pPr>
      <w:spacing w:after="120"/>
      <w:ind w:left="1440" w:leftChars="700" w:right="700" w:rightChars="700"/>
    </w:pPr>
  </w:style>
  <w:style w:type="paragraph" w:styleId="24">
    <w:name w:val="index 4"/>
    <w:basedOn w:val="1"/>
    <w:next w:val="1"/>
    <w:qFormat/>
    <w:uiPriority w:val="0"/>
    <w:pPr>
      <w:ind w:left="600" w:leftChars="600"/>
    </w:p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72"/>
    <w:qFormat/>
    <w:uiPriority w:val="0"/>
    <w:rPr>
      <w:rFonts w:ascii="宋体" w:hAnsi="Courier New"/>
    </w:rPr>
  </w:style>
  <w:style w:type="paragraph" w:styleId="28">
    <w:name w:val="toc 8"/>
    <w:basedOn w:val="1"/>
    <w:next w:val="1"/>
    <w:qFormat/>
    <w:uiPriority w:val="0"/>
    <w:pPr>
      <w:ind w:left="2940" w:leftChars="1400"/>
    </w:pPr>
  </w:style>
  <w:style w:type="paragraph" w:styleId="29">
    <w:name w:val="Date"/>
    <w:basedOn w:val="1"/>
    <w:next w:val="1"/>
    <w:link w:val="79"/>
    <w:qFormat/>
    <w:uiPriority w:val="0"/>
    <w:pPr>
      <w:ind w:left="100" w:leftChars="2500"/>
    </w:pPr>
  </w:style>
  <w:style w:type="paragraph" w:styleId="30">
    <w:name w:val="Body Text Indent 2"/>
    <w:basedOn w:val="1"/>
    <w:link w:val="129"/>
    <w:qFormat/>
    <w:uiPriority w:val="0"/>
    <w:pPr>
      <w:spacing w:after="120" w:line="480" w:lineRule="auto"/>
      <w:ind w:left="420" w:leftChars="200"/>
    </w:pPr>
  </w:style>
  <w:style w:type="paragraph" w:styleId="31">
    <w:name w:val="Balloon Text"/>
    <w:basedOn w:val="1"/>
    <w:link w:val="66"/>
    <w:qFormat/>
    <w:uiPriority w:val="0"/>
    <w:rPr>
      <w:sz w:val="18"/>
    </w:rPr>
  </w:style>
  <w:style w:type="paragraph" w:styleId="32">
    <w:name w:val="footer"/>
    <w:basedOn w:val="1"/>
    <w:link w:val="71"/>
    <w:qFormat/>
    <w:uiPriority w:val="0"/>
    <w:pPr>
      <w:tabs>
        <w:tab w:val="center" w:pos="4153"/>
        <w:tab w:val="right" w:pos="8306"/>
      </w:tabs>
      <w:snapToGrid w:val="0"/>
      <w:jc w:val="left"/>
    </w:pPr>
    <w:rPr>
      <w:sz w:val="18"/>
    </w:rPr>
  </w:style>
  <w:style w:type="paragraph" w:styleId="33">
    <w:name w:val="envelope return"/>
    <w:basedOn w:val="1"/>
    <w:qFormat/>
    <w:uiPriority w:val="0"/>
    <w:pPr>
      <w:snapToGrid w:val="0"/>
    </w:pPr>
    <w:rPr>
      <w:rFonts w:ascii="Arial" w:hAnsi="Arial"/>
    </w:rPr>
  </w:style>
  <w:style w:type="paragraph" w:styleId="34">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5">
    <w:name w:val="toc 1"/>
    <w:basedOn w:val="1"/>
    <w:next w:val="1"/>
    <w:qFormat/>
    <w:uiPriority w:val="0"/>
  </w:style>
  <w:style w:type="paragraph" w:styleId="36">
    <w:name w:val="List Continue 4"/>
    <w:basedOn w:val="1"/>
    <w:qFormat/>
    <w:uiPriority w:val="0"/>
    <w:pPr>
      <w:spacing w:after="120"/>
      <w:ind w:left="1680" w:leftChars="800"/>
    </w:pPr>
  </w:style>
  <w:style w:type="paragraph" w:styleId="37">
    <w:name w:val="toc 4"/>
    <w:basedOn w:val="1"/>
    <w:next w:val="1"/>
    <w:qFormat/>
    <w:uiPriority w:val="0"/>
    <w:pPr>
      <w:ind w:left="1260" w:leftChars="600"/>
    </w:pPr>
  </w:style>
  <w:style w:type="paragraph" w:styleId="38">
    <w:name w:val="index heading"/>
    <w:basedOn w:val="1"/>
    <w:next w:val="39"/>
    <w:qFormat/>
    <w:uiPriority w:val="0"/>
    <w:rPr>
      <w:rFonts w:ascii="Arial" w:hAnsi="Arial"/>
      <w:b/>
    </w:rPr>
  </w:style>
  <w:style w:type="paragraph" w:styleId="39">
    <w:name w:val="index 1"/>
    <w:basedOn w:val="1"/>
    <w:next w:val="1"/>
    <w:qFormat/>
    <w:uiPriority w:val="0"/>
  </w:style>
  <w:style w:type="paragraph" w:styleId="40">
    <w:name w:val="Subtitle"/>
    <w:basedOn w:val="1"/>
    <w:link w:val="221"/>
    <w:qFormat/>
    <w:uiPriority w:val="0"/>
    <w:pPr>
      <w:spacing w:before="240" w:after="60" w:line="312" w:lineRule="auto"/>
      <w:jc w:val="center"/>
      <w:outlineLvl w:val="1"/>
    </w:pPr>
    <w:rPr>
      <w:rFonts w:ascii="Arial" w:hAnsi="Arial"/>
      <w:b/>
      <w:kern w:val="28"/>
      <w:sz w:val="32"/>
    </w:rPr>
  </w:style>
  <w:style w:type="paragraph" w:styleId="41">
    <w:name w:val="List"/>
    <w:basedOn w:val="1"/>
    <w:qFormat/>
    <w:uiPriority w:val="0"/>
    <w:pPr>
      <w:ind w:left="200" w:hanging="200" w:hangingChars="200"/>
    </w:pPr>
  </w:style>
  <w:style w:type="paragraph" w:styleId="42">
    <w:name w:val="footnote text"/>
    <w:basedOn w:val="1"/>
    <w:link w:val="109"/>
    <w:qFormat/>
    <w:uiPriority w:val="0"/>
    <w:pPr>
      <w:snapToGrid w:val="0"/>
      <w:jc w:val="left"/>
    </w:pPr>
    <w:rPr>
      <w:sz w:val="18"/>
    </w:rPr>
  </w:style>
  <w:style w:type="paragraph" w:styleId="43">
    <w:name w:val="toc 6"/>
    <w:basedOn w:val="1"/>
    <w:next w:val="1"/>
    <w:qFormat/>
    <w:uiPriority w:val="0"/>
    <w:pPr>
      <w:ind w:left="2100" w:leftChars="1000"/>
    </w:pPr>
  </w:style>
  <w:style w:type="paragraph" w:styleId="44">
    <w:name w:val="Body Text Indent 3"/>
    <w:basedOn w:val="1"/>
    <w:link w:val="128"/>
    <w:qFormat/>
    <w:uiPriority w:val="0"/>
    <w:pPr>
      <w:spacing w:after="120"/>
      <w:ind w:left="420" w:leftChars="200"/>
    </w:pPr>
    <w:rPr>
      <w:sz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132"/>
    <w:qFormat/>
    <w:uiPriority w:val="0"/>
    <w:pPr>
      <w:spacing w:after="120" w:line="480" w:lineRule="auto"/>
    </w:pPr>
  </w:style>
  <w:style w:type="paragraph" w:styleId="48">
    <w:name w:val="List 4"/>
    <w:basedOn w:val="1"/>
    <w:qFormat/>
    <w:uiPriority w:val="0"/>
    <w:pPr>
      <w:ind w:left="100" w:leftChars="600" w:hanging="200" w:hangingChars="200"/>
    </w:pPr>
  </w:style>
  <w:style w:type="paragraph" w:styleId="49">
    <w:name w:val="List Continue 2"/>
    <w:basedOn w:val="1"/>
    <w:qFormat/>
    <w:uiPriority w:val="0"/>
    <w:pPr>
      <w:spacing w:after="120"/>
      <w:ind w:left="840" w:leftChars="400"/>
    </w:pPr>
  </w:style>
  <w:style w:type="paragraph" w:styleId="50">
    <w:name w:val="Normal (Web)"/>
    <w:basedOn w:val="1"/>
    <w:qFormat/>
    <w:uiPriority w:val="0"/>
    <w:rPr>
      <w:sz w:val="24"/>
    </w:rPr>
  </w:style>
  <w:style w:type="paragraph" w:styleId="51">
    <w:name w:val="Title"/>
    <w:basedOn w:val="1"/>
    <w:next w:val="1"/>
    <w:link w:val="136"/>
    <w:qFormat/>
    <w:uiPriority w:val="0"/>
    <w:pPr>
      <w:spacing w:before="240" w:after="60"/>
      <w:jc w:val="center"/>
      <w:outlineLvl w:val="0"/>
    </w:pPr>
    <w:rPr>
      <w:rFonts w:ascii="Arial" w:hAnsi="Arial"/>
      <w:b/>
      <w:sz w:val="32"/>
    </w:rPr>
  </w:style>
  <w:style w:type="paragraph" w:styleId="52">
    <w:name w:val="annotation subject"/>
    <w:basedOn w:val="17"/>
    <w:next w:val="17"/>
    <w:link w:val="94"/>
    <w:qFormat/>
    <w:uiPriority w:val="0"/>
    <w:rPr>
      <w:b/>
    </w:rPr>
  </w:style>
  <w:style w:type="paragraph" w:styleId="53">
    <w:name w:val="Body Text First Indent"/>
    <w:basedOn w:val="2"/>
    <w:qFormat/>
    <w:uiPriority w:val="0"/>
    <w:pPr>
      <w:ind w:firstLine="420" w:firstLineChars="100"/>
    </w:pPr>
  </w:style>
  <w:style w:type="paragraph" w:styleId="54">
    <w:name w:val="Body Text First Indent 2"/>
    <w:basedOn w:val="20"/>
    <w:qFormat/>
    <w:uiPriority w:val="0"/>
    <w:pPr>
      <w:ind w:firstLine="420" w:firstLineChars="200"/>
    </w:p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basedOn w:val="57"/>
    <w:qFormat/>
    <w:uiPriority w:val="0"/>
    <w:rPr>
      <w:b/>
    </w:rPr>
  </w:style>
  <w:style w:type="character" w:styleId="59">
    <w:name w:val="page number"/>
    <w:basedOn w:val="57"/>
    <w:qFormat/>
    <w:uiPriority w:val="0"/>
  </w:style>
  <w:style w:type="character" w:styleId="60">
    <w:name w:val="FollowedHyperlink"/>
    <w:basedOn w:val="57"/>
    <w:qFormat/>
    <w:uiPriority w:val="0"/>
    <w:rPr>
      <w:color w:val="800080"/>
      <w:u w:val="single"/>
    </w:rPr>
  </w:style>
  <w:style w:type="character" w:styleId="61">
    <w:name w:val="Emphasis"/>
    <w:basedOn w:val="57"/>
    <w:qFormat/>
    <w:uiPriority w:val="0"/>
    <w:rPr>
      <w:i/>
    </w:rPr>
  </w:style>
  <w:style w:type="character" w:styleId="62">
    <w:name w:val="Hyperlink"/>
    <w:basedOn w:val="57"/>
    <w:qFormat/>
    <w:uiPriority w:val="0"/>
    <w:rPr>
      <w:color w:val="0000FF"/>
      <w:u w:val="single"/>
    </w:rPr>
  </w:style>
  <w:style w:type="character" w:styleId="63">
    <w:name w:val="annotation reference"/>
    <w:basedOn w:val="57"/>
    <w:qFormat/>
    <w:uiPriority w:val="0"/>
    <w:rPr>
      <w:sz w:val="21"/>
    </w:rPr>
  </w:style>
  <w:style w:type="character" w:styleId="64">
    <w:name w:val="footnote reference"/>
    <w:basedOn w:val="57"/>
    <w:qFormat/>
    <w:uiPriority w:val="0"/>
    <w:rPr>
      <w:vertAlign w:val="superscript"/>
    </w:rPr>
  </w:style>
  <w:style w:type="character" w:styleId="65">
    <w:name w:val="HTML Sample"/>
    <w:basedOn w:val="57"/>
    <w:qFormat/>
    <w:uiPriority w:val="0"/>
    <w:rPr>
      <w:rFonts w:ascii="Courier New" w:hAnsi="Courier New"/>
    </w:rPr>
  </w:style>
  <w:style w:type="character" w:customStyle="1" w:styleId="66">
    <w:name w:val="批注框文本 Char"/>
    <w:link w:val="31"/>
    <w:qFormat/>
    <w:uiPriority w:val="0"/>
    <w:rPr>
      <w:sz w:val="18"/>
    </w:rPr>
  </w:style>
  <w:style w:type="paragraph" w:customStyle="1" w:styleId="67">
    <w:name w:val="正文（缩进）"/>
    <w:basedOn w:val="1"/>
    <w:qFormat/>
    <w:uiPriority w:val="0"/>
    <w:pPr>
      <w:widowControl/>
      <w:spacing w:before="156" w:after="156"/>
      <w:ind w:firstLine="480" w:firstLineChars="200"/>
      <w:jc w:val="left"/>
    </w:pPr>
    <w:rPr>
      <w:sz w:val="24"/>
    </w:rPr>
  </w:style>
  <w:style w:type="paragraph" w:customStyle="1" w:styleId="68">
    <w:name w:val="xl31"/>
    <w:basedOn w:val="1"/>
    <w:qFormat/>
    <w:uiPriority w:val="0"/>
    <w:pPr>
      <w:widowControl/>
      <w:spacing w:before="100" w:beforeAutospacing="1" w:after="100" w:afterAutospacing="1"/>
      <w:jc w:val="center"/>
    </w:pPr>
    <w:rPr>
      <w:b/>
      <w:bCs/>
      <w:sz w:val="28"/>
      <w:szCs w:val="28"/>
    </w:rPr>
  </w:style>
  <w:style w:type="paragraph" w:customStyle="1" w:styleId="69">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link w:val="34"/>
    <w:qFormat/>
    <w:uiPriority w:val="99"/>
    <w:rPr>
      <w:sz w:val="18"/>
    </w:rPr>
  </w:style>
  <w:style w:type="character" w:customStyle="1" w:styleId="71">
    <w:name w:val="页脚 Char"/>
    <w:link w:val="32"/>
    <w:qFormat/>
    <w:uiPriority w:val="99"/>
    <w:rPr>
      <w:sz w:val="18"/>
    </w:rPr>
  </w:style>
  <w:style w:type="character" w:customStyle="1" w:styleId="72">
    <w:name w:val="纯文本 Char"/>
    <w:link w:val="27"/>
    <w:qFormat/>
    <w:uiPriority w:val="0"/>
    <w:rPr>
      <w:rFonts w:ascii="宋体" w:hAnsi="Courier New"/>
    </w:rPr>
  </w:style>
  <w:style w:type="character" w:customStyle="1" w:styleId="73">
    <w:name w:val="纯文本 字符1"/>
    <w:basedOn w:val="57"/>
    <w:semiHidden/>
    <w:qFormat/>
    <w:uiPriority w:val="99"/>
    <w:rPr>
      <w:rFonts w:hAnsi="Courier New" w:cs="Courier New" w:asciiTheme="minorEastAsia"/>
      <w:szCs w:val="20"/>
    </w:rPr>
  </w:style>
  <w:style w:type="character" w:customStyle="1" w:styleId="74">
    <w:name w:val="未处理的提及1"/>
    <w:basedOn w:val="57"/>
    <w:semiHidden/>
    <w:unhideWhenUsed/>
    <w:qFormat/>
    <w:uiPriority w:val="99"/>
    <w:rPr>
      <w:color w:val="605E5C"/>
      <w:shd w:val="clear" w:color="auto" w:fill="E1DFDD"/>
    </w:rPr>
  </w:style>
  <w:style w:type="paragraph" w:styleId="75">
    <w:name w:val="List Paragraph"/>
    <w:basedOn w:val="1"/>
    <w:qFormat/>
    <w:uiPriority w:val="34"/>
    <w:pPr>
      <w:ind w:firstLine="420" w:firstLineChars="200"/>
    </w:pPr>
  </w:style>
  <w:style w:type="paragraph" w:customStyle="1" w:styleId="76">
    <w:name w:val="Char Char Char Char Char Char Char1 Char"/>
    <w:basedOn w:val="1"/>
    <w:qFormat/>
    <w:uiPriority w:val="0"/>
    <w:rPr>
      <w:rFonts w:ascii="Arial" w:hAnsi="Arial" w:cs="Arial"/>
      <w:sz w:val="24"/>
    </w:rPr>
  </w:style>
  <w:style w:type="table" w:customStyle="1" w:styleId="77">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semiHidden/>
    <w:qFormat/>
    <w:uiPriority w:val="99"/>
    <w:rPr>
      <w:rFonts w:ascii="@仿宋_GB2312" w:hAnsi="@仿宋_GB2312" w:eastAsia="@仿宋_GB2312" w:cs="@仿宋_GB2312"/>
      <w:szCs w:val="20"/>
    </w:rPr>
  </w:style>
  <w:style w:type="character" w:customStyle="1" w:styleId="79">
    <w:name w:val="日期 Char"/>
    <w:link w:val="29"/>
    <w:qFormat/>
    <w:uiPriority w:val="0"/>
  </w:style>
  <w:style w:type="character" w:customStyle="1" w:styleId="80">
    <w:name w:val="纯文本 Char1"/>
    <w:link w:val="81"/>
    <w:qFormat/>
    <w:locked/>
    <w:uiPriority w:val="99"/>
    <w:rPr>
      <w:rFonts w:ascii="Arial" w:hAnsi="Arial" w:eastAsia="Arial"/>
      <w:kern w:val="2"/>
      <w:sz w:val="21"/>
      <w:lang w:val="en-US" w:eastAsia="zh-CN" w:bidi="ar-SA"/>
    </w:rPr>
  </w:style>
  <w:style w:type="paragraph" w:customStyle="1" w:styleId="81">
    <w:name w:val="纯文本1"/>
    <w:basedOn w:val="1"/>
    <w:link w:val="80"/>
    <w:qFormat/>
    <w:uiPriority w:val="0"/>
    <w:rPr>
      <w:rFonts w:ascii="Arial" w:hAnsi="Arial" w:eastAsia="Arial"/>
    </w:rPr>
  </w:style>
  <w:style w:type="character" w:customStyle="1" w:styleId="82">
    <w:name w:val="批注文字 Char"/>
    <w:basedOn w:val="57"/>
    <w:qFormat/>
    <w:uiPriority w:val="0"/>
    <w:rPr>
      <w:rFonts w:ascii="@仿宋_GB2312" w:hAnsi="@仿宋_GB2312" w:eastAsia="@仿宋_GB2312" w:cs="@仿宋_GB2312"/>
      <w:szCs w:val="20"/>
    </w:rPr>
  </w:style>
  <w:style w:type="character" w:customStyle="1" w:styleId="83">
    <w:name w:val="批注文字 Char1"/>
    <w:link w:val="17"/>
    <w:qFormat/>
    <w:uiPriority w:val="99"/>
  </w:style>
  <w:style w:type="character" w:customStyle="1" w:styleId="84">
    <w:name w:val="标题 1 Char"/>
    <w:link w:val="3"/>
    <w:qFormat/>
    <w:uiPriority w:val="0"/>
    <w:rPr>
      <w:b/>
      <w:kern w:val="44"/>
      <w:sz w:val="44"/>
    </w:rPr>
  </w:style>
  <w:style w:type="paragraph" w:customStyle="1" w:styleId="8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link w:val="5"/>
    <w:qFormat/>
    <w:uiPriority w:val="0"/>
    <w:rPr>
      <w:b/>
      <w:sz w:val="32"/>
    </w:rPr>
  </w:style>
  <w:style w:type="character" w:customStyle="1" w:styleId="87">
    <w:name w:val="fontstyle01"/>
    <w:basedOn w:val="57"/>
    <w:qFormat/>
    <w:uiPriority w:val="0"/>
    <w:rPr>
      <w:rFonts w:hint="eastAsia" w:ascii="宋体" w:hAnsi="宋体" w:eastAsia="宋体"/>
      <w:color w:val="000000"/>
      <w:sz w:val="22"/>
      <w:szCs w:val="22"/>
    </w:rPr>
  </w:style>
  <w:style w:type="character" w:customStyle="1" w:styleId="88">
    <w:name w:val="fontstyle21"/>
    <w:basedOn w:val="57"/>
    <w:qFormat/>
    <w:uiPriority w:val="0"/>
    <w:rPr>
      <w:rFonts w:hint="default" w:ascii="TimesNewRomanPSMT" w:hAnsi="TimesNewRomanPSMT"/>
      <w:color w:val="000000"/>
      <w:sz w:val="22"/>
      <w:szCs w:val="22"/>
    </w:rPr>
  </w:style>
  <w:style w:type="character" w:customStyle="1" w:styleId="8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semiHidden/>
    <w:qFormat/>
    <w:uiPriority w:val="9"/>
    <w:rPr>
      <w:rFonts w:asciiTheme="majorHAnsi" w:hAnsiTheme="majorHAnsi" w:eastAsiaTheme="majorEastAsia" w:cstheme="majorBidi"/>
      <w:b/>
      <w:bCs/>
      <w:sz w:val="28"/>
      <w:szCs w:val="28"/>
    </w:rPr>
  </w:style>
  <w:style w:type="character" w:customStyle="1" w:styleId="91">
    <w:name w:val="标题 4 Char"/>
    <w:link w:val="6"/>
    <w:qFormat/>
    <w:uiPriority w:val="0"/>
    <w:rPr>
      <w:rFonts w:ascii="Arial" w:hAnsi="Arial" w:eastAsia="黑体"/>
      <w:b/>
      <w:sz w:val="28"/>
    </w:rPr>
  </w:style>
  <w:style w:type="character" w:customStyle="1" w:styleId="92">
    <w:name w:val="正文文本 Char"/>
    <w:link w:val="2"/>
    <w:qFormat/>
    <w:uiPriority w:val="0"/>
  </w:style>
  <w:style w:type="table" w:customStyle="1" w:styleId="93">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link w:val="52"/>
    <w:qFormat/>
    <w:uiPriority w:val="0"/>
    <w:rPr>
      <w:b/>
    </w:rPr>
  </w:style>
  <w:style w:type="paragraph" w:customStyle="1" w:styleId="95">
    <w:name w:val="普通 (Web)"/>
    <w:basedOn w:val="1"/>
    <w:qFormat/>
    <w:uiPriority w:val="0"/>
    <w:pPr>
      <w:widowControl/>
      <w:spacing w:before="100" w:beforeAutospacing="1" w:after="100" w:afterAutospacing="1"/>
      <w:jc w:val="left"/>
    </w:pPr>
    <w:rPr>
      <w:rFonts w:cs="Times New Roman"/>
      <w:sz w:val="24"/>
    </w:rPr>
  </w:style>
  <w:style w:type="table" w:customStyle="1" w:styleId="96">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link w:val="4"/>
    <w:qFormat/>
    <w:uiPriority w:val="0"/>
    <w:rPr>
      <w:rFonts w:ascii="Arial" w:hAnsi="Arial" w:eastAsia="黑体"/>
      <w:b/>
      <w:sz w:val="32"/>
    </w:rPr>
  </w:style>
  <w:style w:type="character" w:customStyle="1" w:styleId="98">
    <w:name w:val="标题 5 Char"/>
    <w:link w:val="7"/>
    <w:qFormat/>
    <w:uiPriority w:val="0"/>
    <w:rPr>
      <w:b/>
      <w:sz w:val="28"/>
    </w:rPr>
  </w:style>
  <w:style w:type="character" w:customStyle="1" w:styleId="99">
    <w:name w:val="标题 6 Char"/>
    <w:link w:val="8"/>
    <w:qFormat/>
    <w:uiPriority w:val="0"/>
    <w:rPr>
      <w:rFonts w:ascii="Arial" w:hAnsi="Arial" w:eastAsia="黑体"/>
      <w:b/>
      <w:sz w:val="24"/>
    </w:rPr>
  </w:style>
  <w:style w:type="character" w:customStyle="1" w:styleId="100">
    <w:name w:val="标题 7 Char"/>
    <w:link w:val="9"/>
    <w:qFormat/>
    <w:uiPriority w:val="0"/>
    <w:rPr>
      <w:b/>
      <w:sz w:val="24"/>
    </w:rPr>
  </w:style>
  <w:style w:type="character" w:customStyle="1" w:styleId="101">
    <w:name w:val="标题 8 Char"/>
    <w:link w:val="10"/>
    <w:qFormat/>
    <w:uiPriority w:val="0"/>
    <w:rPr>
      <w:rFonts w:ascii="Arial" w:hAnsi="Arial" w:eastAsia="黑体"/>
      <w:sz w:val="24"/>
    </w:rPr>
  </w:style>
  <w:style w:type="character" w:customStyle="1" w:styleId="102">
    <w:name w:val="标题 9 Char"/>
    <w:link w:val="11"/>
    <w:qFormat/>
    <w:uiPriority w:val="0"/>
    <w:rPr>
      <w:rFonts w:ascii="Arial" w:hAnsi="Arial" w:eastAsia="黑体"/>
      <w:sz w:val="21"/>
    </w:rPr>
  </w:style>
  <w:style w:type="character" w:customStyle="1" w:styleId="103">
    <w:name w:val="纯文本 Char2"/>
    <w:qFormat/>
    <w:uiPriority w:val="0"/>
    <w:rPr>
      <w:rFonts w:ascii="宋体" w:hAnsi="Courier New"/>
    </w:rPr>
  </w:style>
  <w:style w:type="table" w:customStyle="1" w:styleId="104">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link w:val="20"/>
    <w:qFormat/>
    <w:uiPriority w:val="0"/>
  </w:style>
  <w:style w:type="paragraph" w:customStyle="1" w:styleId="108">
    <w:name w:val="Char"/>
    <w:basedOn w:val="1"/>
    <w:qFormat/>
    <w:uiPriority w:val="0"/>
    <w:rPr>
      <w:rFonts w:ascii="Tahoma" w:hAnsi="Tahoma" w:cs="Times New Roman"/>
      <w:sz w:val="24"/>
    </w:rPr>
  </w:style>
  <w:style w:type="character" w:customStyle="1" w:styleId="109">
    <w:name w:val="脚注文本 Char"/>
    <w:link w:val="42"/>
    <w:qFormat/>
    <w:uiPriority w:val="0"/>
    <w:rPr>
      <w:sz w:val="18"/>
    </w:rPr>
  </w:style>
  <w:style w:type="paragraph" w:customStyle="1" w:styleId="110">
    <w:name w:val="样式 标题 3 + (中文) 黑体 小四 非加粗 段前: 7.8 磅 段后: 0 磅 行距: 固定值 20 磅"/>
    <w:basedOn w:val="5"/>
    <w:qFormat/>
    <w:uiPriority w:val="0"/>
    <w:pPr>
      <w:spacing w:before="120" w:after="120" w:line="400" w:lineRule="exact"/>
      <w:jc w:val="left"/>
    </w:pPr>
    <w:rPr>
      <w:rFonts w:ascii="黑体" w:hAnsi="黑体" w:eastAsia="黑体" w:cs="宋体"/>
      <w:sz w:val="24"/>
      <w:szCs w:val="20"/>
      <w:lang w:val="zh-CN"/>
    </w:rPr>
  </w:style>
  <w:style w:type="paragraph" w:customStyle="1" w:styleId="11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112">
    <w:name w:val="Normal_2"/>
    <w:qFormat/>
    <w:uiPriority w:val="0"/>
    <w:rPr>
      <w:rFonts w:ascii="Times New Roman" w:hAnsi="Times New Roman" w:eastAsia="Times New Roman" w:cs="Times New Roman"/>
      <w:sz w:val="24"/>
      <w:szCs w:val="24"/>
      <w:lang w:val="en-US" w:eastAsia="zh-CN" w:bidi="ar-SA"/>
    </w:rPr>
  </w:style>
  <w:style w:type="character" w:customStyle="1" w:styleId="113">
    <w:name w:val="称呼 Char"/>
    <w:link w:val="18"/>
    <w:qFormat/>
    <w:uiPriority w:val="0"/>
  </w:style>
  <w:style w:type="paragraph" w:customStyle="1" w:styleId="1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qFormat/>
    <w:uiPriority w:val="0"/>
    <w:rPr>
      <w:rFonts w:ascii="Times New Roman" w:hAnsi="Times New Roman" w:eastAsia="Times New Roman" w:cs="Times New Roman"/>
      <w:sz w:val="24"/>
      <w:szCs w:val="24"/>
      <w:lang w:val="en-US" w:eastAsia="zh-CN" w:bidi="ar-SA"/>
    </w:rPr>
  </w:style>
  <w:style w:type="paragraph" w:customStyle="1" w:styleId="120">
    <w:name w:val="Normal_3"/>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qFormat/>
    <w:uiPriority w:val="0"/>
    <w:rPr>
      <w:rFonts w:ascii="Tahoma" w:hAnsi="Tahoma" w:cs="Times New Roman"/>
      <w:sz w:val="24"/>
    </w:rPr>
  </w:style>
  <w:style w:type="paragraph" w:customStyle="1" w:styleId="122">
    <w:name w:val="Blockquote"/>
    <w:basedOn w:val="1"/>
    <w:link w:val="123"/>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qFormat/>
    <w:uiPriority w:val="0"/>
    <w:rPr>
      <w:rFonts w:ascii="Times New Roman" w:hAnsi="Times New Roman" w:cs="Times New Roman"/>
      <w:sz w:val="24"/>
      <w:lang w:val="zh-CN" w:eastAsia="zh-CN"/>
    </w:rPr>
  </w:style>
  <w:style w:type="paragraph" w:customStyle="1" w:styleId="12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6"/>
    <w:qFormat/>
    <w:uiPriority w:val="0"/>
    <w:pPr>
      <w:spacing w:line="360" w:lineRule="auto"/>
      <w:ind w:firstLine="420" w:firstLineChars="200"/>
    </w:pPr>
    <w:rPr>
      <w:rFonts w:cs="Times New Roman"/>
      <w:szCs w:val="21"/>
    </w:rPr>
  </w:style>
  <w:style w:type="character" w:customStyle="1" w:styleId="126">
    <w:name w:val="tdrownotice1"/>
    <w:qFormat/>
    <w:uiPriority w:val="0"/>
    <w:rPr>
      <w:sz w:val="22"/>
    </w:rPr>
  </w:style>
  <w:style w:type="paragraph" w:customStyle="1" w:styleId="127">
    <w:name w:val="段落2"/>
    <w:basedOn w:val="1"/>
    <w:qFormat/>
    <w:uiPriority w:val="0"/>
    <w:pPr>
      <w:spacing w:line="360" w:lineRule="auto"/>
      <w:ind w:firstLine="480" w:firstLineChars="200"/>
    </w:pPr>
    <w:rPr>
      <w:rFonts w:ascii="Calibri" w:hAnsi="Calibri" w:cs="Courier New"/>
      <w:sz w:val="24"/>
      <w:szCs w:val="21"/>
    </w:rPr>
  </w:style>
  <w:style w:type="character" w:customStyle="1" w:styleId="128">
    <w:name w:val="正文文本缩进 3 Char"/>
    <w:link w:val="44"/>
    <w:qFormat/>
    <w:uiPriority w:val="0"/>
    <w:rPr>
      <w:sz w:val="16"/>
    </w:rPr>
  </w:style>
  <w:style w:type="character" w:customStyle="1" w:styleId="129">
    <w:name w:val="正文文本缩进 2 Char"/>
    <w:link w:val="30"/>
    <w:qFormat/>
    <w:uiPriority w:val="0"/>
  </w:style>
  <w:style w:type="paragraph" w:customStyle="1" w:styleId="130">
    <w:name w:val="目录"/>
    <w:basedOn w:val="1"/>
    <w:qFormat/>
    <w:uiPriority w:val="0"/>
    <w:pPr>
      <w:widowControl/>
      <w:jc w:val="center"/>
    </w:pPr>
    <w:rPr>
      <w:rFonts w:hAnsi="Calibri" w:cs="Times New Roman"/>
      <w:b/>
      <w:sz w:val="36"/>
    </w:rPr>
  </w:style>
  <w:style w:type="paragraph" w:customStyle="1" w:styleId="131">
    <w:name w:val="目录文字"/>
    <w:basedOn w:val="1"/>
    <w:qFormat/>
    <w:uiPriority w:val="0"/>
    <w:pPr>
      <w:widowControl/>
      <w:spacing w:line="480" w:lineRule="auto"/>
      <w:jc w:val="left"/>
    </w:pPr>
    <w:rPr>
      <w:rFonts w:cs="Times New Roman"/>
      <w:sz w:val="24"/>
    </w:rPr>
  </w:style>
  <w:style w:type="character" w:customStyle="1" w:styleId="132">
    <w:name w:val="正文文本 2 Char"/>
    <w:link w:val="47"/>
    <w:qFormat/>
    <w:uiPriority w:val="0"/>
  </w:style>
  <w:style w:type="character" w:customStyle="1" w:styleId="133">
    <w:name w:val="正文文本 3 Char"/>
    <w:link w:val="19"/>
    <w:qFormat/>
    <w:uiPriority w:val="0"/>
    <w:rPr>
      <w:sz w:val="16"/>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link w:val="51"/>
    <w:qFormat/>
    <w:uiPriority w:val="0"/>
    <w:rPr>
      <w:rFonts w:ascii="Arial" w:hAnsi="Arial"/>
      <w:b/>
      <w:sz w:val="32"/>
    </w:rPr>
  </w:style>
  <w:style w:type="paragraph" w:customStyle="1" w:styleId="137">
    <w:name w:val="段落1 Char"/>
    <w:basedOn w:val="27"/>
    <w:qFormat/>
    <w:uiPriority w:val="0"/>
    <w:pPr>
      <w:spacing w:line="360" w:lineRule="auto"/>
    </w:pPr>
    <w:rPr>
      <w:rFonts w:ascii="Times New Roman" w:hAnsi="Times New Roman" w:eastAsia="宋体" w:cs="Times New Roman"/>
      <w:sz w:val="24"/>
      <w:szCs w:val="21"/>
      <w:lang w:val="zh-CN"/>
    </w:rPr>
  </w:style>
  <w:style w:type="paragraph" w:customStyle="1" w:styleId="138">
    <w:name w:val="样式3"/>
    <w:basedOn w:val="1"/>
    <w:qFormat/>
    <w:uiPriority w:val="0"/>
    <w:pPr>
      <w:tabs>
        <w:tab w:val="left" w:pos="560"/>
        <w:tab w:val="left" w:pos="1120"/>
      </w:tabs>
      <w:spacing w:line="480" w:lineRule="atLeast"/>
    </w:pPr>
    <w:rPr>
      <w:rFonts w:ascii="Calibri" w:hAnsi="Calibri" w:eastAsia="创艺简黑体" w:cs="Times New Roman"/>
      <w:b/>
      <w:sz w:val="28"/>
    </w:rPr>
  </w:style>
  <w:style w:type="paragraph" w:customStyle="1" w:styleId="139">
    <w:name w:val="简单回函地址"/>
    <w:basedOn w:val="1"/>
    <w:qFormat/>
    <w:uiPriority w:val="0"/>
    <w:rPr>
      <w:rFonts w:ascii="Calibri" w:hAnsi="Calibri" w:cs="Times New Roman"/>
      <w:szCs w:val="22"/>
    </w:rPr>
  </w:style>
  <w:style w:type="paragraph" w:customStyle="1" w:styleId="140">
    <w:name w:val="Char Char Char Char"/>
    <w:basedOn w:val="1"/>
    <w:qFormat/>
    <w:uiPriority w:val="0"/>
    <w:pPr>
      <w:snapToGrid w:val="0"/>
      <w:spacing w:line="360" w:lineRule="auto"/>
      <w:ind w:firstLine="200" w:firstLineChars="200"/>
    </w:pPr>
    <w:rPr>
      <w:rFonts w:ascii="Calibri" w:hAnsi="Calibri" w:eastAsia="仿宋_GB2312" w:cs="Times New Roman"/>
      <w:sz w:val="24"/>
      <w:szCs w:val="22"/>
    </w:rPr>
  </w:style>
  <w:style w:type="paragraph" w:customStyle="1" w:styleId="141">
    <w:name w:val="Default Paragraph Char Char Char Char"/>
    <w:basedOn w:val="1"/>
    <w:next w:val="1"/>
    <w:qFormat/>
    <w:uiPriority w:val="0"/>
    <w:pPr>
      <w:widowControl/>
      <w:spacing w:line="360" w:lineRule="auto"/>
      <w:jc w:val="left"/>
    </w:pPr>
    <w:rPr>
      <w:rFonts w:ascii="Calibri" w:hAnsi="Calibri" w:cs="Times New Roman"/>
      <w:lang w:eastAsia="en-US"/>
    </w:rPr>
  </w:style>
  <w:style w:type="character" w:customStyle="1" w:styleId="142">
    <w:name w:val="t_tag"/>
    <w:basedOn w:val="57"/>
    <w:qFormat/>
    <w:uiPriority w:val="0"/>
  </w:style>
  <w:style w:type="table" w:customStyle="1" w:styleId="143">
    <w:name w:val="网格型11"/>
    <w:basedOn w:val="5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qFormat/>
    <w:uiPriority w:val="0"/>
    <w:rPr>
      <w:rFonts w:ascii="Times New Roman" w:hAnsi="Times New Roman" w:eastAsia="宋体" w:cs="Times New Roman"/>
      <w:sz w:val="18"/>
      <w:szCs w:val="18"/>
    </w:rPr>
  </w:style>
  <w:style w:type="character" w:customStyle="1" w:styleId="145">
    <w:name w:val="批注主题 Char1"/>
    <w:basedOn w:val="83"/>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qFormat/>
    <w:uiPriority w:val="0"/>
    <w:rPr>
      <w:rFonts w:ascii="Calibri" w:hAnsi="Calibri" w:cs="Times New Roman"/>
      <w:szCs w:val="22"/>
    </w:rPr>
  </w:style>
  <w:style w:type="character" w:customStyle="1" w:styleId="147">
    <w:name w:val="文档结构图 Char"/>
    <w:link w:val="16"/>
    <w:qFormat/>
    <w:uiPriority w:val="0"/>
  </w:style>
  <w:style w:type="character" w:customStyle="1" w:styleId="148">
    <w:name w:val="标题 1 Char1"/>
    <w:qFormat/>
    <w:uiPriority w:val="0"/>
    <w:rPr>
      <w:rFonts w:ascii="Calibri" w:hAnsi="Calibri" w:eastAsia="宋体"/>
      <w:b/>
      <w:kern w:val="44"/>
      <w:sz w:val="44"/>
      <w:szCs w:val="44"/>
    </w:rPr>
  </w:style>
  <w:style w:type="character" w:customStyle="1" w:styleId="149">
    <w:name w:val="标题 3 Char1"/>
    <w:semiHidden/>
    <w:qFormat/>
    <w:uiPriority w:val="0"/>
    <w:rPr>
      <w:rFonts w:ascii="Calibri" w:hAnsi="Calibri" w:eastAsia="宋体"/>
      <w:b/>
      <w:kern w:val="2"/>
      <w:sz w:val="32"/>
    </w:rPr>
  </w:style>
  <w:style w:type="character" w:customStyle="1" w:styleId="150">
    <w:name w:val="标题 4 Char1"/>
    <w:semiHidden/>
    <w:qFormat/>
    <w:uiPriority w:val="0"/>
    <w:rPr>
      <w:rFonts w:ascii="Cambria" w:hAnsi="Cambria" w:eastAsia="宋体"/>
      <w:b/>
      <w:kern w:val="2"/>
      <w:sz w:val="28"/>
      <w:szCs w:val="28"/>
    </w:rPr>
  </w:style>
  <w:style w:type="character" w:customStyle="1" w:styleId="151">
    <w:name w:val="标题 5 Char1"/>
    <w:semiHidden/>
    <w:qFormat/>
    <w:uiPriority w:val="0"/>
    <w:rPr>
      <w:rFonts w:ascii="Calibri" w:hAnsi="Calibri" w:eastAsia="宋体"/>
      <w:b/>
      <w:kern w:val="2"/>
      <w:sz w:val="28"/>
      <w:szCs w:val="28"/>
    </w:rPr>
  </w:style>
  <w:style w:type="character" w:customStyle="1" w:styleId="152">
    <w:name w:val="标题 6 Char1"/>
    <w:semiHidden/>
    <w:qFormat/>
    <w:uiPriority w:val="0"/>
    <w:rPr>
      <w:rFonts w:ascii="Cambria" w:hAnsi="Cambria" w:eastAsia="宋体"/>
      <w:b/>
      <w:kern w:val="2"/>
      <w:sz w:val="24"/>
      <w:szCs w:val="24"/>
    </w:rPr>
  </w:style>
  <w:style w:type="character" w:customStyle="1" w:styleId="153">
    <w:name w:val="标题 7 Char1"/>
    <w:semiHidden/>
    <w:qFormat/>
    <w:uiPriority w:val="0"/>
    <w:rPr>
      <w:rFonts w:ascii="Calibri" w:hAnsi="Calibri" w:eastAsia="宋体"/>
      <w:b/>
      <w:kern w:val="2"/>
      <w:sz w:val="24"/>
      <w:szCs w:val="24"/>
    </w:rPr>
  </w:style>
  <w:style w:type="character" w:customStyle="1" w:styleId="154">
    <w:name w:val="标题 8 Char1"/>
    <w:semiHidden/>
    <w:qFormat/>
    <w:uiPriority w:val="0"/>
    <w:rPr>
      <w:rFonts w:ascii="Cambria" w:hAnsi="Cambria" w:eastAsia="宋体"/>
      <w:kern w:val="2"/>
      <w:sz w:val="24"/>
      <w:szCs w:val="24"/>
    </w:rPr>
  </w:style>
  <w:style w:type="character" w:customStyle="1" w:styleId="155">
    <w:name w:val="标题 9 Char1"/>
    <w:semiHidden/>
    <w:qFormat/>
    <w:uiPriority w:val="0"/>
    <w:rPr>
      <w:rFonts w:ascii="Cambria" w:hAnsi="Cambria" w:eastAsia="宋体"/>
      <w:kern w:val="2"/>
      <w:sz w:val="21"/>
      <w:szCs w:val="21"/>
    </w:rPr>
  </w:style>
  <w:style w:type="paragraph" w:customStyle="1" w:styleId="156">
    <w:name w:val="MsoNormal"/>
    <w:basedOn w:val="157"/>
    <w:qFormat/>
    <w:uiPriority w:val="0"/>
    <w:rPr>
      <w:rFonts w:ascii="Calibri" w:hAnsi="Calibri" w:eastAsia="Calibri"/>
      <w:sz w:val="21"/>
    </w:rPr>
  </w:style>
  <w:style w:type="paragraph" w:customStyle="1" w:styleId="157">
    <w:name w:val="Normal_0"/>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qFormat/>
    <w:uiPriority w:val="99"/>
    <w:rPr>
      <w:rFonts w:ascii="宋体" w:hAnsi="Courier New"/>
      <w:szCs w:val="21"/>
    </w:rPr>
  </w:style>
  <w:style w:type="character" w:customStyle="1" w:styleId="163">
    <w:name w:val="Texte Char1"/>
    <w:link w:val="162"/>
    <w:qFormat/>
    <w:uiPriority w:val="99"/>
    <w:rPr>
      <w:rFonts w:hAnsi="Courier New" w:cs="Times New Roman"/>
      <w:kern w:val="2"/>
      <w:sz w:val="21"/>
      <w:szCs w:val="21"/>
    </w:rPr>
  </w:style>
  <w:style w:type="paragraph" w:customStyle="1" w:styleId="164">
    <w:name w:val="纯文本_1"/>
    <w:basedOn w:val="165"/>
    <w:link w:val="166"/>
    <w:qFormat/>
    <w:uiPriority w:val="0"/>
    <w:rPr>
      <w:rFonts w:ascii="宋体" w:hAnsi="Courier New"/>
      <w:szCs w:val="21"/>
      <w:lang w:val="zh-CN"/>
    </w:rPr>
  </w:style>
  <w:style w:type="paragraph" w:customStyle="1" w:styleId="16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qFormat/>
    <w:uiPriority w:val="0"/>
    <w:rPr>
      <w:rFonts w:hAnsi="Courier New" w:cs="Times New Roman"/>
      <w:kern w:val="2"/>
      <w:sz w:val="21"/>
      <w:szCs w:val="21"/>
      <w:lang w:val="zh-CN" w:eastAsia="zh-CN"/>
    </w:rPr>
  </w:style>
  <w:style w:type="paragraph" w:customStyle="1" w:styleId="167">
    <w:name w:val="标题 3_0"/>
    <w:basedOn w:val="168"/>
    <w:next w:val="169"/>
    <w:link w:val="180"/>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unhideWhenUsed/>
    <w:qFormat/>
    <w:uiPriority w:val="0"/>
    <w:pPr>
      <w:ind w:firstLine="420" w:firstLineChars="200"/>
    </w:pPr>
    <w:rPr>
      <w:rFonts w:ascii="Calibri" w:hAnsi="Calibri"/>
      <w:bCs/>
      <w:szCs w:val="32"/>
    </w:rPr>
  </w:style>
  <w:style w:type="paragraph" w:customStyle="1" w:styleId="170">
    <w:name w:val="标题 1_0"/>
    <w:basedOn w:val="168"/>
    <w:next w:val="168"/>
    <w:link w:val="171"/>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qFormat/>
    <w:uiPriority w:val="0"/>
    <w:rPr>
      <w:rFonts w:ascii="黑体" w:hAnsi="Times New Roman" w:eastAsia="黑体" w:cs="Times New Roman"/>
      <w:sz w:val="52"/>
      <w:lang w:val="zh-CN" w:eastAsia="zh-CN"/>
    </w:rPr>
  </w:style>
  <w:style w:type="paragraph" w:customStyle="1" w:styleId="172">
    <w:name w:val="标题 6_0"/>
    <w:basedOn w:val="168"/>
    <w:next w:val="168"/>
    <w:link w:val="17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qFormat/>
    <w:uiPriority w:val="0"/>
    <w:rPr>
      <w:rFonts w:ascii="Arial" w:hAnsi="Arial" w:eastAsia="黑体" w:cs="Times New Roman"/>
      <w:sz w:val="21"/>
      <w:szCs w:val="21"/>
      <w:lang w:val="zh-CN" w:eastAsia="zh-CN"/>
    </w:rPr>
  </w:style>
  <w:style w:type="character" w:customStyle="1" w:styleId="180">
    <w:name w:val="标题 3 Char_0"/>
    <w:link w:val="167"/>
    <w:qFormat/>
    <w:uiPriority w:val="0"/>
    <w:rPr>
      <w:rFonts w:ascii="Times New Roman" w:hAnsi="Times New Roman" w:cs="Times New Roman"/>
      <w:b/>
      <w:sz w:val="32"/>
      <w:lang w:val="zh-CN" w:eastAsia="zh-CN"/>
    </w:rPr>
  </w:style>
  <w:style w:type="paragraph" w:customStyle="1" w:styleId="181">
    <w:name w:val="Blockquote_0"/>
    <w:basedOn w:val="168"/>
    <w:link w:val="182"/>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qFormat/>
    <w:locked/>
    <w:uiPriority w:val="0"/>
    <w:rPr>
      <w:rFonts w:ascii="Times New Roman" w:hAnsi="Times New Roman" w:cs="Times New Roman"/>
      <w:sz w:val="24"/>
      <w:lang w:val="zh-CN" w:eastAsia="zh-CN"/>
    </w:rPr>
  </w:style>
  <w:style w:type="paragraph" w:customStyle="1" w:styleId="183">
    <w:name w:val="标题 4_0"/>
    <w:basedOn w:val="168"/>
    <w:next w:val="168"/>
    <w:link w:val="184"/>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qFormat/>
    <w:uiPriority w:val="0"/>
    <w:rPr>
      <w:rFonts w:ascii="Arial" w:hAnsi="Arial" w:eastAsia="黑体" w:cs="Times New Roman"/>
      <w:sz w:val="28"/>
      <w:lang w:val="zh-CN" w:eastAsia="zh-CN"/>
    </w:rPr>
  </w:style>
  <w:style w:type="paragraph" w:customStyle="1" w:styleId="185">
    <w:name w:val="纯文本_2"/>
    <w:basedOn w:val="168"/>
    <w:link w:val="186"/>
    <w:qFormat/>
    <w:uiPriority w:val="0"/>
    <w:rPr>
      <w:rFonts w:ascii="宋体" w:hAnsi="Courier New"/>
      <w:szCs w:val="21"/>
      <w:lang w:val="zh-CN"/>
    </w:rPr>
  </w:style>
  <w:style w:type="character" w:customStyle="1" w:styleId="186">
    <w:name w:val="纯文本 Char1_1"/>
    <w:link w:val="185"/>
    <w:qFormat/>
    <w:uiPriority w:val="0"/>
    <w:rPr>
      <w:rFonts w:hAnsi="Courier New" w:cs="Times New Roman"/>
      <w:kern w:val="2"/>
      <w:sz w:val="21"/>
      <w:szCs w:val="21"/>
      <w:lang w:val="zh-CN" w:eastAsia="zh-CN"/>
    </w:rPr>
  </w:style>
  <w:style w:type="paragraph" w:customStyle="1" w:styleId="187">
    <w:name w:val="Blockquote_0_1"/>
    <w:basedOn w:val="188"/>
    <w:link w:val="189"/>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qFormat/>
    <w:locked/>
    <w:uiPriority w:val="0"/>
    <w:rPr>
      <w:rFonts w:ascii="Times New Roman" w:hAnsi="Times New Roman" w:cs="Times New Roman"/>
      <w:sz w:val="24"/>
      <w:lang w:val="zh-CN" w:eastAsia="zh-CN"/>
    </w:rPr>
  </w:style>
  <w:style w:type="paragraph" w:customStyle="1" w:styleId="190">
    <w:name w:val="正文文本_0"/>
    <w:basedOn w:val="168"/>
    <w:link w:val="191"/>
    <w:qFormat/>
    <w:uiPriority w:val="0"/>
    <w:pPr>
      <w:spacing w:after="120"/>
    </w:pPr>
    <w:rPr>
      <w:lang w:val="zh-CN"/>
    </w:rPr>
  </w:style>
  <w:style w:type="character" w:customStyle="1" w:styleId="191">
    <w:name w:val="正文文本 Char_0"/>
    <w:link w:val="190"/>
    <w:qFormat/>
    <w:uiPriority w:val="0"/>
    <w:rPr>
      <w:rFonts w:ascii="Times New Roman" w:hAnsi="Times New Roman" w:cs="Times New Roman"/>
      <w:kern w:val="2"/>
      <w:sz w:val="21"/>
      <w:szCs w:val="24"/>
      <w:lang w:val="zh-CN" w:eastAsia="zh-CN"/>
    </w:rPr>
  </w:style>
  <w:style w:type="paragraph" w:customStyle="1" w:styleId="192">
    <w:name w:val="普通(网站)_0"/>
    <w:basedOn w:val="168"/>
    <w:qFormat/>
    <w:uiPriority w:val="0"/>
    <w:pPr>
      <w:widowControl/>
      <w:spacing w:before="100" w:beforeAutospacing="1" w:after="100" w:afterAutospacing="1"/>
      <w:jc w:val="left"/>
    </w:pPr>
    <w:rPr>
      <w:rFonts w:ascii="宋体" w:hAnsi="宋体"/>
      <w:kern w:val="0"/>
      <w:sz w:val="24"/>
    </w:rPr>
  </w:style>
  <w:style w:type="paragraph" w:customStyle="1" w:styleId="1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qFormat/>
    <w:uiPriority w:val="0"/>
    <w:rPr>
      <w:rFonts w:ascii="Times New Roman" w:hAnsi="Times New Roman" w:cs="Times New Roman"/>
      <w:sz w:val="18"/>
      <w:lang w:val="zh-CN" w:eastAsia="zh-CN"/>
    </w:rPr>
  </w:style>
  <w:style w:type="paragraph" w:customStyle="1" w:styleId="197">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rPr>
  </w:style>
  <w:style w:type="paragraph" w:customStyle="1" w:styleId="2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rPr>
  </w:style>
  <w:style w:type="paragraph" w:customStyle="1" w:styleId="20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rPr>
  </w:style>
  <w:style w:type="paragraph" w:customStyle="1" w:styleId="20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rPr>
  </w:style>
  <w:style w:type="paragraph" w:customStyle="1" w:styleId="2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rPr>
  </w:style>
  <w:style w:type="paragraph" w:customStyle="1" w:styleId="2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rPr>
  </w:style>
  <w:style w:type="paragraph" w:customStyle="1" w:styleId="2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rPr>
  </w:style>
  <w:style w:type="paragraph" w:customStyle="1" w:styleId="21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rPr>
  </w:style>
  <w:style w:type="paragraph" w:customStyle="1" w:styleId="214">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qFormat/>
    <w:uiPriority w:val="0"/>
    <w:pPr>
      <w:widowControl/>
      <w:spacing w:before="100" w:beforeAutospacing="1" w:after="100" w:afterAutospacing="1"/>
      <w:jc w:val="left"/>
      <w:textAlignment w:val="top"/>
    </w:pPr>
    <w:rPr>
      <w:rFonts w:cs="Times New Roman"/>
      <w:sz w:val="24"/>
    </w:rPr>
  </w:style>
  <w:style w:type="paragraph" w:customStyle="1" w:styleId="216">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qFormat/>
    <w:uiPriority w:val="0"/>
    <w:pPr>
      <w:widowControl/>
      <w:spacing w:before="100" w:beforeAutospacing="1" w:after="100" w:afterAutospacing="1"/>
      <w:jc w:val="left"/>
      <w:textAlignment w:val="top"/>
    </w:pPr>
    <w:rPr>
      <w:rFonts w:cs="Times New Roman"/>
      <w:sz w:val="24"/>
    </w:rPr>
  </w:style>
  <w:style w:type="paragraph" w:customStyle="1" w:styleId="218">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qFormat/>
    <w:uiPriority w:val="0"/>
    <w:rPr>
      <w:rFonts w:ascii="Tahoma" w:hAnsi="Tahoma" w:cs="Times New Roman"/>
      <w:sz w:val="24"/>
    </w:rPr>
  </w:style>
  <w:style w:type="paragraph" w:customStyle="1" w:styleId="220">
    <w:name w:val="范本目录"/>
    <w:basedOn w:val="1"/>
    <w:qFormat/>
    <w:uiPriority w:val="0"/>
    <w:pPr>
      <w:adjustRightInd w:val="0"/>
      <w:snapToGrid w:val="0"/>
      <w:spacing w:before="48" w:beforeLines="20" w:after="48" w:afterLines="20" w:line="540" w:lineRule="exact"/>
      <w:jc w:val="center"/>
    </w:pPr>
    <w:rPr>
      <w:rFonts w:ascii="Times New Roman" w:cs="Times New Roman"/>
      <w:b/>
      <w:bCs/>
      <w:sz w:val="36"/>
    </w:rPr>
  </w:style>
  <w:style w:type="character" w:customStyle="1" w:styleId="221">
    <w:name w:val="副标题 Char"/>
    <w:link w:val="40"/>
    <w:qFormat/>
    <w:uiPriority w:val="0"/>
    <w:rPr>
      <w:rFonts w:ascii="Arial" w:hAnsi="Arial"/>
      <w:b/>
      <w:kern w:val="28"/>
      <w:sz w:val="32"/>
    </w:rPr>
  </w:style>
  <w:style w:type="character" w:customStyle="1" w:styleId="222">
    <w:name w:val="Char Char"/>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qFormat/>
    <w:uiPriority w:val="0"/>
    <w:rPr>
      <w:rFonts w:ascii="Arial" w:hAnsi="Arial"/>
      <w:b/>
      <w:bCs/>
      <w:sz w:val="24"/>
      <w:szCs w:val="32"/>
    </w:rPr>
  </w:style>
  <w:style w:type="paragraph" w:customStyle="1" w:styleId="224">
    <w:name w:val="标题4"/>
    <w:basedOn w:val="4"/>
    <w:next w:val="24"/>
    <w:link w:val="223"/>
    <w:qFormat/>
    <w:uiPriority w:val="0"/>
    <w:pPr>
      <w:spacing w:before="0" w:after="0"/>
    </w:pPr>
    <w:rPr>
      <w:kern w:val="0"/>
      <w:sz w:val="24"/>
    </w:rPr>
  </w:style>
  <w:style w:type="character" w:customStyle="1" w:styleId="225">
    <w:name w:val="明显引用 Char"/>
    <w:link w:val="226"/>
    <w:qFormat/>
    <w:uiPriority w:val="0"/>
    <w:rPr>
      <w:b/>
      <w:bCs/>
      <w:i/>
      <w:iCs/>
      <w:color w:val="4F81BD"/>
    </w:rPr>
  </w:style>
  <w:style w:type="paragraph" w:styleId="226">
    <w:name w:val="Intense Quote"/>
    <w:basedOn w:val="1"/>
    <w:next w:val="1"/>
    <w:link w:val="225"/>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szCs w:val="22"/>
    </w:rPr>
  </w:style>
  <w:style w:type="character" w:customStyle="1" w:styleId="228">
    <w:name w:val="明显引用 Char1"/>
    <w:basedOn w:val="57"/>
    <w:qFormat/>
    <w:uiPriority w:val="30"/>
    <w:rPr>
      <w:rFonts w:ascii="Times New Roman" w:hAnsi="Times New Roman" w:eastAsia="宋体" w:cs="Times New Roman"/>
      <w:i/>
      <w:iCs/>
      <w:color w:val="5B9BD5"/>
      <w:szCs w:val="24"/>
    </w:rPr>
  </w:style>
  <w:style w:type="character" w:customStyle="1" w:styleId="229">
    <w:name w:val="标题5 Char Char"/>
    <w:link w:val="230"/>
    <w:qFormat/>
    <w:uiPriority w:val="0"/>
    <w:rPr>
      <w:rFonts w:ascii="Arial" w:hAnsi="Arial"/>
      <w:b/>
      <w:bCs/>
      <w:sz w:val="24"/>
      <w:szCs w:val="32"/>
    </w:rPr>
  </w:style>
  <w:style w:type="paragraph" w:customStyle="1" w:styleId="230">
    <w:name w:val="标题5"/>
    <w:basedOn w:val="5"/>
    <w:link w:val="229"/>
    <w:qFormat/>
    <w:uiPriority w:val="0"/>
    <w:pPr>
      <w:jc w:val="left"/>
    </w:pPr>
    <w:rPr>
      <w:rFonts w:ascii="Arial" w:hAnsi="Arial"/>
      <w:sz w:val="24"/>
    </w:rPr>
  </w:style>
  <w:style w:type="character" w:customStyle="1" w:styleId="231">
    <w:name w:val="引用 Char"/>
    <w:link w:val="232"/>
    <w:qFormat/>
    <w:uiPriority w:val="0"/>
    <w:rPr>
      <w:i/>
      <w:iCs/>
      <w:color w:val="000000"/>
    </w:rPr>
  </w:style>
  <w:style w:type="paragraph" w:styleId="232">
    <w:name w:val="Quote"/>
    <w:basedOn w:val="1"/>
    <w:next w:val="1"/>
    <w:link w:val="231"/>
    <w:qFormat/>
    <w:uiPriority w:val="0"/>
    <w:rPr>
      <w:i/>
      <w:iCs/>
      <w:color w:val="000000"/>
    </w:rPr>
  </w:style>
  <w:style w:type="paragraph" w:customStyle="1" w:styleId="233">
    <w:name w:val="引用1"/>
    <w:basedOn w:val="1"/>
    <w:next w:val="1"/>
    <w:qFormat/>
    <w:uiPriority w:val="0"/>
    <w:rPr>
      <w:rFonts w:ascii="Calibri" w:hAnsi="Calibri" w:cs="Times New Roman"/>
      <w:i/>
      <w:iCs/>
      <w:color w:val="000000"/>
      <w:szCs w:val="22"/>
    </w:rPr>
  </w:style>
  <w:style w:type="character" w:customStyle="1" w:styleId="234">
    <w:name w:val="引用 Char1"/>
    <w:basedOn w:val="57"/>
    <w:qFormat/>
    <w:uiPriority w:val="29"/>
    <w:rPr>
      <w:rFonts w:ascii="Times New Roman" w:hAnsi="Times New Roman" w:eastAsia="宋体" w:cs="Times New Roman"/>
      <w:i/>
      <w:iCs/>
      <w:color w:val="404040"/>
      <w:szCs w:val="24"/>
    </w:rPr>
  </w:style>
  <w:style w:type="character" w:customStyle="1" w:styleId="235">
    <w:name w:val="ask-title2"/>
    <w:qFormat/>
    <w:uiPriority w:val="0"/>
  </w:style>
  <w:style w:type="character" w:customStyle="1" w:styleId="236">
    <w:name w:val="正文文本 Char1"/>
    <w:qFormat/>
    <w:uiPriority w:val="0"/>
    <w:rPr>
      <w:kern w:val="2"/>
      <w:sz w:val="21"/>
      <w:szCs w:val="22"/>
    </w:rPr>
  </w:style>
  <w:style w:type="character" w:customStyle="1" w:styleId="237">
    <w:name w:val="不明显强调1"/>
    <w:qFormat/>
    <w:uiPriority w:val="0"/>
    <w:rPr>
      <w:i/>
      <w:iCs/>
      <w:color w:val="808080"/>
    </w:rPr>
  </w:style>
  <w:style w:type="character" w:customStyle="1" w:styleId="238">
    <w:name w:val="明显参考1"/>
    <w:qFormat/>
    <w:uiPriority w:val="0"/>
    <w:rPr>
      <w:b/>
      <w:bCs/>
      <w:smallCaps/>
      <w:color w:val="C0504D"/>
      <w:spacing w:val="5"/>
      <w:u w:val="single"/>
    </w:rPr>
  </w:style>
  <w:style w:type="character" w:customStyle="1" w:styleId="239">
    <w:name w:val="书籍标题1"/>
    <w:qFormat/>
    <w:uiPriority w:val="0"/>
    <w:rPr>
      <w:b/>
      <w:bCs/>
      <w:smallCaps/>
      <w:spacing w:val="5"/>
    </w:rPr>
  </w:style>
  <w:style w:type="character" w:customStyle="1" w:styleId="240">
    <w:name w:val="日期 Char1"/>
    <w:qFormat/>
    <w:uiPriority w:val="0"/>
    <w:rPr>
      <w:kern w:val="2"/>
      <w:sz w:val="21"/>
      <w:szCs w:val="22"/>
    </w:rPr>
  </w:style>
  <w:style w:type="character" w:customStyle="1" w:styleId="241">
    <w:name w:val="明显强调1"/>
    <w:qFormat/>
    <w:uiPriority w:val="0"/>
    <w:rPr>
      <w:b/>
      <w:bCs/>
      <w:i/>
      <w:iCs/>
      <w:color w:val="4F81BD"/>
    </w:rPr>
  </w:style>
  <w:style w:type="character" w:customStyle="1" w:styleId="242">
    <w:name w:val="textcontents"/>
    <w:qFormat/>
    <w:uiPriority w:val="0"/>
    <w:rPr>
      <w:rFonts w:cs="Times New Roman"/>
    </w:rPr>
  </w:style>
  <w:style w:type="character" w:customStyle="1" w:styleId="243">
    <w:name w:val="不明显参考1"/>
    <w:qFormat/>
    <w:uiPriority w:val="0"/>
    <w:rPr>
      <w:smallCaps/>
      <w:color w:val="C0504D"/>
      <w:u w:val="single"/>
    </w:rPr>
  </w:style>
  <w:style w:type="character" w:customStyle="1" w:styleId="244">
    <w:name w:val="批注文字 Char Char"/>
    <w:qFormat/>
    <w:uiPriority w:val="0"/>
    <w:rPr>
      <w:rFonts w:ascii="宋体" w:hAnsi="Times New Roman" w:eastAsia="宋体" w:cs="Times New Roman"/>
      <w:sz w:val="28"/>
      <w:szCs w:val="20"/>
    </w:rPr>
  </w:style>
  <w:style w:type="character" w:customStyle="1" w:styleId="245">
    <w:name w:val="文档结构图 Char1"/>
    <w:qFormat/>
    <w:uiPriority w:val="0"/>
    <w:rPr>
      <w:rFonts w:ascii="宋体"/>
      <w:kern w:val="2"/>
      <w:sz w:val="18"/>
      <w:szCs w:val="18"/>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character" w:customStyle="1" w:styleId="247">
    <w:name w:val="页脚 Char1"/>
    <w:semiHidden/>
    <w:qFormat/>
    <w:uiPriority w:val="99"/>
    <w:rPr>
      <w:kern w:val="2"/>
      <w:sz w:val="18"/>
      <w:szCs w:val="18"/>
    </w:rPr>
  </w:style>
  <w:style w:type="character" w:customStyle="1" w:styleId="248">
    <w:name w:val="批注框文本 Char2"/>
    <w:semiHidden/>
    <w:qFormat/>
    <w:uiPriority w:val="99"/>
    <w:rPr>
      <w:kern w:val="2"/>
      <w:sz w:val="18"/>
      <w:szCs w:val="18"/>
    </w:rPr>
  </w:style>
  <w:style w:type="character" w:customStyle="1" w:styleId="249">
    <w:name w:val="批注主题 Char2"/>
    <w:semiHidden/>
    <w:qFormat/>
    <w:uiPriority w:val="99"/>
    <w:rPr>
      <w:b/>
      <w:bCs/>
      <w:kern w:val="2"/>
      <w:sz w:val="21"/>
      <w:szCs w:val="22"/>
    </w:rPr>
  </w:style>
  <w:style w:type="character" w:customStyle="1" w:styleId="250">
    <w:name w:val="文档结构图 Char2"/>
    <w:semiHidden/>
    <w:qFormat/>
    <w:uiPriority w:val="99"/>
    <w:rPr>
      <w:rFonts w:ascii="宋体"/>
      <w:kern w:val="2"/>
      <w:sz w:val="18"/>
      <w:szCs w:val="18"/>
    </w:rPr>
  </w:style>
  <w:style w:type="character" w:customStyle="1" w:styleId="251">
    <w:name w:val="页眉 Char1"/>
    <w:semiHidden/>
    <w:qFormat/>
    <w:uiPriority w:val="99"/>
    <w:rPr>
      <w:kern w:val="2"/>
      <w:sz w:val="18"/>
      <w:szCs w:val="18"/>
    </w:rPr>
  </w:style>
  <w:style w:type="character" w:customStyle="1" w:styleId="252">
    <w:name w:val="日期 Char2"/>
    <w:semiHidden/>
    <w:qFormat/>
    <w:uiPriority w:val="99"/>
    <w:rPr>
      <w:kern w:val="2"/>
      <w:sz w:val="21"/>
      <w:szCs w:val="22"/>
    </w:rPr>
  </w:style>
  <w:style w:type="character" w:customStyle="1" w:styleId="253">
    <w:name w:val="正文文本 Char2"/>
    <w:semiHidden/>
    <w:qFormat/>
    <w:uiPriority w:val="99"/>
    <w:rPr>
      <w:kern w:val="2"/>
      <w:sz w:val="21"/>
      <w:szCs w:val="22"/>
    </w:rPr>
  </w:style>
  <w:style w:type="character" w:customStyle="1" w:styleId="254">
    <w:name w:val="标题 Char1"/>
    <w:qFormat/>
    <w:uiPriority w:val="10"/>
    <w:rPr>
      <w:rFonts w:ascii="Cambria" w:hAnsi="Cambria" w:cs="Times New Roman"/>
      <w:b/>
      <w:bCs/>
      <w:kern w:val="2"/>
      <w:sz w:val="32"/>
      <w:szCs w:val="32"/>
    </w:rPr>
  </w:style>
  <w:style w:type="character" w:customStyle="1" w:styleId="255">
    <w:name w:val="副标题 Char1"/>
    <w:qFormat/>
    <w:uiPriority w:val="11"/>
    <w:rPr>
      <w:rFonts w:ascii="Cambria" w:hAnsi="Cambria" w:cs="Times New Roman"/>
      <w:b/>
      <w:bCs/>
      <w:kern w:val="28"/>
      <w:sz w:val="32"/>
      <w:szCs w:val="32"/>
    </w:rPr>
  </w:style>
  <w:style w:type="paragraph" w:customStyle="1" w:styleId="256">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qFormat/>
    <w:uiPriority w:val="0"/>
    <w:rPr>
      <w:rFonts w:ascii="楷体" w:eastAsia="楷体"/>
      <w:b/>
      <w:color w:val="0000FF"/>
    </w:rPr>
  </w:style>
  <w:style w:type="paragraph" w:customStyle="1" w:styleId="260">
    <w:name w:val="正文2"/>
    <w:link w:val="259"/>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qFormat/>
    <w:uiPriority w:val="0"/>
    <w:pPr>
      <w:widowControl/>
      <w:spacing w:before="100" w:beforeAutospacing="1" w:after="100" w:afterAutospacing="1"/>
      <w:jc w:val="left"/>
    </w:pPr>
    <w:rPr>
      <w:rFonts w:cs="宋体"/>
      <w:sz w:val="24"/>
    </w:rPr>
  </w:style>
  <w:style w:type="character" w:customStyle="1" w:styleId="262">
    <w:name w:val="正文文本 (2)_"/>
    <w:link w:val="263"/>
    <w:qFormat/>
    <w:locked/>
    <w:uiPriority w:val="99"/>
    <w:rPr>
      <w:rFonts w:ascii="MingLiU" w:eastAsia="MingLiU" w:cs="MingLiU"/>
      <w:spacing w:val="20"/>
      <w:sz w:val="22"/>
      <w:shd w:val="clear" w:color="auto" w:fill="FFFFFF"/>
    </w:rPr>
  </w:style>
  <w:style w:type="paragraph" w:customStyle="1" w:styleId="263">
    <w:name w:val="正文文本 (2)1"/>
    <w:basedOn w:val="1"/>
    <w:link w:val="262"/>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qFormat/>
    <w:uiPriority w:val="99"/>
    <w:rPr>
      <w:rFonts w:ascii="MingLiU" w:eastAsia="MingLiU" w:cs="MingLiU"/>
      <w:spacing w:val="0"/>
      <w:sz w:val="22"/>
      <w:shd w:val="clear" w:color="auto" w:fill="FFFFFF"/>
    </w:rPr>
  </w:style>
  <w:style w:type="character" w:customStyle="1" w:styleId="265">
    <w:name w:val="访问过的超链接1"/>
    <w:basedOn w:val="57"/>
    <w:semiHidden/>
    <w:unhideWhenUsed/>
    <w:qFormat/>
    <w:uiPriority w:val="99"/>
    <w:rPr>
      <w:color w:val="954F72"/>
      <w:u w:val="single"/>
    </w:rPr>
  </w:style>
  <w:style w:type="character" w:customStyle="1" w:styleId="266">
    <w:name w:val="明显引用 Char2"/>
    <w:basedOn w:val="57"/>
    <w:qFormat/>
    <w:uiPriority w:val="30"/>
    <w:rPr>
      <w:b/>
      <w:bCs/>
      <w:i/>
      <w:iCs/>
      <w:color w:val="4F81BD" w:themeColor="accent1"/>
      <w14:textFill>
        <w14:solidFill>
          <w14:schemeClr w14:val="accent1"/>
        </w14:solidFill>
      </w14:textFill>
    </w:rPr>
  </w:style>
  <w:style w:type="character" w:customStyle="1" w:styleId="267">
    <w:name w:val="引用 Char2"/>
    <w:basedOn w:val="57"/>
    <w:qFormat/>
    <w:uiPriority w:val="29"/>
    <w:rPr>
      <w:i/>
      <w:iCs/>
      <w:color w:val="000000" w:themeColor="text1"/>
      <w14:textFill>
        <w14:solidFill>
          <w14:schemeClr w14:val="tx1"/>
        </w14:solidFill>
      </w14:textFill>
    </w:rPr>
  </w:style>
  <w:style w:type="table" w:customStyle="1" w:styleId="268">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semiHidden/>
    <w:unhideWhenUsed/>
    <w:qFormat/>
    <w:uiPriority w:val="0"/>
    <w:tblPr>
      <w:tblCellMar>
        <w:top w:w="0" w:type="dxa"/>
        <w:left w:w="0" w:type="dxa"/>
        <w:bottom w:w="0" w:type="dxa"/>
        <w:right w:w="0" w:type="dxa"/>
      </w:tblCellMar>
    </w:tblPr>
  </w:style>
  <w:style w:type="paragraph" w:customStyle="1" w:styleId="270">
    <w:name w:val="Table Text"/>
    <w:basedOn w:val="1"/>
    <w:semiHidden/>
    <w:qFormat/>
    <w:uiPriority w:val="0"/>
    <w:rPr>
      <w:rFonts w:ascii="Arial" w:hAnsi="Arial" w:eastAsia="Arial" w:cs="Arial"/>
      <w:szCs w:val="21"/>
      <w:lang w:eastAsia="en-US"/>
    </w:rPr>
  </w:style>
  <w:style w:type="paragraph" w:customStyle="1" w:styleId="271">
    <w:name w:val="正文 New"/>
    <w:next w:val="2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正文缩进1"/>
    <w:basedOn w:val="1"/>
    <w:next w:val="16"/>
    <w:qFormat/>
    <w:uiPriority w:val="0"/>
    <w:pPr>
      <w:spacing w:line="360" w:lineRule="atLeast"/>
      <w:ind w:firstLine="482"/>
    </w:pPr>
    <w:rPr>
      <w:rFonts w:ascii="Times New Roman" w:eastAsia="宋体"/>
      <w:sz w:val="24"/>
    </w:rPr>
  </w:style>
  <w:style w:type="paragraph" w:customStyle="1" w:styleId="273">
    <w:name w:val="正文文本 (2)"/>
    <w:qFormat/>
    <w:uiPriority w:val="0"/>
    <w:pPr>
      <w:widowControl w:val="0"/>
    </w:pPr>
    <w:rPr>
      <w:rFonts w:ascii="宋体" w:hAnsi="宋体" w:eastAsia="宋体" w:cs="宋体"/>
      <w:b/>
      <w:bCs/>
      <w:color w:val="000000"/>
      <w:sz w:val="32"/>
      <w:szCs w:val="32"/>
      <w:lang w:val="en-US" w:eastAsia="en-US" w:bidi="en-US"/>
    </w:rPr>
  </w:style>
  <w:style w:type="paragraph" w:customStyle="1" w:styleId="274">
    <w:name w:val="正文文本6"/>
    <w:basedOn w:val="1"/>
    <w:qFormat/>
    <w:uiPriority w:val="0"/>
    <w:pPr>
      <w:shd w:val="clear" w:color="auto" w:fill="FFFFFF"/>
      <w:spacing w:before="480" w:after="100" w:afterAutospacing="1" w:line="470" w:lineRule="exact"/>
      <w:ind w:left="1200" w:hanging="1200"/>
      <w:jc w:val="distribute"/>
    </w:pPr>
    <w:rPr>
      <w:rFonts w:ascii="MingLiUfalt" w:hAnsi="MingLiUfalt"/>
      <w:kern w:val="0"/>
      <w:sz w:val="20"/>
    </w:rPr>
  </w:style>
  <w:style w:type="character" w:customStyle="1" w:styleId="275">
    <w:name w:val="15"/>
    <w:qFormat/>
    <w:uiPriority w:val="0"/>
    <w:rPr>
      <w:rFonts w:hint="default" w:ascii="Times New Roman" w:hAnsi="Times New Roman" w:cs="Times New Roman"/>
    </w:rPr>
  </w:style>
  <w:style w:type="paragraph" w:customStyle="1" w:styleId="276">
    <w:name w:val="正文文本1"/>
    <w:basedOn w:val="1"/>
    <w:qFormat/>
    <w:uiPriority w:val="0"/>
    <w:pPr>
      <w:spacing w:line="439" w:lineRule="auto"/>
      <w:ind w:firstLine="400"/>
    </w:pPr>
    <w:rPr>
      <w:rFonts w:ascii="宋体" w:hAnsi="宋体" w:eastAsia="宋体" w:cs="宋体"/>
      <w:sz w:val="22"/>
      <w:szCs w:val="22"/>
    </w:rPr>
  </w:style>
  <w:style w:type="paragraph" w:customStyle="1" w:styleId="277">
    <w:name w:val="Table Paragraph"/>
    <w:basedOn w:val="1"/>
    <w:unhideWhenUsed/>
    <w:qFormat/>
    <w:uiPriority w:val="1"/>
    <w:rPr>
      <w:rFonts w:hint="eastAsia" w:ascii="宋体" w:hAnsi="宋体" w:eastAsia="宋体"/>
      <w:sz w:val="24"/>
    </w:rPr>
  </w:style>
  <w:style w:type="paragraph" w:customStyle="1" w:styleId="27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79">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2B0FC-0E46-4306-B1F0-0F7F32A54524}">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117</Pages>
  <Words>2548</Words>
  <Characters>3321</Characters>
  <Lines>487</Lines>
  <Paragraphs>137</Paragraphs>
  <TotalTime>68</TotalTime>
  <ScaleCrop>false</ScaleCrop>
  <LinksUpToDate>false</LinksUpToDate>
  <CharactersWithSpaces>3404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帅帅帅松</cp:lastModifiedBy>
  <cp:lastPrinted>2019-12-07T15:20:00Z</cp:lastPrinted>
  <dcterms:modified xsi:type="dcterms:W3CDTF">2025-05-16T05:33:36Z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9454F693F67F4CEB800888B993D481CE_13</vt:lpwstr>
  </property>
  <property fmtid="{D5CDD505-2E9C-101B-9397-08002B2CF9AE}" pid="4" name="KSOTemplateDocerSaveRecord">
    <vt:lpwstr>eyJoZGlkIjoiYjM0MzU4YjUxNTU4MDJiNTFjNjQ0NDQ2YmVkZjE0MDgiLCJ1c2VySWQiOiI2NDg3MzUyMDcifQ==</vt:lpwstr>
  </property>
</Properties>
</file>