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792C">
      <w:pPr>
        <w:keepNext/>
        <w:keepLines/>
        <w:widowControl w:val="0"/>
        <w:wordWrap w:val="0"/>
        <w:spacing w:line="360" w:lineRule="auto"/>
        <w:jc w:val="center"/>
        <w:outlineLvl w:val="0"/>
        <w:rPr>
          <w:rFonts w:hint="eastAsia" w:ascii="方正小标宋_GBK" w:hAnsi="方正小标宋_GBK" w:eastAsia="华文中宋" w:cs="方正小标宋_GBK"/>
          <w:bCs/>
          <w:color w:val="auto"/>
          <w:kern w:val="44"/>
          <w:sz w:val="44"/>
          <w:szCs w:val="44"/>
          <w:highlight w:val="none"/>
          <w:lang w:val="en-US" w:eastAsia="zh-CN" w:bidi="ar-SA"/>
        </w:rPr>
      </w:pPr>
      <w:r>
        <w:rPr>
          <w:rFonts w:hint="eastAsia" w:ascii="方正小标宋_GBK" w:hAnsi="方正小标宋_GBK" w:eastAsia="华文中宋" w:cs="方正小标宋_GBK"/>
          <w:bCs/>
          <w:color w:val="auto"/>
          <w:kern w:val="44"/>
          <w:sz w:val="44"/>
          <w:szCs w:val="44"/>
          <w:highlight w:val="none"/>
          <w:lang w:val="en-US" w:eastAsia="zh-CN" w:bidi="ar-SA"/>
        </w:rPr>
        <w:t>采购需求</w:t>
      </w:r>
    </w:p>
    <w:p w14:paraId="4BB869B0">
      <w:pPr>
        <w:wordWrap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前注：</w:t>
      </w:r>
    </w:p>
    <w:p w14:paraId="3015EE91">
      <w:pPr>
        <w:wordWrap w:val="0"/>
        <w:spacing w:line="360" w:lineRule="auto"/>
        <w:ind w:firstLine="480" w:firstLineChars="200"/>
        <w:rPr>
          <w:rFonts w:hint="eastAsia" w:ascii="宋体" w:hAnsi="宋体" w:eastAsia="宋体" w:cs="宋体"/>
          <w:color w:val="auto"/>
          <w:sz w:val="24"/>
          <w:szCs w:val="18"/>
          <w:highlight w:val="none"/>
        </w:rPr>
      </w:pPr>
      <w:bookmarkStart w:id="0" w:name="_Hlk16461016"/>
      <w:r>
        <w:rPr>
          <w:rFonts w:hint="eastAsia" w:ascii="宋体" w:hAnsi="宋体" w:eastAsia="宋体" w:cs="宋体"/>
          <w:color w:val="auto"/>
          <w:sz w:val="24"/>
          <w:highlight w:val="none"/>
        </w:rPr>
        <w:t>1.</w:t>
      </w:r>
      <w:r>
        <w:rPr>
          <w:rFonts w:hint="eastAsia" w:ascii="宋体" w:hAnsi="宋体" w:eastAsia="宋体" w:cs="宋体"/>
          <w:color w:val="auto"/>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0449ACF4">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2.下列采购需求中：</w:t>
      </w:r>
    </w:p>
    <w:p w14:paraId="0B2AC329">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6301DA2">
      <w:pPr>
        <w:wordWrap w:val="0"/>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494D08A">
      <w:pPr>
        <w:wordWrap w:val="0"/>
        <w:spacing w:line="360" w:lineRule="auto"/>
        <w:ind w:firstLine="480" w:firstLineChars="200"/>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3.下列采购需求中：标注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18"/>
          <w:highlight w:val="none"/>
        </w:rPr>
        <w:t>的产品（核心产品），投标人在投标文件《主要中标标的承诺函》中填写名称、品牌、规格、型号、数量、单价等信息。</w:t>
      </w:r>
    </w:p>
    <w:p w14:paraId="536CD541">
      <w:pPr>
        <w:keepNext/>
        <w:keepLines/>
        <w:widowControl w:val="0"/>
        <w:wordWrap w:val="0"/>
        <w:spacing w:before="240" w:line="360" w:lineRule="auto"/>
        <w:ind w:firstLine="0" w:firstLineChars="0"/>
        <w:jc w:val="left"/>
        <w:outlineLvl w:val="1"/>
        <w:rPr>
          <w:rFonts w:ascii="Arial" w:hAnsi="Arial" w:eastAsia="黑体" w:cs="Times New Roman"/>
          <w:bCs/>
          <w:color w:val="auto"/>
          <w:kern w:val="0"/>
          <w:sz w:val="28"/>
          <w:szCs w:val="32"/>
          <w:highlight w:val="none"/>
          <w:lang w:val="en-US" w:eastAsia="zh-CN" w:bidi="ar-SA"/>
        </w:rPr>
      </w:pPr>
      <w:bookmarkStart w:id="1" w:name="_Toc1452677390"/>
      <w:bookmarkStart w:id="2" w:name="_Toc2025078090"/>
      <w:bookmarkStart w:id="3" w:name="_Toc382548620"/>
      <w:bookmarkStart w:id="4" w:name="_Toc1437377518_WPSOffice_Level2"/>
      <w:bookmarkStart w:id="5" w:name="_Toc337877615"/>
      <w:bookmarkStart w:id="6" w:name="_Toc1064185329"/>
      <w:bookmarkStart w:id="7" w:name="_Toc292361325"/>
      <w:bookmarkStart w:id="8" w:name="_Toc1899401549"/>
      <w:r>
        <w:rPr>
          <w:rFonts w:hint="eastAsia" w:ascii="Arial" w:hAnsi="Arial" w:eastAsia="黑体" w:cs="Times New Roman"/>
          <w:bCs/>
          <w:color w:val="auto"/>
          <w:kern w:val="0"/>
          <w:sz w:val="28"/>
          <w:szCs w:val="32"/>
          <w:highlight w:val="none"/>
          <w:lang w:val="en-US" w:eastAsia="zh-CN" w:bidi="ar-SA"/>
        </w:rPr>
        <w:t>一、采购需求前附表</w:t>
      </w:r>
      <w:bookmarkEnd w:id="1"/>
      <w:bookmarkEnd w:id="2"/>
      <w:bookmarkEnd w:id="3"/>
      <w:bookmarkEnd w:id="4"/>
      <w:bookmarkEnd w:id="5"/>
      <w:bookmarkEnd w:id="6"/>
      <w:bookmarkEnd w:id="7"/>
      <w:bookmarkEnd w:id="8"/>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3D93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2A7123E">
            <w:pPr>
              <w:widowControl w:val="0"/>
              <w:pBdr>
                <w:bottom w:val="none" w:color="auto" w:sz="0" w:space="0"/>
              </w:pBdr>
              <w:wordWrap w:val="0"/>
              <w:adjustRightInd/>
              <w:snapToGrid/>
              <w:spacing w:line="240" w:lineRule="auto"/>
              <w:jc w:val="center"/>
              <w:textAlignment w:val="auto"/>
              <w:rPr>
                <w:rFonts w:hint="eastAsia" w:ascii="宋体" w:hAnsi="宋体" w:eastAsia="宋体" w:cs="宋体"/>
                <w:b/>
                <w:color w:val="auto"/>
                <w:kern w:val="2"/>
                <w:sz w:val="24"/>
                <w:szCs w:val="20"/>
                <w:highlight w:val="none"/>
                <w:lang w:val="en-US" w:eastAsia="zh-CN" w:bidi="ar-SA"/>
              </w:rPr>
            </w:pPr>
            <w:r>
              <w:rPr>
                <w:rFonts w:hint="eastAsia" w:ascii="宋体" w:hAnsi="宋体" w:eastAsia="宋体" w:cs="宋体"/>
                <w:b/>
                <w:color w:val="auto"/>
                <w:kern w:val="2"/>
                <w:sz w:val="24"/>
                <w:szCs w:val="20"/>
                <w:highlight w:val="none"/>
                <w:lang w:val="en-US" w:eastAsia="zh-CN" w:bidi="ar-SA"/>
              </w:rPr>
              <w:t>序号</w:t>
            </w:r>
          </w:p>
        </w:tc>
        <w:tc>
          <w:tcPr>
            <w:tcW w:w="2054" w:type="dxa"/>
            <w:vAlign w:val="center"/>
          </w:tcPr>
          <w:p w14:paraId="0682E692">
            <w:pPr>
              <w:widowControl w:val="0"/>
              <w:wordWrap w:val="0"/>
              <w:spacing w:before="0" w:beforeAutospacing="0" w:after="0" w:afterAutospacing="0" w:line="360" w:lineRule="auto"/>
              <w:jc w:val="center"/>
              <w:rPr>
                <w:rFonts w:hint="eastAsia" w:ascii="宋体" w:hAnsi="宋体" w:eastAsia="宋体" w:cs="宋体"/>
                <w:b/>
                <w:bCs w:val="0"/>
                <w:color w:val="auto"/>
                <w:kern w:val="0"/>
                <w:sz w:val="24"/>
                <w:szCs w:val="28"/>
                <w:highlight w:val="none"/>
                <w:lang w:val="en-US" w:eastAsia="zh-CN" w:bidi="ar-SA"/>
              </w:rPr>
            </w:pPr>
            <w:r>
              <w:rPr>
                <w:rFonts w:hint="eastAsia" w:ascii="宋体" w:hAnsi="宋体" w:eastAsia="宋体" w:cs="宋体"/>
                <w:b/>
                <w:bCs w:val="0"/>
                <w:color w:val="auto"/>
                <w:kern w:val="0"/>
                <w:sz w:val="24"/>
                <w:szCs w:val="28"/>
                <w:highlight w:val="none"/>
                <w:lang w:val="en-US" w:eastAsia="zh-CN" w:bidi="ar-SA"/>
              </w:rPr>
              <w:t>条款名称</w:t>
            </w:r>
          </w:p>
        </w:tc>
        <w:tc>
          <w:tcPr>
            <w:tcW w:w="5544" w:type="dxa"/>
            <w:vAlign w:val="center"/>
          </w:tcPr>
          <w:p w14:paraId="4E002124">
            <w:pPr>
              <w:widowControl w:val="0"/>
              <w:wordWrap w:val="0"/>
              <w:spacing w:before="0" w:beforeAutospacing="0" w:after="0" w:afterAutospacing="0" w:line="360" w:lineRule="auto"/>
              <w:jc w:val="center"/>
              <w:rPr>
                <w:rFonts w:hint="eastAsia" w:ascii="宋体" w:hAnsi="宋体" w:eastAsia="宋体" w:cs="宋体"/>
                <w:b/>
                <w:bCs w:val="0"/>
                <w:color w:val="auto"/>
                <w:kern w:val="0"/>
                <w:sz w:val="24"/>
                <w:szCs w:val="28"/>
                <w:highlight w:val="none"/>
                <w:lang w:val="en-US" w:eastAsia="zh-CN" w:bidi="ar-SA"/>
              </w:rPr>
            </w:pPr>
            <w:r>
              <w:rPr>
                <w:rFonts w:hint="eastAsia" w:ascii="宋体" w:hAnsi="宋体" w:eastAsia="宋体" w:cs="宋体"/>
                <w:b/>
                <w:bCs w:val="0"/>
                <w:color w:val="auto"/>
                <w:kern w:val="0"/>
                <w:sz w:val="24"/>
                <w:szCs w:val="28"/>
                <w:highlight w:val="none"/>
                <w:lang w:val="en-US" w:eastAsia="zh-CN" w:bidi="ar-SA"/>
              </w:rPr>
              <w:t>内容、说明与要求</w:t>
            </w:r>
          </w:p>
        </w:tc>
      </w:tr>
      <w:tr w14:paraId="3663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2B6881A">
            <w:pPr>
              <w:widowControl w:val="0"/>
              <w:pBdr>
                <w:bottom w:val="none" w:color="auto" w:sz="0" w:space="0"/>
              </w:pBdr>
              <w:wordWrap w:val="0"/>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1</w:t>
            </w:r>
          </w:p>
        </w:tc>
        <w:tc>
          <w:tcPr>
            <w:tcW w:w="2054" w:type="dxa"/>
            <w:vAlign w:val="center"/>
          </w:tcPr>
          <w:p w14:paraId="581FC164">
            <w:pPr>
              <w:widowControl w:val="0"/>
              <w:wordWrap w:val="0"/>
              <w:spacing w:before="0" w:beforeAutospacing="0" w:after="0" w:afterAutospacing="0" w:line="360" w:lineRule="auto"/>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付款方式</w:t>
            </w:r>
          </w:p>
        </w:tc>
        <w:tc>
          <w:tcPr>
            <w:tcW w:w="5544" w:type="dxa"/>
            <w:vAlign w:val="center"/>
          </w:tcPr>
          <w:p w14:paraId="2C2B8DD0">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1、合同签订并收到中标人提供的等额预付款保函或其他担保措施后，采购人支付合同价款的40%；</w:t>
            </w:r>
          </w:p>
          <w:p w14:paraId="6F89DD4D">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2、货物运送到学校后，采购人支付合同价款的30%；</w:t>
            </w:r>
          </w:p>
          <w:p w14:paraId="38CED50D">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3、所有设备安装调试完毕且经过验收合格正常使用后一次性付清剩余合同价款。</w:t>
            </w:r>
          </w:p>
          <w:p w14:paraId="18FD775F">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备注：</w:t>
            </w:r>
          </w:p>
          <w:p w14:paraId="57B79B1B">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（1）本项目要求中标人提供预付款保函或其他担保措施。</w:t>
            </w:r>
          </w:p>
          <w:p w14:paraId="22BE8744">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（2）付款前中标人须按要求开具有效的发票。</w:t>
            </w:r>
          </w:p>
          <w:p w14:paraId="64F115F2">
            <w:pPr>
              <w:wordWrap w:val="0"/>
              <w:spacing w:line="360" w:lineRule="auto"/>
              <w:jc w:val="lef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（3）预付款保函形式：银行保函、担保机构担保。</w:t>
            </w:r>
          </w:p>
          <w:p w14:paraId="6C8936E8">
            <w:pPr>
              <w:widowControl w:val="0"/>
              <w:wordWrap w:val="0"/>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4）预付款保函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tc>
      </w:tr>
      <w:tr w14:paraId="2A87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6D0D957F">
            <w:pPr>
              <w:widowControl w:val="0"/>
              <w:pBdr>
                <w:bottom w:val="none" w:color="auto" w:sz="0" w:space="0"/>
              </w:pBdr>
              <w:wordWrap w:val="0"/>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2</w:t>
            </w:r>
          </w:p>
        </w:tc>
        <w:tc>
          <w:tcPr>
            <w:tcW w:w="2054" w:type="dxa"/>
            <w:vAlign w:val="center"/>
          </w:tcPr>
          <w:p w14:paraId="5C341784">
            <w:pPr>
              <w:widowControl w:val="0"/>
              <w:wordWrap w:val="0"/>
              <w:spacing w:before="0" w:beforeAutospacing="0" w:after="0" w:afterAutospacing="0" w:line="360" w:lineRule="auto"/>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供货及安装地点</w:t>
            </w:r>
          </w:p>
        </w:tc>
        <w:tc>
          <w:tcPr>
            <w:tcW w:w="5544" w:type="dxa"/>
            <w:vAlign w:val="center"/>
          </w:tcPr>
          <w:p w14:paraId="14D4CAAD">
            <w:pPr>
              <w:widowControl w:val="0"/>
              <w:wordWrap w:val="0"/>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安徽农业大学，具体按采购人指定。</w:t>
            </w:r>
          </w:p>
        </w:tc>
      </w:tr>
      <w:tr w14:paraId="0264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69A249C5">
            <w:pPr>
              <w:widowControl w:val="0"/>
              <w:pBdr>
                <w:bottom w:val="none" w:color="auto" w:sz="0" w:space="0"/>
              </w:pBdr>
              <w:wordWrap w:val="0"/>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3</w:t>
            </w:r>
          </w:p>
        </w:tc>
        <w:tc>
          <w:tcPr>
            <w:tcW w:w="2054" w:type="dxa"/>
            <w:vAlign w:val="center"/>
          </w:tcPr>
          <w:p w14:paraId="18EE5225">
            <w:pPr>
              <w:widowControl w:val="0"/>
              <w:wordWrap w:val="0"/>
              <w:spacing w:before="0" w:beforeAutospacing="0" w:after="0" w:afterAutospacing="0" w:line="360" w:lineRule="auto"/>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供货及安装期限</w:t>
            </w:r>
          </w:p>
        </w:tc>
        <w:tc>
          <w:tcPr>
            <w:tcW w:w="5544" w:type="dxa"/>
            <w:vAlign w:val="center"/>
          </w:tcPr>
          <w:p w14:paraId="1701C290">
            <w:pPr>
              <w:widowControl w:val="0"/>
              <w:wordWrap w:val="0"/>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合同生效后，180个日历日内完成供货、安装、调试、培训等所有工作内容，采购需求中另有规定的，按采购需求执行。</w:t>
            </w:r>
          </w:p>
        </w:tc>
      </w:tr>
      <w:tr w14:paraId="3EE3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E1D806C">
            <w:pPr>
              <w:widowControl w:val="0"/>
              <w:pBdr>
                <w:bottom w:val="none" w:color="auto" w:sz="0" w:space="0"/>
              </w:pBdr>
              <w:wordWrap w:val="0"/>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4</w:t>
            </w:r>
          </w:p>
        </w:tc>
        <w:tc>
          <w:tcPr>
            <w:tcW w:w="2054" w:type="dxa"/>
            <w:vAlign w:val="center"/>
          </w:tcPr>
          <w:p w14:paraId="12F394D7">
            <w:pPr>
              <w:widowControl w:val="0"/>
              <w:wordWrap w:val="0"/>
              <w:spacing w:before="0" w:beforeAutospacing="0" w:after="0" w:afterAutospacing="0" w:line="360" w:lineRule="auto"/>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免费质保期</w:t>
            </w:r>
          </w:p>
        </w:tc>
        <w:tc>
          <w:tcPr>
            <w:tcW w:w="5544" w:type="dxa"/>
            <w:vAlign w:val="center"/>
          </w:tcPr>
          <w:p w14:paraId="29682A05">
            <w:pPr>
              <w:widowControl w:val="0"/>
              <w:wordWrap w:val="0"/>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自验收合格后1年。</w:t>
            </w:r>
          </w:p>
          <w:p w14:paraId="65CB4006">
            <w:pPr>
              <w:widowControl w:val="0"/>
              <w:wordWrap w:val="0"/>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注：免费质保期从验收合格之日起开始计算。</w:t>
            </w:r>
          </w:p>
        </w:tc>
      </w:tr>
    </w:tbl>
    <w:p w14:paraId="33EBFBCA">
      <w:pPr>
        <w:keepNext/>
        <w:keepLines/>
        <w:widowControl w:val="0"/>
        <w:wordWrap w:val="0"/>
        <w:spacing w:before="240" w:line="360" w:lineRule="auto"/>
        <w:ind w:firstLine="0" w:firstLineChars="0"/>
        <w:jc w:val="left"/>
        <w:outlineLvl w:val="1"/>
        <w:rPr>
          <w:rFonts w:ascii="Arial" w:hAnsi="Arial" w:eastAsia="黑体" w:cs="Times New Roman"/>
          <w:bCs/>
          <w:color w:val="auto"/>
          <w:kern w:val="0"/>
          <w:sz w:val="28"/>
          <w:szCs w:val="32"/>
          <w:highlight w:val="none"/>
          <w:lang w:val="en-US" w:eastAsia="zh-CN" w:bidi="ar-SA"/>
        </w:rPr>
      </w:pPr>
      <w:bookmarkStart w:id="9" w:name="_Toc1693477008"/>
      <w:bookmarkStart w:id="10" w:name="_Toc1191965283_WPSOffice_Level2"/>
      <w:bookmarkStart w:id="11" w:name="_Toc1715351726"/>
      <w:bookmarkStart w:id="12" w:name="_Toc58935147"/>
      <w:bookmarkStart w:id="13" w:name="_Toc717369146"/>
      <w:bookmarkStart w:id="14" w:name="_Toc369119811"/>
      <w:bookmarkStart w:id="15" w:name="_Toc302804901"/>
      <w:bookmarkStart w:id="16" w:name="_Toc626387511"/>
      <w:r>
        <w:rPr>
          <w:rFonts w:hint="eastAsia" w:ascii="Arial" w:hAnsi="Arial" w:eastAsia="黑体" w:cs="Times New Roman"/>
          <w:bCs/>
          <w:color w:val="auto"/>
          <w:kern w:val="0"/>
          <w:sz w:val="28"/>
          <w:szCs w:val="32"/>
          <w:highlight w:val="none"/>
          <w:lang w:val="en-US" w:eastAsia="zh-CN" w:bidi="ar-SA"/>
        </w:rPr>
        <w:t>二、货物需求</w:t>
      </w:r>
      <w:bookmarkEnd w:id="9"/>
      <w:bookmarkEnd w:id="10"/>
      <w:bookmarkEnd w:id="11"/>
      <w:bookmarkEnd w:id="12"/>
      <w:bookmarkEnd w:id="13"/>
      <w:bookmarkEnd w:id="14"/>
      <w:bookmarkEnd w:id="15"/>
      <w:bookmarkEnd w:id="16"/>
    </w:p>
    <w:p w14:paraId="34DC6B6C">
      <w:pPr>
        <w:widowControl w:val="0"/>
        <w:wordWrap w:val="0"/>
        <w:spacing w:line="360" w:lineRule="auto"/>
        <w:ind w:left="0"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（一）货物需求说明</w:t>
      </w:r>
    </w:p>
    <w:tbl>
      <w:tblPr>
        <w:tblStyle w:val="11"/>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6E3A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32F5F80D">
            <w:pPr>
              <w:widowControl w:val="0"/>
              <w:wordWrap w:val="0"/>
              <w:spacing w:line="500" w:lineRule="exact"/>
              <w:ind w:left="0" w:firstLine="0" w:firstLineChars="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需求内容类别</w:t>
            </w:r>
          </w:p>
        </w:tc>
        <w:tc>
          <w:tcPr>
            <w:tcW w:w="1277" w:type="dxa"/>
          </w:tcPr>
          <w:p w14:paraId="55D007C5">
            <w:pPr>
              <w:widowControl w:val="0"/>
              <w:wordWrap w:val="0"/>
              <w:spacing w:line="500" w:lineRule="exact"/>
              <w:ind w:left="0" w:firstLine="0" w:firstLineChars="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标识符号</w:t>
            </w:r>
          </w:p>
        </w:tc>
        <w:tc>
          <w:tcPr>
            <w:tcW w:w="5692" w:type="dxa"/>
          </w:tcPr>
          <w:p w14:paraId="26CA3F03">
            <w:pPr>
              <w:widowControl w:val="0"/>
              <w:wordWrap w:val="0"/>
              <w:spacing w:line="500" w:lineRule="exact"/>
              <w:ind w:left="0" w:firstLine="0" w:firstLineChars="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投标要求</w:t>
            </w:r>
          </w:p>
        </w:tc>
      </w:tr>
      <w:tr w14:paraId="2229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04B1EF88">
            <w:pPr>
              <w:widowControl w:val="0"/>
              <w:wordWrap w:val="0"/>
              <w:spacing w:line="500" w:lineRule="exact"/>
              <w:ind w:lef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重要指标项</w:t>
            </w:r>
          </w:p>
        </w:tc>
        <w:tc>
          <w:tcPr>
            <w:tcW w:w="1277" w:type="dxa"/>
            <w:vAlign w:val="center"/>
          </w:tcPr>
          <w:p w14:paraId="44044CA6">
            <w:pPr>
              <w:widowControl w:val="0"/>
              <w:wordWrap w:val="0"/>
              <w:spacing w:line="500" w:lineRule="exact"/>
              <w:ind w:lef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p>
        </w:tc>
        <w:tc>
          <w:tcPr>
            <w:tcW w:w="5692" w:type="dxa"/>
            <w:vAlign w:val="center"/>
          </w:tcPr>
          <w:p w14:paraId="03398B4B">
            <w:pPr>
              <w:widowControl w:val="0"/>
              <w:wordWrap w:val="0"/>
              <w:spacing w:line="500" w:lineRule="exact"/>
              <w:ind w:left="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评分项，详见“第四章评标方法和标准”中评分细则。</w:t>
            </w:r>
          </w:p>
        </w:tc>
      </w:tr>
      <w:tr w14:paraId="71DF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67FC89CC">
            <w:pPr>
              <w:widowControl w:val="0"/>
              <w:wordWrap w:val="0"/>
              <w:spacing w:line="500" w:lineRule="exact"/>
              <w:ind w:lef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关键指标项</w:t>
            </w:r>
          </w:p>
        </w:tc>
        <w:tc>
          <w:tcPr>
            <w:tcW w:w="1277" w:type="dxa"/>
            <w:vAlign w:val="center"/>
          </w:tcPr>
          <w:p w14:paraId="224BA602">
            <w:pPr>
              <w:widowControl w:val="0"/>
              <w:wordWrap w:val="0"/>
              <w:spacing w:line="500" w:lineRule="exact"/>
              <w:ind w:lef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p>
        </w:tc>
        <w:tc>
          <w:tcPr>
            <w:tcW w:w="5692" w:type="dxa"/>
            <w:vAlign w:val="center"/>
          </w:tcPr>
          <w:p w14:paraId="70EE8BA7">
            <w:pPr>
              <w:widowControl w:val="0"/>
              <w:wordWrap w:val="0"/>
              <w:spacing w:line="500" w:lineRule="exact"/>
              <w:ind w:left="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符合性审查项，该指标项负偏离或未响应，将导致</w:t>
            </w:r>
            <w:r>
              <w:rPr>
                <w:rFonts w:hint="eastAsia" w:ascii="宋体" w:hAnsi="宋体" w:eastAsia="宋体" w:cs="宋体"/>
                <w:b/>
                <w:bCs/>
                <w:color w:val="auto"/>
                <w:kern w:val="2"/>
                <w:sz w:val="24"/>
                <w:szCs w:val="24"/>
                <w:highlight w:val="none"/>
                <w:lang w:val="en-US" w:eastAsia="zh-CN" w:bidi="ar-SA"/>
              </w:rPr>
              <w:t>投标无效</w:t>
            </w:r>
            <w:r>
              <w:rPr>
                <w:rFonts w:hint="eastAsia" w:ascii="宋体" w:hAnsi="宋体" w:eastAsia="宋体" w:cs="宋体"/>
                <w:color w:val="auto"/>
                <w:kern w:val="2"/>
                <w:sz w:val="24"/>
                <w:szCs w:val="24"/>
                <w:highlight w:val="none"/>
                <w:lang w:val="en-US" w:eastAsia="zh-CN" w:bidi="ar-SA"/>
              </w:rPr>
              <w:t>。</w:t>
            </w:r>
          </w:p>
        </w:tc>
      </w:tr>
      <w:tr w14:paraId="6A29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4E33F9C1">
            <w:pPr>
              <w:widowControl w:val="0"/>
              <w:wordWrap w:val="0"/>
              <w:spacing w:line="500" w:lineRule="exact"/>
              <w:ind w:lef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无标识项</w:t>
            </w:r>
          </w:p>
        </w:tc>
        <w:tc>
          <w:tcPr>
            <w:tcW w:w="1277" w:type="dxa"/>
            <w:vAlign w:val="center"/>
          </w:tcPr>
          <w:p w14:paraId="66109338">
            <w:pPr>
              <w:widowControl w:val="0"/>
              <w:wordWrap w:val="0"/>
              <w:spacing w:line="500" w:lineRule="exact"/>
              <w:ind w:left="0" w:firstLine="0" w:firstLineChars="0"/>
              <w:jc w:val="center"/>
              <w:rPr>
                <w:rFonts w:hint="eastAsia" w:ascii="宋体" w:hAnsi="宋体" w:eastAsia="宋体" w:cs="宋体"/>
                <w:color w:val="auto"/>
                <w:kern w:val="2"/>
                <w:sz w:val="24"/>
                <w:szCs w:val="24"/>
                <w:highlight w:val="none"/>
                <w:lang w:val="en-US" w:eastAsia="zh-CN" w:bidi="ar-SA"/>
              </w:rPr>
            </w:pPr>
          </w:p>
        </w:tc>
        <w:tc>
          <w:tcPr>
            <w:tcW w:w="5692" w:type="dxa"/>
            <w:vAlign w:val="center"/>
          </w:tcPr>
          <w:p w14:paraId="5AF961E6">
            <w:pPr>
              <w:widowControl w:val="0"/>
              <w:wordWrap w:val="0"/>
              <w:spacing w:line="500" w:lineRule="exact"/>
              <w:ind w:left="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符合性审查项，5项以上（不含5项）负偏离或未响应，将导致</w:t>
            </w:r>
            <w:r>
              <w:rPr>
                <w:rFonts w:hint="eastAsia" w:ascii="宋体" w:hAnsi="宋体" w:eastAsia="宋体" w:cs="宋体"/>
                <w:b/>
                <w:bCs/>
                <w:color w:val="auto"/>
                <w:kern w:val="2"/>
                <w:sz w:val="24"/>
                <w:szCs w:val="24"/>
                <w:highlight w:val="none"/>
                <w:lang w:val="en-US" w:eastAsia="zh-CN" w:bidi="ar-SA"/>
              </w:rPr>
              <w:t>投标无效</w:t>
            </w:r>
            <w:r>
              <w:rPr>
                <w:rFonts w:hint="eastAsia" w:ascii="宋体" w:hAnsi="宋体" w:eastAsia="宋体" w:cs="宋体"/>
                <w:color w:val="auto"/>
                <w:kern w:val="2"/>
                <w:sz w:val="24"/>
                <w:szCs w:val="24"/>
                <w:highlight w:val="none"/>
                <w:lang w:val="en-US" w:eastAsia="zh-CN" w:bidi="ar-SA"/>
              </w:rPr>
              <w:t>。</w:t>
            </w:r>
          </w:p>
        </w:tc>
      </w:tr>
      <w:tr w14:paraId="5778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031AE9A9">
            <w:pPr>
              <w:widowControl w:val="0"/>
              <w:wordWrap w:val="0"/>
              <w:spacing w:line="500" w:lineRule="exact"/>
              <w:ind w:left="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w:t>
            </w:r>
          </w:p>
          <w:p w14:paraId="17CD1D2F">
            <w:pPr>
              <w:widowControl w:val="0"/>
              <w:wordWrap w:val="0"/>
              <w:spacing w:line="500" w:lineRule="exact"/>
              <w:ind w:left="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ascii="宋体" w:hAnsi="宋体" w:eastAsia="宋体" w:cs="宋体"/>
                <w:color w:val="auto"/>
                <w:kern w:val="2"/>
                <w:sz w:val="24"/>
                <w:szCs w:val="24"/>
                <w:highlight w:val="none"/>
                <w:lang w:val="en-US" w:eastAsia="zh-CN" w:bidi="ar-SA"/>
              </w:rPr>
              <w:t>.如某项标识中包含多条技术参数或要求，则该项标识所含内容均需满足或优于招标文件要求，否则不予认可。</w:t>
            </w:r>
          </w:p>
          <w:p w14:paraId="642DFD01">
            <w:pPr>
              <w:widowControl w:val="0"/>
              <w:wordWrap w:val="0"/>
              <w:spacing w:line="500" w:lineRule="exact"/>
              <w:ind w:left="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ascii="宋体" w:hAnsi="宋体" w:eastAsia="宋体" w:cs="宋体"/>
                <w:color w:val="auto"/>
                <w:kern w:val="2"/>
                <w:sz w:val="24"/>
                <w:szCs w:val="24"/>
                <w:highlight w:val="none"/>
                <w:lang w:val="en-US" w:eastAsia="zh-CN" w:bidi="ar-SA"/>
              </w:rPr>
              <w:t>.“所属行业”栏标注为“/”的项为所投产品配套的工程或服务，无需在《中小企业声明函》中列明。</w:t>
            </w:r>
          </w:p>
        </w:tc>
      </w:tr>
    </w:tbl>
    <w:p w14:paraId="1676E478">
      <w:pPr>
        <w:widowControl w:val="0"/>
        <w:wordWrap w:val="0"/>
        <w:ind w:left="0" w:firstLine="0" w:firstLineChars="0"/>
        <w:jc w:val="both"/>
        <w:rPr>
          <w:rFonts w:hint="eastAsia" w:ascii="宋体" w:hAnsi="宋体" w:eastAsia="宋体" w:cs="宋体"/>
          <w:b/>
          <w:bCs/>
          <w:color w:val="auto"/>
          <w:kern w:val="2"/>
          <w:sz w:val="24"/>
          <w:szCs w:val="24"/>
          <w:highlight w:val="none"/>
          <w:lang w:val="en-US" w:eastAsia="zh-CN" w:bidi="ar-SA"/>
        </w:rPr>
      </w:pPr>
    </w:p>
    <w:p w14:paraId="07DFF2E9">
      <w:pPr>
        <w:widowControl w:val="0"/>
        <w:wordWrap w:val="0"/>
        <w:spacing w:line="360" w:lineRule="auto"/>
        <w:ind w:left="0"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（二）货物需求清单</w:t>
      </w:r>
    </w:p>
    <w:p w14:paraId="687695A0">
      <w:pPr>
        <w:widowControl w:val="0"/>
        <w:wordWrap w:val="0"/>
        <w:spacing w:line="360" w:lineRule="auto"/>
        <w:ind w:left="0"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针对下表货物需求清单中要求在投标文件中提供证明材料的参数，货物需求清单中明确证明材料类型的，按货物需求清单中的要求提供；货物需求清单中未明确证明材料类型的，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6A57990F">
      <w:pPr>
        <w:widowControl w:val="0"/>
        <w:ind w:left="482" w:hanging="482" w:hangingChars="200"/>
        <w:contextualSpacing/>
        <w:jc w:val="both"/>
        <w:rPr>
          <w:rFonts w:hint="eastAsia" w:ascii="宋体" w:hAnsi="宋体" w:eastAsia="宋体" w:cs="宋体"/>
          <w:b/>
          <w:bCs/>
          <w:color w:val="auto"/>
          <w:kern w:val="2"/>
          <w:sz w:val="24"/>
          <w:szCs w:val="24"/>
          <w:highlight w:val="none"/>
          <w:lang w:val="en-US" w:eastAsia="zh-CN" w:bidi="ar-SA"/>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17"/>
        <w:gridCol w:w="5166"/>
        <w:gridCol w:w="784"/>
        <w:gridCol w:w="800"/>
        <w:gridCol w:w="892"/>
      </w:tblGrid>
      <w:tr w14:paraId="076C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17" w:type="dxa"/>
            <w:vAlign w:val="center"/>
          </w:tcPr>
          <w:p w14:paraId="3AF9961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ADDIN CNKISM.UserStyle</w:instrTex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t>序号</w:t>
            </w:r>
          </w:p>
        </w:tc>
        <w:tc>
          <w:tcPr>
            <w:tcW w:w="1217" w:type="dxa"/>
            <w:vAlign w:val="center"/>
          </w:tcPr>
          <w:p w14:paraId="04AD39B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货物名称</w:t>
            </w:r>
          </w:p>
        </w:tc>
        <w:tc>
          <w:tcPr>
            <w:tcW w:w="5166" w:type="dxa"/>
            <w:vAlign w:val="center"/>
          </w:tcPr>
          <w:p w14:paraId="0937F9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技术参数及要求</w:t>
            </w:r>
          </w:p>
        </w:tc>
        <w:tc>
          <w:tcPr>
            <w:tcW w:w="784" w:type="dxa"/>
            <w:vAlign w:val="center"/>
          </w:tcPr>
          <w:p w14:paraId="180CF5C0">
            <w:pPr>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p w14:paraId="329F36E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（台/套）</w:t>
            </w:r>
          </w:p>
        </w:tc>
        <w:tc>
          <w:tcPr>
            <w:tcW w:w="800" w:type="dxa"/>
            <w:vAlign w:val="center"/>
          </w:tcPr>
          <w:p w14:paraId="6CE163A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所属行业</w:t>
            </w:r>
          </w:p>
        </w:tc>
        <w:tc>
          <w:tcPr>
            <w:tcW w:w="892" w:type="dxa"/>
            <w:vAlign w:val="center"/>
          </w:tcPr>
          <w:p w14:paraId="2A8D0A9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备注（进口或强制节能）</w:t>
            </w:r>
          </w:p>
        </w:tc>
      </w:tr>
      <w:tr w14:paraId="0189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17" w:type="dxa"/>
            <w:vAlign w:val="center"/>
          </w:tcPr>
          <w:p w14:paraId="764F675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17" w:type="dxa"/>
            <w:vAlign w:val="center"/>
          </w:tcPr>
          <w:p w14:paraId="690B1FC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▲多功能复合中试生产线</w:t>
            </w:r>
          </w:p>
        </w:tc>
        <w:tc>
          <w:tcPr>
            <w:tcW w:w="5166" w:type="dxa"/>
          </w:tcPr>
          <w:p w14:paraId="2C1285F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1.功能用途描述</w:t>
            </w:r>
          </w:p>
          <w:p w14:paraId="2B6E6DB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设备为茶叶综合利用研发平台设备设施，包括：一体化智能创制萃取系统、离心过滤协同纯化系统、旋膜瞬萃生物智造平台、无菌流体智控灌装平台、离心瞬干系统和辅助工程等设备设施。适用于茶食等药食同源等植物源性原料，开展饮料、粉体、浓缩等液态和固态功能性营养健康产品的生产。既可用于小批量产品的科研研究及连续中试生产，亦可分别用于各个工艺单元的技术参数优化研究及样品的试制。</w:t>
            </w:r>
          </w:p>
          <w:p w14:paraId="6963D2F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■2.生产线设备配置清单：</w:t>
            </w:r>
          </w:p>
          <w:p w14:paraId="4DC4B77E">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2.1.一体化智能创制萃取平台一套含（微波光波烘干提香一体机一台；一体化智能创制萃取系统一台；超临界萃取一台）</w:t>
            </w:r>
          </w:p>
          <w:p w14:paraId="5482C8B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2.2.离心过滤协同纯化系统一套含（碟式离心机一台；多功能膜实验机一台；）</w:t>
            </w:r>
          </w:p>
          <w:p w14:paraId="0E1DC30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2.3旋膜瞬萃生物智造平台一套含（膜浓缩一台；旋转锥低温瞬时浓缩系统一台；发酵罐一台；模块化调配系统一台）</w:t>
            </w:r>
          </w:p>
          <w:p w14:paraId="5972BBC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2.4无菌流体智控灌装平台一套含（管式超高温瞬时杀菌机一台；柔性无菌灌装机一台）</w:t>
            </w:r>
          </w:p>
          <w:p w14:paraId="6EF54623">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2.5离心瞬干系统一套含（离心喷雾干燥机一台）</w:t>
            </w:r>
          </w:p>
          <w:p w14:paraId="41BE88B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2.6辅助设备一套含（纯水生成系统一台；蒸汽发生器一台；空压机系统一台；冰水机组一台；夹套热水系统一台；CIP系统一台；氮气保护系统一台）</w:t>
            </w:r>
          </w:p>
          <w:p w14:paraId="158BFFF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2.7中试生产线集中控制系统一套</w:t>
            </w:r>
          </w:p>
          <w:p w14:paraId="508F26AB">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2.8智慧数字平台一套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包含≥100寸显示屏1个</w:t>
            </w:r>
            <w:r>
              <w:rPr>
                <w:rFonts w:hint="eastAsia" w:ascii="宋体" w:hAnsi="宋体" w:eastAsia="宋体" w:cs="宋体"/>
                <w:color w:val="auto"/>
                <w:sz w:val="24"/>
                <w:szCs w:val="24"/>
                <w:highlight w:val="none"/>
                <w:lang w:eastAsia="zh-CN"/>
              </w:rPr>
              <w:t>）</w:t>
            </w:r>
          </w:p>
          <w:p w14:paraId="1DE46EE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2.9中试净化室一套</w:t>
            </w:r>
          </w:p>
          <w:p w14:paraId="25EA4E5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3.设备技术参数</w:t>
            </w:r>
          </w:p>
          <w:p w14:paraId="3718552B">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3.1.微波光波烘干提香一体机</w:t>
            </w:r>
          </w:p>
          <w:p w14:paraId="7B56DA3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3.1.1.总功率≥19kw，其中远红外加热管8组，功率≥4.8kw；微波9组，功率≥9kw；</w:t>
            </w:r>
          </w:p>
          <w:p w14:paraId="742CAF1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3.1.2.尺寸：≥580×70×170cm；</w:t>
            </w:r>
          </w:p>
          <w:p w14:paraId="39A913C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3.1.3.智能数控，人机交互；</w:t>
            </w:r>
          </w:p>
          <w:p w14:paraId="4927C1B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3.1.4.特氟龙网带输送，转速变频可调；</w:t>
            </w:r>
          </w:p>
          <w:p w14:paraId="3B7C806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3.1.5.自动上料，皮带输送，功率≥0.7kw。</w:t>
            </w:r>
          </w:p>
          <w:p w14:paraId="70A5F8F6">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3.2.一体化智能创制萃取系统</w:t>
            </w:r>
          </w:p>
          <w:p w14:paraId="6EAC9B6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3.2.1.主体材质采用304不锈钢材质；</w:t>
            </w:r>
          </w:p>
          <w:p w14:paraId="39E8DE3D">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3.2.2.设备有效容积≥50L，设备集浸提、滴滤、循环萃取、高温高压萃取、冷萃取、半浸泡萃取、香气回收等功能于一体；</w:t>
            </w:r>
            <w:r>
              <w:rPr>
                <w:rFonts w:hint="eastAsia" w:ascii="宋体" w:hAnsi="宋体" w:eastAsia="宋体" w:cs="宋体"/>
                <w:b/>
                <w:bCs/>
                <w:color w:val="auto"/>
                <w:sz w:val="24"/>
                <w:szCs w:val="24"/>
                <w:highlight w:val="none"/>
              </w:rPr>
              <w:t>（投标时须提供</w:t>
            </w:r>
            <w:r>
              <w:rPr>
                <w:rFonts w:hint="eastAsia" w:ascii="宋体" w:hAnsi="宋体" w:eastAsia="宋体" w:cs="宋体"/>
                <w:b/>
                <w:bCs/>
                <w:color w:val="auto"/>
                <w:sz w:val="24"/>
                <w:szCs w:val="24"/>
                <w:highlight w:val="none"/>
                <w:lang w:val="en-US" w:eastAsia="zh-CN"/>
              </w:rPr>
              <w:t>证明材料</w:t>
            </w:r>
            <w:r>
              <w:rPr>
                <w:rFonts w:hint="eastAsia" w:ascii="宋体" w:hAnsi="宋体" w:eastAsia="宋体" w:cs="宋体"/>
                <w:b/>
                <w:bCs/>
                <w:color w:val="auto"/>
                <w:sz w:val="24"/>
                <w:szCs w:val="24"/>
                <w:highlight w:val="none"/>
              </w:rPr>
              <w:t>）</w:t>
            </w:r>
          </w:p>
          <w:p w14:paraId="4BE9344F">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3.2.3.双搅拌结构（调平/搅拌叶片），搅拌可上下单独升降，搅拌速度20-100转/分钟变频可调，模块板单元，能定量喷淋；</w:t>
            </w:r>
          </w:p>
          <w:p w14:paraId="42B0467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★3.2.4.螺杆泵一台，热水流量20-450L/H 可调，带自动清洗装置，氮气密封口，旋转喷淋、上下升降搅拌、真空泵、冷凝器、不锈钢支撑架，PLC控制系统、配收渣斗；</w:t>
            </w:r>
          </w:p>
          <w:p w14:paraId="46764A5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3.2.5.内外焊缝抛光，配备CIP喷淋清洗球，配备静压液位计；</w:t>
            </w:r>
          </w:p>
          <w:p w14:paraId="27A1AA4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3.2.6.自动上料系统，皮带式输送，功率≥0.7kw；适用茶叶、咖啡、中草药、植物提取等；</w:t>
            </w:r>
          </w:p>
          <w:p w14:paraId="560ADDA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3.2.7.板式换热器一套；</w:t>
            </w:r>
          </w:p>
          <w:p w14:paraId="513F5644">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★3.2.8.超声波发生器功率≤3000W，工作频率≥20kHz，处理量5-100L/h，允许压力≤5MPa，允许温度≤350℃；</w:t>
            </w:r>
            <w:r>
              <w:rPr>
                <w:rFonts w:hint="eastAsia" w:ascii="宋体" w:hAnsi="宋体" w:eastAsia="宋体" w:cs="宋体"/>
                <w:b/>
                <w:bCs/>
                <w:color w:val="auto"/>
                <w:sz w:val="24"/>
                <w:szCs w:val="24"/>
                <w:highlight w:val="none"/>
              </w:rPr>
              <w:t xml:space="preserve"> </w:t>
            </w:r>
          </w:p>
          <w:p w14:paraId="161966D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3.2.9.缓冲罐材质304不锈钢，容积≥50L,米勒板夹套热水恒温，外加聚氨酯保温，附液位视窗，温度显示，取样阀，结构为封闭式，罐身2B板材，锥顶锥底，顶部配洁净呼吸器，配备静压液位计；</w:t>
            </w:r>
          </w:p>
          <w:p w14:paraId="7C54E2F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3.2.10.带平板过滤网和弧形过滤网，可切换使用；</w:t>
            </w:r>
          </w:p>
          <w:p w14:paraId="2A37173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3.2.11.流量为≥1T/H，设备扬程为：≥24M，设备功率：≥1.1kW，机械密封为碳化硅材质；</w:t>
            </w:r>
          </w:p>
          <w:p w14:paraId="5C813B4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3.2.12.过滤器孔径尺寸≤1mm；20-80目滤网（可选用不同规格的滤网）；</w:t>
            </w:r>
          </w:p>
          <w:p w14:paraId="09C6635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3.2.13.设备采取联动控制，达到无损运行状态。</w:t>
            </w:r>
          </w:p>
          <w:p w14:paraId="4F14F231">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3.3.超临界萃取</w:t>
            </w:r>
          </w:p>
          <w:p w14:paraId="60E76F7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3.3.1.与物料接触部分均采用304不锈钢材质；</w:t>
            </w:r>
          </w:p>
          <w:p w14:paraId="04843BD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3.3.2.设备为二萃二分超临界CO</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萃取设备，萃取工作介质CO</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可循环利用；</w:t>
            </w:r>
          </w:p>
          <w:p w14:paraId="0B3FD96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3.3.3.设计压力≥40MPa，最高工作压力是38MPa。压力容器设计使用年限≥30年；</w:t>
            </w:r>
          </w:p>
          <w:p w14:paraId="48B2894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3.3.4.萃取釜容积≥15L*2，设计温度≥80℃，工作温度≥70℃；</w:t>
            </w:r>
          </w:p>
          <w:p w14:paraId="0CD7DFE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3.3.5.分离釜Ⅰ容积≥10L,立式，设计压力≥25MPa，最高工作压力20MPa，设计温度≥80℃；</w:t>
            </w:r>
          </w:p>
          <w:p w14:paraId="057F0A1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3.3.6.分离釜Ⅱ容积≥7L,立式，设计压力≥20MPa，最高工作压力18MPa，设计温度≥80℃；</w:t>
            </w:r>
          </w:p>
          <w:p w14:paraId="4F08FE4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3.3.7.储罐容积≥15L，设计压力≥16MPa，最高工作压力14MPa，设计温度5~55℃；</w:t>
            </w:r>
          </w:p>
          <w:p w14:paraId="03DED07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3.3.8.高压阀门≥50Mpa，阀体304材质，背压阀门；</w:t>
            </w:r>
          </w:p>
          <w:p w14:paraId="467A092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3.3.9.CO</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高压泵流量≥200L/h，出口压力≥50MPa,进口压力≥4MPa，冷热水循环泵；</w:t>
            </w:r>
          </w:p>
          <w:p w14:paraId="2FB57A6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3.3.10.含制冷系统和制热系统，软件控制系统等。</w:t>
            </w:r>
          </w:p>
          <w:p w14:paraId="5755531A">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3.4.碟式离心机</w:t>
            </w:r>
          </w:p>
          <w:p w14:paraId="3A3D930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分离机配有自清洁转鼓，用于分离液体混合物。分离的轻液相和重液相通过向心泵和重力从转鼓中排出。分离的固体聚集在固渣空间中，并以在转鼓全速时自动排出。分离机采用封闭式设计，并配有视液镜检查油位。罩壳是可拆卸的。机器由三相交流电机驱动。动力通过平皮带传递到转鼓主轴。所有轴承均由中央油浴进行飞溅润滑；</w:t>
            </w:r>
          </w:p>
          <w:p w14:paraId="0636DA8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3.4.2.适用和流量：适用于：茶、咖啡和果汁，流量：从50-200L/h，（产能取决于不溶物的含量），分离温度：可达90℃；</w:t>
            </w:r>
          </w:p>
          <w:p w14:paraId="3811854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3.4.3.缓冲罐材质304不锈钢，容积≥50L,米勒板夹套热水恒温，外加聚氨酯保温，附液位视窗，温度显示，取样阀，结构为封闭式，罐身2B板材，锥顶锥底，顶部配洁净呼吸器，配备静压液位计；</w:t>
            </w:r>
          </w:p>
          <w:p w14:paraId="658615E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3.4.4.流量为≥1T/H，设备扬程为：≥24m，设备功率≥1.1kW，机械密封为碳化硅材质；</w:t>
            </w:r>
          </w:p>
          <w:p w14:paraId="243F29C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3.4.5.材质：机架：涂漆G雷伊铸铁GG-25，罩壳：不锈钢，转鼓：不锈钢，密封圈：NER（Perbuman)丁晴橡胶（珀布南），不锈钢底座平台一式；</w:t>
            </w:r>
          </w:p>
          <w:p w14:paraId="186116B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3.4.6.技术规格：分离机配备≥1.1kW三相交流电机，用于主驱动设计变频调速，防护等级≥IP55，直接启动，400V，50Hz电压40V50HZ，橡胶减震；</w:t>
            </w:r>
          </w:p>
          <w:p w14:paraId="60D1EED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3.4.7.增加转接板，接膜过滤。</w:t>
            </w:r>
          </w:p>
          <w:p w14:paraId="2FCCAB19">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3.5.多功能膜实验机</w:t>
            </w:r>
          </w:p>
          <w:p w14:paraId="6A89E388">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可根据实验需要用于料液的浓缩，脱盐，分离，提纯，澄清，除菌等工艺实验，可广泛应用于制药，食品饮料，植物提取等领域。</w:t>
            </w:r>
          </w:p>
          <w:p w14:paraId="4D3FAD9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3.5.1.处理量不低于50~150L/h，实现反渗透，纳滤，超滤，微滤功能切换；</w:t>
            </w:r>
          </w:p>
          <w:p w14:paraId="4216F50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3.5.2.设备操作压力0~10Bar；设备循环体积≥20L；</w:t>
            </w:r>
          </w:p>
          <w:p w14:paraId="668E12C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3.5.3.操作温度5~45摄氏度；</w:t>
            </w:r>
          </w:p>
          <w:p w14:paraId="3268282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3.5.4.运行PH2~11.5；</w:t>
            </w:r>
          </w:p>
          <w:p w14:paraId="16A718D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3.5.5.功率≥3.55kW，三相工业用电；</w:t>
            </w:r>
          </w:p>
          <w:p w14:paraId="5D9A52C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3.5.6.接触物料材质SS316不锈钢，机架304不锈钢；</w:t>
            </w:r>
          </w:p>
          <w:p w14:paraId="13BB145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3.5.7.设备尺寸：长宽高：≥170cm×80cm×170cm；</w:t>
            </w:r>
          </w:p>
          <w:p w14:paraId="7FE8020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3.5.8.缓冲罐材质304不锈钢，容积≥50L,米勒板夹套热水恒温，外加聚氨酯保温，附液位视窗，温度显示，取样阀，结构为封闭式，罐身2B板材，锥顶锥底，顶部配洁净呼吸器，配备静压液位计；</w:t>
            </w:r>
          </w:p>
          <w:p w14:paraId="7E82AC0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3.5.9.流量为≥1T/H，设备扬程为：≥24m，设备功率≥1.1kW，机械密封为碳化硅材质；</w:t>
            </w:r>
          </w:p>
          <w:p w14:paraId="61D8377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3.5.10.系统组成：膜及组件，输送泵，高压泵，压力调节阀，蝶阀，高压球阀，过滤器，压力表，流量计，流量传感器，温度液位传感器，PLC控制柜等。</w:t>
            </w:r>
          </w:p>
          <w:p w14:paraId="13EBD438">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3.6.膜浓缩</w:t>
            </w:r>
          </w:p>
          <w:p w14:paraId="3E822D6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3.6.1.提取液总量：≥50L/h；日处理时间：≥8小时；清洗时间：≥2小时；</w:t>
            </w:r>
          </w:p>
          <w:p w14:paraId="2A5CB39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3.6.2.陶瓷膜过滤精度≤0.05μm，膜面流速4~5m/秒；膜操作压力：陶瓷膜 0.2~0.4MPa；</w:t>
            </w:r>
          </w:p>
          <w:p w14:paraId="799F96A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3.6.3.采用高耐腐蚀型的九九瓷氧化铝陶瓷超滤膜；</w:t>
            </w:r>
          </w:p>
          <w:p w14:paraId="3717BF2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3.6.4.采用抗污染三层复合物料浓缩专用反渗透膜，保证物料浓缩始终在高流量下运行；</w:t>
            </w:r>
          </w:p>
          <w:p w14:paraId="59024A7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3.6.5.缓冲罐材质304不锈钢，容积≥50L,米勒板夹套热水恒温，外加聚氨酯保温，附液位视窗，温度显示，取样阀，结构为封闭式，罐身2B板材，锥顶锥底，顶部配洁净呼吸器，配备静压液位计；</w:t>
            </w:r>
          </w:p>
          <w:p w14:paraId="7D8FAEA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3.6.6.流量为≥1T/H，设备扬程为≥24m，设备功率≥1.1kW，机械密封为碳化硅材质。</w:t>
            </w:r>
          </w:p>
          <w:p w14:paraId="6CD04D2D">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3.7.旋转锥低温瞬时浓缩系统</w:t>
            </w:r>
          </w:p>
          <w:p w14:paraId="5531127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3.7.1.主体采用304不锈钢材质制作；</w:t>
            </w:r>
          </w:p>
          <w:p w14:paraId="431CF82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3.7.2.在使用蒸汽，在真空条件下萃取和恢复挥发性化合物；</w:t>
            </w:r>
          </w:p>
          <w:p w14:paraId="6092862D">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3.7.3.额定蒸发量：≥35L/h，蒸发温度最低40℃，蒸发温度40-70</w:t>
            </w:r>
            <w:bookmarkStart w:id="17" w:name="OLE_LINK3"/>
            <w:r>
              <w:rPr>
                <w:rFonts w:hint="eastAsia" w:ascii="宋体" w:hAnsi="宋体" w:eastAsia="宋体" w:cs="宋体"/>
                <w:color w:val="auto"/>
                <w:sz w:val="24"/>
                <w:szCs w:val="24"/>
                <w:highlight w:val="none"/>
              </w:rPr>
              <w:t>℃</w:t>
            </w:r>
            <w:bookmarkEnd w:id="17"/>
            <w:r>
              <w:rPr>
                <w:rFonts w:hint="eastAsia" w:ascii="宋体" w:hAnsi="宋体" w:eastAsia="宋体" w:cs="宋体"/>
                <w:color w:val="auto"/>
                <w:sz w:val="24"/>
                <w:szCs w:val="24"/>
                <w:highlight w:val="none"/>
              </w:rPr>
              <w:t>可调，1-2秒内把茶叶提取液十倍浓缩，最高可浓缩至70%；</w:t>
            </w:r>
          </w:p>
          <w:p w14:paraId="02437FB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★3.7.4.换热形式：碟片式，换热时间：瞬时≤1秒，薄膜厚度≤0.2mm，在表面上分布≤1秒；</w:t>
            </w:r>
          </w:p>
          <w:p w14:paraId="0CA6EA1B">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ascii="宋体" w:hAnsi="宋体" w:eastAsia="宋体" w:cs="宋体"/>
                <w:b/>
                <w:bCs/>
                <w:color w:val="auto"/>
                <w:sz w:val="24"/>
                <w:szCs w:val="24"/>
                <w:highlight w:val="none"/>
              </w:rPr>
              <w:t>（投标时须提供产品彩页及</w:t>
            </w:r>
            <w:r>
              <w:rPr>
                <w:rFonts w:hint="eastAsia" w:ascii="宋体" w:hAnsi="宋体" w:eastAsia="宋体" w:cs="宋体"/>
                <w:b/>
                <w:bCs/>
                <w:color w:val="auto"/>
                <w:sz w:val="24"/>
                <w:szCs w:val="24"/>
                <w:highlight w:val="none"/>
                <w:lang w:val="en-US" w:eastAsia="zh-CN"/>
              </w:rPr>
              <w:t>“旋转锥低温瞬时浓缩系统”</w:t>
            </w:r>
            <w:r>
              <w:rPr>
                <w:rFonts w:ascii="宋体" w:hAnsi="宋体" w:eastAsia="宋体" w:cs="宋体"/>
                <w:b/>
                <w:bCs/>
                <w:color w:val="auto"/>
                <w:sz w:val="24"/>
                <w:szCs w:val="24"/>
                <w:highlight w:val="none"/>
              </w:rPr>
              <w:t>操作界面</w:t>
            </w:r>
            <w:r>
              <w:rPr>
                <w:rFonts w:hint="eastAsia" w:ascii="宋体" w:hAnsi="宋体" w:eastAsia="宋体" w:cs="宋体"/>
                <w:b/>
                <w:bCs/>
                <w:color w:val="auto"/>
                <w:sz w:val="24"/>
                <w:szCs w:val="24"/>
                <w:highlight w:val="none"/>
                <w:lang w:val="en-US" w:eastAsia="zh-CN"/>
              </w:rPr>
              <w:t>图片</w:t>
            </w:r>
            <w:r>
              <w:rPr>
                <w:rFonts w:hint="eastAsia" w:ascii="宋体" w:hAnsi="宋体" w:eastAsia="宋体" w:cs="宋体"/>
                <w:b/>
                <w:bCs/>
                <w:color w:val="auto"/>
                <w:sz w:val="24"/>
                <w:szCs w:val="24"/>
                <w:highlight w:val="none"/>
              </w:rPr>
              <w:t>并能同时</w:t>
            </w:r>
            <w:r>
              <w:rPr>
                <w:rFonts w:ascii="宋体" w:hAnsi="宋体" w:eastAsia="宋体" w:cs="宋体"/>
                <w:b/>
                <w:bCs/>
                <w:color w:val="auto"/>
                <w:sz w:val="24"/>
                <w:szCs w:val="24"/>
                <w:highlight w:val="none"/>
              </w:rPr>
              <w:t>体现投标品牌和型号）</w:t>
            </w:r>
          </w:p>
          <w:p w14:paraId="4F6CB2A9">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3.8.发酵罐</w:t>
            </w:r>
          </w:p>
          <w:p w14:paraId="2F2C01C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3.8.1.全容积≥50L，工作容积≥70%；</w:t>
            </w:r>
          </w:p>
          <w:p w14:paraId="1EEF74D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3.8.2.设计罐压≤0.35MPa； </w:t>
            </w:r>
          </w:p>
          <w:p w14:paraId="1CCB730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3.8.3.罐体材料：接触物料材质S316不锈钢，其他304不锈钢；</w:t>
            </w:r>
          </w:p>
          <w:p w14:paraId="4FE692C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3.8.4.内抛光精度：≤Ra0.4，外抛光精度：≤Ra0.8；</w:t>
            </w:r>
          </w:p>
          <w:p w14:paraId="51F2BFE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3.8.5.设计制造：符合GMP法规和ASME-BPE要求；</w:t>
            </w:r>
          </w:p>
          <w:p w14:paraId="527EB3E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3.8.6.灭菌温度：100-130℃，灭菌时间：0-60min，最高温度≤135℃；</w:t>
            </w:r>
          </w:p>
          <w:p w14:paraId="242019D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3.8.7.灭菌方式：SIP/CIP在位全自动灭菌及清洗；</w:t>
            </w:r>
          </w:p>
          <w:p w14:paraId="628CCBA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3.8.8.取样阀放料阀灭菌方式：在位全自动灭菌及清洗；</w:t>
            </w:r>
          </w:p>
          <w:p w14:paraId="0EC9752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3.8.9.可拆卸档板，带控温夹套；</w:t>
            </w:r>
          </w:p>
          <w:p w14:paraId="6075A53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3.8.10.搅拌方式：顶部机械搅拌，单端机械密封，上机械搅拌；调速范围：0-800rpm，无级调速；可与溶氧关联控制；</w:t>
            </w:r>
          </w:p>
          <w:p w14:paraId="7FC022B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3.8.11.进气排气系统：底部环形气体分布器，进气经过滤器采用0.2</w:t>
            </w:r>
            <w:r>
              <w:rPr>
                <w:rFonts w:hint="eastAsia"/>
                <w:color w:val="auto"/>
                <w:highlight w:val="none"/>
              </w:rPr>
              <w:t xml:space="preserve"> </w:t>
            </w:r>
            <w:r>
              <w:rPr>
                <w:rFonts w:ascii="宋体" w:hAnsi="宋体" w:eastAsia="宋体" w:cs="宋体"/>
                <w:color w:val="auto"/>
                <w:sz w:val="24"/>
                <w:szCs w:val="24"/>
                <w:highlight w:val="none"/>
              </w:rPr>
              <w:t>um PTFE 疏水性滤膜 ,气体种类：空气、氧气。气体质量流量控制器自动控制，关联溶氧 。排气方式 ：顶部回流冷凝器，经比例调节阀排放；</w:t>
            </w:r>
            <w:r>
              <w:rPr>
                <w:rFonts w:hint="eastAsia" w:ascii="宋体" w:hAnsi="宋体" w:eastAsia="宋体" w:cs="宋体"/>
                <w:color w:val="auto"/>
                <w:sz w:val="24"/>
                <w:szCs w:val="24"/>
                <w:highlight w:val="none"/>
              </w:rPr>
              <w:t xml:space="preserve"> </w:t>
            </w:r>
          </w:p>
          <w:p w14:paraId="1448F6F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3.8.12.接种方式：火焰接种。补料种类：酸液、碱液、消泡、营养液；配蠕动泵；</w:t>
            </w:r>
          </w:p>
          <w:p w14:paraId="6852DBF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3.8.13.取样方式：无菌取样阀；收获方式：无菌罐底GMP阀；</w:t>
            </w:r>
          </w:p>
          <w:p w14:paraId="7DFEF4A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3.8.14.流量为≥1T/H，设备扬程为：≥24m，设备功率≥1.1kW，机械密封为碳化硅材质；</w:t>
            </w:r>
          </w:p>
          <w:p w14:paraId="420D930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3.8.15.智能控制单元：</w:t>
            </w:r>
          </w:p>
          <w:p w14:paraId="139F1BD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3.8.15.1.SIP/CIP可空罐、实罐自动灭菌及清洗；灭菌温度：100-130℃，灭菌时间：0-60min；过滤器可独立灭菌；灭菌结束后能自动降温进入发酵等待状态，全自动一键操作；</w:t>
            </w:r>
          </w:p>
          <w:p w14:paraId="71652E9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3.8.15.2.发酵温度PID自动控制，热水阀升温，水冷却降温；控制范围：冷却水温度+5-65℃，</w:t>
            </w:r>
          </w:p>
          <w:p w14:paraId="1486583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精度：±0.2℃，分辨率：≤0.1℃；具有实时曲线和历史曲线，可分段跟踪控制；</w:t>
            </w:r>
          </w:p>
          <w:p w14:paraId="346890B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3.8.15.3.</w:t>
            </w:r>
            <w:r>
              <w:rPr>
                <w:rFonts w:hint="eastAsia"/>
                <w:color w:val="auto"/>
                <w:highlight w:val="none"/>
              </w:rPr>
              <w:t xml:space="preserve"> </w:t>
            </w:r>
            <w:r>
              <w:rPr>
                <w:rFonts w:ascii="宋体" w:hAnsi="宋体" w:eastAsia="宋体" w:cs="宋体"/>
                <w:color w:val="auto"/>
                <w:sz w:val="24"/>
                <w:szCs w:val="24"/>
                <w:highlight w:val="none"/>
              </w:rPr>
              <w:t>PH酸碱度PID 自动控制，蠕动泵控制加酸加碱，可选择单向或双向控制； 控制范围：0-14pH，精度：±0.01pH，分辨率：≤0.01pH；具有实时曲线和历史曲线。可与补料关联控制。</w:t>
            </w:r>
          </w:p>
          <w:p w14:paraId="760F285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3.8.15.4. </w:t>
            </w:r>
            <w:r>
              <w:rPr>
                <w:rFonts w:ascii="宋体" w:hAnsi="宋体" w:eastAsia="宋体" w:cs="宋体"/>
                <w:color w:val="auto"/>
                <w:sz w:val="24"/>
                <w:szCs w:val="24"/>
                <w:highlight w:val="none"/>
              </w:rPr>
              <w:t>DO溶氧度PID 自动控制；可与搅拌速度、罐压、流量关联控制，即通过改变搅拌速度调节溶解氧； 检测范围：0.1-200%，控制范围：0-100%，分辨率：1%； 具有实时曲线和历史曲线。在线标定。</w:t>
            </w:r>
          </w:p>
          <w:p w14:paraId="3077CE6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3.8.15.5. </w:t>
            </w:r>
            <w:r>
              <w:rPr>
                <w:rFonts w:ascii="宋体" w:hAnsi="宋体" w:eastAsia="宋体" w:cs="宋体"/>
                <w:color w:val="auto"/>
                <w:sz w:val="24"/>
                <w:szCs w:val="24"/>
                <w:highlight w:val="none"/>
              </w:rPr>
              <w:t>搅拌速度PID 自动控制，采用无级调速控制； 控制精度：±1rpm，分辨率：1rpm ，具有实时曲线和历史曲线，可分段跟踪控制；</w:t>
            </w:r>
          </w:p>
          <w:p w14:paraId="33F9883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3.8.15.6.</w:t>
            </w:r>
            <w:r>
              <w:rPr>
                <w:rFonts w:hint="eastAsia"/>
                <w:color w:val="auto"/>
                <w:highlight w:val="none"/>
              </w:rPr>
              <w:t xml:space="preserve"> </w:t>
            </w:r>
            <w:r>
              <w:rPr>
                <w:rFonts w:ascii="宋体" w:hAnsi="宋体" w:eastAsia="宋体" w:cs="宋体"/>
                <w:color w:val="auto"/>
                <w:sz w:val="24"/>
                <w:szCs w:val="24"/>
                <w:highlight w:val="none"/>
              </w:rPr>
              <w:t>罐压力 PID 自动控制，控制范围：0-0.3MPa，分辨率：0.01Mpa，具有实时线和历史曲线。</w:t>
            </w:r>
          </w:p>
          <w:p w14:paraId="31B4BE2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3.8.15.7.通气流量PID 自动控制，范围：按 PID/min；精度：±1%，分辨率 0.1%；气体质量流量计自动控制，关联溶氧。 </w:t>
            </w:r>
          </w:p>
          <w:p w14:paraId="39A4B4E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3.8.15.8.补料全自动设定控制；数字化设定延时定时定量控制，通过蠕动泵自动补料，配置 4 个蠕动泵。</w:t>
            </w:r>
          </w:p>
          <w:p w14:paraId="6F251DF1">
            <w:pPr>
              <w:widowControl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3.8.16.智能控制系统：生物发酵过程控制系统由发酵控制软件、现场控制器、传感器和各执行元件组成。人机界面，可同时检测控制并显示温度（100-130℃）、搅拌转速（0-800rpm）、PH（0-14pH）、DO（0.1-200%）、罐压（0-0.3MPa）、流量、SIP/CIP等参数；系统具有数据记录、数据分析、曲线图和报表、密码管理及报警等功能。系统具有自适应能力和自诊断能力，异常情况可根据客户设定做自动报警及保护操作。</w:t>
            </w:r>
            <w:r>
              <w:rPr>
                <w:rFonts w:hint="eastAsia" w:ascii="宋体" w:hAnsi="宋体" w:eastAsia="宋体" w:cs="宋体"/>
                <w:b/>
                <w:bCs/>
                <w:color w:val="auto"/>
                <w:kern w:val="2"/>
                <w:sz w:val="24"/>
                <w:szCs w:val="24"/>
                <w:highlight w:val="none"/>
                <w:lang w:val="en-US" w:eastAsia="zh-CN" w:bidi="ar-SA"/>
              </w:rPr>
              <w:t>（投标时须提供操作界面功能截图）</w:t>
            </w:r>
          </w:p>
          <w:p w14:paraId="1C440DCD">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3.9.模块化调配系统 </w:t>
            </w:r>
          </w:p>
          <w:p w14:paraId="5BB4B25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3.9.1.主体采用304不锈钢材质制作；</w:t>
            </w:r>
          </w:p>
          <w:p w14:paraId="6A85C45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3.9.2.采用即插即用式的设计原理，接口开放，模块化构造，容量≥50L，带PLC控制系统，一机多用，可进行在线水粉混合、混合搅拌、均质乳化。可连线使用也可单独操作；</w:t>
            </w:r>
          </w:p>
          <w:p w14:paraId="0129F96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3.9.3.减压阀1个、疏水阀1个（精密过滤器冷凝水排水）；截止阀；压力表；</w:t>
            </w:r>
          </w:p>
          <w:p w14:paraId="5AF40B9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3.9.4.板片数量：一式；</w:t>
            </w:r>
          </w:p>
          <w:p w14:paraId="0AF5187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3.9.5.蒸汽精密过滤器1个（无菌水一级过滤）；</w:t>
            </w:r>
          </w:p>
          <w:p w14:paraId="348E612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3.9.6.设备采取联动控制，达到无损运行状态。</w:t>
            </w:r>
          </w:p>
          <w:p w14:paraId="3C2D5EA7">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3.10.管式超高温瞬时杀菌机 </w:t>
            </w:r>
          </w:p>
          <w:p w14:paraId="679362EB">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★3.10.1.设备主体采用0</w:t>
            </w:r>
            <w:r>
              <w:rPr>
                <w:rFonts w:hint="eastAsia" w:ascii="宋体" w:hAnsi="宋体" w:eastAsia="宋体" w:cs="宋体"/>
                <w:color w:val="auto"/>
                <w:sz w:val="24"/>
                <w:szCs w:val="24"/>
                <w:highlight w:val="none"/>
                <w:vertAlign w:val="subscript"/>
              </w:rPr>
              <w:t>6</w:t>
            </w:r>
            <w:r>
              <w:rPr>
                <w:rFonts w:hint="eastAsia" w:ascii="宋体" w:hAnsi="宋体" w:eastAsia="宋体" w:cs="宋体"/>
                <w:color w:val="auto"/>
                <w:sz w:val="24"/>
                <w:szCs w:val="24"/>
                <w:highlight w:val="none"/>
              </w:rPr>
              <w:t>Cr</w:t>
            </w:r>
            <w:r>
              <w:rPr>
                <w:rFonts w:hint="eastAsia" w:ascii="宋体" w:hAnsi="宋体" w:eastAsia="宋体" w:cs="宋体"/>
                <w:color w:val="auto"/>
                <w:sz w:val="24"/>
                <w:szCs w:val="24"/>
                <w:highlight w:val="none"/>
                <w:vertAlign w:val="subscript"/>
              </w:rPr>
              <w:t>19</w:t>
            </w:r>
            <w:r>
              <w:rPr>
                <w:rFonts w:hint="eastAsia" w:ascii="宋体" w:hAnsi="宋体" w:eastAsia="宋体" w:cs="宋体"/>
                <w:color w:val="auto"/>
                <w:sz w:val="24"/>
                <w:szCs w:val="24"/>
                <w:highlight w:val="none"/>
              </w:rPr>
              <w:t>Ni</w:t>
            </w:r>
            <w:r>
              <w:rPr>
                <w:rFonts w:hint="eastAsia" w:ascii="宋体" w:hAnsi="宋体" w:eastAsia="宋体" w:cs="宋体"/>
                <w:color w:val="auto"/>
                <w:sz w:val="24"/>
                <w:szCs w:val="24"/>
                <w:highlight w:val="none"/>
                <w:vertAlign w:val="subscript"/>
              </w:rPr>
              <w:t>10</w:t>
            </w:r>
            <w:r>
              <w:rPr>
                <w:rFonts w:hint="eastAsia" w:ascii="宋体" w:hAnsi="宋体" w:eastAsia="宋体" w:cs="宋体"/>
                <w:color w:val="auto"/>
                <w:sz w:val="24"/>
                <w:szCs w:val="24"/>
                <w:highlight w:val="none"/>
              </w:rPr>
              <w:t>（食品级304）不锈钢材质制作；与物料接触的是316L不锈钢, 其它是304不锈钢；</w:t>
            </w:r>
            <w:r>
              <w:rPr>
                <w:rFonts w:hint="eastAsia" w:ascii="宋体" w:hAnsi="宋体" w:eastAsia="宋体" w:cs="宋体"/>
                <w:b/>
                <w:bCs/>
                <w:color w:val="auto"/>
                <w:sz w:val="24"/>
                <w:szCs w:val="24"/>
                <w:highlight w:val="none"/>
              </w:rPr>
              <w:t xml:space="preserve"> </w:t>
            </w:r>
          </w:p>
          <w:p w14:paraId="151982F1">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★3.10.2.产能≥30L/H，20~60升可调，</w:t>
            </w:r>
            <w:r>
              <w:rPr>
                <w:rFonts w:hint="eastAsia" w:ascii="宋体" w:hAnsi="宋体" w:eastAsia="宋体" w:cs="宋体"/>
                <w:color w:val="auto"/>
                <w:sz w:val="24"/>
                <w:szCs w:val="24"/>
                <w:highlight w:val="none"/>
                <w:lang w:val="en-US" w:eastAsia="zh-CN"/>
              </w:rPr>
              <w:t>杀菌温度30-152</w:t>
            </w:r>
            <w:r>
              <w:rPr>
                <w:rFonts w:hint="eastAsia" w:ascii="宋体" w:hAnsi="宋体" w:eastAsia="宋体" w:cs="宋体"/>
                <w:color w:val="auto"/>
                <w:sz w:val="24"/>
                <w:szCs w:val="24"/>
                <w:highlight w:val="none"/>
              </w:rPr>
              <w:t>℃可调，</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投标文件中提供证明材料</w:t>
            </w:r>
            <w:r>
              <w:rPr>
                <w:rFonts w:hint="eastAsia" w:ascii="宋体" w:hAnsi="宋体" w:eastAsia="宋体" w:cs="宋体"/>
                <w:b/>
                <w:bCs/>
                <w:color w:val="auto"/>
                <w:sz w:val="24"/>
                <w:szCs w:val="24"/>
                <w:highlight w:val="none"/>
              </w:rPr>
              <w:t>）</w:t>
            </w:r>
          </w:p>
          <w:p w14:paraId="18F93070">
            <w:pPr>
              <w:numPr>
                <w:ilvl w:val="1"/>
                <w:numId w:val="0"/>
              </w:numPr>
              <w:adjustRightInd w:val="0"/>
              <w:snapToGrid w:val="0"/>
              <w:spacing w:line="360" w:lineRule="auto"/>
              <w:rPr>
                <w:rFonts w:hint="eastAsia" w:ascii="宋体" w:hAnsi="宋体" w:eastAsia="宋体" w:cs="宋体"/>
                <w:b/>
                <w:bCs/>
                <w:strike/>
                <w:color w:val="auto"/>
                <w:sz w:val="24"/>
                <w:szCs w:val="24"/>
                <w:highlight w:val="none"/>
              </w:rPr>
            </w:pPr>
            <w:r>
              <w:rPr>
                <w:rFonts w:hint="eastAsia" w:ascii="宋体" w:hAnsi="宋体" w:eastAsia="宋体" w:cs="宋体"/>
                <w:color w:val="auto"/>
                <w:sz w:val="24"/>
                <w:szCs w:val="24"/>
                <w:highlight w:val="none"/>
              </w:rPr>
              <w:t>★3.10.3.采用系统集成先进控制系统。相关参数可与电脑连接保存并自动生成分析曲线，并且温度、杀菌参数曲线可以无线远程查阅；实时</w:t>
            </w:r>
            <w:r>
              <w:rPr>
                <w:rFonts w:hint="eastAsia" w:ascii="宋体" w:hAnsi="宋体" w:eastAsia="宋体" w:cs="宋体"/>
                <w:b w:val="0"/>
                <w:bCs w:val="0"/>
                <w:color w:val="auto"/>
                <w:sz w:val="24"/>
                <w:szCs w:val="24"/>
                <w:highlight w:val="none"/>
              </w:rPr>
              <w:t>调控PID恒温控制技术，控温准确；温度波动：</w:t>
            </w:r>
            <w:r>
              <w:rPr>
                <w:rFonts w:ascii="宋体" w:hAnsi="宋体" w:eastAsia="宋体" w:cs="宋体"/>
                <w:b w:val="0"/>
                <w:bCs w:val="0"/>
                <w:color w:val="auto"/>
                <w:sz w:val="24"/>
                <w:szCs w:val="24"/>
                <w:highlight w:val="none"/>
              </w:rPr>
              <w:t>±0.3℃</w:t>
            </w:r>
            <w:r>
              <w:rPr>
                <w:rFonts w:hint="eastAsia" w:ascii="宋体" w:hAnsi="宋体" w:eastAsia="宋体" w:cs="宋体"/>
                <w:b w:val="0"/>
                <w:bCs w:val="0"/>
                <w:color w:val="auto"/>
                <w:sz w:val="24"/>
                <w:szCs w:val="24"/>
                <w:highlight w:val="none"/>
              </w:rPr>
              <w:t>（间接加热模式，以水测试），温度数据可下载；</w:t>
            </w:r>
          </w:p>
          <w:p w14:paraId="774609F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3.10.4.杀菌装置：过热水循环系统两组，分别控制预热段和加热段；</w:t>
            </w:r>
          </w:p>
          <w:p w14:paraId="417D4DAC">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3.10.5.容通颗粒：处理纤维长度：8-25 mm；可处理颗粒直径：软颗粒≤2mm； </w:t>
            </w:r>
          </w:p>
          <w:p w14:paraId="2F10E81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★3.10.6.</w:t>
            </w:r>
            <w:r>
              <w:rPr>
                <w:rFonts w:hint="eastAsia" w:ascii="宋体" w:hAnsi="宋体" w:eastAsia="宋体" w:cs="宋体"/>
                <w:color w:val="auto"/>
                <w:sz w:val="24"/>
                <w:szCs w:val="24"/>
                <w:highlight w:val="none"/>
                <w:lang w:val="en-US" w:eastAsia="zh-CN"/>
              </w:rPr>
              <w:t>持温</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val="en-US" w:eastAsia="zh-CN"/>
              </w:rPr>
              <w:t>配有</w:t>
            </w:r>
            <w:r>
              <w:rPr>
                <w:rFonts w:hint="eastAsia" w:ascii="宋体" w:hAnsi="宋体" w:eastAsia="宋体" w:cs="宋体"/>
                <w:color w:val="auto"/>
                <w:sz w:val="24"/>
                <w:szCs w:val="24"/>
                <w:highlight w:val="none"/>
              </w:rPr>
              <w:t>5S，10S，15S，30S，60S</w:t>
            </w:r>
            <w:r>
              <w:rPr>
                <w:rFonts w:hint="eastAsia" w:ascii="宋体" w:hAnsi="宋体" w:eastAsia="宋体" w:cs="宋体"/>
                <w:color w:val="auto"/>
                <w:sz w:val="24"/>
                <w:szCs w:val="24"/>
                <w:highlight w:val="none"/>
                <w:lang w:val="en-US" w:eastAsia="zh-CN"/>
              </w:rPr>
              <w:t>持温管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持温时间</w:t>
            </w:r>
            <w:r>
              <w:rPr>
                <w:rFonts w:hint="eastAsia" w:ascii="宋体" w:hAnsi="宋体" w:eastAsia="宋体" w:cs="宋体"/>
                <w:color w:val="auto"/>
                <w:sz w:val="24"/>
                <w:szCs w:val="24"/>
                <w:highlight w:val="none"/>
              </w:rPr>
              <w:t>可切换)；预热段杀菌段换热管采用波纹管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形成</w:t>
            </w:r>
            <w:r>
              <w:rPr>
                <w:rFonts w:hint="eastAsia" w:ascii="宋体" w:hAnsi="宋体" w:eastAsia="宋体" w:cs="宋体"/>
                <w:color w:val="auto"/>
                <w:sz w:val="24"/>
                <w:szCs w:val="24"/>
                <w:highlight w:val="none"/>
              </w:rPr>
              <w:t>湍流有</w:t>
            </w:r>
            <w:r>
              <w:rPr>
                <w:rFonts w:hint="eastAsia" w:ascii="宋体" w:hAnsi="宋体" w:eastAsia="宋体" w:cs="宋体"/>
                <w:b w:val="0"/>
                <w:bCs w:val="0"/>
                <w:color w:val="auto"/>
                <w:sz w:val="24"/>
                <w:szCs w:val="24"/>
                <w:highlight w:val="none"/>
              </w:rPr>
              <w:t>自清洗效果</w:t>
            </w:r>
            <w:r>
              <w:rPr>
                <w:rFonts w:hint="eastAsia" w:ascii="宋体" w:hAnsi="宋体" w:eastAsia="宋体" w:cs="宋体"/>
                <w:color w:val="auto"/>
                <w:sz w:val="24"/>
                <w:szCs w:val="24"/>
                <w:highlight w:val="none"/>
              </w:rPr>
              <w:t>。</w:t>
            </w:r>
            <w:r>
              <w:rPr>
                <w:rFonts w:hint="eastAsia" w:ascii="宋体" w:hAnsi="宋体" w:eastAsia="宋体" w:cs="宋体"/>
                <w:b/>
                <w:bCs/>
                <w:strike w:val="0"/>
                <w:color w:val="auto"/>
                <w:sz w:val="24"/>
                <w:szCs w:val="24"/>
                <w:highlight w:val="none"/>
              </w:rPr>
              <w:t>（投标时须提供</w:t>
            </w:r>
            <w:r>
              <w:rPr>
                <w:rFonts w:hint="eastAsia" w:ascii="宋体" w:hAnsi="宋体" w:eastAsia="宋体" w:cs="宋体"/>
                <w:b/>
                <w:bCs/>
                <w:strike w:val="0"/>
                <w:color w:val="auto"/>
                <w:sz w:val="24"/>
                <w:szCs w:val="24"/>
                <w:highlight w:val="none"/>
                <w:lang w:val="en-US" w:eastAsia="zh-CN"/>
              </w:rPr>
              <w:t>产品彩页及设备波纹管段</w:t>
            </w:r>
            <w:r>
              <w:rPr>
                <w:rFonts w:hint="eastAsia" w:ascii="宋体" w:hAnsi="宋体" w:eastAsia="宋体" w:cs="宋体"/>
                <w:b/>
                <w:bCs/>
                <w:strike w:val="0"/>
                <w:color w:val="auto"/>
                <w:sz w:val="24"/>
                <w:szCs w:val="24"/>
                <w:highlight w:val="none"/>
              </w:rPr>
              <w:t>实物照片供查验）</w:t>
            </w:r>
          </w:p>
          <w:p w14:paraId="15E87F9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3.10.7.灌装温度:25-90℃（可调节），最高压力≤10bar；</w:t>
            </w:r>
          </w:p>
          <w:p w14:paraId="5EDA6C0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★3.10.8.</w:t>
            </w:r>
            <w:r>
              <w:rPr>
                <w:rFonts w:hint="eastAsia"/>
                <w:color w:val="auto"/>
                <w:highlight w:val="none"/>
              </w:rPr>
              <w:t xml:space="preserve"> </w:t>
            </w:r>
            <w:r>
              <w:rPr>
                <w:rFonts w:ascii="宋体" w:hAnsi="宋体" w:eastAsia="宋体" w:cs="宋体"/>
                <w:color w:val="auto"/>
                <w:sz w:val="24"/>
                <w:szCs w:val="24"/>
                <w:highlight w:val="none"/>
              </w:rPr>
              <w:t>配5L料斗，带低液位自动补水和报警功能，带触摸屏控制，工艺流程、清洗工艺和生产工艺采用智能控制系统；</w:t>
            </w:r>
            <w:r>
              <w:rPr>
                <w:rFonts w:hint="eastAsia" w:ascii="宋体" w:hAnsi="宋体" w:eastAsia="宋体" w:cs="宋体"/>
                <w:b/>
                <w:bCs/>
                <w:color w:val="auto"/>
                <w:sz w:val="24"/>
                <w:szCs w:val="24"/>
                <w:highlight w:val="none"/>
              </w:rPr>
              <w:t>（</w:t>
            </w:r>
            <w:r>
              <w:rPr>
                <w:rFonts w:ascii="宋体" w:hAnsi="宋体" w:eastAsia="宋体" w:cs="宋体"/>
                <w:b/>
                <w:bCs/>
                <w:color w:val="auto"/>
                <w:sz w:val="24"/>
                <w:szCs w:val="24"/>
                <w:highlight w:val="none"/>
              </w:rPr>
              <w:t>投标时须提供操作界面功能截图）</w:t>
            </w:r>
          </w:p>
          <w:p w14:paraId="77772F5E">
            <w:pPr>
              <w:numPr>
                <w:ilvl w:val="1"/>
                <w:numId w:val="0"/>
              </w:numPr>
              <w:adjustRightInd w:val="0"/>
              <w:snapToGrid w:val="0"/>
              <w:spacing w:line="360" w:lineRule="auto"/>
              <w:rPr>
                <w:rFonts w:hint="eastAsia" w:ascii="宋体" w:hAnsi="宋体" w:eastAsia="宋体" w:cs="宋体"/>
                <w:color w:val="auto"/>
                <w:sz w:val="24"/>
                <w:szCs w:val="24"/>
                <w:highlight w:val="none"/>
              </w:rPr>
            </w:pPr>
            <w:bookmarkStart w:id="39" w:name="_GoBack"/>
            <w:r>
              <w:rPr>
                <w:rFonts w:hint="eastAsia" w:ascii="宋体" w:hAnsi="宋体" w:eastAsia="宋体" w:cs="宋体"/>
                <w:color w:val="auto"/>
                <w:sz w:val="24"/>
                <w:szCs w:val="24"/>
                <w:highlight w:val="none"/>
                <w:lang w:val="en-US" w:eastAsia="zh-CN"/>
              </w:rPr>
              <w:t>■</w:t>
            </w:r>
            <w:bookmarkEnd w:id="39"/>
            <w:r>
              <w:rPr>
                <w:rFonts w:hint="eastAsia" w:ascii="宋体" w:hAnsi="宋体" w:eastAsia="宋体" w:cs="宋体"/>
                <w:color w:val="auto"/>
                <w:sz w:val="24"/>
                <w:szCs w:val="24"/>
                <w:highlight w:val="none"/>
              </w:rPr>
              <w:t>3.10.9.配置：螺杆泵</w:t>
            </w:r>
            <w:r>
              <w:rPr>
                <w:rFonts w:hint="eastAsia" w:ascii="宋体" w:hAnsi="宋体" w:eastAsia="宋体" w:cs="宋体"/>
                <w:color w:val="auto"/>
                <w:sz w:val="24"/>
                <w:szCs w:val="24"/>
                <w:highlight w:val="none"/>
                <w:lang w:val="en-US" w:eastAsia="zh-CN"/>
              </w:rPr>
              <w:t>1件</w:t>
            </w:r>
            <w:r>
              <w:rPr>
                <w:rFonts w:hint="eastAsia" w:ascii="宋体" w:hAnsi="宋体" w:eastAsia="宋体" w:cs="宋体"/>
                <w:color w:val="auto"/>
                <w:sz w:val="24"/>
                <w:szCs w:val="24"/>
                <w:highlight w:val="none"/>
              </w:rPr>
              <w:t>、气动</w:t>
            </w:r>
            <w:r>
              <w:rPr>
                <w:rFonts w:hint="eastAsia" w:ascii="宋体" w:hAnsi="宋体" w:eastAsia="宋体" w:cs="宋体"/>
                <w:color w:val="auto"/>
                <w:sz w:val="24"/>
                <w:szCs w:val="24"/>
                <w:highlight w:val="none"/>
                <w:lang w:val="en-US" w:eastAsia="zh-CN"/>
              </w:rPr>
              <w:t>三通</w:t>
            </w:r>
            <w:r>
              <w:rPr>
                <w:rFonts w:hint="eastAsia" w:ascii="宋体" w:hAnsi="宋体" w:eastAsia="宋体" w:cs="宋体"/>
                <w:color w:val="auto"/>
                <w:sz w:val="24"/>
                <w:szCs w:val="24"/>
                <w:highlight w:val="none"/>
              </w:rPr>
              <w:t>换向阀</w:t>
            </w:r>
            <w:r>
              <w:rPr>
                <w:rFonts w:hint="eastAsia" w:ascii="宋体" w:hAnsi="宋体" w:eastAsia="宋体" w:cs="宋体"/>
                <w:color w:val="auto"/>
                <w:sz w:val="24"/>
                <w:szCs w:val="24"/>
                <w:highlight w:val="none"/>
                <w:lang w:val="en-US" w:eastAsia="zh-CN"/>
              </w:rPr>
              <w:t>2件</w:t>
            </w:r>
            <w:r>
              <w:rPr>
                <w:rFonts w:hint="eastAsia" w:ascii="宋体" w:hAnsi="宋体" w:eastAsia="宋体" w:cs="宋体"/>
                <w:color w:val="auto"/>
                <w:sz w:val="24"/>
                <w:szCs w:val="24"/>
                <w:highlight w:val="none"/>
              </w:rPr>
              <w:t>、隔膜阀</w:t>
            </w:r>
            <w:r>
              <w:rPr>
                <w:rFonts w:hint="eastAsia" w:ascii="宋体" w:hAnsi="宋体" w:eastAsia="宋体" w:cs="宋体"/>
                <w:color w:val="auto"/>
                <w:sz w:val="24"/>
                <w:szCs w:val="24"/>
                <w:highlight w:val="none"/>
                <w:lang w:val="en-US" w:eastAsia="zh-CN"/>
              </w:rPr>
              <w:t>2件</w:t>
            </w:r>
            <w:r>
              <w:rPr>
                <w:rFonts w:hint="eastAsia" w:ascii="宋体" w:hAnsi="宋体" w:eastAsia="宋体" w:cs="宋体"/>
                <w:color w:val="auto"/>
                <w:sz w:val="24"/>
                <w:szCs w:val="24"/>
                <w:highlight w:val="none"/>
              </w:rPr>
              <w:t>、安全阀</w:t>
            </w:r>
            <w:r>
              <w:rPr>
                <w:rFonts w:hint="eastAsia" w:ascii="宋体" w:hAnsi="宋体" w:eastAsia="宋体" w:cs="宋体"/>
                <w:color w:val="auto"/>
                <w:sz w:val="24"/>
                <w:szCs w:val="24"/>
                <w:highlight w:val="none"/>
                <w:lang w:val="en-US" w:eastAsia="zh-CN"/>
              </w:rPr>
              <w:t>1件</w:t>
            </w:r>
            <w:r>
              <w:rPr>
                <w:rFonts w:hint="eastAsia" w:ascii="宋体" w:hAnsi="宋体" w:eastAsia="宋体" w:cs="宋体"/>
                <w:color w:val="auto"/>
                <w:sz w:val="24"/>
                <w:szCs w:val="24"/>
                <w:highlight w:val="none"/>
              </w:rPr>
              <w:t>、压力传感器</w:t>
            </w:r>
            <w:r>
              <w:rPr>
                <w:rFonts w:hint="eastAsia" w:ascii="宋体" w:hAnsi="宋体" w:eastAsia="宋体" w:cs="宋体"/>
                <w:color w:val="auto"/>
                <w:sz w:val="24"/>
                <w:szCs w:val="24"/>
                <w:highlight w:val="none"/>
                <w:lang w:val="en-US" w:eastAsia="zh-CN"/>
              </w:rPr>
              <w:t>1件</w:t>
            </w:r>
            <w:r>
              <w:rPr>
                <w:rFonts w:hint="eastAsia" w:ascii="宋体" w:hAnsi="宋体" w:eastAsia="宋体" w:cs="宋体"/>
                <w:color w:val="auto"/>
                <w:sz w:val="24"/>
                <w:szCs w:val="24"/>
                <w:highlight w:val="none"/>
              </w:rPr>
              <w:t>、热水循环泵</w:t>
            </w:r>
            <w:r>
              <w:rPr>
                <w:rFonts w:hint="eastAsia" w:ascii="宋体" w:hAnsi="宋体" w:eastAsia="宋体" w:cs="宋体"/>
                <w:color w:val="auto"/>
                <w:sz w:val="24"/>
                <w:szCs w:val="24"/>
                <w:highlight w:val="none"/>
                <w:lang w:val="en-US" w:eastAsia="zh-CN"/>
              </w:rPr>
              <w:t>2件</w:t>
            </w:r>
            <w:r>
              <w:rPr>
                <w:rFonts w:hint="eastAsia" w:ascii="宋体" w:hAnsi="宋体" w:eastAsia="宋体" w:cs="宋体"/>
                <w:color w:val="auto"/>
                <w:sz w:val="24"/>
                <w:szCs w:val="24"/>
                <w:highlight w:val="none"/>
              </w:rPr>
              <w:t>；</w:t>
            </w:r>
          </w:p>
          <w:p w14:paraId="663F523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3.10.10.螺杆泵技术参数：转子材质为≥316L，定子材质为食品级橡胶。出口压力≤10bar；启动力矩≤3.8 NM；工作力矩≤2.6 NM；功率≤0.75 kw；防护等级：≥IP55；轴封：单端面机械密封；润滑：食用油润滑；密封材质：NBR；进出接口Φ25；数量1台；</w:t>
            </w:r>
          </w:p>
          <w:p w14:paraId="1A285CD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3.10.11.气动三通换向阀技术参数：阀体材质：316L不锈钢；驱动气压：5.0～8.0bar；耐物料压力≤10bar；耐物料温度≤160℃；数量：2个；</w:t>
            </w:r>
          </w:p>
          <w:p w14:paraId="0CAEC12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3.10.12.设备采取信号联动控制，达到无损运行状态。</w:t>
            </w:r>
          </w:p>
          <w:p w14:paraId="76BCCA7E">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3.11.柔性无菌灌装机</w:t>
            </w:r>
          </w:p>
          <w:p w14:paraId="60AE626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在UHT超高温瞬时杀菌机之后，用于物料自动无菌灌装。设备配备传递窗、百级无菌灌装室、协作机器手、伺服旋盖器，通过传递窗将包材脱包消毒后传递至灌装室，灌装室提供无菌灌装环境，通过协作机械手、旋盖器实现瓶子自动抓取、自动灌装、自动旋盖，也可通过快速更换夹具实现不同瓶型样品灌装，⽤于批量制作样品。</w:t>
            </w:r>
          </w:p>
          <w:p w14:paraId="34A66B39">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★3.11.1.协作机器手：6轴，工作半径600mm，负载5kg；</w:t>
            </w:r>
            <w:r>
              <w:rPr>
                <w:rFonts w:hint="eastAsia" w:ascii="宋体" w:hAnsi="宋体" w:eastAsia="宋体" w:cs="宋体"/>
                <w:b/>
                <w:bCs/>
                <w:color w:val="auto"/>
                <w:sz w:val="24"/>
                <w:szCs w:val="24"/>
                <w:highlight w:val="none"/>
              </w:rPr>
              <w:t xml:space="preserve"> </w:t>
            </w:r>
          </w:p>
          <w:p w14:paraId="05CD6C4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3.11.2.支持碰撞检测，拖动示教；</w:t>
            </w:r>
          </w:p>
          <w:p w14:paraId="0AE62CE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3.11.3.伺服旋盖器：扭力≤1.5Nm，转速≤180r/min；</w:t>
            </w:r>
          </w:p>
          <w:p w14:paraId="6A0DC96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3.11.4.无菌灌装室：空气净化程度≤100级；</w:t>
            </w:r>
          </w:p>
          <w:p w14:paraId="601DF78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3.11.5.适用瓶型：300-500mL PET瓶；灌装头数：2；</w:t>
            </w:r>
          </w:p>
          <w:p w14:paraId="5A83364E">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★3.11.6.灌装速度：≥100瓶/小时(300-500mL)，协作机器手自动灌装与超高温瞬时杀菌UHT主机完全配套；</w:t>
            </w:r>
            <w:r>
              <w:rPr>
                <w:rFonts w:hint="eastAsia" w:ascii="宋体" w:hAnsi="宋体" w:eastAsia="宋体" w:cs="宋体"/>
                <w:b/>
                <w:bCs/>
                <w:color w:val="auto"/>
                <w:sz w:val="24"/>
                <w:szCs w:val="24"/>
                <w:highlight w:val="none"/>
              </w:rPr>
              <w:t>（投标时须提供</w:t>
            </w:r>
            <w:r>
              <w:rPr>
                <w:rFonts w:hint="eastAsia" w:ascii="宋体" w:hAnsi="宋体" w:eastAsia="宋体" w:cs="宋体"/>
                <w:b/>
                <w:bCs/>
                <w:color w:val="auto"/>
                <w:sz w:val="24"/>
                <w:szCs w:val="24"/>
                <w:highlight w:val="none"/>
                <w:lang w:val="en-US" w:eastAsia="zh-CN"/>
              </w:rPr>
              <w:t>证明材料</w:t>
            </w:r>
            <w:r>
              <w:rPr>
                <w:rFonts w:hint="eastAsia" w:ascii="宋体" w:hAnsi="宋体" w:eastAsia="宋体" w:cs="宋体"/>
                <w:b/>
                <w:bCs/>
                <w:color w:val="auto"/>
                <w:sz w:val="24"/>
                <w:szCs w:val="24"/>
                <w:highlight w:val="none"/>
              </w:rPr>
              <w:t>）</w:t>
            </w:r>
          </w:p>
          <w:p w14:paraId="799167E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3.11.7.噪⾳：≤60db(A)；</w:t>
            </w:r>
          </w:p>
          <w:p w14:paraId="2B12E4F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3.11.8.电源：单相220V 50Hz；</w:t>
            </w:r>
          </w:p>
          <w:p w14:paraId="3C2A03E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3.11.9.工作区尺寸：≥1220(L)×700(W)×800(H)mm；</w:t>
            </w:r>
          </w:p>
          <w:p w14:paraId="2F2A4A6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3.11.10.整体尺寸：≥1280(L)×800(W)×1850(H)mm。</w:t>
            </w:r>
          </w:p>
          <w:p w14:paraId="25F59E05">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3.12.离心喷雾干燥机</w:t>
            </w:r>
          </w:p>
          <w:p w14:paraId="6F4CB4D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3.12.1.热源：电加热；</w:t>
            </w:r>
          </w:p>
          <w:p w14:paraId="1198FB9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3.12.2.物料收集系统：一级旋风分离器；</w:t>
            </w:r>
          </w:p>
          <w:p w14:paraId="1B4BD4F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3.12.3.循环系统：开式循环；</w:t>
            </w:r>
          </w:p>
          <w:p w14:paraId="249AD9F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3.12.4.过滤系统：初中效过滤器；</w:t>
            </w:r>
          </w:p>
          <w:p w14:paraId="187E42E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3.12.5.进料系统：蠕动泵；</w:t>
            </w:r>
          </w:p>
          <w:p w14:paraId="38C6608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3.12.6.控制系统：触摸屏加PLC；</w:t>
            </w:r>
          </w:p>
          <w:p w14:paraId="0C6C3B0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3.12.7.水分最大蒸发能力：≥5kg/H；</w:t>
            </w:r>
          </w:p>
          <w:p w14:paraId="7EC625D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3.12.8.入口温度：160℃～250℃；</w:t>
            </w:r>
          </w:p>
          <w:p w14:paraId="25DF607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3.12.9.出口温度：80℃～100℃；</w:t>
            </w:r>
          </w:p>
          <w:p w14:paraId="4C75F65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3.12.10.电加热功率：≥18kW。</w:t>
            </w:r>
          </w:p>
          <w:p w14:paraId="007563D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3.12.11.缓冲罐材质304不锈钢，容积≥50L,米勒板夹套热水恒温，外加聚氨酯保温，附液位视窗，温度显示，取样阀，结构为封闭式，罐身2B板材，锥顶锥底，顶部配洁净呼吸器，配备静压液位计；</w:t>
            </w:r>
          </w:p>
          <w:p w14:paraId="52FF49E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3.12.12.泵头；配用25#软管，内径4.8mm，外径8.0mm长2m；</w:t>
            </w:r>
          </w:p>
          <w:p w14:paraId="695630C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3.12.13.开式循环系统、蠕动泵稳定送料、一级旋风除尘、离心式雾化等组成；</w:t>
            </w:r>
          </w:p>
          <w:p w14:paraId="3117563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3.12.14.设备采取联动控制，达到无损运行状态。</w:t>
            </w:r>
          </w:p>
          <w:p w14:paraId="41E6FCB1">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3.13.纯水生成系统 </w:t>
            </w:r>
          </w:p>
          <w:p w14:paraId="2A85C37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3.13.1.主体采用304材质制作；</w:t>
            </w:r>
          </w:p>
          <w:p w14:paraId="788D924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3.13.2.自动运行，自动冲洗，一键启动，无需专人看护；</w:t>
            </w:r>
          </w:p>
          <w:p w14:paraId="4CF9EAD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3.13.3.产能：≥250L/h；</w:t>
            </w:r>
          </w:p>
          <w:p w14:paraId="38C1883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3.13.4.自动运行。原水电导率≤400μs/cm，处理后电导率≤10μs/cm；</w:t>
            </w:r>
          </w:p>
          <w:p w14:paraId="0CF0A69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3.13.5.流量为≥1T/H，设备扬程为：≥24m，设备功率≥1.1kW，机械密封为碳化硅材质；</w:t>
            </w:r>
          </w:p>
          <w:p w14:paraId="69FF06C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3.13.6.设备包含：原水罐纯水罐各一式，原水泵，石英砂过滤器，活性炭过滤器, 反渗透装置,精密过滤器各一式。</w:t>
            </w:r>
          </w:p>
          <w:p w14:paraId="333DA5AF">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3.14.蒸汽发生器 </w:t>
            </w:r>
          </w:p>
          <w:p w14:paraId="2FEE270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3.14.1.分体式设计，安装移位方便；</w:t>
            </w:r>
          </w:p>
          <w:p w14:paraId="6CF34B0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3.14.2.液位自动控制、自动加水，可以连续不间断生产；</w:t>
            </w:r>
          </w:p>
          <w:p w14:paraId="30D7226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3.14.3.置有压力限额和安全阀双重保护保护不锈钢内胆，液位自动控制、自动加水；</w:t>
            </w:r>
          </w:p>
          <w:p w14:paraId="179727B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3.14.4.设备蒸汽压力：0.7MPa，蒸汽温度≥170℃，装机容量为：≥36kW；</w:t>
            </w:r>
          </w:p>
          <w:p w14:paraId="38C0C39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3.14.5.蒸汽产生量为：≥51kg/h。</w:t>
            </w:r>
          </w:p>
          <w:p w14:paraId="477489E1">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3.15.空压机系统</w:t>
            </w:r>
          </w:p>
          <w:p w14:paraId="1F6AC15E">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3.15.1.包含：空压机≥3kW，储气罐，冷干机，过滤器；</w:t>
            </w:r>
          </w:p>
          <w:p w14:paraId="76C4F80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3.15.2.机型：医用无油级；</w:t>
            </w:r>
          </w:p>
          <w:p w14:paraId="1087937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3.15.3.产气量：≥420L/分，0.7MPa；</w:t>
            </w:r>
          </w:p>
          <w:p w14:paraId="527FEE3A">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3.15.4.储气罐容积：≥150L；</w:t>
            </w:r>
          </w:p>
          <w:p w14:paraId="2CC5E0E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3.15.5.最大产气值≤600L/min；压力≤0.4Mpa。噪音：&lt;60dB(A)；</w:t>
            </w:r>
          </w:p>
          <w:p w14:paraId="171B0DFB">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3.15.6.外形尺寸：≥1350×500×880mm。</w:t>
            </w:r>
          </w:p>
          <w:p w14:paraId="5E006A0D">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3.16.冰水机组</w:t>
            </w:r>
          </w:p>
          <w:p w14:paraId="4ACCFCB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3.16.1.风冷式冷水机组；</w:t>
            </w:r>
          </w:p>
          <w:p w14:paraId="5464186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3.16.2.压缩机：柔性涡旋式；</w:t>
            </w:r>
          </w:p>
          <w:p w14:paraId="1398DF1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3.16.3.制冷量≥29.5kW，水流量≥5.1m³/h；出水温度≥7℃；</w:t>
            </w:r>
          </w:p>
          <w:p w14:paraId="711F609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3.16.4.冷凝器：高效内螺纹铜管翅片式；</w:t>
            </w:r>
          </w:p>
          <w:p w14:paraId="475E464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3.16.5.配不锈钢水泵、配水箱；与产能配套；冰水罐一式；</w:t>
            </w:r>
          </w:p>
          <w:p w14:paraId="13EA4BF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3.16.6.流量为≥1T/H，设备扬程为：≥24m，设备功率≥1.1kW，机械密封为碳化硅材质；</w:t>
            </w:r>
          </w:p>
          <w:p w14:paraId="31B015C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3.16.7.安全保护：高低压、过载、防冻、延时、超温、流量保护。</w:t>
            </w:r>
          </w:p>
          <w:p w14:paraId="7046D818">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3.17.夹套热水系统  </w:t>
            </w:r>
          </w:p>
          <w:p w14:paraId="7E0D91A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3.17.1.设备主体材质均采用304不锈钢材质；</w:t>
            </w:r>
          </w:p>
          <w:p w14:paraId="1252FCB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3.17.2.设备有效容积为：≥20L，双层保温，带保温，电加热，板材厚度为：内层3mm,外层1.5mm；</w:t>
            </w:r>
          </w:p>
          <w:p w14:paraId="1EDEB7F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3.17.3.结锥底，锥顶，罐身 2B 板材，顶部配洁净呼吸器；</w:t>
            </w:r>
          </w:p>
          <w:p w14:paraId="1EB0EB4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3.17.4.内外焊缝抛光，配备静压液位计；</w:t>
            </w:r>
          </w:p>
          <w:p w14:paraId="5D0A837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3.17.5.流量为≥1T/H，设备扬程为：≥24m，设备功率≥1.1kW，机械密封为碳化硅材质。</w:t>
            </w:r>
          </w:p>
          <w:p w14:paraId="0F6066AE">
            <w:pPr>
              <w:numPr>
                <w:ilvl w:val="1"/>
                <w:numId w:val="0"/>
              </w:num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3.18.CIP系统</w:t>
            </w:r>
          </w:p>
          <w:p w14:paraId="4CC379F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3.18.1.CIP系统—酸罐:设备主体材质均采用304不锈钢材质，设备有效容积为：≥100L，双层保温，板材厚度为：内层≥3mm,外层≥1.5mm。结锥底，锥顶，罐身 2B 板材，顶部配呼吸器；</w:t>
            </w:r>
          </w:p>
          <w:p w14:paraId="757ADF4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3.18.2.CIP系统—碱罐:设备主体材质均采用304不锈钢材质，设备有效容积为：≥100L，双层保温，板材厚度为：内层≥3mm,外层≥1.5mm。结锥底，锥顶，罐身 2B 板材，顶部配呼吸器；</w:t>
            </w:r>
          </w:p>
          <w:p w14:paraId="6A8C441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3.18.3.CIP系统—热水罐:设备主体材质均采用304不锈钢材质，设备有效容积为：≥100L，双层保温，板材厚度为：内层≥3mm,外层≥1.5mm。结锥底，锥顶，罐身 2B 板材，顶部配呼吸器；</w:t>
            </w:r>
          </w:p>
          <w:p w14:paraId="591F54C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3.18.4.CIP系统—板式换热器:主体采用304不锈钢材质制作，间壁式换热器；密封为食品级硅橡胶，换热面积为≥2㎡，接口尺寸：DN25；</w:t>
            </w:r>
          </w:p>
          <w:p w14:paraId="461435F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3.18.5.CIP系统—蒸汽阀组及温控：减压阀、比例阀。疏水阀、过滤器、截止阀、气动碟阀；</w:t>
            </w:r>
          </w:p>
          <w:p w14:paraId="5E019471">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3.18.6.CIP系统—出口泵主体采用304不锈钢材质制作，流量为≥1T/H，设备扬程为：≥24m，设备功率≥1.1kW。机械密封为碳化硅材质。电机防护等级≥IP54；</w:t>
            </w:r>
          </w:p>
          <w:p w14:paraId="23E402F6">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3.18.7.CIP系统—配自动加酸/加碱系统、隔膜泵；</w:t>
            </w:r>
          </w:p>
          <w:p w14:paraId="40B88C1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3.18.8.CIP系统—配移动小车(含酸碱桶)，材质304不锈钢；</w:t>
            </w:r>
          </w:p>
          <w:p w14:paraId="4952983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3.18.9.CIP系统—配流量开关，介质温度：-25—95℃；</w:t>
            </w:r>
          </w:p>
          <w:p w14:paraId="4F303EC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3.18.10.CIP系统—配电导率计；</w:t>
            </w:r>
          </w:p>
          <w:p w14:paraId="43573FA3">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3.18.11.CIP系统—配电磁流量计，法兰连接，不锈钢外壳，耐压≥2.5MP，DC 24V电源，≥IP68防护等级；</w:t>
            </w:r>
          </w:p>
          <w:p w14:paraId="34C55512">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3.18.12.CIP系统—回程泵主体采用304不锈钢材质制作，流量为≥1T/H，设备扬程为：≥24m，设备功率≥1.1kW。机械密封为碳化硅材质。电机防护等级≥IP54。</w:t>
            </w:r>
          </w:p>
          <w:p w14:paraId="074E471E">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3.19.氮气保护系统</w:t>
            </w:r>
          </w:p>
          <w:p w14:paraId="1BFCC735">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3.19.1.包含空压机系统、压缩空气净化系统、PSA吸附系统、氮气缓冲系统、氮气管路；</w:t>
            </w:r>
          </w:p>
          <w:p w14:paraId="5D9339C7">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3.19.2.制氮机是根据变压吸附原理，先由空压机将空气经压缩机压缩至所需压力进入空气储罐，使空气压力变化比较平稳缓解成静压力，经空气储罐除去压缩空气中的大量液态水和油，再经由空气处理系统冷干机,四级过滤除去压缩空气中的水、油、粉尘，将原料空气变成为洁净而稳定的压缩空气，再经过PSA变压吸附制氮装置，生产出氮气；</w:t>
            </w:r>
          </w:p>
          <w:p w14:paraId="5C760F7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3.19.3.氮气纯度：99.9%-99.999%；</w:t>
            </w:r>
          </w:p>
          <w:p w14:paraId="339D492F">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3.19.4.氮气输出压力：&lt;0.6MPa；</w:t>
            </w:r>
          </w:p>
          <w:p w14:paraId="4E1480FD">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3.19.5.空气输入压力：&lt;0.8MPa。</w:t>
            </w:r>
          </w:p>
          <w:p w14:paraId="3260535A">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3.20.中试生产线集中控制系统 </w:t>
            </w:r>
          </w:p>
          <w:p w14:paraId="3E764274">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3.20.1.电控柜采用304材质制作，防护等级≥IP44，实施系统物料传送、信号转换等控制，控制系统采用人机界面控制；</w:t>
            </w:r>
          </w:p>
          <w:p w14:paraId="18F63F28">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3.20.2.电控柜外形尺寸：≥800×600×2000mm。配备PLC编程控制器，人机界面触摸屏，变频器，按钮和开关，电磁阀、三联件等气动元件，低压电气，继电器等。</w:t>
            </w:r>
          </w:p>
          <w:p w14:paraId="03D9A200">
            <w:pPr>
              <w:numPr>
                <w:ilvl w:val="1"/>
                <w:numId w:val="0"/>
              </w:numPr>
              <w:adjustRightInd w:val="0"/>
              <w:snapToGrid w:val="0"/>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3.21.智慧数字平台</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包含100寸显示屏1个</w:t>
            </w:r>
            <w:r>
              <w:rPr>
                <w:rFonts w:hint="eastAsia" w:ascii="宋体" w:hAnsi="宋体" w:eastAsia="宋体" w:cs="宋体"/>
                <w:b/>
                <w:bCs/>
                <w:color w:val="auto"/>
                <w:sz w:val="24"/>
                <w:szCs w:val="24"/>
                <w:highlight w:val="none"/>
                <w:lang w:eastAsia="zh-CN"/>
              </w:rPr>
              <w:t>）</w:t>
            </w:r>
          </w:p>
          <w:p w14:paraId="2F1FABEC">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3.21.1.整线数据采集系统:通过网络互联互通，把整线含控制系统的设备通过TCP</w:t>
            </w: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IP的方式数据采集，总控PLC和各单机设备PLC进行数据交换，供上位软件的监控显示和数据应用，主要含PLC系统，数据服务器，显示器，网络平台搭建，交换机网关设备，协议转换设备，能源采集的仪表等硬件部分。</w:t>
            </w:r>
          </w:p>
          <w:p w14:paraId="55EB5D79">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3.21.2.可视化系统:采用大屏幕系统，操作和显示单元，便于人员远程查看和操作。显示设备运行状态，实时更新运行数据便于监控生产过程和管理产品质量。历史数据单元，可以查看以往运行数据和报警信息，便于分析和制定设备维护计划。</w:t>
            </w:r>
          </w:p>
          <w:p w14:paraId="09915BA0">
            <w:pPr>
              <w:numPr>
                <w:ilvl w:val="1"/>
                <w:numId w:val="0"/>
              </w:numPr>
              <w:adjustRightInd w:val="0"/>
              <w:snapToGrid w:val="0"/>
              <w:spacing w:line="360" w:lineRule="auto"/>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3.21.3.智能化管理软件:配套生产线设备，配方功能单元，可以提供生产配方的新建、修改、存储功能。便于管理生产和数字化生产，减小生产中由于人为因素造成的误差。数据记录功能，可以记录登录人员信息、生产运行数据、设备故障信息、检修信息等，方便后期数据的查询和追溯。主要数据和信息可以通过互联网发邮件提醒，可以存储日志和发送日志等。</w:t>
            </w:r>
          </w:p>
          <w:p w14:paraId="5EDDB81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3.22.中试净化室</w:t>
            </w:r>
          </w:p>
          <w:p w14:paraId="7A680ECB">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3.22.1</w:t>
            </w:r>
            <w:r>
              <w:rPr>
                <w:rFonts w:hint="eastAsia" w:ascii="宋体" w:hAnsi="宋体" w:eastAsia="宋体" w:cs="宋体"/>
                <w:color w:val="auto"/>
                <w:sz w:val="24"/>
                <w:szCs w:val="24"/>
                <w:highlight w:val="none"/>
                <w:lang w:val="en-US" w:eastAsia="zh-CN"/>
              </w:rPr>
              <w:t xml:space="preserve"> 按实验室要求合理摆放设备。</w:t>
            </w:r>
          </w:p>
          <w:p w14:paraId="026364A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满足实验洁净环境、更衣室、风淋室、辅机间、原料间、称量间、净化间、纯水间、留样室等实验功能要求。</w:t>
            </w:r>
          </w:p>
          <w:p w14:paraId="15A8BD6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满足实验环境光线、温度、空气洁净度、风淋系统、功能分区（参观通道、观察窗、分隔门窗、顶部等），符合食品加工要求。</w:t>
            </w:r>
          </w:p>
          <w:p w14:paraId="6C89F4EA">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满足对空气进行冷却、干燥、加热、加湿、过滤、净化、照明、排风等要求。需配备必要的钢制密闭单门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逃生门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中空洁净窗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电子联锁传递窗。</w:t>
            </w:r>
          </w:p>
          <w:p w14:paraId="326C3D7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风淋系统：单人单吹风淋室，参考尺寸≥1200×900×2200mm,SUS304不锈钢材质。</w:t>
            </w:r>
          </w:p>
          <w:p w14:paraId="0D24F93B">
            <w:p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3.22.6</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净化照明：尺寸≥1200*300mm，双管，功率≥18W，包含应急双头灯，功率≥5W；洁净型应急疏散指示标志灯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所有配置需满足实验室照明要求。</w:t>
            </w:r>
          </w:p>
          <w:p w14:paraId="7D871A0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3.22.7</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不锈钢鞋凳，不锈钢6门更衣柜，自动感应烘手器，手消毒器，消毒池，洗手池等</w:t>
            </w:r>
          </w:p>
          <w:p w14:paraId="05BE60A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3.22.8</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项目需确保实验区域功能齐全，用户单位只需要提供人员和样品即</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开展实验工作。</w:t>
            </w:r>
          </w:p>
          <w:p w14:paraId="428909E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rPr>
              <w:t>投标人可自行考察现场，联系人：孙老师0551-65786401，整体净化室实施产生的费用包含在投标报价内。如投标人因未考察现场而导致中标后无法履约，由投标人自行承担因此造成的一切后果。</w:t>
            </w:r>
          </w:p>
        </w:tc>
        <w:tc>
          <w:tcPr>
            <w:tcW w:w="784" w:type="dxa"/>
            <w:vAlign w:val="center"/>
          </w:tcPr>
          <w:p w14:paraId="3E2ED85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00" w:type="dxa"/>
            <w:vAlign w:val="center"/>
          </w:tcPr>
          <w:p w14:paraId="68B806E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c>
          <w:tcPr>
            <w:tcW w:w="892" w:type="dxa"/>
            <w:vAlign w:val="center"/>
          </w:tcPr>
          <w:p w14:paraId="0A5BDF5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bl>
    <w:p w14:paraId="2674A08F">
      <w:pPr>
        <w:widowControl w:val="0"/>
        <w:ind w:left="482" w:hanging="482" w:hangingChars="200"/>
        <w:contextualSpacing/>
        <w:jc w:val="both"/>
        <w:rPr>
          <w:rFonts w:hint="eastAsia" w:ascii="宋体" w:hAnsi="宋体" w:eastAsia="宋体" w:cs="宋体"/>
          <w:b/>
          <w:bCs/>
          <w:color w:val="auto"/>
          <w:kern w:val="2"/>
          <w:sz w:val="24"/>
          <w:szCs w:val="24"/>
          <w:highlight w:val="none"/>
          <w:lang w:val="en-US" w:eastAsia="zh-CN" w:bidi="ar-SA"/>
        </w:rPr>
      </w:pPr>
    </w:p>
    <w:p w14:paraId="65F22F5F">
      <w:pPr>
        <w:widowControl w:val="0"/>
        <w:wordWrap w:val="0"/>
        <w:spacing w:before="156" w:beforeLines="50" w:after="156" w:afterLines="50"/>
        <w:ind w:left="0" w:firstLine="640" w:firstLineChars="200"/>
        <w:jc w:val="both"/>
        <w:rPr>
          <w:rFonts w:hint="eastAsia" w:ascii="Times New Roman" w:hAnsi="@仿宋_GB2312" w:eastAsia="黑体" w:cs="Times New Roman"/>
          <w:color w:val="auto"/>
          <w:kern w:val="2"/>
          <w:sz w:val="32"/>
          <w:highlight w:val="none"/>
          <w:lang w:val="en-US" w:eastAsia="zh-CN" w:bidi="ar-SA"/>
        </w:rPr>
      </w:pPr>
      <w:bookmarkStart w:id="18" w:name="_Toc1101062245"/>
      <w:bookmarkStart w:id="19" w:name="_Toc902728931"/>
      <w:bookmarkStart w:id="20" w:name="_Toc1520309192"/>
      <w:bookmarkStart w:id="21" w:name="_Toc1814319857"/>
      <w:bookmarkStart w:id="22" w:name="_Toc1900587714"/>
      <w:bookmarkStart w:id="23" w:name="_Toc1061105159_WPSOffice_Level2"/>
      <w:bookmarkStart w:id="24" w:name="_Toc13384869"/>
      <w:bookmarkStart w:id="25" w:name="_Toc49042126"/>
      <w:r>
        <w:rPr>
          <w:rFonts w:hint="eastAsia" w:ascii="Times New Roman" w:hAnsi="@仿宋_GB2312" w:eastAsia="黑体" w:cs="Times New Roman"/>
          <w:color w:val="auto"/>
          <w:kern w:val="2"/>
          <w:sz w:val="32"/>
          <w:highlight w:val="none"/>
          <w:lang w:val="en-US" w:eastAsia="zh-CN" w:bidi="ar-SA"/>
        </w:rPr>
        <w:t>三、报价要求</w:t>
      </w:r>
      <w:bookmarkEnd w:id="18"/>
      <w:bookmarkEnd w:id="19"/>
      <w:bookmarkEnd w:id="20"/>
      <w:bookmarkEnd w:id="21"/>
      <w:bookmarkEnd w:id="22"/>
      <w:bookmarkEnd w:id="23"/>
      <w:bookmarkEnd w:id="24"/>
      <w:bookmarkEnd w:id="25"/>
    </w:p>
    <w:p w14:paraId="4098870B">
      <w:pPr>
        <w:wordWrap w:val="0"/>
        <w:spacing w:line="360" w:lineRule="auto"/>
        <w:ind w:firstLine="480" w:firstLineChars="200"/>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本项目报总价，投标报价</w:t>
      </w:r>
      <w:r>
        <w:rPr>
          <w:rFonts w:ascii="宋体" w:hAnsi="宋体" w:eastAsia="宋体" w:cs="宋体"/>
          <w:color w:val="auto"/>
          <w:sz w:val="24"/>
          <w:szCs w:val="18"/>
          <w:highlight w:val="none"/>
        </w:rPr>
        <w:t>包括</w:t>
      </w:r>
      <w:r>
        <w:rPr>
          <w:rFonts w:hint="eastAsia" w:ascii="宋体" w:hAnsi="宋体" w:eastAsia="宋体" w:cs="宋体"/>
          <w:color w:val="auto"/>
          <w:sz w:val="24"/>
          <w:szCs w:val="18"/>
          <w:highlight w:val="none"/>
        </w:rPr>
        <w:t>本项目需求的全部货物及所需附件购置费、包装费、运输费、人工费、保险费、安装调试费、各种税费、资料费、售后服务费及完成项目应有的全部费用。</w:t>
      </w:r>
    </w:p>
    <w:p w14:paraId="3CFC0207">
      <w:pPr>
        <w:keepNext/>
        <w:keepLines/>
        <w:widowControl w:val="0"/>
        <w:wordWrap w:val="0"/>
        <w:spacing w:before="240" w:line="360" w:lineRule="auto"/>
        <w:ind w:firstLine="560" w:firstLineChars="200"/>
        <w:jc w:val="left"/>
        <w:outlineLvl w:val="1"/>
        <w:rPr>
          <w:rFonts w:ascii="Arial" w:hAnsi="Arial" w:eastAsia="黑体" w:cs="Times New Roman"/>
          <w:bCs/>
          <w:color w:val="auto"/>
          <w:kern w:val="0"/>
          <w:sz w:val="28"/>
          <w:szCs w:val="32"/>
          <w:highlight w:val="none"/>
          <w:lang w:val="en-US" w:eastAsia="zh-CN" w:bidi="ar-SA"/>
        </w:rPr>
      </w:pPr>
      <w:r>
        <w:rPr>
          <w:rFonts w:ascii="Arial" w:hAnsi="Arial" w:eastAsia="黑体" w:cs="Times New Roman"/>
          <w:bCs/>
          <w:color w:val="auto"/>
          <w:kern w:val="0"/>
          <w:sz w:val="28"/>
          <w:szCs w:val="32"/>
          <w:highlight w:val="none"/>
          <w:lang w:val="en-US" w:eastAsia="zh-CN" w:bidi="ar-SA"/>
        </w:rPr>
        <w:t>四、备品备件及专用工具</w:t>
      </w:r>
    </w:p>
    <w:p w14:paraId="66D0BA8F">
      <w:pPr>
        <w:wordWrap w:val="0"/>
        <w:spacing w:line="360" w:lineRule="auto"/>
        <w:ind w:firstLine="480" w:firstLineChars="200"/>
        <w:jc w:val="left"/>
        <w:rPr>
          <w:rFonts w:hint="eastAsia" w:ascii="宋体" w:hAnsi="宋体" w:eastAsia="宋体" w:cs="宋体"/>
          <w:color w:val="auto"/>
          <w:sz w:val="24"/>
          <w:szCs w:val="18"/>
          <w:highlight w:val="none"/>
        </w:rPr>
      </w:pPr>
      <w:bookmarkStart w:id="26" w:name="_Toc455587093"/>
      <w:bookmarkStart w:id="27" w:name="_Toc455587277"/>
      <w:bookmarkStart w:id="28" w:name="_Toc445554752"/>
      <w:r>
        <w:rPr>
          <w:rFonts w:ascii="宋体" w:hAnsi="宋体" w:eastAsia="宋体" w:cs="宋体"/>
          <w:color w:val="auto"/>
          <w:sz w:val="24"/>
          <w:szCs w:val="18"/>
          <w:highlight w:val="none"/>
        </w:rPr>
        <w:t>1</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备品备件：中标人提供能够满足质量保证期内的设备维修要求的备品备件，备品备件应是新品。</w:t>
      </w:r>
    </w:p>
    <w:p w14:paraId="3D0A5465">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专用工具：中标人提供设备安装、调试、验收、维修、保养所必要的专用工具、仪器、仪表等工具。</w:t>
      </w:r>
    </w:p>
    <w:bookmarkEnd w:id="26"/>
    <w:bookmarkEnd w:id="27"/>
    <w:bookmarkEnd w:id="28"/>
    <w:p w14:paraId="4DA0D678">
      <w:pPr>
        <w:keepNext/>
        <w:keepLines/>
        <w:widowControl w:val="0"/>
        <w:wordWrap w:val="0"/>
        <w:spacing w:before="240" w:line="360" w:lineRule="auto"/>
        <w:ind w:firstLine="560" w:firstLineChars="200"/>
        <w:jc w:val="left"/>
        <w:outlineLvl w:val="1"/>
        <w:rPr>
          <w:rFonts w:ascii="Arial" w:hAnsi="Arial" w:eastAsia="黑体" w:cs="Times New Roman"/>
          <w:bCs/>
          <w:color w:val="auto"/>
          <w:kern w:val="0"/>
          <w:sz w:val="28"/>
          <w:szCs w:val="32"/>
          <w:highlight w:val="none"/>
          <w:lang w:val="en-US" w:eastAsia="zh-CN" w:bidi="ar-SA"/>
        </w:rPr>
      </w:pPr>
      <w:bookmarkStart w:id="29" w:name="_Toc532199625"/>
      <w:bookmarkStart w:id="30" w:name="_Toc445554753"/>
      <w:bookmarkStart w:id="31" w:name="_Toc455587094"/>
      <w:bookmarkStart w:id="32" w:name="_Toc455587278"/>
      <w:r>
        <w:rPr>
          <w:rFonts w:hint="eastAsia" w:ascii="Arial" w:hAnsi="Arial" w:eastAsia="黑体" w:cs="Times New Roman"/>
          <w:bCs/>
          <w:color w:val="auto"/>
          <w:kern w:val="0"/>
          <w:sz w:val="28"/>
          <w:szCs w:val="32"/>
          <w:highlight w:val="none"/>
          <w:lang w:val="en-US" w:eastAsia="zh-CN" w:bidi="ar-SA"/>
        </w:rPr>
        <w:t>五</w:t>
      </w:r>
      <w:r>
        <w:rPr>
          <w:rFonts w:ascii="Arial" w:hAnsi="Arial" w:eastAsia="黑体" w:cs="Times New Roman"/>
          <w:bCs/>
          <w:color w:val="auto"/>
          <w:kern w:val="0"/>
          <w:sz w:val="28"/>
          <w:szCs w:val="32"/>
          <w:highlight w:val="none"/>
          <w:lang w:val="en-US" w:eastAsia="zh-CN" w:bidi="ar-SA"/>
        </w:rPr>
        <w:t>、安装调试、验收试验及质量保证</w:t>
      </w:r>
      <w:bookmarkEnd w:id="29"/>
    </w:p>
    <w:p w14:paraId="76D1385E">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1</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中标人在设备安装地点负责安装、调试。</w:t>
      </w:r>
    </w:p>
    <w:p w14:paraId="76918830">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具体设备验收标准和程序按采购人要求执行，下列验收程序可参照执行：</w:t>
      </w:r>
    </w:p>
    <w:p w14:paraId="4B68B22D">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w:t>
      </w:r>
    </w:p>
    <w:p w14:paraId="22494FDA">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2.2货物在验收时，中标人应提供发票、制造厂家出具的产品合格证书、装箱清单等</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8713F54">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2.3 中标人应根据采购人使用单位的技术要求提供相应的产品。由中标人所提供的设备部件间的连线和插接件均应视为设备内部器件，包含在相应的设备之中。</w:t>
      </w:r>
    </w:p>
    <w:p w14:paraId="1DF881C1">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p>
    <w:p w14:paraId="4D02A3C8">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w:t>
      </w:r>
    </w:p>
    <w:p w14:paraId="29F9CCB2">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3</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p>
    <w:p w14:paraId="27F49323">
      <w:pPr>
        <w:keepNext/>
        <w:keepLines/>
        <w:widowControl w:val="0"/>
        <w:wordWrap w:val="0"/>
        <w:spacing w:before="240" w:line="360" w:lineRule="auto"/>
        <w:ind w:firstLine="560" w:firstLineChars="200"/>
        <w:jc w:val="left"/>
        <w:outlineLvl w:val="1"/>
        <w:rPr>
          <w:rFonts w:ascii="Arial" w:hAnsi="Arial" w:eastAsia="黑体" w:cs="Times New Roman"/>
          <w:bCs/>
          <w:color w:val="auto"/>
          <w:kern w:val="0"/>
          <w:sz w:val="28"/>
          <w:szCs w:val="32"/>
          <w:highlight w:val="none"/>
          <w:lang w:val="en-US" w:eastAsia="zh-CN" w:bidi="ar-SA"/>
        </w:rPr>
      </w:pPr>
      <w:bookmarkStart w:id="33" w:name="_Toc532199626"/>
      <w:r>
        <w:rPr>
          <w:rFonts w:ascii="Arial" w:hAnsi="Arial" w:eastAsia="黑体" w:cs="Times New Roman"/>
          <w:bCs/>
          <w:color w:val="auto"/>
          <w:kern w:val="0"/>
          <w:sz w:val="28"/>
          <w:szCs w:val="32"/>
          <w:highlight w:val="none"/>
          <w:lang w:val="en-US" w:eastAsia="zh-CN" w:bidi="ar-SA"/>
        </w:rPr>
        <w:t>六、包装运输</w:t>
      </w:r>
      <w:bookmarkEnd w:id="30"/>
      <w:bookmarkEnd w:id="31"/>
      <w:bookmarkEnd w:id="32"/>
      <w:bookmarkEnd w:id="33"/>
    </w:p>
    <w:p w14:paraId="0AF0B9BF">
      <w:pPr>
        <w:wordWrap w:val="0"/>
        <w:spacing w:line="360" w:lineRule="auto"/>
        <w:ind w:firstLine="480" w:firstLineChars="200"/>
        <w:jc w:val="left"/>
        <w:rPr>
          <w:rFonts w:hint="eastAsia" w:ascii="宋体" w:hAnsi="宋体" w:eastAsia="宋体" w:cs="宋体"/>
          <w:color w:val="auto"/>
          <w:sz w:val="24"/>
          <w:szCs w:val="18"/>
          <w:highlight w:val="none"/>
        </w:rPr>
      </w:pPr>
      <w:bookmarkStart w:id="34" w:name="_Toc455587095"/>
      <w:bookmarkStart w:id="35" w:name="_Toc455587279"/>
      <w:bookmarkStart w:id="36" w:name="_Toc445554754"/>
      <w:r>
        <w:rPr>
          <w:rFonts w:ascii="宋体" w:hAnsi="宋体" w:eastAsia="宋体" w:cs="宋体"/>
          <w:color w:val="auto"/>
          <w:sz w:val="24"/>
          <w:szCs w:val="18"/>
          <w:highlight w:val="none"/>
        </w:rPr>
        <w:t>1</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中标人负责设备包装、办理运输和保险，将设备安全运抵交货地点。</w:t>
      </w:r>
    </w:p>
    <w:p w14:paraId="516CE876">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设备制造完成并通过试验后应及时包装，否则应得到切实的保护，确保其不受污损。</w:t>
      </w:r>
    </w:p>
    <w:p w14:paraId="62043CFA">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3</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在包装箱外应标明采购人的订货号、发货号。</w:t>
      </w:r>
    </w:p>
    <w:p w14:paraId="52D0EB9B">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4</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各种包装应能确保各零部件在运输过程中不致遭到损坏、丢失、变形、受潮和腐蚀。</w:t>
      </w:r>
    </w:p>
    <w:p w14:paraId="2218E03D">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5</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包装箱上应有明显的包装储运图示标志。</w:t>
      </w:r>
    </w:p>
    <w:p w14:paraId="1DC9876A">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6</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整体产品或分别运输的部件都要适应运输和装载的要求。</w:t>
      </w:r>
    </w:p>
    <w:p w14:paraId="1961D315">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7</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随产品提供的技术资料应完整无缺。</w:t>
      </w:r>
    </w:p>
    <w:p w14:paraId="58192271">
      <w:pPr>
        <w:keepNext/>
        <w:keepLines/>
        <w:widowControl w:val="0"/>
        <w:wordWrap w:val="0"/>
        <w:spacing w:before="240" w:line="360" w:lineRule="auto"/>
        <w:ind w:firstLine="560" w:firstLineChars="200"/>
        <w:jc w:val="left"/>
        <w:outlineLvl w:val="1"/>
        <w:rPr>
          <w:rFonts w:ascii="Arial" w:hAnsi="Arial" w:eastAsia="黑体" w:cs="Times New Roman"/>
          <w:bCs/>
          <w:color w:val="auto"/>
          <w:kern w:val="0"/>
          <w:sz w:val="28"/>
          <w:szCs w:val="32"/>
          <w:highlight w:val="none"/>
          <w:lang w:val="en-US" w:eastAsia="zh-CN" w:bidi="ar-SA"/>
        </w:rPr>
      </w:pPr>
      <w:bookmarkStart w:id="37" w:name="_Toc532199627"/>
      <w:r>
        <w:rPr>
          <w:rFonts w:hint="eastAsia" w:ascii="Arial" w:hAnsi="Arial" w:eastAsia="黑体" w:cs="Times New Roman"/>
          <w:bCs/>
          <w:color w:val="auto"/>
          <w:kern w:val="0"/>
          <w:sz w:val="28"/>
          <w:szCs w:val="32"/>
          <w:highlight w:val="none"/>
          <w:lang w:val="en-US" w:eastAsia="zh-CN" w:bidi="ar-SA"/>
        </w:rPr>
        <w:t>七</w:t>
      </w:r>
      <w:r>
        <w:rPr>
          <w:rFonts w:ascii="Arial" w:hAnsi="Arial" w:eastAsia="黑体" w:cs="Times New Roman"/>
          <w:bCs/>
          <w:color w:val="auto"/>
          <w:kern w:val="0"/>
          <w:sz w:val="28"/>
          <w:szCs w:val="32"/>
          <w:highlight w:val="none"/>
          <w:lang w:val="en-US" w:eastAsia="zh-CN" w:bidi="ar-SA"/>
        </w:rPr>
        <w:t>、技术培训</w:t>
      </w:r>
      <w:bookmarkEnd w:id="34"/>
      <w:bookmarkEnd w:id="35"/>
      <w:bookmarkEnd w:id="36"/>
      <w:bookmarkEnd w:id="37"/>
    </w:p>
    <w:p w14:paraId="163CDD81">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1</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为使合同设备能正常安装和运行，由中标人提供相应的技术培训，培训费用</w:t>
      </w:r>
      <w:r>
        <w:rPr>
          <w:rFonts w:hint="eastAsia" w:ascii="宋体" w:hAnsi="宋体" w:eastAsia="宋体" w:cs="宋体"/>
          <w:color w:val="auto"/>
          <w:sz w:val="24"/>
          <w:szCs w:val="18"/>
          <w:highlight w:val="none"/>
        </w:rPr>
        <w:t>包含在投标报价内</w:t>
      </w:r>
      <w:r>
        <w:rPr>
          <w:rFonts w:ascii="宋体" w:hAnsi="宋体" w:eastAsia="宋体" w:cs="宋体"/>
          <w:color w:val="auto"/>
          <w:sz w:val="24"/>
          <w:szCs w:val="18"/>
          <w:highlight w:val="none"/>
        </w:rPr>
        <w:t>。</w:t>
      </w:r>
    </w:p>
    <w:p w14:paraId="40F199D8">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2</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培训的时间、人数、地点等具体内容由</w:t>
      </w:r>
      <w:r>
        <w:rPr>
          <w:rFonts w:hint="eastAsia" w:ascii="宋体" w:hAnsi="宋体" w:eastAsia="宋体" w:cs="宋体"/>
          <w:color w:val="auto"/>
          <w:sz w:val="24"/>
          <w:szCs w:val="18"/>
          <w:highlight w:val="none"/>
        </w:rPr>
        <w:t>采购人和中标人</w:t>
      </w:r>
      <w:r>
        <w:rPr>
          <w:rFonts w:ascii="宋体" w:hAnsi="宋体" w:eastAsia="宋体" w:cs="宋体"/>
          <w:color w:val="auto"/>
          <w:sz w:val="24"/>
          <w:szCs w:val="18"/>
          <w:highlight w:val="none"/>
        </w:rPr>
        <w:t>双方商定，内容至少包括：设备原理、使用、维护、运行操作、常见故障处理等。</w:t>
      </w:r>
    </w:p>
    <w:p w14:paraId="16CDB58A">
      <w:pPr>
        <w:keepNext/>
        <w:keepLines/>
        <w:widowControl w:val="0"/>
        <w:wordWrap w:val="0"/>
        <w:spacing w:before="240" w:line="360" w:lineRule="auto"/>
        <w:ind w:firstLine="560" w:firstLineChars="200"/>
        <w:jc w:val="left"/>
        <w:outlineLvl w:val="1"/>
        <w:rPr>
          <w:rFonts w:ascii="Arial" w:hAnsi="Arial" w:eastAsia="黑体" w:cs="Times New Roman"/>
          <w:bCs/>
          <w:color w:val="auto"/>
          <w:kern w:val="0"/>
          <w:sz w:val="28"/>
          <w:szCs w:val="32"/>
          <w:highlight w:val="none"/>
          <w:lang w:val="en-US" w:eastAsia="zh-CN" w:bidi="ar-SA"/>
        </w:rPr>
      </w:pPr>
      <w:bookmarkStart w:id="38" w:name="_Toc532199628"/>
      <w:r>
        <w:rPr>
          <w:rFonts w:hint="eastAsia" w:ascii="Arial" w:hAnsi="Arial" w:eastAsia="黑体" w:cs="Times New Roman"/>
          <w:bCs/>
          <w:color w:val="auto"/>
          <w:kern w:val="0"/>
          <w:sz w:val="28"/>
          <w:szCs w:val="32"/>
          <w:highlight w:val="none"/>
          <w:lang w:val="en-US" w:eastAsia="zh-CN" w:bidi="ar-SA"/>
        </w:rPr>
        <w:t>八</w:t>
      </w:r>
      <w:r>
        <w:rPr>
          <w:rFonts w:ascii="Arial" w:hAnsi="Arial" w:eastAsia="黑体" w:cs="Times New Roman"/>
          <w:bCs/>
          <w:color w:val="auto"/>
          <w:kern w:val="0"/>
          <w:sz w:val="28"/>
          <w:szCs w:val="32"/>
          <w:highlight w:val="none"/>
          <w:lang w:val="en-US" w:eastAsia="zh-CN" w:bidi="ar-SA"/>
        </w:rPr>
        <w:t>、质保及售后服务</w:t>
      </w:r>
    </w:p>
    <w:p w14:paraId="0196366B">
      <w:pPr>
        <w:wordWrap w:val="0"/>
        <w:spacing w:line="360" w:lineRule="auto"/>
        <w:ind w:firstLine="480" w:firstLineChars="200"/>
        <w:jc w:val="left"/>
        <w:rPr>
          <w:rFonts w:hint="eastAsia" w:ascii="宋体" w:hAnsi="宋体" w:eastAsia="宋体" w:cs="宋体"/>
          <w:color w:val="auto"/>
          <w:sz w:val="24"/>
          <w:szCs w:val="18"/>
          <w:highlight w:val="none"/>
        </w:rPr>
      </w:pPr>
      <w:r>
        <w:rPr>
          <w:rFonts w:ascii="宋体" w:hAnsi="宋体" w:eastAsia="宋体" w:cs="宋体"/>
          <w:color w:val="auto"/>
          <w:sz w:val="24"/>
          <w:szCs w:val="18"/>
          <w:highlight w:val="none"/>
        </w:rPr>
        <w:t>1</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自</w:t>
      </w:r>
      <w:r>
        <w:rPr>
          <w:rFonts w:hint="eastAsia" w:ascii="宋体" w:hAnsi="宋体" w:eastAsia="宋体" w:cs="宋体"/>
          <w:color w:val="auto"/>
          <w:sz w:val="24"/>
          <w:szCs w:val="18"/>
          <w:highlight w:val="none"/>
        </w:rPr>
        <w:t>验收合格之日</w:t>
      </w:r>
      <w:r>
        <w:rPr>
          <w:rFonts w:ascii="宋体" w:hAnsi="宋体" w:eastAsia="宋体" w:cs="宋体"/>
          <w:color w:val="auto"/>
          <w:sz w:val="24"/>
          <w:szCs w:val="18"/>
          <w:highlight w:val="none"/>
        </w:rPr>
        <w:t>起进入免费质保期。</w:t>
      </w:r>
    </w:p>
    <w:p w14:paraId="168A298C">
      <w:pPr>
        <w:wordWrap w:val="0"/>
        <w:spacing w:line="360" w:lineRule="auto"/>
        <w:ind w:firstLine="480" w:firstLineChars="200"/>
        <w:jc w:val="left"/>
        <w:rPr>
          <w:rFonts w:hint="eastAsia" w:ascii="宋体" w:hAnsi="宋体" w:eastAsia="宋体"/>
          <w:b/>
          <w:color w:val="auto"/>
          <w:sz w:val="24"/>
          <w:szCs w:val="18"/>
          <w:highlight w:val="none"/>
        </w:rPr>
      </w:pPr>
      <w:r>
        <w:rPr>
          <w:rFonts w:ascii="宋体" w:hAnsi="宋体" w:eastAsia="宋体" w:cs="宋体"/>
          <w:color w:val="auto"/>
          <w:sz w:val="24"/>
          <w:szCs w:val="18"/>
          <w:highlight w:val="none"/>
        </w:rPr>
        <w:t>2</w:t>
      </w:r>
      <w:r>
        <w:rPr>
          <w:rFonts w:hint="eastAsia" w:ascii="宋体" w:hAnsi="宋体" w:eastAsia="宋体" w:cs="宋体"/>
          <w:color w:val="auto"/>
          <w:sz w:val="24"/>
          <w:szCs w:val="18"/>
          <w:highlight w:val="none"/>
        </w:rPr>
        <w:t>.</w:t>
      </w:r>
      <w:r>
        <w:rPr>
          <w:rFonts w:ascii="宋体" w:hAnsi="宋体" w:eastAsia="宋体" w:cs="宋体"/>
          <w:color w:val="auto"/>
          <w:sz w:val="24"/>
          <w:szCs w:val="18"/>
          <w:highlight w:val="none"/>
        </w:rPr>
        <w:t>在质保期间内，非采购人过失和故意并且在正常使用的情况下发现商品有缺陷，中标人将修理或替换该设备；在质保期间内，非采购人过失和故意并且在正常使用的情况下设备发生故障，中标人应及时提供服务。</w:t>
      </w:r>
      <w:bookmarkEnd w:id="38"/>
    </w:p>
    <w:bookmarkEnd w:id="0"/>
    <w:p w14:paraId="2BB2F2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937588-FB77-432F-81DA-67C6602A4ADE}"/>
  </w:font>
  <w:font w:name="黑体">
    <w:panose1 w:val="02010609060101010101"/>
    <w:charset w:val="86"/>
    <w:family w:val="auto"/>
    <w:pitch w:val="default"/>
    <w:sig w:usb0="800002BF" w:usb1="38CF7CFA" w:usb2="00000016" w:usb3="00000000" w:csb0="00040001" w:csb1="00000000"/>
    <w:embedRegular r:id="rId2" w:fontKey="{FA24DE56-FB88-4751-843C-2481F9AACC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C2F610C-A0C6-4DAF-A25D-C7693E97A562}"/>
  </w:font>
  <w:font w:name="@仿宋_GB2312">
    <w:panose1 w:val="02010609030101010101"/>
    <w:charset w:val="86"/>
    <w:family w:val="modern"/>
    <w:pitch w:val="default"/>
    <w:sig w:usb0="00000001" w:usb1="080E0000" w:usb2="00000000" w:usb3="00000000" w:csb0="00040000" w:csb1="00000000"/>
    <w:embedRegular r:id="rId4" w:fontKey="{01A70235-F715-45E4-9E19-934E8890A439}"/>
  </w:font>
  <w:font w:name="方正小标宋_GBK">
    <w:panose1 w:val="02000000000000000000"/>
    <w:charset w:val="86"/>
    <w:family w:val="script"/>
    <w:pitch w:val="default"/>
    <w:sig w:usb0="A00002BF" w:usb1="38CF7CFA" w:usb2="00082016" w:usb3="00000000" w:csb0="00040001" w:csb1="00000000"/>
    <w:embedRegular r:id="rId5" w:fontKey="{7D075E88-9980-4A99-9D78-1E750624D44C}"/>
  </w:font>
  <w:font w:name="方正黑体_GBK">
    <w:panose1 w:val="02010600010101010101"/>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6" w:fontKey="{1CAA9429-240E-4FD1-A4B4-5067C406C8B1}"/>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7236FC"/>
    <w:rsid w:val="0E7236FC"/>
    <w:rsid w:val="7D1B7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4">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unhideWhenUsed/>
    <w:qFormat/>
    <w:uiPriority w:val="99"/>
    <w:pPr>
      <w:jc w:val="left"/>
    </w:pPr>
    <w:rPr>
      <w:rFonts w:eastAsia="宋体"/>
    </w:rPr>
  </w:style>
  <w:style w:type="paragraph" w:styleId="6">
    <w:name w:val="Body Text Indent"/>
    <w:basedOn w:val="1"/>
    <w:next w:val="7"/>
    <w:unhideWhenUsed/>
    <w:qFormat/>
    <w:uiPriority w:val="99"/>
    <w:pPr>
      <w:ind w:firstLine="645"/>
    </w:pPr>
    <w:rPr>
      <w:rFonts w:ascii="楷体_GB2312" w:eastAsia="楷体_GB2312"/>
      <w:sz w:val="32"/>
    </w:rPr>
  </w:style>
  <w:style w:type="paragraph" w:styleId="7">
    <w:name w:val="envelope return"/>
    <w:basedOn w:val="1"/>
    <w:qFormat/>
    <w:uiPriority w:val="99"/>
    <w:pPr>
      <w:snapToGrid w:val="0"/>
    </w:pPr>
    <w:rPr>
      <w:rFonts w:ascii="Arial" w:hAnsi="Arial" w:cs="Arial"/>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10">
    <w:name w:val="Body Text First Indent 2"/>
    <w:basedOn w:val="6"/>
    <w:unhideWhenUsed/>
    <w:qFormat/>
    <w:uiPriority w:val="99"/>
    <w:pPr>
      <w:ind w:left="420" w:firstLine="420" w:firstLineChars="200"/>
    </w:pPr>
    <w:rPr>
      <w:rFonts w:ascii="Times New Roman" w:cs="Times New Roman"/>
    </w:rPr>
  </w:style>
  <w:style w:type="character" w:styleId="13">
    <w:name w:val="annotation reference"/>
    <w:unhideWhenUsed/>
    <w:qFormat/>
    <w:uiPriority w:val="99"/>
    <w:rPr>
      <w:sz w:val="21"/>
      <w:szCs w:val="21"/>
    </w:rPr>
  </w:style>
  <w:style w:type="paragraph" w:customStyle="1" w:styleId="14">
    <w:name w:val="D&amp;L"/>
    <w:basedOn w:val="8"/>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5">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10336</Words>
  <Characters>12664</Characters>
  <Lines>0</Lines>
  <Paragraphs>0</Paragraphs>
  <TotalTime>0</TotalTime>
  <ScaleCrop>false</ScaleCrop>
  <LinksUpToDate>false</LinksUpToDate>
  <CharactersWithSpaces>12736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2026-09-03T10:00:00Z</dcterms:created>
  <dc:creator>审阅</dc:creator>
  <cp:lastModifiedBy>审阅</cp:lastModifiedBy>
  <dcterms:modified xsi:type="dcterms:W3CDTF">2026-09-03T10:17:08Z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6A1BC9060B4B43299168AF19DBEFE6CE_11</vt:lpwstr>
  </property>
  <property fmtid="{D5CDD505-2E9C-101B-9397-08002B2CF9AE}" pid="4" name="KSOTemplateDocerSaveRecord">
    <vt:lpwstr>eyJoZGlkIjoiZWJjNjZmNTVkZTA2MzRiMTE5NTEwNzk1MzVhYWVkYTQiLCJ1c2VySWQiOiIzMjQ4MTEwODkifQ==</vt:lpwstr>
  </property>
</Properties>
</file>