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75C0C">
      <w:pPr>
        <w:keepNext/>
        <w:keepLines/>
        <w:widowControl w:val="0"/>
        <w:wordWrap w:val="0"/>
        <w:spacing w:line="360" w:lineRule="auto"/>
        <w:jc w:val="center"/>
        <w:outlineLvl w:val="0"/>
        <w:rPr>
          <w:rFonts w:hint="eastAsia" w:ascii="方正小标宋_GBK" w:hAnsi="方正小标宋_GBK" w:eastAsia="华文中宋" w:cs="方正小标宋_GBK"/>
          <w:bCs/>
          <w:kern w:val="44"/>
          <w:sz w:val="44"/>
          <w:szCs w:val="44"/>
          <w:lang w:val="en-US" w:eastAsia="zh-CN" w:bidi="ar-SA"/>
        </w:rPr>
      </w:pPr>
      <w:r>
        <w:rPr>
          <w:rFonts w:hint="eastAsia" w:ascii="方正小标宋_GBK" w:hAnsi="方正小标宋_GBK" w:eastAsia="华文中宋" w:cs="方正小标宋_GBK"/>
          <w:bCs/>
          <w:kern w:val="44"/>
          <w:sz w:val="44"/>
          <w:szCs w:val="44"/>
          <w:lang w:val="en-US" w:eastAsia="zh-CN" w:bidi="ar-SA"/>
        </w:rPr>
        <w:t>采购需求</w:t>
      </w:r>
    </w:p>
    <w:p w14:paraId="55BAE688">
      <w:pPr>
        <w:wordWrap w:val="0"/>
        <w:spacing w:line="360" w:lineRule="auto"/>
        <w:rPr>
          <w:rFonts w:hint="eastAsia" w:ascii="宋体" w:hAnsi="宋体" w:eastAsia="宋体"/>
          <w:b/>
          <w:sz w:val="24"/>
        </w:rPr>
      </w:pPr>
      <w:r>
        <w:rPr>
          <w:rFonts w:hint="eastAsia" w:ascii="宋体" w:hAnsi="宋体" w:eastAsia="宋体"/>
          <w:b/>
          <w:sz w:val="24"/>
        </w:rPr>
        <w:t>前注：</w:t>
      </w:r>
    </w:p>
    <w:p w14:paraId="68F76A33">
      <w:pPr>
        <w:wordWrap w:val="0"/>
        <w:spacing w:line="360" w:lineRule="auto"/>
        <w:ind w:firstLine="480" w:firstLineChars="200"/>
        <w:rPr>
          <w:rFonts w:hint="eastAsia" w:ascii="宋体" w:hAnsi="宋体" w:eastAsia="宋体" w:cs="宋体"/>
          <w:sz w:val="24"/>
          <w:szCs w:val="18"/>
        </w:rPr>
      </w:pPr>
      <w:bookmarkStart w:id="0" w:name="_Hlk16461016"/>
      <w:r>
        <w:rPr>
          <w:rFonts w:hint="eastAsia" w:ascii="宋体" w:hAnsi="宋体" w:eastAsia="宋体" w:cs="宋体"/>
          <w:sz w:val="24"/>
        </w:rPr>
        <w:t>1.</w:t>
      </w:r>
      <w:r>
        <w:rPr>
          <w:rFonts w:hint="eastAsia" w:ascii="宋体" w:hAnsi="宋体" w:eastAsia="宋体" w:cs="宋体"/>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4868DC58">
      <w:pPr>
        <w:wordWrap w:val="0"/>
        <w:spacing w:line="360" w:lineRule="auto"/>
        <w:ind w:firstLine="435"/>
        <w:rPr>
          <w:rFonts w:hint="eastAsia" w:ascii="宋体" w:hAnsi="宋体" w:eastAsia="宋体" w:cs="宋体"/>
          <w:sz w:val="24"/>
          <w:szCs w:val="18"/>
        </w:rPr>
      </w:pPr>
      <w:r>
        <w:rPr>
          <w:rFonts w:hint="eastAsia" w:ascii="宋体" w:hAnsi="宋体" w:eastAsia="宋体" w:cs="宋体"/>
          <w:sz w:val="24"/>
          <w:szCs w:val="18"/>
        </w:rPr>
        <w:t>2.下列采购需求中：</w:t>
      </w:r>
    </w:p>
    <w:p w14:paraId="6A46058A">
      <w:pPr>
        <w:wordWrap w:val="0"/>
        <w:spacing w:line="360" w:lineRule="auto"/>
        <w:ind w:firstLine="435"/>
        <w:rPr>
          <w:rFonts w:hint="eastAsia" w:ascii="宋体" w:hAnsi="宋体" w:eastAsia="宋体" w:cs="宋体"/>
          <w:sz w:val="24"/>
          <w:szCs w:val="18"/>
        </w:rPr>
      </w:pPr>
      <w:r>
        <w:rPr>
          <w:rFonts w:hint="eastAsia" w:ascii="宋体" w:hAnsi="宋体" w:eastAsia="宋体" w:cs="宋体"/>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30A9F88">
      <w:pPr>
        <w:wordWrap w:val="0"/>
        <w:spacing w:line="360" w:lineRule="auto"/>
        <w:ind w:firstLine="480" w:firstLineChars="200"/>
        <w:rPr>
          <w:rFonts w:hint="eastAsia" w:ascii="宋体" w:hAnsi="宋体" w:eastAsia="宋体" w:cs="宋体"/>
          <w:sz w:val="24"/>
          <w:szCs w:val="18"/>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F0E0222">
      <w:pPr>
        <w:wordWrap w:val="0"/>
        <w:spacing w:line="360" w:lineRule="auto"/>
        <w:ind w:firstLine="480" w:firstLineChars="200"/>
        <w:jc w:val="left"/>
        <w:rPr>
          <w:rFonts w:hint="eastAsia" w:ascii="宋体" w:hAnsi="宋体" w:eastAsia="宋体" w:cs="宋体"/>
          <w:sz w:val="24"/>
          <w:szCs w:val="18"/>
        </w:rPr>
      </w:pPr>
      <w:r>
        <w:rPr>
          <w:rFonts w:hint="eastAsia" w:ascii="宋体" w:hAnsi="宋体" w:eastAsia="宋体" w:cs="宋体"/>
          <w:sz w:val="24"/>
          <w:szCs w:val="18"/>
        </w:rPr>
        <w:t>3.下列采购需求中：标注</w:t>
      </w:r>
      <w:r>
        <w:rPr>
          <w:rFonts w:hint="eastAsia" w:ascii="宋体" w:hAnsi="宋体" w:eastAsia="宋体" w:cs="宋体"/>
          <w:sz w:val="24"/>
          <w:szCs w:val="24"/>
        </w:rPr>
        <w:t>▲</w:t>
      </w:r>
      <w:r>
        <w:rPr>
          <w:rFonts w:hint="eastAsia" w:ascii="宋体" w:hAnsi="宋体" w:eastAsia="宋体" w:cs="宋体"/>
          <w:sz w:val="24"/>
          <w:szCs w:val="18"/>
        </w:rPr>
        <w:t>的产品（核心产品），投标人在投标文件《主要中标标的承诺函》中填写名称、品牌、规格、型号、数量、单价等信息。</w:t>
      </w:r>
    </w:p>
    <w:p w14:paraId="6ED43A93">
      <w:pPr>
        <w:keepNext/>
        <w:keepLines/>
        <w:widowControl w:val="0"/>
        <w:wordWrap w:val="0"/>
        <w:spacing w:before="240" w:line="360" w:lineRule="auto"/>
        <w:ind w:firstLine="0" w:firstLineChars="0"/>
        <w:jc w:val="left"/>
        <w:outlineLvl w:val="1"/>
        <w:rPr>
          <w:rFonts w:ascii="Arial" w:hAnsi="Arial" w:eastAsia="黑体" w:cs="Times New Roman"/>
          <w:bCs/>
          <w:kern w:val="0"/>
          <w:sz w:val="28"/>
          <w:szCs w:val="32"/>
          <w:lang w:val="en-US" w:eastAsia="zh-CN" w:bidi="ar-SA"/>
        </w:rPr>
      </w:pPr>
      <w:bookmarkStart w:id="1" w:name="_Toc1437377518_WPSOffice_Level2"/>
      <w:bookmarkStart w:id="2" w:name="_Toc337877615"/>
      <w:bookmarkStart w:id="3" w:name="_Toc292361325"/>
      <w:bookmarkStart w:id="4" w:name="_Toc1064185329"/>
      <w:bookmarkStart w:id="5" w:name="_Toc382548620"/>
      <w:bookmarkStart w:id="6" w:name="_Toc2025078090"/>
      <w:bookmarkStart w:id="7" w:name="_Toc1452677390"/>
      <w:bookmarkStart w:id="8" w:name="_Toc1899401549"/>
      <w:r>
        <w:rPr>
          <w:rFonts w:hint="eastAsia" w:ascii="Arial" w:hAnsi="Arial" w:eastAsia="黑体" w:cs="Times New Roman"/>
          <w:bCs/>
          <w:kern w:val="0"/>
          <w:sz w:val="28"/>
          <w:szCs w:val="32"/>
          <w:lang w:val="en-US" w:eastAsia="zh-CN" w:bidi="ar-SA"/>
        </w:rPr>
        <w:t>一、采购需求前附表</w:t>
      </w:r>
      <w:bookmarkEnd w:id="1"/>
      <w:bookmarkEnd w:id="2"/>
      <w:bookmarkEnd w:id="3"/>
      <w:bookmarkEnd w:id="4"/>
      <w:bookmarkEnd w:id="5"/>
      <w:bookmarkEnd w:id="6"/>
      <w:bookmarkEnd w:id="7"/>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2865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61F70DD">
            <w:pPr>
              <w:keepNext w:val="0"/>
              <w:keepLines w:val="0"/>
              <w:widowControl w:val="0"/>
              <w:suppressLineNumbers w:val="0"/>
              <w:pBdr>
                <w:bottom w:val="none" w:color="auto" w:sz="0" w:space="0"/>
              </w:pBdr>
              <w:wordWrap w:val="0"/>
              <w:adjustRightInd/>
              <w:snapToGrid/>
              <w:spacing w:before="0" w:beforeAutospacing="0" w:after="0" w:afterAutospacing="0" w:line="240" w:lineRule="auto"/>
              <w:ind w:left="0" w:right="0"/>
              <w:jc w:val="center"/>
              <w:textAlignment w:val="auto"/>
              <w:rPr>
                <w:rFonts w:hint="eastAsia" w:ascii="宋体" w:hAnsi="宋体" w:eastAsia="宋体" w:cs="宋体"/>
                <w:b/>
                <w:kern w:val="2"/>
                <w:sz w:val="24"/>
                <w:szCs w:val="20"/>
                <w:lang w:val="en-US" w:eastAsia="zh-CN" w:bidi="ar-SA"/>
              </w:rPr>
            </w:pPr>
            <w:r>
              <w:rPr>
                <w:rFonts w:hint="eastAsia" w:ascii="宋体" w:hAnsi="宋体" w:eastAsia="宋体" w:cs="宋体"/>
                <w:b/>
                <w:kern w:val="2"/>
                <w:sz w:val="24"/>
                <w:szCs w:val="20"/>
                <w:lang w:val="en-US" w:eastAsia="zh-CN" w:bidi="ar-SA"/>
              </w:rPr>
              <w:t>序号</w:t>
            </w:r>
          </w:p>
        </w:tc>
        <w:tc>
          <w:tcPr>
            <w:tcW w:w="2054" w:type="dxa"/>
            <w:vAlign w:val="center"/>
          </w:tcPr>
          <w:p w14:paraId="073A479D">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bCs w:val="0"/>
                <w:kern w:val="0"/>
                <w:sz w:val="24"/>
                <w:szCs w:val="28"/>
                <w:lang w:val="en-US" w:eastAsia="zh-CN" w:bidi="ar-SA"/>
              </w:rPr>
            </w:pPr>
            <w:r>
              <w:rPr>
                <w:rFonts w:hint="eastAsia" w:ascii="宋体" w:hAnsi="宋体" w:eastAsia="宋体" w:cs="宋体"/>
                <w:b/>
                <w:bCs w:val="0"/>
                <w:kern w:val="0"/>
                <w:sz w:val="24"/>
                <w:szCs w:val="28"/>
                <w:lang w:val="en-US" w:eastAsia="zh-CN" w:bidi="ar-SA"/>
              </w:rPr>
              <w:t>条款名称</w:t>
            </w:r>
          </w:p>
        </w:tc>
        <w:tc>
          <w:tcPr>
            <w:tcW w:w="5544" w:type="dxa"/>
            <w:vAlign w:val="center"/>
          </w:tcPr>
          <w:p w14:paraId="00FF47C8">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bCs w:val="0"/>
                <w:kern w:val="0"/>
                <w:sz w:val="24"/>
                <w:szCs w:val="28"/>
                <w:lang w:val="en-US" w:eastAsia="zh-CN" w:bidi="ar-SA"/>
              </w:rPr>
            </w:pPr>
            <w:r>
              <w:rPr>
                <w:rFonts w:hint="eastAsia" w:ascii="宋体" w:hAnsi="宋体" w:eastAsia="宋体" w:cs="宋体"/>
                <w:b/>
                <w:bCs w:val="0"/>
                <w:kern w:val="0"/>
                <w:sz w:val="24"/>
                <w:szCs w:val="28"/>
                <w:lang w:val="en-US" w:eastAsia="zh-CN" w:bidi="ar-SA"/>
              </w:rPr>
              <w:t>内容、说明与要求</w:t>
            </w:r>
          </w:p>
        </w:tc>
      </w:tr>
      <w:tr w14:paraId="3261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693C6AC4">
            <w:pPr>
              <w:keepNext w:val="0"/>
              <w:keepLines w:val="0"/>
              <w:widowControl w:val="0"/>
              <w:suppressLineNumbers w:val="0"/>
              <w:pBdr>
                <w:bottom w:val="none" w:color="auto" w:sz="0" w:space="0"/>
              </w:pBdr>
              <w:wordWrap w:val="0"/>
              <w:adjustRightInd/>
              <w:snapToGrid/>
              <w:spacing w:before="0" w:beforeAutospacing="0" w:after="0" w:afterAutospacing="0" w:line="240" w:lineRule="auto"/>
              <w:ind w:left="0" w:right="0"/>
              <w:jc w:val="center"/>
              <w:textAlignment w:val="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1</w:t>
            </w:r>
          </w:p>
        </w:tc>
        <w:tc>
          <w:tcPr>
            <w:tcW w:w="2054" w:type="dxa"/>
            <w:vAlign w:val="center"/>
          </w:tcPr>
          <w:p w14:paraId="2029C263">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付款方式</w:t>
            </w:r>
          </w:p>
        </w:tc>
        <w:tc>
          <w:tcPr>
            <w:tcW w:w="5544" w:type="dxa"/>
            <w:vAlign w:val="center"/>
          </w:tcPr>
          <w:p w14:paraId="36C17F5E">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1、本项目预付款为合同金额的40%，中标人须提供相应的预付款担保，预付款在本项目合同签订、相关担保措施生效以及具备实施条件后支付；</w:t>
            </w:r>
          </w:p>
          <w:p w14:paraId="383B4ABA">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2、所有设备安装调试完毕且经过验收合格正常使用后一次性付清剩余合同价款。</w:t>
            </w:r>
          </w:p>
          <w:p w14:paraId="4BEF0567">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备注：</w:t>
            </w:r>
          </w:p>
          <w:p w14:paraId="49EF1E75">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（1）本项目要求中标人提供预付款保函或其他担保措施。</w:t>
            </w:r>
          </w:p>
          <w:p w14:paraId="2AC87571">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（2）付款前中标人须按要求开具有效的发票。</w:t>
            </w:r>
          </w:p>
          <w:p w14:paraId="0032EFED">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（3）预付款保函形式：银行保函、担保机构担保。</w:t>
            </w:r>
          </w:p>
          <w:p w14:paraId="0AADCB3E">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508EB15F">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（5）在签订合同时，中标人书面明确表示无需预付款或者主动要求降低预付款比例的，采购人可不适用前述预付款规定。</w:t>
            </w:r>
          </w:p>
        </w:tc>
      </w:tr>
      <w:tr w14:paraId="44E4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vAlign w:val="center"/>
          </w:tcPr>
          <w:p w14:paraId="00E87F50">
            <w:pPr>
              <w:keepNext w:val="0"/>
              <w:keepLines w:val="0"/>
              <w:widowControl w:val="0"/>
              <w:suppressLineNumbers w:val="0"/>
              <w:pBdr>
                <w:bottom w:val="none" w:color="auto" w:sz="0" w:space="0"/>
              </w:pBdr>
              <w:wordWrap w:val="0"/>
              <w:adjustRightInd/>
              <w:snapToGrid/>
              <w:spacing w:before="0" w:beforeAutospacing="0" w:after="0" w:afterAutospacing="0" w:line="240" w:lineRule="auto"/>
              <w:ind w:left="0" w:right="0"/>
              <w:jc w:val="center"/>
              <w:textAlignment w:val="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2</w:t>
            </w:r>
          </w:p>
        </w:tc>
        <w:tc>
          <w:tcPr>
            <w:tcW w:w="2054" w:type="dxa"/>
            <w:vAlign w:val="center"/>
          </w:tcPr>
          <w:p w14:paraId="6D0949C3">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供货及安装地点</w:t>
            </w:r>
          </w:p>
        </w:tc>
        <w:tc>
          <w:tcPr>
            <w:tcW w:w="5544" w:type="dxa"/>
            <w:vAlign w:val="center"/>
          </w:tcPr>
          <w:p w14:paraId="33381694">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安徽农业大学，具体按采购人指定。</w:t>
            </w:r>
          </w:p>
        </w:tc>
      </w:tr>
      <w:tr w14:paraId="4D2E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vAlign w:val="center"/>
          </w:tcPr>
          <w:p w14:paraId="477A1935">
            <w:pPr>
              <w:keepNext w:val="0"/>
              <w:keepLines w:val="0"/>
              <w:widowControl w:val="0"/>
              <w:suppressLineNumbers w:val="0"/>
              <w:pBdr>
                <w:bottom w:val="none" w:color="auto" w:sz="0" w:space="0"/>
              </w:pBdr>
              <w:wordWrap w:val="0"/>
              <w:adjustRightInd/>
              <w:snapToGrid/>
              <w:spacing w:before="0" w:beforeAutospacing="0" w:after="0" w:afterAutospacing="0" w:line="240" w:lineRule="auto"/>
              <w:ind w:left="0" w:right="0"/>
              <w:jc w:val="center"/>
              <w:textAlignment w:val="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3</w:t>
            </w:r>
          </w:p>
        </w:tc>
        <w:tc>
          <w:tcPr>
            <w:tcW w:w="2054" w:type="dxa"/>
            <w:vAlign w:val="center"/>
          </w:tcPr>
          <w:p w14:paraId="173E32AB">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供货及安装期限</w:t>
            </w:r>
          </w:p>
        </w:tc>
        <w:tc>
          <w:tcPr>
            <w:tcW w:w="5544" w:type="dxa"/>
            <w:vAlign w:val="center"/>
          </w:tcPr>
          <w:p w14:paraId="255FCA7A">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合同生效后，90个日历日内完成供货、安装、调试、培训等所有工作内容。</w:t>
            </w:r>
          </w:p>
        </w:tc>
      </w:tr>
      <w:tr w14:paraId="5D1A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1D7E666">
            <w:pPr>
              <w:keepNext w:val="0"/>
              <w:keepLines w:val="0"/>
              <w:widowControl w:val="0"/>
              <w:suppressLineNumbers w:val="0"/>
              <w:pBdr>
                <w:bottom w:val="none" w:color="auto" w:sz="0" w:space="0"/>
              </w:pBdr>
              <w:wordWrap w:val="0"/>
              <w:adjustRightInd/>
              <w:snapToGrid/>
              <w:spacing w:before="0" w:beforeAutospacing="0" w:after="0" w:afterAutospacing="0" w:line="240" w:lineRule="auto"/>
              <w:ind w:left="0" w:right="0"/>
              <w:jc w:val="center"/>
              <w:textAlignment w:val="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4</w:t>
            </w:r>
          </w:p>
        </w:tc>
        <w:tc>
          <w:tcPr>
            <w:tcW w:w="2054" w:type="dxa"/>
            <w:vAlign w:val="center"/>
          </w:tcPr>
          <w:p w14:paraId="61EB458E">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免费质保期</w:t>
            </w:r>
          </w:p>
        </w:tc>
        <w:tc>
          <w:tcPr>
            <w:tcW w:w="5544" w:type="dxa"/>
            <w:vAlign w:val="center"/>
          </w:tcPr>
          <w:p w14:paraId="5D53206A">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自验收合格后1年。</w:t>
            </w:r>
          </w:p>
          <w:p w14:paraId="44ED8855">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注：免费质保期从验收合格之日起开始计算。</w:t>
            </w:r>
          </w:p>
        </w:tc>
      </w:tr>
    </w:tbl>
    <w:p w14:paraId="511CDFC2">
      <w:pPr>
        <w:keepNext/>
        <w:keepLines/>
        <w:widowControl w:val="0"/>
        <w:wordWrap w:val="0"/>
        <w:spacing w:before="240" w:line="360" w:lineRule="auto"/>
        <w:ind w:firstLine="0" w:firstLineChars="0"/>
        <w:jc w:val="left"/>
        <w:outlineLvl w:val="1"/>
        <w:rPr>
          <w:rFonts w:ascii="Arial" w:hAnsi="Arial" w:eastAsia="黑体" w:cs="Times New Roman"/>
          <w:bCs/>
          <w:kern w:val="0"/>
          <w:sz w:val="28"/>
          <w:szCs w:val="32"/>
          <w:lang w:val="en-US" w:eastAsia="zh-CN" w:bidi="ar-SA"/>
        </w:rPr>
      </w:pPr>
      <w:bookmarkStart w:id="9" w:name="_Toc302804901"/>
      <w:bookmarkStart w:id="10" w:name="_Toc1191965283_WPSOffice_Level2"/>
      <w:bookmarkStart w:id="11" w:name="_Toc1715351726"/>
      <w:bookmarkStart w:id="12" w:name="_Toc1693477008"/>
      <w:bookmarkStart w:id="13" w:name="_Toc717369146"/>
      <w:bookmarkStart w:id="14" w:name="_Toc369119811"/>
      <w:bookmarkStart w:id="15" w:name="_Toc626387511"/>
      <w:bookmarkStart w:id="16" w:name="_Toc58935147"/>
      <w:r>
        <w:rPr>
          <w:rFonts w:hint="eastAsia" w:ascii="Arial" w:hAnsi="Arial" w:eastAsia="黑体" w:cs="Times New Roman"/>
          <w:bCs/>
          <w:kern w:val="0"/>
          <w:sz w:val="28"/>
          <w:szCs w:val="32"/>
          <w:lang w:val="en-US" w:eastAsia="zh-CN" w:bidi="ar-SA"/>
        </w:rPr>
        <w:t>二、货物需求</w:t>
      </w:r>
      <w:bookmarkEnd w:id="9"/>
      <w:bookmarkEnd w:id="10"/>
      <w:bookmarkEnd w:id="11"/>
      <w:bookmarkEnd w:id="12"/>
      <w:bookmarkEnd w:id="13"/>
      <w:bookmarkEnd w:id="14"/>
      <w:bookmarkEnd w:id="15"/>
      <w:bookmarkEnd w:id="16"/>
    </w:p>
    <w:p w14:paraId="55414A5A">
      <w:pPr>
        <w:widowControl w:val="0"/>
        <w:wordWrap w:val="0"/>
        <w:spacing w:line="360" w:lineRule="auto"/>
        <w:ind w:left="0"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（一）货物需求说明</w:t>
      </w:r>
    </w:p>
    <w:tbl>
      <w:tblPr>
        <w:tblStyle w:val="10"/>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577E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tcPr>
          <w:p w14:paraId="1BAD2361">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需求内容类别</w:t>
            </w:r>
          </w:p>
        </w:tc>
        <w:tc>
          <w:tcPr>
            <w:tcW w:w="1277" w:type="dxa"/>
          </w:tcPr>
          <w:p w14:paraId="27ED66F3">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标识符号</w:t>
            </w:r>
          </w:p>
        </w:tc>
        <w:tc>
          <w:tcPr>
            <w:tcW w:w="5692" w:type="dxa"/>
          </w:tcPr>
          <w:p w14:paraId="4097E749">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投标要求</w:t>
            </w:r>
          </w:p>
        </w:tc>
      </w:tr>
      <w:tr w14:paraId="6059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04092E40">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重要指标项</w:t>
            </w:r>
          </w:p>
        </w:tc>
        <w:tc>
          <w:tcPr>
            <w:tcW w:w="1277" w:type="dxa"/>
            <w:vAlign w:val="center"/>
          </w:tcPr>
          <w:p w14:paraId="4E684B2E">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p>
        </w:tc>
        <w:tc>
          <w:tcPr>
            <w:tcW w:w="5692" w:type="dxa"/>
            <w:vAlign w:val="center"/>
          </w:tcPr>
          <w:p w14:paraId="2F30A0E1">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评分项，详见“第四章评标方法和标准”中评分细则。</w:t>
            </w:r>
          </w:p>
        </w:tc>
      </w:tr>
      <w:tr w14:paraId="4868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96" w:type="dxa"/>
            <w:vAlign w:val="center"/>
          </w:tcPr>
          <w:p w14:paraId="62624B14">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关键指标项</w:t>
            </w:r>
          </w:p>
        </w:tc>
        <w:tc>
          <w:tcPr>
            <w:tcW w:w="1277" w:type="dxa"/>
            <w:vAlign w:val="center"/>
          </w:tcPr>
          <w:p w14:paraId="10EB7D97">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p>
        </w:tc>
        <w:tc>
          <w:tcPr>
            <w:tcW w:w="5692" w:type="dxa"/>
            <w:vAlign w:val="center"/>
          </w:tcPr>
          <w:p w14:paraId="1F7F0FB0">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符合性审查项，该指标项负偏离或未响应，将导致</w:t>
            </w:r>
            <w:r>
              <w:rPr>
                <w:rFonts w:hint="eastAsia" w:ascii="宋体" w:hAnsi="宋体" w:eastAsia="宋体" w:cs="宋体"/>
                <w:b/>
                <w:bCs/>
                <w:kern w:val="2"/>
                <w:sz w:val="24"/>
                <w:szCs w:val="24"/>
                <w:lang w:val="en-US" w:eastAsia="zh-CN" w:bidi="ar-SA"/>
              </w:rPr>
              <w:t>投标无效</w:t>
            </w:r>
            <w:r>
              <w:rPr>
                <w:rFonts w:hint="eastAsia" w:ascii="宋体" w:hAnsi="宋体" w:eastAsia="宋体" w:cs="宋体"/>
                <w:kern w:val="2"/>
                <w:sz w:val="24"/>
                <w:szCs w:val="24"/>
                <w:lang w:val="en-US" w:eastAsia="zh-CN" w:bidi="ar-SA"/>
              </w:rPr>
              <w:t>。</w:t>
            </w:r>
          </w:p>
        </w:tc>
      </w:tr>
      <w:tr w14:paraId="051C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5FC6180F">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无标识项</w:t>
            </w:r>
          </w:p>
        </w:tc>
        <w:tc>
          <w:tcPr>
            <w:tcW w:w="1277" w:type="dxa"/>
            <w:vAlign w:val="center"/>
          </w:tcPr>
          <w:p w14:paraId="2E11A67F">
            <w:pPr>
              <w:keepNext w:val="0"/>
              <w:keepLines w:val="0"/>
              <w:widowControl w:val="0"/>
              <w:suppressLineNumbers w:val="0"/>
              <w:wordWrap w:val="0"/>
              <w:spacing w:before="0" w:beforeAutospacing="0" w:after="0" w:afterAutospacing="0" w:line="500" w:lineRule="exact"/>
              <w:ind w:left="0" w:right="0" w:firstLine="0" w:firstLineChars="0"/>
              <w:jc w:val="center"/>
              <w:rPr>
                <w:rFonts w:hint="eastAsia" w:ascii="宋体" w:hAnsi="宋体" w:eastAsia="宋体" w:cs="宋体"/>
                <w:kern w:val="2"/>
                <w:sz w:val="24"/>
                <w:szCs w:val="24"/>
                <w:lang w:val="en-US" w:eastAsia="zh-CN" w:bidi="ar-SA"/>
              </w:rPr>
            </w:pPr>
          </w:p>
        </w:tc>
        <w:tc>
          <w:tcPr>
            <w:tcW w:w="5692" w:type="dxa"/>
            <w:vAlign w:val="center"/>
          </w:tcPr>
          <w:p w14:paraId="691F838C">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符合性审查项，5项以上（不含5项）负偏离或未响应，将导致</w:t>
            </w:r>
            <w:r>
              <w:rPr>
                <w:rFonts w:hint="eastAsia" w:ascii="宋体" w:hAnsi="宋体" w:eastAsia="宋体" w:cs="宋体"/>
                <w:b/>
                <w:bCs/>
                <w:kern w:val="2"/>
                <w:sz w:val="24"/>
                <w:szCs w:val="24"/>
                <w:lang w:val="en-US" w:eastAsia="zh-CN" w:bidi="ar-SA"/>
              </w:rPr>
              <w:t>投标无效</w:t>
            </w:r>
            <w:r>
              <w:rPr>
                <w:rFonts w:hint="eastAsia" w:ascii="宋体" w:hAnsi="宋体" w:eastAsia="宋体" w:cs="宋体"/>
                <w:kern w:val="2"/>
                <w:sz w:val="24"/>
                <w:szCs w:val="24"/>
                <w:lang w:val="en-US" w:eastAsia="zh-CN" w:bidi="ar-SA"/>
              </w:rPr>
              <w:t>。</w:t>
            </w:r>
          </w:p>
        </w:tc>
      </w:tr>
      <w:tr w14:paraId="5C77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vAlign w:val="center"/>
          </w:tcPr>
          <w:p w14:paraId="3A57567E">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w:t>
            </w:r>
          </w:p>
          <w:p w14:paraId="69313B74">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.如某项标识中包含多条技术参数或要求，则该项标识所含内容均需满足或优于招标文件要求，否则不予认可。</w:t>
            </w:r>
          </w:p>
          <w:p w14:paraId="0C422655">
            <w:pPr>
              <w:keepNext w:val="0"/>
              <w:keepLines w:val="0"/>
              <w:widowControl w:val="0"/>
              <w:suppressLineNumbers w:val="0"/>
              <w:wordWrap w:val="0"/>
              <w:spacing w:before="0" w:beforeAutospacing="0" w:after="0" w:afterAutospacing="0" w:line="500" w:lineRule="exact"/>
              <w:ind w:left="0" w:right="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.“所属行业”栏标注为“/”的项为所投产品配套的工程或服务，无需在《中小企业声明函》中列明。</w:t>
            </w:r>
          </w:p>
        </w:tc>
      </w:tr>
    </w:tbl>
    <w:p w14:paraId="4EA06A15">
      <w:pPr>
        <w:widowControl w:val="0"/>
        <w:wordWrap w:val="0"/>
        <w:ind w:left="0" w:firstLine="0" w:firstLineChars="0"/>
        <w:jc w:val="both"/>
        <w:rPr>
          <w:rFonts w:hint="eastAsia" w:ascii="宋体" w:hAnsi="宋体" w:eastAsia="宋体" w:cs="宋体"/>
          <w:b/>
          <w:bCs/>
          <w:kern w:val="2"/>
          <w:sz w:val="24"/>
          <w:szCs w:val="24"/>
          <w:lang w:val="en-US" w:eastAsia="zh-CN" w:bidi="ar-SA"/>
        </w:rPr>
      </w:pPr>
    </w:p>
    <w:p w14:paraId="3E39DBAD">
      <w:pPr>
        <w:widowControl w:val="0"/>
        <w:wordWrap w:val="0"/>
        <w:spacing w:line="360" w:lineRule="auto"/>
        <w:ind w:left="0"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（二）货物需求清单</w:t>
      </w:r>
    </w:p>
    <w:p w14:paraId="430A42D8">
      <w:pPr>
        <w:widowControl w:val="0"/>
        <w:wordWrap w:val="0"/>
        <w:spacing w:line="360" w:lineRule="auto"/>
        <w:ind w:left="0"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p w14:paraId="18D78DE3">
      <w:pPr>
        <w:widowControl w:val="0"/>
        <w:ind w:left="482" w:hanging="482" w:hangingChars="200"/>
        <w:contextualSpacing/>
        <w:jc w:val="both"/>
        <w:rPr>
          <w:rFonts w:hint="eastAsia" w:ascii="宋体" w:hAnsi="宋体" w:eastAsia="宋体" w:cs="宋体"/>
          <w:b/>
          <w:bCs/>
          <w:color w:val="FF0000"/>
          <w:kern w:val="2"/>
          <w:sz w:val="24"/>
          <w:szCs w:val="24"/>
          <w:lang w:val="en-US" w:eastAsia="zh-CN" w:bidi="ar-SA"/>
        </w:rPr>
      </w:pPr>
    </w:p>
    <w:tbl>
      <w:tblPr>
        <w:tblStyle w:val="10"/>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30"/>
        <w:gridCol w:w="5175"/>
        <w:gridCol w:w="780"/>
        <w:gridCol w:w="795"/>
        <w:gridCol w:w="897"/>
      </w:tblGrid>
      <w:tr w14:paraId="5B14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14:paraId="05AF7E9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ADDIN CNKISM.UserStyle</w:instrText>
            </w:r>
            <w:r>
              <w:rPr>
                <w:rFonts w:hint="eastAsia" w:ascii="宋体" w:hAnsi="宋体" w:eastAsia="宋体" w:cs="宋体"/>
                <w:b/>
                <w:sz w:val="24"/>
                <w:szCs w:val="24"/>
              </w:rPr>
              <w:fldChar w:fldCharType="end"/>
            </w:r>
            <w:r>
              <w:rPr>
                <w:rFonts w:hint="eastAsia" w:ascii="宋体" w:hAnsi="宋体" w:eastAsia="宋体" w:cs="宋体"/>
                <w:b/>
                <w:sz w:val="24"/>
                <w:szCs w:val="24"/>
              </w:rPr>
              <w:t>序号</w:t>
            </w:r>
          </w:p>
        </w:tc>
        <w:tc>
          <w:tcPr>
            <w:tcW w:w="1230" w:type="dxa"/>
            <w:vAlign w:val="center"/>
          </w:tcPr>
          <w:p w14:paraId="0FB61D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sz w:val="24"/>
                <w:szCs w:val="24"/>
              </w:rPr>
              <w:t>货物名称</w:t>
            </w:r>
          </w:p>
        </w:tc>
        <w:tc>
          <w:tcPr>
            <w:tcW w:w="5175" w:type="dxa"/>
            <w:vAlign w:val="center"/>
          </w:tcPr>
          <w:p w14:paraId="376A2BB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sz w:val="24"/>
                <w:szCs w:val="24"/>
              </w:rPr>
              <w:t>技术参数及要求</w:t>
            </w:r>
          </w:p>
        </w:tc>
        <w:tc>
          <w:tcPr>
            <w:tcW w:w="780" w:type="dxa"/>
            <w:vAlign w:val="center"/>
          </w:tcPr>
          <w:p w14:paraId="29A9F5F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sz w:val="24"/>
                <w:szCs w:val="24"/>
              </w:rPr>
              <w:t>数量</w:t>
            </w:r>
          </w:p>
        </w:tc>
        <w:tc>
          <w:tcPr>
            <w:tcW w:w="795" w:type="dxa"/>
            <w:vAlign w:val="center"/>
          </w:tcPr>
          <w:p w14:paraId="42215BD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sz w:val="24"/>
                <w:szCs w:val="24"/>
              </w:rPr>
              <w:t>所属行业</w:t>
            </w:r>
          </w:p>
        </w:tc>
        <w:tc>
          <w:tcPr>
            <w:tcW w:w="897" w:type="dxa"/>
            <w:vAlign w:val="center"/>
          </w:tcPr>
          <w:p w14:paraId="2A517A2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bCs/>
                <w:sz w:val="24"/>
                <w:szCs w:val="24"/>
              </w:rPr>
              <w:t>备注（进口或强制节能）</w:t>
            </w:r>
          </w:p>
        </w:tc>
      </w:tr>
      <w:tr w14:paraId="6F2C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14:paraId="2AD441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230" w:type="dxa"/>
            <w:shd w:val="clear" w:color="auto" w:fill="auto"/>
            <w:vAlign w:val="center"/>
          </w:tcPr>
          <w:p w14:paraId="3094040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▲20L涡旋连续流管式反应装置</w:t>
            </w:r>
          </w:p>
        </w:tc>
        <w:tc>
          <w:tcPr>
            <w:tcW w:w="5175" w:type="dxa"/>
            <w:shd w:val="clear" w:color="auto" w:fill="auto"/>
            <w:vAlign w:val="top"/>
          </w:tcPr>
          <w:p w14:paraId="130E01E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一、主要功能（用途）：在连续流动中，用涡旋/湍流/剪切实现毫秒级混合、精准控温、无死区、近活塞流、可处理含固体系。</w:t>
            </w:r>
          </w:p>
          <w:p w14:paraId="20AB8E2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二、技术参数</w:t>
            </w:r>
          </w:p>
          <w:p w14:paraId="255ED5D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1.主机部分</w:t>
            </w:r>
          </w:p>
          <w:p w14:paraId="55CAEE6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介质接触材质：聚四氟乙烯PTFE；</w:t>
            </w:r>
          </w:p>
          <w:p w14:paraId="6D0B196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反应管内径≥210mm；</w:t>
            </w:r>
          </w:p>
          <w:p w14:paraId="49CB49D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设计体积20L，有效体积≥18L，进出口与接管均≥DN6；</w:t>
            </w:r>
            <w:r>
              <w:rPr>
                <w:rFonts w:hint="eastAsia" w:ascii="宋体" w:hAnsi="宋体" w:eastAsia="宋体" w:cs="宋体"/>
                <w:b/>
                <w:bCs/>
                <w:color w:val="auto"/>
                <w:kern w:val="0"/>
                <w:sz w:val="24"/>
                <w:szCs w:val="24"/>
                <w:lang w:val="en-US" w:eastAsia="zh-CN" w:bidi="ar"/>
              </w:rPr>
              <w:t>（投标文件中提供证明材料佐证）</w:t>
            </w:r>
            <w:r>
              <w:rPr>
                <w:rFonts w:hint="eastAsia" w:ascii="宋体" w:hAnsi="宋体" w:eastAsia="宋体" w:cs="宋体"/>
                <w:color w:val="auto"/>
                <w:kern w:val="0"/>
                <w:sz w:val="24"/>
                <w:szCs w:val="24"/>
                <w:lang w:val="en-US" w:eastAsia="zh-CN" w:bidi="ar"/>
              </w:rPr>
              <w:t>；</w:t>
            </w:r>
          </w:p>
          <w:p w14:paraId="65AB09A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密封形式：双端面机械密封；</w:t>
            </w:r>
            <w:r>
              <w:rPr>
                <w:rFonts w:hint="eastAsia" w:ascii="宋体" w:hAnsi="宋体" w:eastAsia="宋体" w:cs="宋体"/>
                <w:b/>
                <w:bCs/>
                <w:color w:val="auto"/>
                <w:kern w:val="0"/>
                <w:sz w:val="24"/>
                <w:szCs w:val="24"/>
                <w:lang w:val="en-US" w:eastAsia="zh-CN" w:bidi="ar"/>
              </w:rPr>
              <w:t>（投标文件中提供证明材料佐证）</w:t>
            </w:r>
            <w:r>
              <w:rPr>
                <w:rFonts w:hint="eastAsia" w:ascii="宋体" w:hAnsi="宋体" w:eastAsia="宋体" w:cs="宋体"/>
                <w:color w:val="auto"/>
                <w:kern w:val="0"/>
                <w:sz w:val="24"/>
                <w:szCs w:val="24"/>
                <w:lang w:val="en-US" w:eastAsia="zh-CN" w:bidi="ar"/>
              </w:rPr>
              <w:t>；</w:t>
            </w:r>
          </w:p>
          <w:p w14:paraId="2C4824F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 反应腔定容≥18L；</w:t>
            </w:r>
          </w:p>
          <w:p w14:paraId="5865685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★1.6 换热面积≥19000cm</w:t>
            </w:r>
            <w:r>
              <w:rPr>
                <w:rFonts w:hint="eastAsia" w:ascii="宋体" w:hAnsi="宋体" w:eastAsia="宋体" w:cs="宋体"/>
                <w:color w:val="auto"/>
                <w:sz w:val="24"/>
                <w:szCs w:val="24"/>
                <w:vertAlign w:val="superscript"/>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（投标文件中提供证明材料佐证）</w:t>
            </w:r>
            <w:r>
              <w:rPr>
                <w:rFonts w:hint="eastAsia" w:ascii="宋体" w:hAnsi="宋体" w:eastAsia="宋体" w:cs="宋体"/>
                <w:b w:val="0"/>
                <w:bCs w:val="0"/>
                <w:color w:val="auto"/>
                <w:sz w:val="24"/>
                <w:szCs w:val="24"/>
                <w:lang w:val="en-US" w:eastAsia="zh-CN"/>
              </w:rPr>
              <w:t>；</w:t>
            </w:r>
          </w:p>
          <w:p w14:paraId="7F45B8D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 最高固含率≥5%；</w:t>
            </w:r>
            <w:r>
              <w:rPr>
                <w:rFonts w:hint="eastAsia" w:ascii="宋体" w:hAnsi="宋体" w:eastAsia="宋体" w:cs="宋体"/>
                <w:b/>
                <w:bCs/>
                <w:color w:val="auto"/>
                <w:sz w:val="24"/>
                <w:szCs w:val="24"/>
                <w:lang w:val="en-US" w:eastAsia="zh-CN"/>
              </w:rPr>
              <w:t>（投标文件中提供证明材料佐证）</w:t>
            </w:r>
            <w:r>
              <w:rPr>
                <w:rFonts w:hint="eastAsia" w:ascii="宋体" w:hAnsi="宋体" w:eastAsia="宋体" w:cs="宋体"/>
                <w:b w:val="0"/>
                <w:bCs w:val="0"/>
                <w:color w:val="auto"/>
                <w:sz w:val="24"/>
                <w:szCs w:val="24"/>
                <w:lang w:val="en-US" w:eastAsia="zh-CN"/>
              </w:rPr>
              <w:t>；</w:t>
            </w:r>
          </w:p>
          <w:p w14:paraId="449EC2E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 设计温度：0~120℃；</w:t>
            </w:r>
            <w:r>
              <w:rPr>
                <w:rFonts w:hint="eastAsia" w:ascii="宋体" w:hAnsi="宋体" w:eastAsia="宋体" w:cs="宋体"/>
                <w:b/>
                <w:bCs/>
                <w:color w:val="auto"/>
                <w:sz w:val="24"/>
                <w:szCs w:val="24"/>
                <w:lang w:val="en-US" w:eastAsia="zh-CN"/>
              </w:rPr>
              <w:t>（投标文件中提供证明材料佐证）</w:t>
            </w:r>
            <w:r>
              <w:rPr>
                <w:rFonts w:hint="eastAsia" w:ascii="宋体" w:hAnsi="宋体" w:eastAsia="宋体" w:cs="宋体"/>
                <w:b w:val="0"/>
                <w:bCs w:val="0"/>
                <w:color w:val="auto"/>
                <w:sz w:val="24"/>
                <w:szCs w:val="24"/>
                <w:lang w:val="en-US" w:eastAsia="zh-CN"/>
              </w:rPr>
              <w:t>；</w:t>
            </w:r>
          </w:p>
          <w:p w14:paraId="7A25AA6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 设计压力0.3MPa；</w:t>
            </w:r>
          </w:p>
          <w:p w14:paraId="1074A4C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 流速≤120L/H；</w:t>
            </w:r>
          </w:p>
          <w:p w14:paraId="1A55388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停留时间≤120min；</w:t>
            </w:r>
          </w:p>
          <w:p w14:paraId="7F6CFAA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夹套导热油；</w:t>
            </w:r>
          </w:p>
          <w:p w14:paraId="637C2EE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 传动形式：机械搅拌，传动轴产生涡旋结构；</w:t>
            </w:r>
            <w:r>
              <w:rPr>
                <w:rFonts w:hint="eastAsia" w:ascii="宋体" w:hAnsi="宋体" w:eastAsia="宋体" w:cs="宋体"/>
                <w:b/>
                <w:bCs/>
                <w:color w:val="auto"/>
                <w:sz w:val="24"/>
                <w:szCs w:val="24"/>
                <w:lang w:val="en-US" w:eastAsia="zh-CN"/>
              </w:rPr>
              <w:t>（投标文件中提供证明材料佐证）</w:t>
            </w:r>
            <w:r>
              <w:rPr>
                <w:rFonts w:hint="eastAsia" w:ascii="宋体" w:hAnsi="宋体" w:eastAsia="宋体" w:cs="宋体"/>
                <w:b w:val="0"/>
                <w:bCs w:val="0"/>
                <w:color w:val="auto"/>
                <w:sz w:val="24"/>
                <w:szCs w:val="24"/>
                <w:lang w:val="en-US" w:eastAsia="zh-CN"/>
              </w:rPr>
              <w:t>；</w:t>
            </w:r>
          </w:p>
          <w:p w14:paraId="339F24A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 反应腔与管道耐受30%双氧水腐蚀；</w:t>
            </w:r>
            <w:r>
              <w:rPr>
                <w:rFonts w:hint="eastAsia" w:ascii="宋体" w:hAnsi="宋体" w:eastAsia="宋体" w:cs="宋体"/>
                <w:b/>
                <w:bCs/>
                <w:color w:val="auto"/>
                <w:kern w:val="0"/>
                <w:sz w:val="24"/>
                <w:szCs w:val="24"/>
                <w:lang w:val="en-US" w:eastAsia="zh-CN" w:bidi="ar"/>
              </w:rPr>
              <w:t>（投标文件中提供证明材料佐证）</w:t>
            </w:r>
            <w:r>
              <w:rPr>
                <w:rFonts w:hint="eastAsia" w:ascii="宋体" w:hAnsi="宋体" w:eastAsia="宋体" w:cs="宋体"/>
                <w:color w:val="auto"/>
                <w:kern w:val="0"/>
                <w:sz w:val="24"/>
                <w:szCs w:val="24"/>
                <w:lang w:val="en-US" w:eastAsia="zh-CN" w:bidi="ar"/>
              </w:rPr>
              <w:t>；</w:t>
            </w:r>
          </w:p>
          <w:p w14:paraId="560F332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 单次连续运转≥400h；</w:t>
            </w:r>
            <w:r>
              <w:rPr>
                <w:rFonts w:hint="eastAsia" w:ascii="宋体" w:hAnsi="宋体" w:eastAsia="宋体" w:cs="宋体"/>
                <w:b/>
                <w:bCs/>
                <w:color w:val="auto"/>
                <w:kern w:val="0"/>
                <w:sz w:val="24"/>
                <w:szCs w:val="24"/>
                <w:lang w:val="en-US" w:eastAsia="zh-CN" w:bidi="ar"/>
              </w:rPr>
              <w:t>（投标文件中提供证明材料佐证）</w:t>
            </w:r>
            <w:r>
              <w:rPr>
                <w:rFonts w:hint="eastAsia" w:ascii="宋体" w:hAnsi="宋体" w:eastAsia="宋体" w:cs="宋体"/>
                <w:color w:val="auto"/>
                <w:kern w:val="0"/>
                <w:sz w:val="24"/>
                <w:szCs w:val="24"/>
                <w:lang w:val="en-US" w:eastAsia="zh-CN" w:bidi="ar"/>
              </w:rPr>
              <w:t>；</w:t>
            </w:r>
          </w:p>
          <w:p w14:paraId="5A4E3B1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1.16 计量泵精度1%；</w:t>
            </w:r>
          </w:p>
          <w:p w14:paraId="5F5574C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1.17 控温精度±0.1℃；</w:t>
            </w:r>
          </w:p>
          <w:p w14:paraId="1400A9C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1.18 PLC兼容；</w:t>
            </w:r>
          </w:p>
          <w:p w14:paraId="445E288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1.19 安全阀/爆破片≥DN25/0.3MPa；</w:t>
            </w:r>
          </w:p>
          <w:p w14:paraId="1C0D472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 支持位机远程控制；</w:t>
            </w:r>
          </w:p>
          <w:p w14:paraId="0C49667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具备超温超压报警与控制；</w:t>
            </w:r>
          </w:p>
          <w:p w14:paraId="59F03B1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 具备超流量报警与控制；</w:t>
            </w:r>
          </w:p>
          <w:p w14:paraId="31D5F9C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具备防爆摄像头远程监控；</w:t>
            </w:r>
          </w:p>
          <w:p w14:paraId="1B4AB10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进料系统整体防酸碱腐蚀、流量可精准调控，配置油酸、双氧水专用输送线；</w:t>
            </w:r>
          </w:p>
          <w:p w14:paraId="2DCED6B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2.防爆控制柜</w:t>
            </w:r>
          </w:p>
          <w:p w14:paraId="431466C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额定电压：AC220V/380V；</w:t>
            </w:r>
          </w:p>
          <w:p w14:paraId="1032C08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进线额定电流≤63A；</w:t>
            </w:r>
          </w:p>
          <w:p w14:paraId="57EF33B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防护等级≥IP55；</w:t>
            </w:r>
          </w:p>
          <w:p w14:paraId="13977AC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sz w:val="24"/>
                <w:szCs w:val="24"/>
                <w:lang w:val="en-US" w:eastAsia="zh-CN"/>
              </w:rPr>
              <w:t>2.4 防爆标志ExdbIIBT4；</w:t>
            </w:r>
          </w:p>
          <w:p w14:paraId="17CEEF0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路E型热电偶巡检仪；配变频器；</w:t>
            </w:r>
          </w:p>
          <w:p w14:paraId="32D230E0">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温度压力可调，具备超温超压自动泄压功能；</w:t>
            </w:r>
          </w:p>
          <w:p w14:paraId="44E453C9">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3.PLC控制系统</w:t>
            </w:r>
          </w:p>
          <w:p w14:paraId="0F0AC0FC">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4路E型热电偶巡检仪接入PLC模拟量输入；</w:t>
            </w:r>
            <w:r>
              <w:rPr>
                <w:rFonts w:hint="eastAsia" w:ascii="宋体" w:hAnsi="宋体" w:eastAsia="宋体" w:cs="宋体"/>
                <w:b/>
                <w:bCs/>
                <w:color w:val="auto"/>
                <w:kern w:val="0"/>
                <w:sz w:val="24"/>
                <w:szCs w:val="24"/>
                <w:lang w:val="en-US" w:eastAsia="zh-CN" w:bidi="ar"/>
              </w:rPr>
              <w:t>（投标文件中提供证明材料佐证）</w:t>
            </w:r>
            <w:r>
              <w:rPr>
                <w:rFonts w:hint="eastAsia" w:ascii="宋体" w:hAnsi="宋体" w:eastAsia="宋体" w:cs="宋体"/>
                <w:color w:val="auto"/>
                <w:kern w:val="0"/>
                <w:sz w:val="24"/>
                <w:szCs w:val="24"/>
                <w:lang w:val="en-US" w:eastAsia="zh-CN" w:bidi="ar"/>
              </w:rPr>
              <w:t>；</w:t>
            </w:r>
          </w:p>
          <w:p w14:paraId="7A6D1029">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电机变频控制，转速可调；</w:t>
            </w:r>
          </w:p>
          <w:p w14:paraId="4495BFE0">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压力传感器，超压报警停机；</w:t>
            </w:r>
          </w:p>
          <w:p w14:paraId="2AAAC516">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 温度传感器，超温报警停机；</w:t>
            </w:r>
            <w:r>
              <w:rPr>
                <w:rFonts w:hint="eastAsia" w:ascii="宋体" w:hAnsi="宋体" w:eastAsia="宋体" w:cs="宋体"/>
                <w:b/>
                <w:bCs/>
                <w:color w:val="auto"/>
                <w:kern w:val="0"/>
                <w:sz w:val="24"/>
                <w:szCs w:val="24"/>
                <w:lang w:val="en-US" w:eastAsia="zh-CN" w:bidi="ar"/>
              </w:rPr>
              <w:t>（投标文件中提供证明材料佐证）</w:t>
            </w:r>
            <w:r>
              <w:rPr>
                <w:rFonts w:hint="eastAsia" w:ascii="宋体" w:hAnsi="宋体" w:eastAsia="宋体" w:cs="宋体"/>
                <w:color w:val="auto"/>
                <w:kern w:val="0"/>
                <w:sz w:val="24"/>
                <w:szCs w:val="24"/>
                <w:lang w:val="en-US" w:eastAsia="zh-CN" w:bidi="ar"/>
              </w:rPr>
              <w:t>；</w:t>
            </w:r>
          </w:p>
          <w:p w14:paraId="25C5A2A8">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 工控机+上位机+显示器，实时监控控制；</w:t>
            </w:r>
          </w:p>
          <w:p w14:paraId="72CF6DB8">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 远程/本地双操作界面；</w:t>
            </w:r>
          </w:p>
          <w:p w14:paraId="5A1B0EDA">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 防爆摄像头实时监控；</w:t>
            </w:r>
          </w:p>
          <w:p w14:paraId="7F1991C7">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4.电气仪表阀门</w:t>
            </w:r>
          </w:p>
          <w:p w14:paraId="15B84D55">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PT100 精度A级；温度范围-30℃~200℃；</w:t>
            </w:r>
          </w:p>
          <w:p w14:paraId="314BC632">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输出≤30mA；探杆≤200mm；2分接口；螺丝材质不锈钢316L；保护管≤15mm；电气接口M20*15；供电24VDC；防护等级不低</w:t>
            </w:r>
            <w:bookmarkStart w:id="32" w:name="_GoBack"/>
            <w:bookmarkEnd w:id="32"/>
            <w:r>
              <w:rPr>
                <w:rFonts w:hint="eastAsia" w:ascii="宋体" w:hAnsi="宋体" w:eastAsia="宋体" w:cs="宋体"/>
                <w:color w:val="auto"/>
                <w:sz w:val="24"/>
                <w:szCs w:val="24"/>
                <w:lang w:val="en-US" w:eastAsia="zh-CN"/>
              </w:rPr>
              <w:t>于IP55；</w:t>
            </w:r>
          </w:p>
          <w:p w14:paraId="1C10EABF">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压力变送器：0-1.0MPa；精度0.5%；输出≤30mA；2分接口；供电24VDC；防护等级不低于IP55；</w:t>
            </w:r>
          </w:p>
          <w:p w14:paraId="6C5BB43C">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安全阀：0-0.3MPa；设定值0.1MPa；</w:t>
            </w:r>
          </w:p>
          <w:p w14:paraId="0BC225C3">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 泄料阀DN25，不锈钢316L；</w:t>
            </w:r>
          </w:p>
          <w:p w14:paraId="49A4DE71">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5.外形尺寸（W×D×H）：</w:t>
            </w:r>
            <w:r>
              <w:rPr>
                <w:rFonts w:hint="eastAsia" w:ascii="宋体" w:hAnsi="宋体" w:eastAsia="宋体" w:cs="宋体"/>
                <w:color w:val="auto"/>
                <w:sz w:val="24"/>
                <w:szCs w:val="22"/>
                <w:lang w:val="en-US" w:eastAsia="zh-CN"/>
              </w:rPr>
              <w:t>≤</w:t>
            </w:r>
            <w:r>
              <w:rPr>
                <w:rFonts w:hint="eastAsia" w:ascii="宋体" w:hAnsi="宋体" w:eastAsia="宋体" w:cs="宋体"/>
                <w:color w:val="auto"/>
                <w:sz w:val="24"/>
                <w:szCs w:val="24"/>
                <w:lang w:val="en-US" w:eastAsia="zh-CN"/>
              </w:rPr>
              <w:t>4000×4000×4000mm；</w:t>
            </w:r>
          </w:p>
          <w:p w14:paraId="1E1F29D6">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sz w:val="24"/>
                <w:szCs w:val="24"/>
                <w:lang w:val="en-US" w:eastAsia="zh-CN"/>
              </w:rPr>
              <w:t>6.工艺需求：</w:t>
            </w:r>
          </w:p>
          <w:p w14:paraId="0D760E75">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油酸转化率：≥95%；</w:t>
            </w:r>
          </w:p>
          <w:p w14:paraId="39D17D75">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壬二酸选择性：≥45%；</w:t>
            </w:r>
          </w:p>
          <w:p w14:paraId="4029740C">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停留时间：≤1h；</w:t>
            </w:r>
          </w:p>
          <w:p w14:paraId="0B9A6BAE">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反应温度：≤110℃；</w:t>
            </w:r>
          </w:p>
          <w:p w14:paraId="6D0ED017">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过氧化氢用量：≤6倍油酸摩尔量；</w:t>
            </w:r>
          </w:p>
          <w:p w14:paraId="25D264CD">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催化剂用量：≤5%油酸质量；</w:t>
            </w:r>
          </w:p>
          <w:p w14:paraId="18AB09BB">
            <w:pPr>
              <w:keepNext w:val="0"/>
              <w:keepLines w:val="0"/>
              <w:numPr>
                <w:ilvl w:val="0"/>
                <w:numId w:val="0"/>
              </w:numPr>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lang w:val="en-US" w:eastAsia="zh-CN"/>
              </w:rPr>
              <w:t>具有智能电子管理显示系统，实现设备型号、状态、期间核查、维护保养等信息；无频闪，无蓝光；WIFI 2.4G/蓝牙模式（蓝牙5.0传输协议）；分辨率：≥640*400，可视角度＞170°。</w:t>
            </w:r>
          </w:p>
          <w:p w14:paraId="6572222B">
            <w:pPr>
              <w:keepNext w:val="0"/>
              <w:keepLines w:val="0"/>
              <w:numPr>
                <w:ilvl w:val="0"/>
                <w:numId w:val="0"/>
              </w:numPr>
              <w:suppressLineNumbers w:val="0"/>
              <w:adjustRightInd w:val="0"/>
              <w:snapToGrid w:val="0"/>
              <w:spacing w:before="0" w:beforeAutospacing="0" w:after="0" w:afterAutospacing="0" w:line="360" w:lineRule="auto"/>
              <w:ind w:left="0"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sz w:val="24"/>
                <w:szCs w:val="24"/>
                <w:lang w:val="en-US" w:eastAsia="zh-CN"/>
              </w:rPr>
              <w:t>8.安装要求：底座Q235槽钢，喷防腐漆。撬装支架：不锈钢304。进料管道：不锈钢316L，快接接口，耐压0~0.5MPa，壁厚≥2mm，配管夹固定。</w:t>
            </w:r>
          </w:p>
          <w:p w14:paraId="335BCD64">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在2L涡旋管式连续流反应器条件优化的基础上，完成20L涡旋管式连续流反应器的工程化设计与工艺放大优化研究。通过系统考察反应物料配比、反应温度、连续流停留时间、催化剂用量等关键工艺条件对油酸氧化裂解反应的影响，建立适配放大反应器的过程控制方案与标准化操作流程，最终形成反应条件温和、原料消耗低、过程高度可控的油酸氧化裂解制备壬二酸连续流放大生产工艺，为工业化生产提供可靠技术支撑。</w:t>
            </w:r>
          </w:p>
          <w:p w14:paraId="0397B876">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■二、设备配置</w:t>
            </w:r>
          </w:p>
          <w:p w14:paraId="7131CF7D">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1.主件：涡旋连续流管式反应器 1台；</w:t>
            </w:r>
          </w:p>
          <w:p w14:paraId="70506901">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2.辅件：防爆控制柜（含PLC控制系统） 1套；</w:t>
            </w:r>
          </w:p>
          <w:p w14:paraId="5A9F3C22">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3.辅件：电气仪表阀门 1套；</w:t>
            </w:r>
          </w:p>
          <w:p w14:paraId="4C576473">
            <w:pPr>
              <w:keepNext w:val="0"/>
              <w:keepLines w:val="0"/>
              <w:numPr>
                <w:ilvl w:val="0"/>
                <w:numId w:val="0"/>
              </w:numPr>
              <w:suppressLineNumbers w:val="0"/>
              <w:adjustRightInd w:val="0"/>
              <w:snapToGrid w:val="0"/>
              <w:spacing w:before="0" w:beforeAutospacing="0" w:after="0" w:afterAutospacing="0" w:line="360" w:lineRule="auto"/>
              <w:ind w:left="0" w:leftChars="0" w:right="0" w:firstLine="0" w:firstLineChars="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lang w:val="en-US" w:eastAsia="zh-CN"/>
              </w:rPr>
              <w:t>4.辅件：进料输送系统（油酸+双氧水输送线） 1套。</w:t>
            </w:r>
          </w:p>
        </w:tc>
        <w:tc>
          <w:tcPr>
            <w:tcW w:w="780" w:type="dxa"/>
            <w:vAlign w:val="center"/>
          </w:tcPr>
          <w:p w14:paraId="78463D5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1套</w:t>
            </w:r>
          </w:p>
        </w:tc>
        <w:tc>
          <w:tcPr>
            <w:tcW w:w="795" w:type="dxa"/>
            <w:vAlign w:val="center"/>
          </w:tcPr>
          <w:p w14:paraId="3CC5B5D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工业</w:t>
            </w:r>
          </w:p>
        </w:tc>
        <w:tc>
          <w:tcPr>
            <w:tcW w:w="897" w:type="dxa"/>
            <w:vAlign w:val="center"/>
          </w:tcPr>
          <w:p w14:paraId="3D60561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w:t>
            </w:r>
          </w:p>
        </w:tc>
      </w:tr>
    </w:tbl>
    <w:p w14:paraId="59383306">
      <w:pPr>
        <w:widowControl w:val="0"/>
        <w:ind w:left="482" w:hanging="482" w:hangingChars="200"/>
        <w:contextualSpacing/>
        <w:jc w:val="both"/>
        <w:rPr>
          <w:rFonts w:hint="eastAsia" w:ascii="宋体" w:hAnsi="宋体" w:eastAsia="宋体" w:cs="宋体"/>
          <w:b/>
          <w:bCs/>
          <w:color w:val="FF0000"/>
          <w:kern w:val="2"/>
          <w:sz w:val="24"/>
          <w:szCs w:val="24"/>
          <w:lang w:val="en-US" w:eastAsia="zh-CN" w:bidi="ar-SA"/>
        </w:rPr>
      </w:pPr>
    </w:p>
    <w:p w14:paraId="4C992C9D">
      <w:pPr>
        <w:keepNext/>
        <w:keepLines/>
        <w:widowControl w:val="0"/>
        <w:wordWrap w:val="0"/>
        <w:spacing w:before="240" w:line="360" w:lineRule="auto"/>
        <w:ind w:firstLine="0" w:firstLineChars="0"/>
        <w:jc w:val="left"/>
        <w:outlineLvl w:val="1"/>
        <w:rPr>
          <w:rFonts w:hint="eastAsia" w:ascii="Arial" w:hAnsi="Arial" w:eastAsia="黑体" w:cs="Times New Roman"/>
          <w:bCs/>
          <w:kern w:val="0"/>
          <w:sz w:val="28"/>
          <w:szCs w:val="32"/>
          <w:lang w:val="en-US" w:eastAsia="zh-CN" w:bidi="ar-SA"/>
        </w:rPr>
      </w:pPr>
      <w:bookmarkStart w:id="17" w:name="_Toc4843"/>
      <w:bookmarkStart w:id="18" w:name="_Toc7421"/>
      <w:r>
        <w:rPr>
          <w:rFonts w:hint="eastAsia" w:ascii="Arial" w:hAnsi="Arial" w:eastAsia="黑体" w:cs="Times New Roman"/>
          <w:bCs/>
          <w:kern w:val="0"/>
          <w:sz w:val="28"/>
          <w:szCs w:val="32"/>
          <w:lang w:val="en-US" w:eastAsia="zh-CN" w:bidi="ar-SA"/>
        </w:rPr>
        <w:t>三、报价要求</w:t>
      </w:r>
      <w:bookmarkEnd w:id="17"/>
      <w:bookmarkEnd w:id="18"/>
    </w:p>
    <w:p w14:paraId="66C40FB6">
      <w:pPr>
        <w:wordWrap w:val="0"/>
        <w:spacing w:line="360" w:lineRule="auto"/>
        <w:ind w:firstLine="480" w:firstLineChars="200"/>
        <w:rPr>
          <w:rFonts w:hint="eastAsia" w:ascii="宋体" w:hAnsi="宋体" w:eastAsia="宋体"/>
          <w:b/>
          <w:sz w:val="24"/>
          <w:szCs w:val="18"/>
        </w:rPr>
      </w:pPr>
      <w:r>
        <w:rPr>
          <w:rFonts w:hint="eastAsia" w:ascii="宋体" w:hAnsi="宋体" w:eastAsia="宋体" w:cs="宋体"/>
          <w:sz w:val="24"/>
        </w:rPr>
        <w:t>本项目报总价，投标报价包括本项目需求的全部货物及所需附件购置费、包装费、运输费、人工费、安装调试费、各种税费、资料费、售后服务费及完成项目应有的全部费用。</w:t>
      </w:r>
    </w:p>
    <w:p w14:paraId="5BDB2119">
      <w:pPr>
        <w:keepNext/>
        <w:keepLines/>
        <w:widowControl w:val="0"/>
        <w:wordWrap w:val="0"/>
        <w:spacing w:before="240" w:line="360" w:lineRule="auto"/>
        <w:ind w:firstLine="0" w:firstLineChars="0"/>
        <w:jc w:val="left"/>
        <w:outlineLvl w:val="1"/>
        <w:rPr>
          <w:rFonts w:hint="eastAsia" w:ascii="Arial" w:hAnsi="Arial" w:eastAsia="黑体" w:cs="Times New Roman"/>
          <w:bCs/>
          <w:kern w:val="0"/>
          <w:sz w:val="28"/>
          <w:szCs w:val="32"/>
          <w:lang w:val="en-US" w:eastAsia="zh-CN" w:bidi="ar-SA"/>
        </w:rPr>
      </w:pPr>
      <w:r>
        <w:rPr>
          <w:rFonts w:hint="eastAsia" w:ascii="Arial" w:hAnsi="Arial" w:eastAsia="黑体" w:cs="Times New Roman"/>
          <w:bCs/>
          <w:kern w:val="0"/>
          <w:sz w:val="28"/>
          <w:szCs w:val="32"/>
          <w:lang w:val="en-US" w:eastAsia="zh-CN" w:bidi="ar-SA"/>
        </w:rPr>
        <w:t>四、备品备件及专用工具</w:t>
      </w:r>
    </w:p>
    <w:p w14:paraId="73D53182">
      <w:pPr>
        <w:wordWrap w:val="0"/>
        <w:spacing w:line="360" w:lineRule="auto"/>
        <w:ind w:firstLine="480" w:firstLineChars="200"/>
        <w:rPr>
          <w:rFonts w:hint="eastAsia" w:ascii="宋体" w:hAnsi="宋体" w:eastAsia="宋体" w:cs="宋体"/>
          <w:sz w:val="24"/>
        </w:rPr>
      </w:pPr>
      <w:bookmarkStart w:id="19" w:name="_Toc455587277"/>
      <w:bookmarkStart w:id="20" w:name="_Toc455587093"/>
      <w:bookmarkStart w:id="21" w:name="_Toc445554752"/>
      <w:r>
        <w:rPr>
          <w:rFonts w:hint="eastAsia" w:ascii="宋体" w:hAnsi="宋体" w:eastAsia="宋体" w:cs="宋体"/>
          <w:sz w:val="24"/>
        </w:rPr>
        <w:t>1、备品备件：中标人提供能够满足质量保证期内的设备维修要求的备品备件，备品备件应是新品。</w:t>
      </w:r>
    </w:p>
    <w:p w14:paraId="6D140D63">
      <w:pPr>
        <w:wordWrap w:val="0"/>
        <w:spacing w:line="360" w:lineRule="auto"/>
        <w:ind w:firstLine="480" w:firstLineChars="200"/>
        <w:rPr>
          <w:rFonts w:hint="eastAsia" w:ascii="宋体" w:hAnsi="宋体" w:eastAsia="宋体"/>
          <w:b/>
          <w:sz w:val="24"/>
          <w:szCs w:val="18"/>
        </w:rPr>
      </w:pPr>
      <w:r>
        <w:rPr>
          <w:rFonts w:hint="eastAsia" w:ascii="宋体" w:hAnsi="宋体" w:eastAsia="宋体" w:cs="宋体"/>
          <w:sz w:val="24"/>
        </w:rPr>
        <w:t>2、专用工具：中标人提供设备安装、调试、维修、保养所必要的专用工具、仪器、仪表等工具。</w:t>
      </w:r>
    </w:p>
    <w:bookmarkEnd w:id="19"/>
    <w:bookmarkEnd w:id="20"/>
    <w:bookmarkEnd w:id="21"/>
    <w:p w14:paraId="56F9B134">
      <w:pPr>
        <w:keepNext/>
        <w:keepLines/>
        <w:widowControl w:val="0"/>
        <w:wordWrap w:val="0"/>
        <w:spacing w:before="240" w:line="360" w:lineRule="auto"/>
        <w:ind w:firstLine="0" w:firstLineChars="0"/>
        <w:jc w:val="left"/>
        <w:outlineLvl w:val="1"/>
        <w:rPr>
          <w:rFonts w:hint="eastAsia" w:ascii="Arial" w:hAnsi="Arial" w:eastAsia="黑体" w:cs="Times New Roman"/>
          <w:bCs/>
          <w:kern w:val="0"/>
          <w:sz w:val="28"/>
          <w:szCs w:val="32"/>
          <w:lang w:val="en-US" w:eastAsia="zh-CN" w:bidi="ar-SA"/>
        </w:rPr>
      </w:pPr>
      <w:bookmarkStart w:id="22" w:name="_Toc532199625"/>
      <w:bookmarkStart w:id="23" w:name="_Toc445554753"/>
      <w:bookmarkStart w:id="24" w:name="_Toc455587278"/>
      <w:bookmarkStart w:id="25" w:name="_Toc455587094"/>
      <w:r>
        <w:rPr>
          <w:rFonts w:hint="eastAsia" w:ascii="Arial" w:hAnsi="Arial" w:eastAsia="黑体" w:cs="Times New Roman"/>
          <w:bCs/>
          <w:kern w:val="0"/>
          <w:sz w:val="28"/>
          <w:szCs w:val="32"/>
          <w:lang w:val="en-US" w:eastAsia="zh-CN" w:bidi="ar-SA"/>
        </w:rPr>
        <w:t>五、安装调试、验收试验及质量保证</w:t>
      </w:r>
      <w:bookmarkEnd w:id="22"/>
    </w:p>
    <w:p w14:paraId="69D8D7C6">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1、中标人在设备安装地点负责安装、调试。</w:t>
      </w:r>
    </w:p>
    <w:p w14:paraId="5F00423C">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2、具体设备验收标准和程序按采购人要求执行，下列验收程序可参照执行：</w:t>
      </w:r>
    </w:p>
    <w:p w14:paraId="253073F1">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21387723">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123091F">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2.3 中标人应根据采购人使用单位的技术要求提供相应的产品。由中标人所提供的设备部件间的连线和插接件均应视为设备内部器件，包含在相应的设备之中。</w:t>
      </w:r>
    </w:p>
    <w:p w14:paraId="2F6C2117">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2.4 运行测试及最终验收。在系统安装、调试结束后，采购人对其进行全面的测试，对测试中暴露出来的问题，中标人应及时进行整改，系统最终测试完毕经验收合格后，采购人应向中标人签发最终验收证明。</w:t>
      </w:r>
    </w:p>
    <w:p w14:paraId="3FB30DC8">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2.5 中标人应向采购人提供安装调试过程中的各种文档资料,以便采购人今后能掌握操作和维护方法。</w:t>
      </w:r>
    </w:p>
    <w:p w14:paraId="567A3AC1">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3、如设备在验收时有一个或多个指标未能达到要求而属于中标人责任时，则中标人自费采取有效措施，在</w:t>
      </w:r>
      <w:r>
        <w:rPr>
          <w:rFonts w:hint="eastAsia" w:ascii="宋体" w:hAnsi="宋体" w:eastAsia="宋体" w:cs="宋体"/>
          <w:sz w:val="24"/>
          <w:lang w:val="en-US" w:eastAsia="zh-CN"/>
        </w:rPr>
        <w:t>采购人</w:t>
      </w:r>
      <w:r>
        <w:rPr>
          <w:rFonts w:hint="eastAsia" w:ascii="宋体" w:hAnsi="宋体" w:eastAsia="宋体" w:cs="宋体"/>
          <w:sz w:val="24"/>
        </w:rPr>
        <w:t>规定时间内使之达到保证指标。如在</w:t>
      </w:r>
      <w:r>
        <w:rPr>
          <w:rFonts w:hint="eastAsia" w:ascii="宋体" w:hAnsi="宋体" w:eastAsia="宋体" w:cs="宋体"/>
          <w:sz w:val="24"/>
          <w:lang w:val="en-US" w:eastAsia="zh-CN"/>
        </w:rPr>
        <w:t>采购人</w:t>
      </w:r>
      <w:r>
        <w:rPr>
          <w:rFonts w:hint="eastAsia" w:ascii="宋体" w:hAnsi="宋体" w:eastAsia="宋体" w:cs="宋体"/>
          <w:sz w:val="24"/>
        </w:rPr>
        <w:t>规定的时间内仍达不到合格标准时，则中标人应向采购人赔偿。</w:t>
      </w:r>
    </w:p>
    <w:p w14:paraId="3F44A80B">
      <w:pPr>
        <w:keepNext/>
        <w:keepLines/>
        <w:widowControl w:val="0"/>
        <w:wordWrap w:val="0"/>
        <w:spacing w:before="240" w:line="360" w:lineRule="auto"/>
        <w:ind w:firstLine="0" w:firstLineChars="0"/>
        <w:jc w:val="left"/>
        <w:outlineLvl w:val="1"/>
        <w:rPr>
          <w:rFonts w:hint="eastAsia" w:ascii="Arial" w:hAnsi="Arial" w:eastAsia="黑体" w:cs="Times New Roman"/>
          <w:bCs/>
          <w:kern w:val="0"/>
          <w:sz w:val="28"/>
          <w:szCs w:val="32"/>
          <w:lang w:val="en-US" w:eastAsia="zh-CN" w:bidi="ar-SA"/>
        </w:rPr>
      </w:pPr>
      <w:bookmarkStart w:id="26" w:name="_Toc532199626"/>
      <w:r>
        <w:rPr>
          <w:rFonts w:hint="eastAsia" w:ascii="Arial" w:hAnsi="Arial" w:eastAsia="黑体" w:cs="Times New Roman"/>
          <w:bCs/>
          <w:kern w:val="0"/>
          <w:sz w:val="28"/>
          <w:szCs w:val="32"/>
          <w:lang w:val="en-US" w:eastAsia="zh-CN" w:bidi="ar-SA"/>
        </w:rPr>
        <w:t>六、包装运输</w:t>
      </w:r>
      <w:bookmarkEnd w:id="23"/>
      <w:bookmarkEnd w:id="24"/>
      <w:bookmarkEnd w:id="25"/>
      <w:bookmarkEnd w:id="26"/>
    </w:p>
    <w:p w14:paraId="3AB34308">
      <w:pPr>
        <w:wordWrap w:val="0"/>
        <w:spacing w:line="360" w:lineRule="auto"/>
        <w:ind w:firstLine="480" w:firstLineChars="200"/>
        <w:rPr>
          <w:rFonts w:hint="eastAsia" w:ascii="宋体" w:hAnsi="宋体" w:eastAsia="宋体" w:cs="宋体"/>
          <w:sz w:val="24"/>
        </w:rPr>
      </w:pPr>
      <w:bookmarkStart w:id="27" w:name="_Toc455587279"/>
      <w:bookmarkStart w:id="28" w:name="_Toc455587095"/>
      <w:bookmarkStart w:id="29" w:name="_Toc445554754"/>
      <w:r>
        <w:rPr>
          <w:rFonts w:hint="eastAsia" w:ascii="宋体" w:hAnsi="宋体" w:eastAsia="宋体" w:cs="宋体"/>
          <w:sz w:val="24"/>
        </w:rPr>
        <w:t>1、中标人负责设备包装、办理运输和保险，将设备安全运抵交货地点。</w:t>
      </w:r>
    </w:p>
    <w:p w14:paraId="061CD75B">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2、设备制造完成并通过试验后应及时包装，否则应得到切实的保护，确保其不受污损。</w:t>
      </w:r>
    </w:p>
    <w:p w14:paraId="55189719">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3、在包装箱外应标明采购人的订货号、发货号。</w:t>
      </w:r>
    </w:p>
    <w:p w14:paraId="4B47254E">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4、各种包装应能确保各零部件在运输过程中不致遭到损坏、丢失、变形、受潮和腐蚀。</w:t>
      </w:r>
    </w:p>
    <w:p w14:paraId="30E43E0B">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5、包装箱上应有明显的包装储运图示标志。</w:t>
      </w:r>
    </w:p>
    <w:p w14:paraId="1B54739B">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6、整体产品或分别运输的部件都要适应运输和装载的要求。</w:t>
      </w:r>
    </w:p>
    <w:p w14:paraId="31230754">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7、随产品提供的技术资料应完整无缺。</w:t>
      </w:r>
    </w:p>
    <w:p w14:paraId="11EE716E">
      <w:pPr>
        <w:keepNext/>
        <w:keepLines/>
        <w:widowControl w:val="0"/>
        <w:wordWrap w:val="0"/>
        <w:spacing w:before="240" w:line="360" w:lineRule="auto"/>
        <w:ind w:firstLine="0" w:firstLineChars="0"/>
        <w:jc w:val="left"/>
        <w:outlineLvl w:val="1"/>
        <w:rPr>
          <w:rFonts w:hint="eastAsia" w:ascii="Arial" w:hAnsi="Arial" w:eastAsia="黑体" w:cs="Times New Roman"/>
          <w:bCs/>
          <w:kern w:val="0"/>
          <w:sz w:val="28"/>
          <w:szCs w:val="32"/>
          <w:lang w:val="en-US" w:eastAsia="zh-CN" w:bidi="ar-SA"/>
        </w:rPr>
      </w:pPr>
      <w:bookmarkStart w:id="30" w:name="_Toc532199627"/>
      <w:r>
        <w:rPr>
          <w:rFonts w:hint="eastAsia" w:ascii="Arial" w:hAnsi="Arial" w:eastAsia="黑体" w:cs="Times New Roman"/>
          <w:bCs/>
          <w:kern w:val="0"/>
          <w:sz w:val="28"/>
          <w:szCs w:val="32"/>
          <w:lang w:val="en-US" w:eastAsia="zh-CN" w:bidi="ar-SA"/>
        </w:rPr>
        <w:t>七、技术培训</w:t>
      </w:r>
      <w:bookmarkEnd w:id="27"/>
      <w:bookmarkEnd w:id="28"/>
      <w:bookmarkEnd w:id="29"/>
      <w:bookmarkEnd w:id="30"/>
    </w:p>
    <w:p w14:paraId="11ED982A">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1、为使合同设备能正常安装和运行，由中标人提供相应的技术培训</w:t>
      </w:r>
      <w:r>
        <w:rPr>
          <w:rFonts w:hint="eastAsia" w:ascii="宋体" w:hAnsi="宋体" w:eastAsia="宋体" w:cs="宋体"/>
          <w:sz w:val="24"/>
          <w:lang w:eastAsia="zh-CN"/>
        </w:rPr>
        <w:t>，</w:t>
      </w:r>
      <w:r>
        <w:rPr>
          <w:rFonts w:hint="eastAsia" w:ascii="宋体" w:hAnsi="宋体" w:eastAsia="宋体" w:cs="宋体"/>
          <w:sz w:val="24"/>
        </w:rPr>
        <w:t>培训费用</w:t>
      </w:r>
      <w:r>
        <w:rPr>
          <w:rFonts w:hint="eastAsia" w:ascii="宋体" w:hAnsi="宋体" w:eastAsia="宋体" w:cs="宋体"/>
          <w:sz w:val="24"/>
          <w:lang w:val="en-US" w:eastAsia="zh-CN"/>
        </w:rPr>
        <w:t>包含在投标报价内</w:t>
      </w:r>
      <w:r>
        <w:rPr>
          <w:rFonts w:hint="eastAsia" w:ascii="宋体" w:hAnsi="宋体" w:eastAsia="宋体" w:cs="宋体"/>
          <w:sz w:val="24"/>
        </w:rPr>
        <w:t>。</w:t>
      </w:r>
    </w:p>
    <w:p w14:paraId="3A40111E">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2、培训的时间、人数、地点等具体内容由买卖双方商定，内容至少包括：设备原理、使用、维护、运行操作、常见故障处理等。</w:t>
      </w:r>
    </w:p>
    <w:p w14:paraId="2DCD43C6">
      <w:pPr>
        <w:keepNext/>
        <w:keepLines/>
        <w:widowControl w:val="0"/>
        <w:wordWrap w:val="0"/>
        <w:spacing w:before="240" w:line="360" w:lineRule="auto"/>
        <w:ind w:firstLine="0" w:firstLineChars="0"/>
        <w:jc w:val="left"/>
        <w:outlineLvl w:val="1"/>
        <w:rPr>
          <w:rFonts w:hint="eastAsia" w:ascii="Arial" w:hAnsi="Arial" w:eastAsia="黑体" w:cs="Times New Roman"/>
          <w:bCs/>
          <w:kern w:val="0"/>
          <w:sz w:val="28"/>
          <w:szCs w:val="32"/>
          <w:lang w:val="en-US" w:eastAsia="zh-CN" w:bidi="ar-SA"/>
        </w:rPr>
      </w:pPr>
      <w:bookmarkStart w:id="31" w:name="_Toc532199628"/>
      <w:r>
        <w:rPr>
          <w:rFonts w:hint="eastAsia" w:ascii="Arial" w:hAnsi="Arial" w:eastAsia="黑体" w:cs="Times New Roman"/>
          <w:bCs/>
          <w:kern w:val="0"/>
          <w:sz w:val="28"/>
          <w:szCs w:val="32"/>
          <w:lang w:val="en-US" w:eastAsia="zh-CN" w:bidi="ar-SA"/>
        </w:rPr>
        <w:t>八、质保及售后服务</w:t>
      </w:r>
    </w:p>
    <w:p w14:paraId="74950070">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1、自双方签订《验收报告》起进入质保期。</w:t>
      </w:r>
    </w:p>
    <w:p w14:paraId="7FC790B2">
      <w:pPr>
        <w:wordWrap w:val="0"/>
        <w:spacing w:line="360" w:lineRule="auto"/>
        <w:ind w:firstLine="480" w:firstLineChars="200"/>
      </w:pPr>
      <w:r>
        <w:rPr>
          <w:rFonts w:hint="eastAsia" w:ascii="宋体" w:hAnsi="宋体" w:eastAsia="宋体" w:cs="宋体"/>
          <w:sz w:val="24"/>
        </w:rPr>
        <w:t>2、在质保期间内，非采购人过失和故意并且在正常使用的情况下发现商品有缺陷，中标人</w:t>
      </w:r>
      <w:r>
        <w:rPr>
          <w:rFonts w:hint="eastAsia" w:ascii="宋体" w:hAnsi="宋体" w:eastAsia="宋体" w:cs="宋体"/>
          <w:sz w:val="24"/>
          <w:lang w:val="en-US" w:eastAsia="zh-CN"/>
        </w:rPr>
        <w:t>应</w:t>
      </w:r>
      <w:r>
        <w:rPr>
          <w:rFonts w:hint="eastAsia" w:ascii="宋体" w:hAnsi="宋体" w:eastAsia="宋体" w:cs="宋体"/>
          <w:sz w:val="24"/>
        </w:rPr>
        <w:t>修理或替换该设备；在质保期间内，非采购人过失和故意并且在正常使用的情况下设备发生故障，中标人应及时提供服务。</w:t>
      </w:r>
      <w:bookmarkEnd w:id="0"/>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250035-D7C5-4DAD-A571-1AA2CACBFADE}"/>
  </w:font>
  <w:font w:name="黑体">
    <w:panose1 w:val="02010609060101010101"/>
    <w:charset w:val="86"/>
    <w:family w:val="auto"/>
    <w:pitch w:val="default"/>
    <w:sig w:usb0="800002BF" w:usb1="38CF7CFA" w:usb2="00000016" w:usb3="00000000" w:csb0="00040001" w:csb1="00000000"/>
    <w:embedRegular r:id="rId2" w:fontKey="{E04880A3-6B27-4C27-944F-6DC130BD58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56FE355-0DB6-479E-AFAB-75FF3CF27AF9}"/>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3432E967-4CA9-4044-B404-92D19664DAC0}"/>
  </w:font>
  <w:font w:name="方正黑体_GBK">
    <w:panose1 w:val="02010600010101010101"/>
    <w:charset w:val="86"/>
    <w:family w:val="script"/>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5" w:fontKey="{B3F28237-9161-43E6-8CBD-7A93D1983D6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95D4B"/>
    <w:rsid w:val="0C680C1F"/>
    <w:rsid w:val="1CD8518E"/>
    <w:rsid w:val="3FB95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4">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unhideWhenUsed/>
    <w:qFormat/>
    <w:uiPriority w:val="99"/>
    <w:pPr>
      <w:ind w:firstLine="645"/>
    </w:pPr>
    <w:rPr>
      <w:rFonts w:ascii="楷体_GB2312" w:eastAsia="楷体_GB2312"/>
      <w:sz w:val="32"/>
    </w:rPr>
  </w:style>
  <w:style w:type="paragraph" w:styleId="6">
    <w:name w:val="envelope return"/>
    <w:basedOn w:val="1"/>
    <w:qFormat/>
    <w:uiPriority w:val="99"/>
    <w:pPr>
      <w:snapToGrid w:val="0"/>
    </w:pPr>
    <w:rPr>
      <w:rFonts w:ascii="Arial" w:hAnsi="Arial" w:cs="Arial"/>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9">
    <w:name w:val="Body Text First Indent 2"/>
    <w:basedOn w:val="5"/>
    <w:unhideWhenUsed/>
    <w:qFormat/>
    <w:uiPriority w:val="99"/>
    <w:pPr>
      <w:ind w:left="420" w:firstLine="420" w:firstLineChars="200"/>
    </w:pPr>
    <w:rPr>
      <w:rFonts w:ascii="Times New Roman" w:cs="Times New Roman"/>
    </w:rPr>
  </w:style>
  <w:style w:type="paragraph" w:customStyle="1" w:styleId="12">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 w:type="paragraph" w:customStyle="1" w:styleId="14">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4115</Words>
  <Characters>4486</Characters>
  <Lines>0</Lines>
  <Paragraphs>0</Paragraphs>
  <TotalTime>0</TotalTime>
  <ScaleCrop>false</ScaleCrop>
  <LinksUpToDate>false</LinksUpToDate>
  <CharactersWithSpaces>4539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2026-04-20T12:13:00Z</dcterms:created>
  <dc:creator>审阅</dc:creator>
  <cp:lastModifiedBy>审阅</cp:lastModifiedBy>
  <dcterms:modified xsi:type="dcterms:W3CDTF">2026-04-20T12:41:28Z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264918DF793745B19BD4FAE7D9F3155A_11</vt:lpwstr>
  </property>
  <property fmtid="{D5CDD505-2E9C-101B-9397-08002B2CF9AE}" pid="4" name="KSOTemplateDocerSaveRecord">
    <vt:lpwstr>eyJoZGlkIjoiZTdlZWY3ZWY1NGQ0OTgxYTUyZGUyZmJjMTFjY2Q4ZDciLCJ1c2VySWQiOiIzMjQ4MTEwODkifQ==</vt:lpwstr>
  </property>
</Properties>
</file>