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5900D">
      <w:pPr>
        <w:pStyle w:val="2"/>
        <w:widowControl/>
        <w:snapToGrid w:val="0"/>
        <w:spacing w:before="0" w:after="0" w:line="360" w:lineRule="auto"/>
        <w:jc w:val="center"/>
        <w:rPr>
          <w:rFonts w:hint="eastAsia" w:ascii="宋体" w:hAnsi="宋体"/>
          <w:color w:val="000000"/>
          <w:highlight w:val="none"/>
        </w:rPr>
      </w:pPr>
      <w:bookmarkStart w:id="0" w:name="_Toc8946"/>
      <w:r>
        <w:rPr>
          <w:rFonts w:hint="eastAsia" w:ascii="宋体" w:hAnsi="宋体"/>
          <w:color w:val="000000"/>
          <w:highlight w:val="none"/>
        </w:rPr>
        <w:t>第三章  采购需求及技术规格要求</w:t>
      </w:r>
      <w:bookmarkEnd w:id="0"/>
    </w:p>
    <w:p w14:paraId="5AF76FFD">
      <w:pPr>
        <w:pStyle w:val="3"/>
        <w:spacing w:before="0" w:after="0" w:line="360" w:lineRule="auto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</w:rPr>
        <w:t>总则：</w:t>
      </w:r>
    </w:p>
    <w:p w14:paraId="3AEBBF38">
      <w:pPr>
        <w:widowControl/>
        <w:tabs>
          <w:tab w:val="left" w:pos="1406"/>
        </w:tabs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sz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highlight w:val="none"/>
        </w:rPr>
        <w:t>1.1 本技术规格所提出的要求是对本次招标货物的基本技术要求，并未涉及所有技术细节，也未充分引述有关标准、规范的全部条款。投标人应保证其提供的货物除了满足本技术规格的要求外，还应符合中国国家、行业、地方或设备制造商所在国的有关标准、规范（尤其是必须符合中国国家标准的有关强制性规定)。</w:t>
      </w:r>
    </w:p>
    <w:p w14:paraId="4B67B0E2">
      <w:pPr>
        <w:pStyle w:val="10"/>
        <w:spacing w:line="360" w:lineRule="auto"/>
        <w:ind w:firstLine="480" w:firstLineChars="200"/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1.2 中标产品的名称、品牌、规格型号、数量、单价等将予以公布。</w:t>
      </w:r>
    </w:p>
    <w:p w14:paraId="48C6BD7F">
      <w:pPr>
        <w:wordWrap w:val="0"/>
        <w:spacing w:line="360" w:lineRule="auto"/>
        <w:jc w:val="left"/>
        <w:rPr>
          <w:rFonts w:hint="eastAsia" w:ascii="仿宋" w:hAnsi="仿宋" w:eastAsia="仿宋" w:cs="仿宋"/>
          <w:b/>
          <w:color w:val="000000"/>
          <w:sz w:val="24"/>
          <w:highlight w:val="none"/>
        </w:rPr>
      </w:pPr>
      <w:r>
        <w:rPr>
          <w:rFonts w:hint="eastAsia" w:ascii="仿宋" w:hAnsi="仿宋" w:eastAsia="仿宋" w:cs="仿宋"/>
          <w:b/>
          <w:color w:val="000000"/>
          <w:sz w:val="24"/>
          <w:highlight w:val="none"/>
        </w:rPr>
        <w:t>一、商务条款：</w:t>
      </w:r>
    </w:p>
    <w:tbl>
      <w:tblPr>
        <w:tblStyle w:val="8"/>
        <w:tblW w:w="0" w:type="auto"/>
        <w:tblInd w:w="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29"/>
        <w:gridCol w:w="7216"/>
      </w:tblGrid>
      <w:tr w14:paraId="3F053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011" w:type="dxa"/>
            <w:noWrap w:val="0"/>
            <w:vAlign w:val="center"/>
          </w:tcPr>
          <w:p w14:paraId="19FBD8E8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highlight w:val="none"/>
              </w:rPr>
              <w:t>序号</w:t>
            </w:r>
          </w:p>
        </w:tc>
        <w:tc>
          <w:tcPr>
            <w:tcW w:w="8745" w:type="dxa"/>
            <w:gridSpan w:val="2"/>
            <w:noWrap w:val="0"/>
            <w:vAlign w:val="center"/>
          </w:tcPr>
          <w:p w14:paraId="6BCF0178">
            <w:pPr>
              <w:wordWrap w:val="0"/>
              <w:spacing w:line="360" w:lineRule="auto"/>
              <w:ind w:firstLine="2891" w:firstLineChars="1200"/>
              <w:jc w:val="left"/>
              <w:rPr>
                <w:rFonts w:hint="eastAsia" w:ascii="仿宋" w:hAnsi="仿宋" w:eastAsia="仿宋" w:cs="仿宋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highlight w:val="none"/>
              </w:rPr>
              <w:t>商务条款内容</w:t>
            </w:r>
          </w:p>
        </w:tc>
      </w:tr>
      <w:tr w14:paraId="0D533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11" w:type="dxa"/>
            <w:noWrap w:val="0"/>
            <w:vAlign w:val="center"/>
          </w:tcPr>
          <w:p w14:paraId="5EFBD657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highlight w:val="none"/>
              </w:rPr>
              <w:t>1</w:t>
            </w:r>
          </w:p>
        </w:tc>
        <w:tc>
          <w:tcPr>
            <w:tcW w:w="1529" w:type="dxa"/>
            <w:vMerge w:val="restart"/>
            <w:noWrap w:val="0"/>
            <w:vAlign w:val="center"/>
          </w:tcPr>
          <w:p w14:paraId="4FA2707A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highlight w:val="none"/>
              </w:rPr>
              <w:t>如是依法纳入医疗器械管理的须具有：</w:t>
            </w:r>
          </w:p>
        </w:tc>
        <w:tc>
          <w:tcPr>
            <w:tcW w:w="7216" w:type="dxa"/>
            <w:noWrap w:val="0"/>
            <w:vAlign w:val="center"/>
          </w:tcPr>
          <w:p w14:paraId="2686D253">
            <w:pPr>
              <w:wordWrap w:val="0"/>
              <w:spacing w:line="360" w:lineRule="auto"/>
              <w:jc w:val="left"/>
              <w:rPr>
                <w:rFonts w:hint="eastAsia" w:ascii="仿宋" w:hAnsi="仿宋" w:eastAsia="仿宋" w:cs="仿宋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highlight w:val="none"/>
              </w:rPr>
              <w:t>投标人为制造商的，须具有相应的医疗器械生产备案获取的备案编号（属于一类时）。</w:t>
            </w:r>
          </w:p>
        </w:tc>
      </w:tr>
      <w:tr w14:paraId="3111D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011" w:type="dxa"/>
            <w:noWrap w:val="0"/>
            <w:vAlign w:val="center"/>
          </w:tcPr>
          <w:p w14:paraId="6D8ED69F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highlight w:val="none"/>
              </w:rPr>
              <w:t>2</w:t>
            </w:r>
          </w:p>
        </w:tc>
        <w:tc>
          <w:tcPr>
            <w:tcW w:w="1529" w:type="dxa"/>
            <w:vMerge w:val="continue"/>
            <w:noWrap w:val="0"/>
            <w:vAlign w:val="top"/>
          </w:tcPr>
          <w:p w14:paraId="4E253FAD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</w:rPr>
            </w:pPr>
          </w:p>
        </w:tc>
        <w:tc>
          <w:tcPr>
            <w:tcW w:w="7216" w:type="dxa"/>
            <w:noWrap w:val="0"/>
            <w:vAlign w:val="top"/>
          </w:tcPr>
          <w:p w14:paraId="4932BF35">
            <w:pPr>
              <w:pStyle w:val="11"/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投标人须具有与投标产品相应的有效经营备案编号（属于二类时）；（如本次投标产品的注册人、备案人在其住所或者生产地址销售的，无需再办理医疗器械经营许可或备案。）。</w:t>
            </w:r>
          </w:p>
        </w:tc>
      </w:tr>
      <w:tr w14:paraId="0A253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1" w:type="dxa"/>
            <w:noWrap w:val="0"/>
            <w:vAlign w:val="center"/>
          </w:tcPr>
          <w:p w14:paraId="5F76A1B7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highlight w:val="none"/>
              </w:rPr>
              <w:t>3</w:t>
            </w:r>
          </w:p>
        </w:tc>
        <w:tc>
          <w:tcPr>
            <w:tcW w:w="1529" w:type="dxa"/>
            <w:vMerge w:val="continue"/>
            <w:noWrap w:val="0"/>
            <w:vAlign w:val="top"/>
          </w:tcPr>
          <w:p w14:paraId="37057712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</w:rPr>
            </w:pPr>
          </w:p>
        </w:tc>
        <w:tc>
          <w:tcPr>
            <w:tcW w:w="7216" w:type="dxa"/>
            <w:noWrap w:val="0"/>
            <w:vAlign w:val="top"/>
          </w:tcPr>
          <w:p w14:paraId="63A482E4">
            <w:pPr>
              <w:pStyle w:val="7"/>
              <w:spacing w:before="0" w:beforeAutospacing="0" w:after="0" w:afterAutospacing="0" w:line="360" w:lineRule="auto"/>
              <w:rPr>
                <w:rFonts w:hint="eastAsia" w:ascii="仿宋" w:hAnsi="仿宋" w:eastAsia="仿宋" w:cs="仿宋"/>
                <w:b/>
                <w:bCs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highlight w:val="none"/>
              </w:rPr>
              <w:t>投标产品须具有有效的医疗器械注册证（属于二类、三类时）；投标产品纳入备案管理时（属于一类时），须在投标文件中提供备案材料或承诺函（承诺在合同签订前提供所投产品的备案证明材料，若未按规定提供视为自动放弃中标资格）。</w:t>
            </w:r>
          </w:p>
        </w:tc>
      </w:tr>
      <w:tr w14:paraId="0B5A4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1" w:type="dxa"/>
            <w:noWrap w:val="0"/>
            <w:vAlign w:val="center"/>
          </w:tcPr>
          <w:p w14:paraId="5A0C551D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highlight w:val="none"/>
              </w:rPr>
              <w:t>4</w:t>
            </w:r>
          </w:p>
        </w:tc>
        <w:tc>
          <w:tcPr>
            <w:tcW w:w="8745" w:type="dxa"/>
            <w:gridSpan w:val="2"/>
            <w:noWrap w:val="0"/>
            <w:vAlign w:val="top"/>
          </w:tcPr>
          <w:p w14:paraId="73D66A12">
            <w:pPr>
              <w:pStyle w:val="7"/>
              <w:spacing w:before="0" w:beforeAutospacing="0" w:after="0" w:afterAutospacing="0" w:line="360" w:lineRule="auto"/>
              <w:rPr>
                <w:rFonts w:hint="eastAsia" w:ascii="仿宋" w:hAnsi="仿宋" w:eastAsia="仿宋" w:cs="仿宋"/>
                <w:b/>
                <w:bCs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highlight w:val="none"/>
              </w:rPr>
              <w:t>1、投标人所投设备须与医院信息系统连接，由此产生的费用包含在投标总报价中，采购人不另行支付。</w:t>
            </w:r>
          </w:p>
          <w:p w14:paraId="01FE6D6D">
            <w:pPr>
              <w:pStyle w:val="7"/>
              <w:spacing w:before="0" w:beforeAutospacing="0" w:after="0" w:afterAutospacing="0" w:line="360" w:lineRule="auto"/>
              <w:rPr>
                <w:rFonts w:hint="eastAsia" w:ascii="仿宋" w:hAnsi="仿宋" w:eastAsia="仿宋" w:cs="仿宋"/>
                <w:b/>
                <w:bCs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highlight w:val="none"/>
              </w:rPr>
              <w:t>2、中标人需负责在项目安装地点进行所投设备的安装调试工作，并现场测试。在安装和调试期间，如发现设备或材料有缺陷或损坏，中标人应尽快更换，相关费用均包含在本次投标报价中。中标人在维护期内应提供现场、电话、传真或电子邮件方式为采购人提供技术支持，要求中标人应在有稳定的技术支撑与服务能力，并且在设备发生故障时2小时内响应。中标人在项目验收合格后，负责对所投设备组织操作使用培训，培训地点、人员由采购人指定。</w:t>
            </w:r>
          </w:p>
        </w:tc>
      </w:tr>
    </w:tbl>
    <w:p w14:paraId="242600E1">
      <w:pPr>
        <w:spacing w:line="360" w:lineRule="auto"/>
        <w:rPr>
          <w:rFonts w:hint="eastAsia" w:ascii="仿宋" w:hAnsi="仿宋" w:eastAsia="仿宋" w:cs="仿宋"/>
          <w:b/>
          <w:color w:val="000000"/>
          <w:sz w:val="24"/>
          <w:highlight w:val="none"/>
        </w:rPr>
      </w:pPr>
    </w:p>
    <w:p w14:paraId="463BDACE">
      <w:pPr>
        <w:spacing w:line="360" w:lineRule="auto"/>
        <w:rPr>
          <w:rFonts w:hint="eastAsia" w:ascii="仿宋" w:hAnsi="仿宋" w:eastAsia="仿宋" w:cs="仿宋"/>
          <w:bCs/>
          <w:color w:val="000000"/>
          <w:sz w:val="24"/>
          <w:highlight w:val="none"/>
        </w:rPr>
      </w:pPr>
      <w:r>
        <w:rPr>
          <w:rFonts w:hint="eastAsia" w:ascii="仿宋" w:hAnsi="仿宋" w:eastAsia="仿宋" w:cs="仿宋"/>
          <w:b/>
          <w:color w:val="000000"/>
          <w:sz w:val="24"/>
          <w:highlight w:val="none"/>
        </w:rPr>
        <w:t>注：上述</w:t>
      </w:r>
      <w:r>
        <w:rPr>
          <w:rFonts w:hint="eastAsia" w:ascii="仿宋" w:hAnsi="仿宋" w:eastAsia="仿宋" w:cs="仿宋"/>
          <w:b/>
          <w:sz w:val="24"/>
          <w:highlight w:val="none"/>
        </w:rPr>
        <w:t>商务条款必须全部满足，否则做无效标处理。</w:t>
      </w:r>
    </w:p>
    <w:p w14:paraId="25BE7B2F">
      <w:pPr>
        <w:pStyle w:val="4"/>
        <w:numPr>
          <w:ilvl w:val="0"/>
          <w:numId w:val="1"/>
        </w:numPr>
        <w:spacing w:line="360" w:lineRule="auto"/>
        <w:ind w:firstLine="0" w:firstLineChars="0"/>
        <w:rPr>
          <w:rFonts w:hint="eastAsia" w:ascii="仿宋" w:hAnsi="仿宋" w:eastAsia="仿宋" w:cs="仿宋"/>
          <w:b/>
          <w:bCs/>
          <w:kern w:val="44"/>
          <w:sz w:val="24"/>
          <w:highlight w:val="none"/>
          <w:lang w:val="zh-CN"/>
        </w:rPr>
      </w:pPr>
      <w:r>
        <w:rPr>
          <w:rFonts w:hint="eastAsia" w:ascii="仿宋" w:hAnsi="仿宋" w:eastAsia="仿宋" w:cs="仿宋"/>
          <w:b/>
          <w:bCs/>
          <w:kern w:val="44"/>
          <w:sz w:val="24"/>
          <w:highlight w:val="none"/>
        </w:rPr>
        <w:t>项目技术</w:t>
      </w:r>
      <w:r>
        <w:rPr>
          <w:rFonts w:hint="eastAsia" w:ascii="仿宋" w:hAnsi="仿宋" w:eastAsia="仿宋" w:cs="仿宋"/>
          <w:b/>
          <w:bCs/>
          <w:kern w:val="44"/>
          <w:sz w:val="24"/>
          <w:highlight w:val="none"/>
          <w:lang w:val="zh-CN"/>
        </w:rPr>
        <w:t>需求：</w:t>
      </w:r>
    </w:p>
    <w:p w14:paraId="3407B29F">
      <w:pPr>
        <w:pStyle w:val="4"/>
        <w:ind w:firstLine="0" w:firstLineChars="0"/>
        <w:rPr>
          <w:b/>
          <w:bCs/>
          <w:highlight w:val="none"/>
          <w:lang w:val="zh-CN"/>
        </w:rPr>
      </w:pPr>
    </w:p>
    <w:p w14:paraId="1886833E">
      <w:pPr>
        <w:wordWrap w:val="0"/>
        <w:spacing w:line="360" w:lineRule="auto"/>
        <w:rPr>
          <w:rFonts w:hint="eastAsia" w:ascii="仿宋_GB2312" w:hAnsi="仿宋_GB2312" w:eastAsia="仿宋_GB2312" w:cs="仿宋_GB2312"/>
          <w:b/>
          <w:color w:val="00000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000000"/>
          <w:sz w:val="24"/>
          <w:highlight w:val="none"/>
        </w:rPr>
        <w:t>（一）</w:t>
      </w:r>
      <w:r>
        <w:rPr>
          <w:rFonts w:hint="eastAsia" w:ascii="仿宋" w:hAnsi="仿宋" w:eastAsia="仿宋" w:cs="仿宋"/>
          <w:b/>
          <w:bCs/>
          <w:kern w:val="44"/>
          <w:sz w:val="24"/>
          <w:highlight w:val="none"/>
        </w:rPr>
        <w:t>技术</w:t>
      </w:r>
      <w:r>
        <w:rPr>
          <w:rFonts w:hint="eastAsia" w:ascii="仿宋" w:hAnsi="仿宋" w:eastAsia="仿宋" w:cs="仿宋"/>
          <w:b/>
          <w:bCs/>
          <w:kern w:val="44"/>
          <w:sz w:val="24"/>
          <w:highlight w:val="none"/>
          <w:lang w:val="zh-CN"/>
        </w:rPr>
        <w:t>需求</w:t>
      </w:r>
      <w:r>
        <w:rPr>
          <w:rFonts w:hint="eastAsia" w:ascii="仿宋_GB2312" w:hAnsi="仿宋_GB2312" w:eastAsia="仿宋_GB2312" w:cs="仿宋_GB2312"/>
          <w:b/>
          <w:color w:val="000000"/>
          <w:sz w:val="24"/>
          <w:highlight w:val="none"/>
        </w:rPr>
        <w:t>重要性表述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7"/>
        <w:gridCol w:w="1902"/>
        <w:gridCol w:w="4693"/>
      </w:tblGrid>
      <w:tr w14:paraId="33099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211" w:type="dxa"/>
            <w:noWrap w:val="0"/>
            <w:vAlign w:val="center"/>
          </w:tcPr>
          <w:p w14:paraId="2DF8EFD6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标识重要性</w:t>
            </w:r>
          </w:p>
        </w:tc>
        <w:tc>
          <w:tcPr>
            <w:tcW w:w="2180" w:type="dxa"/>
            <w:noWrap w:val="0"/>
            <w:vAlign w:val="center"/>
          </w:tcPr>
          <w:p w14:paraId="48C0EAD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标识符号</w:t>
            </w:r>
          </w:p>
        </w:tc>
        <w:tc>
          <w:tcPr>
            <w:tcW w:w="5463" w:type="dxa"/>
            <w:noWrap w:val="0"/>
            <w:vAlign w:val="center"/>
          </w:tcPr>
          <w:p w14:paraId="46FE07C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代表意思</w:t>
            </w:r>
          </w:p>
        </w:tc>
      </w:tr>
      <w:tr w14:paraId="05730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11" w:type="dxa"/>
            <w:noWrap w:val="0"/>
            <w:vAlign w:val="center"/>
          </w:tcPr>
          <w:p w14:paraId="32E7208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一般指标项</w:t>
            </w:r>
          </w:p>
        </w:tc>
        <w:tc>
          <w:tcPr>
            <w:tcW w:w="2180" w:type="dxa"/>
            <w:noWrap w:val="0"/>
            <w:vAlign w:val="center"/>
          </w:tcPr>
          <w:p w14:paraId="398611A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无标识项</w:t>
            </w:r>
          </w:p>
        </w:tc>
        <w:tc>
          <w:tcPr>
            <w:tcW w:w="5463" w:type="dxa"/>
            <w:noWrap w:val="0"/>
            <w:vAlign w:val="center"/>
          </w:tcPr>
          <w:p w14:paraId="448B1AA6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评分项，详见第四章评分细则</w:t>
            </w:r>
          </w:p>
        </w:tc>
      </w:tr>
      <w:tr w14:paraId="61B54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54" w:type="dxa"/>
            <w:gridSpan w:val="3"/>
            <w:noWrap w:val="0"/>
            <w:vAlign w:val="center"/>
          </w:tcPr>
          <w:p w14:paraId="33A631A6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注：投标人须如实响应，如在后期合同履约过程中，发现有虚假响应情况，招标人有权解除合同、不予退还履约保证金、不予支付合同款项，且追究中标人给甲方带来的一切损失。</w:t>
            </w:r>
          </w:p>
        </w:tc>
      </w:tr>
    </w:tbl>
    <w:p w14:paraId="6ACB075D">
      <w:pPr>
        <w:numPr>
          <w:ilvl w:val="0"/>
          <w:numId w:val="2"/>
        </w:numPr>
        <w:wordWrap w:val="0"/>
        <w:spacing w:line="360" w:lineRule="auto"/>
        <w:rPr>
          <w:rFonts w:hint="eastAsia" w:ascii="仿宋" w:hAnsi="仿宋" w:eastAsia="仿宋" w:cs="仿宋"/>
          <w:b/>
          <w:bCs/>
          <w:sz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highlight w:val="none"/>
        </w:rPr>
        <w:t>技术要求</w:t>
      </w:r>
    </w:p>
    <w:p w14:paraId="39B7BF4C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 xml:space="preserve"> 1、测量参数：</w:t>
      </w:r>
    </w:p>
    <w:p w14:paraId="0951E61E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1.1  HR:心率</w:t>
      </w:r>
    </w:p>
    <w:p w14:paraId="0728BC05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1.2  SV:心收缩量</w:t>
      </w:r>
    </w:p>
    <w:p w14:paraId="5D1153B5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1.3  CO:心输出量</w:t>
      </w:r>
    </w:p>
    <w:p w14:paraId="0C767FD4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1.4  CI:心脏指数</w:t>
      </w:r>
    </w:p>
    <w:p w14:paraId="30930927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1.5  CTI:心收缩指数</w:t>
      </w:r>
    </w:p>
    <w:p w14:paraId="7BB835CD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1.6  VET:瓣膜射血时间</w:t>
      </w:r>
    </w:p>
    <w:p w14:paraId="79EDEC67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1.7  EF:射血分数</w:t>
      </w:r>
    </w:p>
    <w:p w14:paraId="33350A76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1.8  EDV:舒张末期容量</w:t>
      </w:r>
    </w:p>
    <w:p w14:paraId="305E5E3A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1.9  SVRi:外周血管阻力指数；体循环阻力指数</w:t>
      </w:r>
    </w:p>
    <w:p w14:paraId="30AB52A2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1.10 SVR:外周血管阻力；体循环阻力</w:t>
      </w:r>
    </w:p>
    <w:p w14:paraId="37937AA0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1.11 LCWi:左心作功指数</w:t>
      </w:r>
    </w:p>
    <w:p w14:paraId="2ED3E5D1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1.12 TFI:胸液指数</w:t>
      </w:r>
    </w:p>
    <w:p w14:paraId="052978C0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1.13 EDFR :前负荷率</w:t>
      </w:r>
    </w:p>
    <w:p w14:paraId="33024927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1.14 ECG :心电波形</w:t>
      </w:r>
    </w:p>
    <w:p w14:paraId="3D725CDE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2、测量方法：改良型心阻抗法、形态校正法</w:t>
      </w:r>
    </w:p>
    <w:p w14:paraId="6A6616CA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3、参数校正法：信号形态分析诊断</w:t>
      </w:r>
    </w:p>
    <w:p w14:paraId="4D34507F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4、传感设备：≥6个高质量低价位电极</w:t>
      </w:r>
    </w:p>
    <w:p w14:paraId="0A85808A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5、主要评估方式：使用每博量估算公式、血流动力学分类模型</w:t>
      </w:r>
    </w:p>
    <w:p w14:paraId="2E6D8AE5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 xml:space="preserve">6、主要测试用途：运动监测、动态监测、静态监测 </w:t>
      </w:r>
    </w:p>
    <w:p w14:paraId="71CF2561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 xml:space="preserve">7、心功能评定 </w:t>
      </w:r>
    </w:p>
    <w:p w14:paraId="47BC1F74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7.1 静态评估：血液动力学静息评估，心阻抗图，静态或联合被动抬腿实验，血液动力学平衡图</w:t>
      </w:r>
    </w:p>
    <w:p w14:paraId="605781A6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7.2 运动评估：联合六分钟步行实验，联合运动负荷实验，联合运动心肺测试，I期床上/床旁运动心脏康复监护，急性血液动力学的鉴别诊断</w:t>
      </w:r>
    </w:p>
    <w:p w14:paraId="4846606A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8、应用领域：心脏康复心功能评定、重症监护、急诊室、围手术期监护、血液透析监护，以及心力衰竭监护、起搏器优化和运动心排量监测等</w:t>
      </w:r>
    </w:p>
    <w:p w14:paraId="62FE1635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9、无线遥测同步收发技术，实时无延迟传输临床数剧。无线传输半径30米，实现6分钟步行试验需求。</w:t>
      </w:r>
    </w:p>
    <w:p w14:paraId="6EF9CD35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10、数据报告储存：视电脑配置，无限制</w:t>
      </w:r>
    </w:p>
    <w:p w14:paraId="52306E07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11、辅助校正模式：测量阶段的比较模式</w:t>
      </w:r>
    </w:p>
    <w:p w14:paraId="33D11CC0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12、可对接医院现有心脏康复管理系统，实现数据传输。</w:t>
      </w:r>
    </w:p>
    <w:p w14:paraId="6FC7D85A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@微软简标宋">
    <w:altName w:val="@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217D95"/>
    <w:multiLevelType w:val="singleLevel"/>
    <w:tmpl w:val="8D217D9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B9BEE5BA"/>
    <w:multiLevelType w:val="singleLevel"/>
    <w:tmpl w:val="B9BEE5B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9E28F3"/>
    <w:rsid w:val="45E3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beforeLines="0" w:after="260" w:afterLines="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5"/>
    <w:qFormat/>
    <w:uiPriority w:val="0"/>
    <w:pPr>
      <w:ind w:firstLine="420" w:firstLineChars="200"/>
    </w:pPr>
  </w:style>
  <w:style w:type="paragraph" w:styleId="5">
    <w:name w:val="Body Text First Indent 2"/>
    <w:basedOn w:val="6"/>
    <w:uiPriority w:val="0"/>
    <w:pPr>
      <w:ind w:firstLine="420" w:firstLineChars="200"/>
    </w:pPr>
  </w:style>
  <w:style w:type="paragraph" w:styleId="6">
    <w:name w:val="Body Text Indent"/>
    <w:basedOn w:val="1"/>
    <w:uiPriority w:val="0"/>
    <w:pPr>
      <w:spacing w:after="120" w:afterLines="0" w:afterAutospacing="0"/>
      <w:ind w:left="420" w:leftChars="200"/>
    </w:pPr>
  </w:style>
  <w:style w:type="paragraph" w:styleId="7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color w:val="000000"/>
      <w:kern w:val="0"/>
      <w:sz w:val="24"/>
    </w:rPr>
  </w:style>
  <w:style w:type="paragraph" w:customStyle="1" w:styleId="10">
    <w:name w:val="无间隔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1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2025-05-07T02:39:00Z</dcterms:created>
  <dc:creator>Lenovo</dc:creator>
  <cp:lastModifiedBy>豆奶是个小胖子</cp:lastModifiedBy>
  <dcterms:modified xsi:type="dcterms:W3CDTF">2025-10-30T10:09:45Z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D323BED4188548F7B9F5AA7631948CC4_12</vt:lpwstr>
  </property>
  <property fmtid="{D5CDD505-2E9C-101B-9397-08002B2CF9AE}" pid="4" name="KSOTemplateDocerSaveRecord">
    <vt:lpwstr>eyJoZGlkIjoiNDAzNTQ2YzQzMjg1Y2RiZDM0NWYxOWI5N2Q4ZWNmMTEiLCJ1c2VySWQiOiIzMDI3OTc1ODcifQ==</vt:lpwstr>
  </property>
</Properties>
</file>