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97FB67">
      <w:pPr>
        <w:pStyle w:val="5"/>
        <w:wordWrap w:val="0"/>
        <w:rPr>
          <w:rFonts w:hint="eastAsia" w:ascii="方正小标宋_GBK" w:hAnsi="方正小标宋_GBK" w:eastAsia="华文中宋" w:cs="方正小标宋_GBK"/>
          <w:highlight w:val="none"/>
        </w:rPr>
      </w:pPr>
      <w:r>
        <w:rPr>
          <w:rFonts w:hint="eastAsia" w:ascii="方正小标宋_GBK" w:hAnsi="方正小标宋_GBK" w:eastAsia="华文中宋" w:cs="方正小标宋_GBK"/>
          <w:highlight w:val="none"/>
        </w:rPr>
        <w:t>采购需求</w:t>
      </w:r>
    </w:p>
    <w:p w14:paraId="63948BBD">
      <w:pPr>
        <w:wordWrap w:val="0"/>
        <w:spacing w:line="360" w:lineRule="auto"/>
        <w:rPr>
          <w:rFonts w:hint="eastAsia" w:ascii="宋体" w:hAnsi="宋体" w:eastAsia="宋体"/>
          <w:b/>
          <w:sz w:val="24"/>
          <w:highlight w:val="none"/>
        </w:rPr>
      </w:pPr>
      <w:r>
        <w:rPr>
          <w:rFonts w:hint="eastAsia" w:ascii="宋体" w:hAnsi="宋体" w:eastAsia="宋体"/>
          <w:b/>
          <w:sz w:val="24"/>
          <w:highlight w:val="none"/>
        </w:rPr>
        <w:t>前注：</w:t>
      </w:r>
    </w:p>
    <w:p w14:paraId="54C1AC06">
      <w:pPr>
        <w:wordWrap w:val="0"/>
        <w:spacing w:line="360" w:lineRule="auto"/>
        <w:ind w:firstLine="480" w:firstLineChars="200"/>
        <w:rPr>
          <w:rFonts w:hint="eastAsia" w:ascii="宋体" w:hAnsi="宋体" w:eastAsia="宋体" w:cs="宋体"/>
          <w:sz w:val="24"/>
          <w:szCs w:val="18"/>
          <w:highlight w:val="none"/>
        </w:rPr>
      </w:pPr>
      <w:bookmarkStart w:id="0" w:name="_Hlk16461016"/>
      <w:r>
        <w:rPr>
          <w:rFonts w:hint="eastAsia" w:ascii="宋体" w:hAnsi="宋体" w:eastAsia="宋体" w:cs="宋体"/>
          <w:sz w:val="24"/>
          <w:highlight w:val="none"/>
        </w:rPr>
        <w:t>1.</w:t>
      </w:r>
      <w:r>
        <w:rPr>
          <w:rFonts w:hint="eastAsia" w:ascii="宋体" w:hAnsi="宋体" w:eastAsia="宋体" w:cs="宋体"/>
          <w:sz w:val="24"/>
          <w:szCs w:val="18"/>
          <w:highlight w:val="none"/>
        </w:rPr>
        <w:t>根据《关于规范政府采购进口产品有关工作的通知》及政府采购管理部门的相关规定，下列采购需求中标注进口产品的货物（科研仪器设备）均已履行相关论证手续，经核准采购进口产品，但不限制满足招标文件要求的国内产品参与竞争。未标注进口产品的货物均为拒绝采购进口产品。</w:t>
      </w:r>
    </w:p>
    <w:p w14:paraId="24F13E45">
      <w:pPr>
        <w:wordWrap w:val="0"/>
        <w:spacing w:line="360" w:lineRule="auto"/>
        <w:ind w:firstLine="435"/>
        <w:rPr>
          <w:rFonts w:hint="eastAsia" w:ascii="宋体" w:hAnsi="宋体" w:eastAsia="宋体" w:cs="宋体"/>
          <w:sz w:val="24"/>
          <w:szCs w:val="18"/>
          <w:highlight w:val="none"/>
        </w:rPr>
      </w:pPr>
      <w:r>
        <w:rPr>
          <w:rFonts w:hint="eastAsia" w:ascii="宋体" w:hAnsi="宋体" w:eastAsia="宋体" w:cs="宋体"/>
          <w:sz w:val="24"/>
          <w:szCs w:val="18"/>
          <w:highlight w:val="none"/>
        </w:rPr>
        <w:t>2.下列采购需求中：</w:t>
      </w:r>
    </w:p>
    <w:p w14:paraId="55EE999C">
      <w:pPr>
        <w:wordWrap w:val="0"/>
        <w:spacing w:line="360" w:lineRule="auto"/>
        <w:ind w:firstLine="435"/>
        <w:rPr>
          <w:rFonts w:hint="eastAsia" w:ascii="宋体" w:hAnsi="宋体" w:eastAsia="宋体" w:cs="宋体"/>
          <w:sz w:val="24"/>
          <w:szCs w:val="18"/>
          <w:highlight w:val="none"/>
        </w:rPr>
      </w:pPr>
      <w:r>
        <w:rPr>
          <w:rFonts w:hint="eastAsia" w:ascii="宋体" w:hAnsi="宋体" w:eastAsia="宋体" w:cs="宋体"/>
          <w:sz w:val="24"/>
          <w:szCs w:val="18"/>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3D87C685">
      <w:pPr>
        <w:wordWrap w:val="0"/>
        <w:spacing w:line="360" w:lineRule="auto"/>
        <w:ind w:firstLine="480" w:firstLineChars="200"/>
        <w:rPr>
          <w:rFonts w:hint="eastAsia" w:ascii="宋体" w:hAnsi="宋体" w:eastAsia="宋体" w:cs="宋体"/>
          <w:sz w:val="24"/>
          <w:szCs w:val="18"/>
          <w:highlight w:val="none"/>
        </w:rPr>
      </w:pPr>
      <w:r>
        <w:rPr>
          <w:rFonts w:hint="eastAsia" w:ascii="宋体" w:hAnsi="宋体" w:eastAsia="宋体" w:cs="宋体"/>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1CD7B5C9">
      <w:pPr>
        <w:wordWrap w:val="0"/>
        <w:spacing w:line="360" w:lineRule="auto"/>
        <w:ind w:firstLine="480" w:firstLineChars="200"/>
        <w:jc w:val="left"/>
        <w:rPr>
          <w:rFonts w:hint="eastAsia" w:ascii="宋体" w:hAnsi="宋体" w:eastAsia="宋体" w:cs="宋体"/>
          <w:sz w:val="24"/>
          <w:szCs w:val="18"/>
          <w:highlight w:val="none"/>
        </w:rPr>
      </w:pPr>
      <w:r>
        <w:rPr>
          <w:rFonts w:hint="eastAsia" w:ascii="宋体" w:hAnsi="宋体" w:eastAsia="宋体" w:cs="宋体"/>
          <w:sz w:val="24"/>
          <w:szCs w:val="18"/>
          <w:highlight w:val="none"/>
        </w:rPr>
        <w:t>3.下列采购需求中：标注</w:t>
      </w:r>
      <w:r>
        <w:rPr>
          <w:rFonts w:hint="eastAsia" w:ascii="宋体" w:hAnsi="宋体" w:eastAsia="宋体" w:cs="宋体"/>
          <w:sz w:val="24"/>
          <w:szCs w:val="24"/>
          <w:highlight w:val="none"/>
        </w:rPr>
        <w:t>▲</w:t>
      </w:r>
      <w:r>
        <w:rPr>
          <w:rFonts w:hint="eastAsia" w:ascii="宋体" w:hAnsi="宋体" w:eastAsia="宋体" w:cs="宋体"/>
          <w:sz w:val="24"/>
          <w:szCs w:val="18"/>
          <w:highlight w:val="none"/>
        </w:rPr>
        <w:t>的产品（核心产品），投标人在投标文件《主要中标标的承诺函》中填写名称、品牌、规格、型号、数量、单价等信息。</w:t>
      </w:r>
    </w:p>
    <w:p w14:paraId="1A658EDA">
      <w:pPr>
        <w:pStyle w:val="6"/>
        <w:wordWrap w:val="0"/>
        <w:ind w:firstLine="0" w:firstLineChars="0"/>
        <w:rPr>
          <w:rFonts w:eastAsia="黑体"/>
          <w:highlight w:val="none"/>
        </w:rPr>
      </w:pPr>
      <w:bookmarkStart w:id="1" w:name="_Toc1899401549"/>
      <w:bookmarkStart w:id="2" w:name="_Toc1437377518_WPSOffice_Level2"/>
      <w:bookmarkStart w:id="3" w:name="_Toc337877615"/>
      <w:bookmarkStart w:id="4" w:name="_Toc382548620"/>
      <w:bookmarkStart w:id="5" w:name="_Toc1064185329"/>
      <w:bookmarkStart w:id="6" w:name="_Toc2025078090"/>
      <w:bookmarkStart w:id="7" w:name="_Toc1452677390"/>
      <w:bookmarkStart w:id="8" w:name="_Toc292361325"/>
      <w:r>
        <w:rPr>
          <w:rFonts w:hint="eastAsia" w:eastAsia="黑体"/>
          <w:highlight w:val="none"/>
        </w:rPr>
        <w:t>一、第1-3包采购需求前附表</w:t>
      </w:r>
      <w:bookmarkEnd w:id="1"/>
      <w:bookmarkEnd w:id="2"/>
      <w:bookmarkEnd w:id="3"/>
      <w:bookmarkEnd w:id="4"/>
      <w:bookmarkEnd w:id="5"/>
      <w:bookmarkEnd w:id="6"/>
      <w:bookmarkEnd w:id="7"/>
      <w:bookmarkEnd w:id="8"/>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2054"/>
        <w:gridCol w:w="5544"/>
      </w:tblGrid>
      <w:tr w14:paraId="0805A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452608D4">
            <w:pPr>
              <w:pStyle w:val="13"/>
              <w:pBdr>
                <w:bottom w:val="none" w:color="auto" w:sz="0" w:space="0"/>
              </w:pBdr>
              <w:tabs>
                <w:tab w:val="clear" w:pos="4153"/>
                <w:tab w:val="clear" w:pos="8306"/>
              </w:tabs>
              <w:wordWrap w:val="0"/>
              <w:adjustRightInd/>
              <w:spacing w:line="288" w:lineRule="auto"/>
              <w:textAlignment w:val="auto"/>
              <w:rPr>
                <w:rFonts w:hint="eastAsia" w:ascii="宋体" w:hAnsi="宋体" w:eastAsia="宋体" w:cs="宋体"/>
                <w:b/>
                <w:kern w:val="2"/>
                <w:sz w:val="24"/>
                <w:szCs w:val="24"/>
                <w:highlight w:val="none"/>
              </w:rPr>
            </w:pPr>
            <w:r>
              <w:rPr>
                <w:rFonts w:hint="eastAsia" w:ascii="宋体" w:hAnsi="宋体" w:eastAsia="宋体" w:cs="宋体"/>
                <w:b/>
                <w:kern w:val="2"/>
                <w:sz w:val="24"/>
                <w:szCs w:val="24"/>
                <w:highlight w:val="none"/>
              </w:rPr>
              <w:t>序号</w:t>
            </w:r>
          </w:p>
        </w:tc>
        <w:tc>
          <w:tcPr>
            <w:tcW w:w="2054" w:type="dxa"/>
            <w:vAlign w:val="center"/>
          </w:tcPr>
          <w:p w14:paraId="5F2D795E">
            <w:pPr>
              <w:pStyle w:val="14"/>
              <w:widowControl w:val="0"/>
              <w:wordWrap w:val="0"/>
              <w:spacing w:before="0" w:beforeAutospacing="0" w:after="0" w:afterAutospacing="0" w:line="288" w:lineRule="auto"/>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rPr>
              <w:t>条款名称</w:t>
            </w:r>
          </w:p>
        </w:tc>
        <w:tc>
          <w:tcPr>
            <w:tcW w:w="5544" w:type="dxa"/>
            <w:vAlign w:val="center"/>
          </w:tcPr>
          <w:p w14:paraId="6E95E882">
            <w:pPr>
              <w:pStyle w:val="14"/>
              <w:widowControl w:val="0"/>
              <w:wordWrap w:val="0"/>
              <w:spacing w:before="0" w:beforeAutospacing="0" w:after="0" w:afterAutospacing="0" w:line="288" w:lineRule="auto"/>
              <w:rPr>
                <w:rFonts w:hint="eastAsia" w:ascii="宋体" w:hAnsi="宋体" w:eastAsia="宋体" w:cs="宋体"/>
                <w:bCs w:val="0"/>
                <w:sz w:val="24"/>
                <w:szCs w:val="24"/>
                <w:highlight w:val="none"/>
              </w:rPr>
            </w:pPr>
            <w:r>
              <w:rPr>
                <w:rFonts w:hint="eastAsia" w:ascii="宋体" w:hAnsi="宋体" w:eastAsia="宋体" w:cs="宋体"/>
                <w:bCs w:val="0"/>
                <w:sz w:val="24"/>
                <w:szCs w:val="24"/>
                <w:highlight w:val="none"/>
              </w:rPr>
              <w:t>内容、说明与要求</w:t>
            </w:r>
          </w:p>
        </w:tc>
      </w:tr>
      <w:tr w14:paraId="281D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5C449174">
            <w:pPr>
              <w:pStyle w:val="13"/>
              <w:pBdr>
                <w:bottom w:val="none" w:color="auto" w:sz="0" w:space="0"/>
              </w:pBdr>
              <w:tabs>
                <w:tab w:val="clear" w:pos="4153"/>
                <w:tab w:val="clear" w:pos="8306"/>
              </w:tabs>
              <w:wordWrap w:val="0"/>
              <w:adjustRightInd/>
              <w:spacing w:line="288" w:lineRule="auto"/>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1</w:t>
            </w:r>
          </w:p>
        </w:tc>
        <w:tc>
          <w:tcPr>
            <w:tcW w:w="2054" w:type="dxa"/>
            <w:vAlign w:val="center"/>
          </w:tcPr>
          <w:p w14:paraId="4D8CF5F1">
            <w:pPr>
              <w:pStyle w:val="14"/>
              <w:widowControl w:val="0"/>
              <w:wordWrap w:val="0"/>
              <w:spacing w:before="0" w:beforeAutospacing="0" w:after="0" w:afterAutospacing="0" w:line="288"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付款方式</w:t>
            </w:r>
          </w:p>
        </w:tc>
        <w:tc>
          <w:tcPr>
            <w:tcW w:w="5544" w:type="dxa"/>
            <w:vAlign w:val="center"/>
          </w:tcPr>
          <w:p w14:paraId="33C4007C">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Cs w:val="0"/>
                <w:sz w:val="24"/>
                <w:szCs w:val="24"/>
                <w:highlight w:val="none"/>
              </w:rPr>
              <w:t>1.进口产品设备：</w:t>
            </w:r>
            <w:r>
              <w:rPr>
                <w:rFonts w:hint="eastAsia" w:ascii="宋体" w:hAnsi="宋体" w:eastAsia="宋体" w:cs="宋体"/>
                <w:b w:val="0"/>
                <w:sz w:val="24"/>
                <w:szCs w:val="24"/>
                <w:highlight w:val="none"/>
              </w:rPr>
              <w:t>采购人指定外贸代理机构办理进口产品采购事宜，并按下述方式支付合同款：合同生效后，外贸代理机构开出进口产品信用证后采购人支付70%合同款（专指进口产品部分）给外贸代理机构，剩余30%在验收合格后一次性付给外贸代理机构。</w:t>
            </w:r>
          </w:p>
          <w:p w14:paraId="01535809">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注：双方以人民币结算。外贸代理机构与投标人另行签订合同约定付款方式进行结算，投标人须按照采购人与外贸代理机构签署的《外贸代理机构收取进口代理费标准》向外贸代理机构支付进口代理费。</w:t>
            </w:r>
          </w:p>
          <w:p w14:paraId="75651394">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Cs w:val="0"/>
                <w:sz w:val="24"/>
                <w:szCs w:val="24"/>
                <w:highlight w:val="none"/>
              </w:rPr>
              <w:t>2.国产产品设备：</w:t>
            </w:r>
            <w:r>
              <w:rPr>
                <w:rFonts w:hint="eastAsia" w:ascii="宋体" w:hAnsi="宋体" w:eastAsia="宋体" w:cs="宋体"/>
                <w:b w:val="0"/>
                <w:sz w:val="24"/>
                <w:szCs w:val="24"/>
                <w:highlight w:val="none"/>
              </w:rPr>
              <w:t>合同签订生效后，采购人向中标人支付合同价款（专指国产产品部分）的70%预付款（中标人须同时向采购人递交等额预付款保函），全部货物安装调试完毕，剩余30%在验收合格后一次性付给中标人，同时退还预付款保函。</w:t>
            </w:r>
          </w:p>
          <w:p w14:paraId="41AD0B74">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注：</w:t>
            </w:r>
          </w:p>
          <w:p w14:paraId="269D3BBB">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（1）预付款保函形式：☑银行保函☑担保机构担保</w:t>
            </w:r>
          </w:p>
          <w:p w14:paraId="79093F8F">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（2）预付款保函递交要求：</w:t>
            </w:r>
          </w:p>
          <w:p w14:paraId="72D84DDA">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①如采用银行保函，银行保函应为具有分支机构的银行出具的见索即付无条件保函。（例如A银行总部在合肥或者A银行在合肥行政区域（含四县一市）具有分支机构，那么A银行任一分支机构或者总部出具的见索即付无条件保函符合要求），且应将原件交至采购人保管。</w:t>
            </w:r>
          </w:p>
          <w:p w14:paraId="6F2F9C9A">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②如采用担保机构担保，应为具有备案资质的融资担保机构出具的见索即付无条件担保，且应将原件交至采购人保管。</w:t>
            </w:r>
          </w:p>
          <w:p w14:paraId="1097BC41">
            <w:pPr>
              <w:pStyle w:val="14"/>
              <w:widowControl w:val="0"/>
              <w:wordWrap w:val="0"/>
              <w:spacing w:before="0" w:beforeAutospacing="0" w:after="0" w:afterAutospacing="0" w:line="288" w:lineRule="auto"/>
              <w:jc w:val="left"/>
              <w:rPr>
                <w:rFonts w:hint="eastAsia" w:ascii="宋体" w:hAnsi="宋体" w:eastAsia="宋体" w:cs="宋体"/>
                <w:b w:val="0"/>
                <w:bCs w:val="0"/>
                <w:sz w:val="24"/>
                <w:szCs w:val="24"/>
                <w:highlight w:val="none"/>
              </w:rPr>
            </w:pPr>
            <w:r>
              <w:rPr>
                <w:rFonts w:hint="eastAsia" w:ascii="宋体" w:hAnsi="宋体" w:eastAsia="宋体" w:cs="宋体"/>
                <w:b w:val="0"/>
                <w:sz w:val="24"/>
                <w:szCs w:val="24"/>
                <w:highlight w:val="none"/>
              </w:rPr>
              <w:t>（3）在签订合同时，中标人书面明确表示无需预付款或者主动要求降低预付款比例的，采购人可不适用前述预付款规定。</w:t>
            </w:r>
          </w:p>
        </w:tc>
      </w:tr>
      <w:tr w14:paraId="3CA40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1018" w:type="dxa"/>
            <w:vAlign w:val="center"/>
          </w:tcPr>
          <w:p w14:paraId="19E5D645">
            <w:pPr>
              <w:pStyle w:val="13"/>
              <w:pBdr>
                <w:bottom w:val="none" w:color="auto" w:sz="0" w:space="0"/>
              </w:pBdr>
              <w:tabs>
                <w:tab w:val="clear" w:pos="4153"/>
                <w:tab w:val="clear" w:pos="8306"/>
              </w:tabs>
              <w:wordWrap w:val="0"/>
              <w:adjustRightInd/>
              <w:spacing w:line="288" w:lineRule="auto"/>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2</w:t>
            </w:r>
          </w:p>
        </w:tc>
        <w:tc>
          <w:tcPr>
            <w:tcW w:w="2054" w:type="dxa"/>
            <w:vAlign w:val="center"/>
          </w:tcPr>
          <w:p w14:paraId="2159CBB1">
            <w:pPr>
              <w:pStyle w:val="14"/>
              <w:widowControl w:val="0"/>
              <w:wordWrap w:val="0"/>
              <w:spacing w:before="0" w:beforeAutospacing="0" w:after="0" w:afterAutospacing="0" w:line="288"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供货及安装地点</w:t>
            </w:r>
          </w:p>
        </w:tc>
        <w:tc>
          <w:tcPr>
            <w:tcW w:w="5544" w:type="dxa"/>
            <w:vAlign w:val="center"/>
          </w:tcPr>
          <w:p w14:paraId="0CE808BD">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安徽大学，具体按采购人指定。</w:t>
            </w:r>
          </w:p>
        </w:tc>
      </w:tr>
      <w:tr w14:paraId="0629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jc w:val="center"/>
        </w:trPr>
        <w:tc>
          <w:tcPr>
            <w:tcW w:w="1018" w:type="dxa"/>
            <w:vAlign w:val="center"/>
          </w:tcPr>
          <w:p w14:paraId="7AB0E6D4">
            <w:pPr>
              <w:pStyle w:val="13"/>
              <w:pBdr>
                <w:bottom w:val="none" w:color="auto" w:sz="0" w:space="0"/>
              </w:pBdr>
              <w:tabs>
                <w:tab w:val="clear" w:pos="4153"/>
                <w:tab w:val="clear" w:pos="8306"/>
              </w:tabs>
              <w:wordWrap w:val="0"/>
              <w:adjustRightInd/>
              <w:spacing w:line="288" w:lineRule="auto"/>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3</w:t>
            </w:r>
          </w:p>
        </w:tc>
        <w:tc>
          <w:tcPr>
            <w:tcW w:w="2054" w:type="dxa"/>
            <w:vAlign w:val="center"/>
          </w:tcPr>
          <w:p w14:paraId="6F944AAC">
            <w:pPr>
              <w:pStyle w:val="14"/>
              <w:widowControl w:val="0"/>
              <w:wordWrap w:val="0"/>
              <w:spacing w:before="0" w:beforeAutospacing="0" w:after="0" w:afterAutospacing="0" w:line="288"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供货及安装期限</w:t>
            </w:r>
          </w:p>
        </w:tc>
        <w:tc>
          <w:tcPr>
            <w:tcW w:w="5544" w:type="dxa"/>
            <w:vAlign w:val="center"/>
          </w:tcPr>
          <w:p w14:paraId="2701ABD6">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自合同签订且收到采购人通知之日起：①第1包中高能量离子注入机产品：240个日历日内完成供货、安装、调试及验收等全部工作；②第1包其余产品、第2包、第3包全部产品：180个日历日内完成供货、安装、调试及验收等全部工作。</w:t>
            </w:r>
          </w:p>
        </w:tc>
      </w:tr>
      <w:tr w14:paraId="63C8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8" w:type="dxa"/>
            <w:vAlign w:val="center"/>
          </w:tcPr>
          <w:p w14:paraId="128C2E58">
            <w:pPr>
              <w:pStyle w:val="13"/>
              <w:pBdr>
                <w:bottom w:val="none" w:color="auto" w:sz="0" w:space="0"/>
              </w:pBdr>
              <w:tabs>
                <w:tab w:val="clear" w:pos="4153"/>
                <w:tab w:val="clear" w:pos="8306"/>
              </w:tabs>
              <w:wordWrap w:val="0"/>
              <w:adjustRightInd/>
              <w:spacing w:line="288" w:lineRule="auto"/>
              <w:textAlignment w:val="auto"/>
              <w:rPr>
                <w:rFonts w:hint="eastAsia" w:ascii="宋体" w:hAnsi="宋体" w:eastAsia="宋体" w:cs="宋体"/>
                <w:bCs/>
                <w:kern w:val="2"/>
                <w:sz w:val="24"/>
                <w:szCs w:val="24"/>
                <w:highlight w:val="none"/>
              </w:rPr>
            </w:pPr>
            <w:r>
              <w:rPr>
                <w:rFonts w:hint="eastAsia" w:ascii="宋体" w:hAnsi="宋体" w:eastAsia="宋体" w:cs="宋体"/>
                <w:bCs/>
                <w:kern w:val="2"/>
                <w:sz w:val="24"/>
                <w:szCs w:val="24"/>
                <w:highlight w:val="none"/>
              </w:rPr>
              <w:t>4</w:t>
            </w:r>
          </w:p>
        </w:tc>
        <w:tc>
          <w:tcPr>
            <w:tcW w:w="2054" w:type="dxa"/>
            <w:vAlign w:val="center"/>
          </w:tcPr>
          <w:p w14:paraId="26DA9972">
            <w:pPr>
              <w:pStyle w:val="14"/>
              <w:widowControl w:val="0"/>
              <w:wordWrap w:val="0"/>
              <w:spacing w:before="0" w:beforeAutospacing="0" w:after="0" w:afterAutospacing="0" w:line="288"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免费质保期</w:t>
            </w:r>
          </w:p>
        </w:tc>
        <w:tc>
          <w:tcPr>
            <w:tcW w:w="5544" w:type="dxa"/>
            <w:vAlign w:val="center"/>
          </w:tcPr>
          <w:p w14:paraId="2B3D7C16">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Cs w:val="0"/>
                <w:sz w:val="24"/>
                <w:szCs w:val="24"/>
                <w:highlight w:val="none"/>
              </w:rPr>
              <w:t>1.进口产品设备：</w:t>
            </w:r>
            <w:r>
              <w:rPr>
                <w:rFonts w:hint="eastAsia" w:ascii="宋体" w:hAnsi="宋体" w:eastAsia="宋体" w:cs="宋体"/>
                <w:b w:val="0"/>
                <w:sz w:val="24"/>
                <w:szCs w:val="24"/>
                <w:highlight w:val="none"/>
              </w:rPr>
              <w:t>自验收合格之日起1年；</w:t>
            </w:r>
          </w:p>
          <w:p w14:paraId="70CE3161">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Cs w:val="0"/>
                <w:sz w:val="24"/>
                <w:szCs w:val="24"/>
                <w:highlight w:val="none"/>
              </w:rPr>
              <w:t>2.国产产品设备：</w:t>
            </w:r>
            <w:r>
              <w:rPr>
                <w:rFonts w:hint="eastAsia" w:ascii="宋体" w:hAnsi="宋体" w:eastAsia="宋体" w:cs="宋体"/>
                <w:b w:val="0"/>
                <w:sz w:val="24"/>
                <w:szCs w:val="24"/>
                <w:highlight w:val="none"/>
              </w:rPr>
              <w:t>自验收合格之日起2年。</w:t>
            </w:r>
          </w:p>
          <w:p w14:paraId="31494AD4">
            <w:pPr>
              <w:pStyle w:val="14"/>
              <w:widowControl w:val="0"/>
              <w:wordWrap w:val="0"/>
              <w:spacing w:before="0" w:beforeAutospacing="0" w:after="0" w:afterAutospacing="0" w:line="288" w:lineRule="auto"/>
              <w:jc w:val="left"/>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注：免费质保期从验收合格之日起开始计算。</w:t>
            </w:r>
          </w:p>
        </w:tc>
      </w:tr>
    </w:tbl>
    <w:p w14:paraId="1BE7BB8C">
      <w:pPr>
        <w:rPr>
          <w:rFonts w:hint="eastAsia" w:eastAsia="黑体"/>
          <w:highlight w:val="none"/>
        </w:rPr>
      </w:pPr>
      <w:bookmarkStart w:id="9" w:name="_Toc626387511"/>
      <w:bookmarkStart w:id="10" w:name="_Toc302804901"/>
      <w:bookmarkStart w:id="11" w:name="_Toc1191965283_WPSOffice_Level2"/>
      <w:bookmarkStart w:id="12" w:name="_Toc1693477008"/>
      <w:bookmarkStart w:id="13" w:name="_Toc58935147"/>
      <w:bookmarkStart w:id="14" w:name="_Toc369119811"/>
      <w:bookmarkStart w:id="15" w:name="_Toc1715351726"/>
      <w:bookmarkStart w:id="16" w:name="_Toc717369146"/>
      <w:r>
        <w:rPr>
          <w:rFonts w:hint="eastAsia" w:eastAsia="黑体"/>
          <w:highlight w:val="none"/>
        </w:rPr>
        <w:br w:type="page"/>
      </w:r>
    </w:p>
    <w:p w14:paraId="2412A461">
      <w:pPr>
        <w:pStyle w:val="6"/>
        <w:wordWrap w:val="0"/>
        <w:ind w:firstLine="0" w:firstLineChars="0"/>
        <w:rPr>
          <w:rFonts w:eastAsia="黑体"/>
          <w:highlight w:val="none"/>
        </w:rPr>
      </w:pPr>
      <w:r>
        <w:rPr>
          <w:rFonts w:hint="eastAsia" w:eastAsia="黑体"/>
          <w:highlight w:val="none"/>
        </w:rPr>
        <w:t>二、第1-3包货物需求</w:t>
      </w:r>
      <w:bookmarkEnd w:id="9"/>
      <w:bookmarkEnd w:id="10"/>
      <w:bookmarkEnd w:id="11"/>
      <w:bookmarkEnd w:id="12"/>
      <w:bookmarkEnd w:id="13"/>
      <w:bookmarkEnd w:id="14"/>
      <w:bookmarkEnd w:id="15"/>
      <w:bookmarkEnd w:id="16"/>
    </w:p>
    <w:p w14:paraId="7A38F1C1">
      <w:pPr>
        <w:pStyle w:val="2"/>
        <w:wordWrap w:val="0"/>
        <w:spacing w:line="360" w:lineRule="auto"/>
        <w:ind w:left="0" w:firstLine="48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（一）货物需求说明</w:t>
      </w:r>
    </w:p>
    <w:tbl>
      <w:tblPr>
        <w:tblStyle w:val="11"/>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1189"/>
        <w:gridCol w:w="5780"/>
      </w:tblGrid>
      <w:tr w14:paraId="386CA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tcPr>
          <w:p w14:paraId="759F751E">
            <w:pPr>
              <w:pStyle w:val="2"/>
              <w:wordWrap w:val="0"/>
              <w:spacing w:line="500" w:lineRule="exact"/>
              <w:ind w:left="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需求内容类别</w:t>
            </w:r>
          </w:p>
        </w:tc>
        <w:tc>
          <w:tcPr>
            <w:tcW w:w="1189" w:type="dxa"/>
          </w:tcPr>
          <w:p w14:paraId="015CF16B">
            <w:pPr>
              <w:pStyle w:val="2"/>
              <w:wordWrap w:val="0"/>
              <w:spacing w:line="500" w:lineRule="exact"/>
              <w:ind w:left="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标识符号</w:t>
            </w:r>
          </w:p>
        </w:tc>
        <w:tc>
          <w:tcPr>
            <w:tcW w:w="5780" w:type="dxa"/>
          </w:tcPr>
          <w:p w14:paraId="65A6508A">
            <w:pPr>
              <w:pStyle w:val="2"/>
              <w:wordWrap w:val="0"/>
              <w:spacing w:line="300" w:lineRule="auto"/>
              <w:ind w:left="0" w:firstLine="0" w:firstLineChars="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投标要求</w:t>
            </w:r>
          </w:p>
        </w:tc>
      </w:tr>
      <w:tr w14:paraId="289E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3A5999B9">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18"/>
                <w:highlight w:val="none"/>
              </w:rPr>
              <w:t>关键性指标项</w:t>
            </w:r>
          </w:p>
        </w:tc>
        <w:tc>
          <w:tcPr>
            <w:tcW w:w="1189" w:type="dxa"/>
            <w:vAlign w:val="center"/>
          </w:tcPr>
          <w:p w14:paraId="1A6B1205">
            <w:pPr>
              <w:pStyle w:val="2"/>
              <w:wordWrap w:val="0"/>
              <w:spacing w:line="500" w:lineRule="exact"/>
              <w:ind w:left="0" w:firstLine="0" w:firstLineChars="0"/>
              <w:jc w:val="center"/>
              <w:rPr>
                <w:rFonts w:hint="eastAsia" w:ascii="宋体" w:hAnsi="宋体" w:eastAsia="宋体" w:cs="宋体"/>
                <w:sz w:val="24"/>
                <w:szCs w:val="24"/>
                <w:highlight w:val="none"/>
              </w:rPr>
            </w:pPr>
            <w:bookmarkStart w:id="17" w:name="OLE_LINK14"/>
            <w:r>
              <w:rPr>
                <w:rFonts w:hint="eastAsia" w:ascii="宋体" w:hAnsi="宋体" w:eastAsia="宋体" w:cs="宋体"/>
                <w:sz w:val="24"/>
                <w:szCs w:val="24"/>
                <w:highlight w:val="none"/>
              </w:rPr>
              <w:t>★</w:t>
            </w:r>
            <w:bookmarkEnd w:id="17"/>
          </w:p>
        </w:tc>
        <w:tc>
          <w:tcPr>
            <w:tcW w:w="5780" w:type="dxa"/>
            <w:vAlign w:val="center"/>
          </w:tcPr>
          <w:p w14:paraId="189F0C0E">
            <w:pPr>
              <w:wordWrap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符合性审查项，该指标项负偏离或未响应，将导致</w:t>
            </w:r>
            <w:r>
              <w:rPr>
                <w:rFonts w:hint="eastAsia" w:ascii="宋体" w:hAnsi="宋体" w:eastAsia="宋体" w:cs="宋体"/>
                <w:b/>
                <w:bCs/>
                <w:sz w:val="24"/>
                <w:szCs w:val="24"/>
                <w:highlight w:val="none"/>
              </w:rPr>
              <w:t>投标无效</w:t>
            </w:r>
            <w:r>
              <w:rPr>
                <w:rFonts w:hint="eastAsia" w:ascii="宋体" w:hAnsi="宋体" w:eastAsia="宋体" w:cs="宋体"/>
                <w:sz w:val="24"/>
                <w:szCs w:val="24"/>
                <w:highlight w:val="none"/>
              </w:rPr>
              <w:t>。</w:t>
            </w:r>
          </w:p>
        </w:tc>
      </w:tr>
      <w:tr w14:paraId="553B0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59CE4838">
            <w:pPr>
              <w:spacing w:line="360" w:lineRule="auto"/>
              <w:jc w:val="center"/>
              <w:rPr>
                <w:rFonts w:hint="eastAsia" w:ascii="宋体" w:hAnsi="宋体" w:eastAsia="宋体" w:cs="宋体"/>
                <w:sz w:val="24"/>
                <w:szCs w:val="24"/>
                <w:highlight w:val="none"/>
              </w:rPr>
            </w:pPr>
            <w:r>
              <w:rPr>
                <w:rFonts w:hint="eastAsia" w:ascii="宋体" w:hAnsi="宋体" w:eastAsia="宋体" w:cs="宋体"/>
                <w:sz w:val="24"/>
                <w:szCs w:val="18"/>
                <w:highlight w:val="none"/>
              </w:rPr>
              <w:t>重要指标项</w:t>
            </w:r>
          </w:p>
        </w:tc>
        <w:tc>
          <w:tcPr>
            <w:tcW w:w="1189" w:type="dxa"/>
            <w:vAlign w:val="center"/>
          </w:tcPr>
          <w:p w14:paraId="59B57E02">
            <w:pPr>
              <w:pStyle w:val="2"/>
              <w:wordWrap w:val="0"/>
              <w:spacing w:line="500" w:lineRule="exact"/>
              <w:ind w:left="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w:t>
            </w:r>
          </w:p>
        </w:tc>
        <w:tc>
          <w:tcPr>
            <w:tcW w:w="5780" w:type="dxa"/>
            <w:vAlign w:val="center"/>
          </w:tcPr>
          <w:p w14:paraId="22B0019F">
            <w:pPr>
              <w:pStyle w:val="2"/>
              <w:wordWrap w:val="0"/>
              <w:spacing w:line="300" w:lineRule="auto"/>
              <w:ind w:lef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评分项，详见“第四章评标方法和标准”中评分细则。</w:t>
            </w:r>
          </w:p>
        </w:tc>
      </w:tr>
      <w:tr w14:paraId="3FC1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796" w:type="dxa"/>
            <w:vAlign w:val="center"/>
          </w:tcPr>
          <w:p w14:paraId="541592FF">
            <w:pPr>
              <w:spacing w:line="360" w:lineRule="auto"/>
              <w:jc w:val="center"/>
              <w:rPr>
                <w:rFonts w:hint="eastAsia" w:asciiTheme="majorEastAsia" w:hAnsiTheme="majorEastAsia" w:eastAsiaTheme="majorEastAsia"/>
                <w:sz w:val="24"/>
                <w:szCs w:val="24"/>
                <w:highlight w:val="none"/>
              </w:rPr>
            </w:pPr>
            <w:r>
              <w:rPr>
                <w:rFonts w:hint="eastAsia" w:cs="宋体" w:asciiTheme="majorEastAsia" w:hAnsiTheme="majorEastAsia" w:eastAsiaTheme="majorEastAsia"/>
                <w:sz w:val="24"/>
                <w:szCs w:val="24"/>
                <w:highlight w:val="none"/>
              </w:rPr>
              <w:t>一般指标项</w:t>
            </w:r>
          </w:p>
        </w:tc>
        <w:tc>
          <w:tcPr>
            <w:tcW w:w="1189" w:type="dxa"/>
            <w:vAlign w:val="center"/>
          </w:tcPr>
          <w:p w14:paraId="5AB52B69">
            <w:pPr>
              <w:spacing w:line="360" w:lineRule="auto"/>
              <w:jc w:val="center"/>
              <w:rPr>
                <w:rFonts w:hint="eastAsia" w:asciiTheme="majorEastAsia" w:hAnsiTheme="majorEastAsia" w:eastAsiaTheme="majorEastAsia"/>
                <w:bCs/>
                <w:sz w:val="24"/>
                <w:szCs w:val="24"/>
                <w:highlight w:val="none"/>
              </w:rPr>
            </w:pPr>
            <w:r>
              <w:rPr>
                <w:rFonts w:hint="eastAsia" w:cs="宋体" w:asciiTheme="majorEastAsia" w:hAnsiTheme="majorEastAsia" w:eastAsiaTheme="majorEastAsia"/>
                <w:sz w:val="24"/>
                <w:szCs w:val="24"/>
                <w:highlight w:val="none"/>
              </w:rPr>
              <w:t>●</w:t>
            </w:r>
          </w:p>
        </w:tc>
        <w:tc>
          <w:tcPr>
            <w:tcW w:w="5780" w:type="dxa"/>
            <w:vAlign w:val="center"/>
          </w:tcPr>
          <w:p w14:paraId="734F2EC3">
            <w:pPr>
              <w:pStyle w:val="2"/>
              <w:wordWrap w:val="0"/>
              <w:spacing w:line="300" w:lineRule="auto"/>
              <w:ind w:lef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评分项，详见“第四章评标方法和标准”中评分细则。</w:t>
            </w:r>
          </w:p>
        </w:tc>
      </w:tr>
      <w:tr w14:paraId="5205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6" w:type="dxa"/>
            <w:vAlign w:val="center"/>
          </w:tcPr>
          <w:p w14:paraId="0C52DDE3">
            <w:pPr>
              <w:pStyle w:val="2"/>
              <w:wordWrap w:val="0"/>
              <w:spacing w:line="500" w:lineRule="exact"/>
              <w:ind w:left="0" w:firstLine="0" w:firstLineChars="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无标识项</w:t>
            </w:r>
          </w:p>
        </w:tc>
        <w:tc>
          <w:tcPr>
            <w:tcW w:w="1189" w:type="dxa"/>
            <w:vAlign w:val="center"/>
          </w:tcPr>
          <w:p w14:paraId="62170390">
            <w:pPr>
              <w:pStyle w:val="2"/>
              <w:wordWrap w:val="0"/>
              <w:spacing w:line="500" w:lineRule="exact"/>
              <w:ind w:left="0" w:firstLine="0" w:firstLineChars="0"/>
              <w:jc w:val="center"/>
              <w:rPr>
                <w:rFonts w:hint="eastAsia" w:ascii="宋体" w:hAnsi="宋体" w:eastAsia="宋体" w:cs="宋体"/>
                <w:sz w:val="24"/>
                <w:szCs w:val="24"/>
                <w:highlight w:val="none"/>
              </w:rPr>
            </w:pPr>
          </w:p>
        </w:tc>
        <w:tc>
          <w:tcPr>
            <w:tcW w:w="5780" w:type="dxa"/>
            <w:vAlign w:val="center"/>
          </w:tcPr>
          <w:p w14:paraId="27F08AB3">
            <w:pPr>
              <w:wordWrap w:val="0"/>
              <w:adjustRightInd w:val="0"/>
              <w:snapToGrid w:val="0"/>
              <w:spacing w:line="300" w:lineRule="auto"/>
              <w:jc w:val="left"/>
              <w:rPr>
                <w:rFonts w:hint="eastAsia" w:ascii="宋体" w:hAnsi="宋体" w:eastAsia="宋体" w:cs="宋体"/>
                <w:sz w:val="24"/>
                <w:szCs w:val="24"/>
                <w:highlight w:val="none"/>
              </w:rPr>
            </w:pPr>
            <w:r>
              <w:rPr>
                <w:rFonts w:hint="eastAsia" w:ascii="宋体" w:hAnsi="宋体" w:eastAsia="宋体" w:cs="宋体"/>
                <w:bCs/>
                <w:sz w:val="24"/>
                <w:szCs w:val="24"/>
                <w:highlight w:val="none"/>
              </w:rPr>
              <w:t>符合性审查项，每标包的该指标项最大允许负偏离</w:t>
            </w:r>
            <w:r>
              <w:rPr>
                <w:rFonts w:hint="eastAsia" w:ascii="宋体" w:hAnsi="宋体" w:eastAsia="宋体" w:cs="宋体"/>
                <w:bCs/>
                <w:sz w:val="24"/>
                <w:szCs w:val="24"/>
                <w:highlight w:val="none"/>
                <w:u w:val="single"/>
              </w:rPr>
              <w:t xml:space="preserve"> 2</w:t>
            </w:r>
            <w:r>
              <w:rPr>
                <w:rFonts w:hint="eastAsia" w:ascii="宋体" w:hAnsi="宋体" w:eastAsia="宋体" w:cs="宋体"/>
                <w:bCs/>
                <w:sz w:val="24"/>
                <w:szCs w:val="24"/>
                <w:highlight w:val="none"/>
              </w:rPr>
              <w:t>项，超过最大允许负偏离项数的，</w:t>
            </w:r>
            <w:r>
              <w:rPr>
                <w:rFonts w:hint="eastAsia" w:ascii="宋体" w:hAnsi="宋体" w:eastAsia="宋体" w:cs="宋体"/>
                <w:b/>
                <w:sz w:val="24"/>
                <w:szCs w:val="24"/>
                <w:highlight w:val="none"/>
              </w:rPr>
              <w:t>投标无效</w:t>
            </w:r>
            <w:r>
              <w:rPr>
                <w:rFonts w:hint="eastAsia" w:ascii="宋体" w:hAnsi="宋体" w:eastAsia="宋体" w:cs="宋体"/>
                <w:bCs/>
                <w:sz w:val="24"/>
                <w:szCs w:val="24"/>
                <w:highlight w:val="none"/>
              </w:rPr>
              <w:t>。</w:t>
            </w:r>
          </w:p>
        </w:tc>
      </w:tr>
      <w:tr w14:paraId="53C2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65" w:type="dxa"/>
            <w:gridSpan w:val="3"/>
            <w:vAlign w:val="center"/>
          </w:tcPr>
          <w:p w14:paraId="3F6E7F68">
            <w:pPr>
              <w:pStyle w:val="2"/>
              <w:wordWrap w:val="0"/>
              <w:spacing w:line="300" w:lineRule="auto"/>
              <w:ind w:lef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注：</w:t>
            </w:r>
          </w:p>
          <w:p w14:paraId="0D1A7C5F">
            <w:pPr>
              <w:pStyle w:val="2"/>
              <w:wordWrap w:val="0"/>
              <w:spacing w:line="300" w:lineRule="auto"/>
              <w:ind w:lef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ascii="宋体" w:hAnsi="宋体" w:eastAsia="宋体" w:cs="宋体"/>
                <w:sz w:val="24"/>
                <w:szCs w:val="24"/>
                <w:highlight w:val="none"/>
              </w:rPr>
              <w:t>.如某项标识中包含多条技术参数或要求，则该项标识所含内容均需满足或优于招标文件要求，否则不予认可。</w:t>
            </w:r>
          </w:p>
          <w:p w14:paraId="4C21F5D8">
            <w:pPr>
              <w:pStyle w:val="2"/>
              <w:wordWrap w:val="0"/>
              <w:spacing w:line="300" w:lineRule="auto"/>
              <w:ind w:lef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ascii="宋体" w:hAnsi="宋体" w:eastAsia="宋体" w:cs="宋体"/>
                <w:sz w:val="24"/>
                <w:szCs w:val="24"/>
                <w:highlight w:val="none"/>
              </w:rPr>
              <w:t>.“所属行业”栏标注为“/”的项为所投产品配套的工程或服务，无需在《中小企业声明函》中列明。</w:t>
            </w:r>
          </w:p>
          <w:p w14:paraId="4DE13530">
            <w:pPr>
              <w:pStyle w:val="2"/>
              <w:wordWrap w:val="0"/>
              <w:spacing w:line="300" w:lineRule="auto"/>
              <w:ind w:left="0" w:firstLine="0" w:firstLine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货物需求清单中未要求提供证明材料的参数以6.2技术响应表作为评审依据。货物需求清单中要求提供证明材料的参数：技术参数及要求中未明确证明材料类型的，证明材料包括产品技术白皮书、产品技术说明书、产品彩页（产品功能截图）、厂家（制造商）官网截图、厂家（制造商）测试报告、第三方检测机构出具的检测报告，提供其中之一即可。（需能体现关键评审因素，建议标注关键评审因素便于评审）；技术参数及要求中明确要求证明材料类型的，按要求执行。</w:t>
            </w:r>
          </w:p>
        </w:tc>
      </w:tr>
    </w:tbl>
    <w:p w14:paraId="5ECA1EEA">
      <w:pPr>
        <w:pStyle w:val="2"/>
        <w:wordWrap w:val="0"/>
        <w:ind w:left="0" w:firstLine="0" w:firstLineChars="0"/>
        <w:rPr>
          <w:rFonts w:hint="eastAsia" w:ascii="宋体" w:hAnsi="宋体" w:eastAsia="宋体" w:cs="宋体"/>
          <w:b/>
          <w:bCs/>
          <w:sz w:val="24"/>
          <w:szCs w:val="24"/>
          <w:highlight w:val="none"/>
        </w:rPr>
      </w:pPr>
    </w:p>
    <w:p w14:paraId="0B10D6FF">
      <w:pPr>
        <w:pStyle w:val="2"/>
        <w:wordWrap w:val="0"/>
        <w:spacing w:line="360" w:lineRule="auto"/>
        <w:ind w:leftChars="200" w:firstLine="0"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（二）第1包货物需求清单（高能量离子注入机和氧化扩散LPCVD系统）</w:t>
      </w:r>
    </w:p>
    <w:tbl>
      <w:tblPr>
        <w:tblStyle w:val="11"/>
        <w:tblpPr w:leftFromText="180" w:rightFromText="180" w:vertAnchor="text" w:horzAnchor="page" w:tblpX="1730" w:tblpY="470"/>
        <w:tblOverlap w:val="never"/>
        <w:tblW w:w="50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8"/>
        <w:gridCol w:w="654"/>
        <w:gridCol w:w="5370"/>
        <w:gridCol w:w="689"/>
        <w:gridCol w:w="629"/>
        <w:gridCol w:w="791"/>
      </w:tblGrid>
      <w:tr w14:paraId="2B49A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4" w:hRule="atLeast"/>
        </w:trPr>
        <w:tc>
          <w:tcPr>
            <w:tcW w:w="249" w:type="pct"/>
            <w:vAlign w:val="center"/>
          </w:tcPr>
          <w:p w14:paraId="20149BE7">
            <w:pPr>
              <w:tabs>
                <w:tab w:val="left" w:pos="0"/>
              </w:tabs>
              <w:wordWrap w:val="0"/>
              <w:adjustRightInd w:val="0"/>
              <w:snapToGrid w:val="0"/>
              <w:spacing w:line="312" w:lineRule="auto"/>
              <w:jc w:val="center"/>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序号</w:t>
            </w:r>
          </w:p>
        </w:tc>
        <w:tc>
          <w:tcPr>
            <w:tcW w:w="382" w:type="pct"/>
            <w:vAlign w:val="center"/>
          </w:tcPr>
          <w:p w14:paraId="51ADA749">
            <w:pPr>
              <w:tabs>
                <w:tab w:val="left" w:pos="0"/>
              </w:tabs>
              <w:wordWrap w:val="0"/>
              <w:adjustRightInd w:val="0"/>
              <w:snapToGrid w:val="0"/>
              <w:spacing w:line="312" w:lineRule="auto"/>
              <w:jc w:val="center"/>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货物名称</w:t>
            </w:r>
          </w:p>
        </w:tc>
        <w:tc>
          <w:tcPr>
            <w:tcW w:w="3134" w:type="pct"/>
            <w:vAlign w:val="center"/>
          </w:tcPr>
          <w:p w14:paraId="0DF78878">
            <w:pPr>
              <w:tabs>
                <w:tab w:val="left" w:pos="0"/>
              </w:tabs>
              <w:wordWrap w:val="0"/>
              <w:adjustRightInd w:val="0"/>
              <w:snapToGrid w:val="0"/>
              <w:spacing w:line="312" w:lineRule="auto"/>
              <w:jc w:val="center"/>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技术参数及要求</w:t>
            </w:r>
          </w:p>
        </w:tc>
        <w:tc>
          <w:tcPr>
            <w:tcW w:w="402" w:type="pct"/>
            <w:vAlign w:val="center"/>
          </w:tcPr>
          <w:p w14:paraId="6C3B1B1D">
            <w:pPr>
              <w:tabs>
                <w:tab w:val="left" w:pos="0"/>
              </w:tabs>
              <w:wordWrap w:val="0"/>
              <w:adjustRightInd w:val="0"/>
              <w:snapToGrid w:val="0"/>
              <w:spacing w:line="312" w:lineRule="auto"/>
              <w:jc w:val="center"/>
              <w:rPr>
                <w:rFonts w:hint="eastAsia" w:asciiTheme="majorEastAsia" w:hAnsiTheme="majorEastAsia" w:eastAsiaTheme="majorEastAsia"/>
                <w:b/>
                <w:sz w:val="24"/>
                <w:szCs w:val="24"/>
                <w:highlight w:val="none"/>
              </w:rPr>
            </w:pPr>
            <w:r>
              <w:rPr>
                <w:rFonts w:hint="eastAsia" w:ascii="宋体" w:hAnsi="宋体" w:eastAsia="宋体" w:cs="宋体"/>
                <w:b/>
                <w:sz w:val="24"/>
                <w:szCs w:val="24"/>
                <w:highlight w:val="none"/>
              </w:rPr>
              <w:t>数量（台/套）</w:t>
            </w:r>
          </w:p>
        </w:tc>
        <w:tc>
          <w:tcPr>
            <w:tcW w:w="367" w:type="pct"/>
            <w:vAlign w:val="center"/>
          </w:tcPr>
          <w:p w14:paraId="328C183A">
            <w:pPr>
              <w:tabs>
                <w:tab w:val="left" w:pos="0"/>
              </w:tabs>
              <w:wordWrap w:val="0"/>
              <w:adjustRightInd w:val="0"/>
              <w:snapToGrid w:val="0"/>
              <w:spacing w:line="312" w:lineRule="auto"/>
              <w:jc w:val="center"/>
              <w:rPr>
                <w:rFonts w:hint="eastAsia" w:asciiTheme="majorEastAsia" w:hAnsiTheme="majorEastAsia" w:eastAsiaTheme="majorEastAsia"/>
                <w:b/>
                <w:sz w:val="24"/>
                <w:szCs w:val="24"/>
                <w:highlight w:val="none"/>
              </w:rPr>
            </w:pPr>
            <w:r>
              <w:rPr>
                <w:rFonts w:hint="eastAsia" w:ascii="宋体" w:hAnsi="宋体" w:eastAsia="宋体" w:cs="宋体"/>
                <w:b/>
                <w:sz w:val="24"/>
                <w:szCs w:val="24"/>
                <w:highlight w:val="none"/>
              </w:rPr>
              <w:t>所属行业</w:t>
            </w:r>
          </w:p>
        </w:tc>
        <w:tc>
          <w:tcPr>
            <w:tcW w:w="462" w:type="pct"/>
            <w:vAlign w:val="center"/>
          </w:tcPr>
          <w:p w14:paraId="438A4A1A">
            <w:pPr>
              <w:tabs>
                <w:tab w:val="left" w:pos="0"/>
              </w:tabs>
              <w:wordWrap w:val="0"/>
              <w:adjustRightInd w:val="0"/>
              <w:snapToGrid w:val="0"/>
              <w:spacing w:line="312" w:lineRule="auto"/>
              <w:jc w:val="center"/>
              <w:rPr>
                <w:rFonts w:hint="eastAsia" w:asciiTheme="majorEastAsia" w:hAnsiTheme="majorEastAsia" w:eastAsiaTheme="majorEastAsia"/>
                <w:b/>
                <w:sz w:val="24"/>
                <w:szCs w:val="24"/>
                <w:highlight w:val="none"/>
              </w:rPr>
            </w:pPr>
            <w:r>
              <w:rPr>
                <w:rFonts w:hint="eastAsia" w:ascii="宋体" w:hAnsi="宋体" w:eastAsia="宋体" w:cs="宋体"/>
                <w:b/>
                <w:sz w:val="24"/>
                <w:szCs w:val="24"/>
                <w:highlight w:val="none"/>
              </w:rPr>
              <w:t>备注（进口或强制节能）</w:t>
            </w:r>
          </w:p>
        </w:tc>
      </w:tr>
      <w:tr w14:paraId="52BE4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49" w:type="pct"/>
            <w:vAlign w:val="center"/>
          </w:tcPr>
          <w:p w14:paraId="4407D052">
            <w:pPr>
              <w:tabs>
                <w:tab w:val="left" w:pos="0"/>
              </w:tabs>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1</w:t>
            </w:r>
          </w:p>
        </w:tc>
        <w:tc>
          <w:tcPr>
            <w:tcW w:w="382" w:type="pct"/>
            <w:vAlign w:val="center"/>
          </w:tcPr>
          <w:p w14:paraId="7ACFA59D">
            <w:pPr>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宋体" w:hAnsi="宋体" w:eastAsia="宋体" w:cs="宋体"/>
                <w:bCs/>
                <w:kern w:val="0"/>
                <w:sz w:val="24"/>
                <w:szCs w:val="24"/>
                <w:highlight w:val="none"/>
              </w:rPr>
              <w:t>▲高能量离子注入机</w:t>
            </w:r>
          </w:p>
        </w:tc>
        <w:tc>
          <w:tcPr>
            <w:tcW w:w="3134" w:type="pct"/>
          </w:tcPr>
          <w:p w14:paraId="0B117159">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1.工作条件</w:t>
            </w:r>
          </w:p>
          <w:p w14:paraId="373619CE">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供电要求：380V/50Hz、功率≤45KVA，气温22±3℃和相对湿度45%～65%的环境条件下运行，且能够连续正常工作。</w:t>
            </w:r>
          </w:p>
          <w:p w14:paraId="3188CFB3">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2.设备技术参数</w:t>
            </w:r>
          </w:p>
          <w:p w14:paraId="6894D407">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★2.1适用基板尺寸：满足3、4、6、8英寸晶圆及不规则碎片进行离子注入工艺。</w:t>
            </w:r>
          </w:p>
          <w:p w14:paraId="3096EDC1">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2.2系统结构</w:t>
            </w:r>
          </w:p>
          <w:p w14:paraId="292BDD75">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2.2.1离子注入机整机包括：离子源系统、束线系统、靶室系统、电源系统、控制系统、辅助系统等六大部分。</w:t>
            </w:r>
          </w:p>
          <w:p w14:paraId="12DB8AE7">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2.2.2辅助系统包括真空系统、配电系统、去离子水系统、压空系统、氮气系统、源气箱以及屏蔽机房。</w:t>
            </w:r>
          </w:p>
          <w:p w14:paraId="0B6C78A4">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2.2.3 配备质量分析器进行离子筛选并偏转90°。</w:t>
            </w:r>
          </w:p>
          <w:p w14:paraId="5B5CF24F">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2.2.4配备双单元磁四极聚焦透镜进行水平和垂直方向的聚焦。</w:t>
            </w:r>
          </w:p>
          <w:p w14:paraId="17C8AC86">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★2.2.5配置至少两套离子源，一用一备。</w:t>
            </w:r>
          </w:p>
          <w:p w14:paraId="088F52C5">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napToGrid w:val="0"/>
                <w:kern w:val="0"/>
                <w:sz w:val="24"/>
                <w:szCs w:val="24"/>
                <w:highlight w:val="none"/>
              </w:rPr>
              <w:t>■</w:t>
            </w:r>
            <w:r>
              <w:rPr>
                <w:rFonts w:hint="eastAsia" w:ascii="宋体" w:hAnsi="宋体" w:eastAsia="宋体" w:cs="宋体"/>
                <w:sz w:val="24"/>
                <w:szCs w:val="24"/>
                <w:highlight w:val="none"/>
              </w:rPr>
              <w:t>2.2.6配置X方向静电扫描系统，将点状束扫开成为宽带束，同时配置偏转45°的平行透镜，满足</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8英寸晶圆注入时束流平行度≤0.2°。</w:t>
            </w:r>
          </w:p>
          <w:p w14:paraId="7D670AFB">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napToGrid w:val="0"/>
                <w:kern w:val="0"/>
                <w:sz w:val="24"/>
                <w:szCs w:val="24"/>
                <w:highlight w:val="none"/>
              </w:rPr>
              <w:t>■</w:t>
            </w:r>
            <w:r>
              <w:rPr>
                <w:rFonts w:hint="eastAsia" w:ascii="宋体" w:hAnsi="宋体" w:eastAsia="宋体" w:cs="宋体"/>
                <w:sz w:val="24"/>
                <w:szCs w:val="24"/>
                <w:highlight w:val="none"/>
              </w:rPr>
              <w:t>2.2.7配备一套离子引出电源，输出电压满足</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80kV（连续可调），引出电极要便于拆卸和维修。</w:t>
            </w:r>
          </w:p>
          <w:p w14:paraId="751D40F5">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napToGrid w:val="0"/>
                <w:kern w:val="0"/>
                <w:sz w:val="24"/>
                <w:szCs w:val="24"/>
                <w:highlight w:val="none"/>
              </w:rPr>
              <w:t>■</w:t>
            </w:r>
            <w:r>
              <w:rPr>
                <w:rFonts w:hint="eastAsia" w:ascii="宋体" w:hAnsi="宋体" w:eastAsia="宋体" w:cs="宋体"/>
                <w:sz w:val="24"/>
                <w:szCs w:val="24"/>
                <w:highlight w:val="none"/>
              </w:rPr>
              <w:t>2.2.8装载一套加速用输出电压满足</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300kV(连续可调)的电源。</w:t>
            </w:r>
          </w:p>
          <w:p w14:paraId="7E51E7EB">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★2.2.9靶室系统包括靶室腔体、旋转驱动装置、水冷靶盘基座、靶盘、移动法拉第、剂量法拉第、淋浴器、加热器等；靶盘采用手动四靶位，一次可装载4个</w:t>
            </w:r>
            <w:r>
              <w:rPr>
                <w:rFonts w:hint="eastAsia" w:ascii="宋体" w:hAnsi="宋体" w:eastAsia="宋体" w:cs="宋体"/>
                <w:kern w:val="0"/>
                <w:sz w:val="24"/>
                <w:szCs w:val="24"/>
                <w:highlight w:val="none"/>
              </w:rPr>
              <w:t>≥</w:t>
            </w:r>
            <w:r>
              <w:rPr>
                <w:rFonts w:hint="eastAsia" w:ascii="宋体" w:hAnsi="宋体" w:eastAsia="宋体" w:cs="宋体"/>
                <w:sz w:val="24"/>
                <w:szCs w:val="24"/>
                <w:highlight w:val="none"/>
              </w:rPr>
              <w:t>6英寸晶片，靶盘需配置冷却系统，且至少配置一个加热靶位，最高注入温度≥500℃，靶盘下方有气浮轴用于垂直扫描（针对注入温度500℃提供TCwafer（热电偶晶圆）温度测试数据）。</w:t>
            </w:r>
          </w:p>
          <w:p w14:paraId="273B1863">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★2.3 能量范围</w:t>
            </w:r>
          </w:p>
          <w:p w14:paraId="212344BD">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2.3.1能量范围：30～380keV（单电荷）；双电荷≥600keV。</w:t>
            </w:r>
          </w:p>
          <w:p w14:paraId="6110D808">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2.3.2高压电源稳定精度：≤0.5kV（30-100kV）， ≤0.5%（100-380kV）。</w:t>
            </w:r>
          </w:p>
          <w:p w14:paraId="5E3C8EC9">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★2.4 注入离子元素&amp;离子源</w:t>
            </w:r>
          </w:p>
          <w:p w14:paraId="543E93BA">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2.4.1注入离子种类：P、B、N、AL可扩展其他元素（F、Si、Mg、H）。</w:t>
            </w:r>
          </w:p>
          <w:p w14:paraId="7FB6372F">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2.4.2配置两套间热式阴极离子源，满足气态和固态靶材电离能力。</w:t>
            </w:r>
          </w:p>
          <w:p w14:paraId="0C700681">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2.4.3离子源气路配置5个质量流量计，满足5路工艺气体供给。</w:t>
            </w:r>
          </w:p>
          <w:p w14:paraId="40B6433A">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2.4.4能够实现单价离子最大加速≥380keV，满足单价离子在30keV~380keV的能量范围。</w:t>
            </w:r>
          </w:p>
          <w:p w14:paraId="2B3DE309">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★2.5 束流参数</w:t>
            </w:r>
            <w:r>
              <w:rPr>
                <w:rFonts w:hint="eastAsia" w:ascii="宋体" w:hAnsi="宋体" w:eastAsia="宋体" w:cs="宋体"/>
                <w:b/>
                <w:bCs/>
                <w:sz w:val="24"/>
                <w:szCs w:val="24"/>
                <w:highlight w:val="none"/>
              </w:rPr>
              <w:t>（投标文件中提供符合下列参数要求的设备软件界面引束截图）</w:t>
            </w:r>
          </w:p>
          <w:p w14:paraId="003B9761">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2.5.1 P⁺单价离子最大束流≥2000μA@300keV。</w:t>
            </w:r>
          </w:p>
          <w:p w14:paraId="092B262E">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2.5.2 B⁺单价离子最大束流≥2000μA@300keV。</w:t>
            </w:r>
          </w:p>
          <w:p w14:paraId="57646031">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2.5.3 Al⁺单价离子最大束流≥2000μA@300keV。</w:t>
            </w:r>
          </w:p>
          <w:p w14:paraId="40CB29D5">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2.5.4 N⁺单价离子最大束流≥2000μA@300keV。</w:t>
            </w:r>
          </w:p>
          <w:p w14:paraId="4D10AC77">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2.5.5束流稳定性：变化率≤10%（20min）。</w:t>
            </w:r>
          </w:p>
          <w:p w14:paraId="13B53424">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★2.6 注入剂量范围</w:t>
            </w:r>
          </w:p>
          <w:p w14:paraId="299DF390">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2.6.1离子注入剂量范围：2E11 ions/cm</w:t>
            </w:r>
            <w:r>
              <w:rPr>
                <w:rFonts w:hint="eastAsia" w:ascii="宋体" w:hAnsi="宋体" w:eastAsia="宋体" w:cs="宋体"/>
                <w:sz w:val="24"/>
                <w:szCs w:val="24"/>
                <w:highlight w:val="none"/>
                <w:vertAlign w:val="superscript"/>
              </w:rPr>
              <w:t>2</w:t>
            </w:r>
            <w:r>
              <w:rPr>
                <w:rFonts w:hint="eastAsia" w:ascii="宋体" w:hAnsi="宋体" w:eastAsia="宋体" w:cs="宋体"/>
                <w:sz w:val="24"/>
                <w:szCs w:val="24"/>
                <w:highlight w:val="none"/>
              </w:rPr>
              <w:t>～1E16 ions/cm</w:t>
            </w:r>
            <w:r>
              <w:rPr>
                <w:rFonts w:hint="eastAsia" w:ascii="宋体" w:hAnsi="宋体" w:eastAsia="宋体" w:cs="宋体"/>
                <w:sz w:val="24"/>
                <w:szCs w:val="24"/>
                <w:highlight w:val="none"/>
                <w:vertAlign w:val="superscript"/>
              </w:rPr>
              <w:t>2</w:t>
            </w:r>
            <w:r>
              <w:rPr>
                <w:rFonts w:hint="eastAsia" w:ascii="宋体" w:hAnsi="宋体" w:eastAsia="宋体" w:cs="宋体"/>
                <w:sz w:val="24"/>
                <w:szCs w:val="24"/>
                <w:highlight w:val="none"/>
              </w:rPr>
              <w:t>。</w:t>
            </w:r>
          </w:p>
          <w:p w14:paraId="2B95B4C7">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★2.7注入均一性</w:t>
            </w:r>
          </w:p>
          <w:p w14:paraId="29450B7D">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2.7.1注入均匀性：1σ≤1%。</w:t>
            </w:r>
          </w:p>
          <w:p w14:paraId="58D6820A">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2.7.2注入重复性：1σ≤1%。</w:t>
            </w:r>
          </w:p>
          <w:p w14:paraId="3847AC59">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2.7.3测量条件：</w:t>
            </w:r>
          </w:p>
          <w:p w14:paraId="30ABAFB2">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离子类型：B⁺。</w:t>
            </w:r>
          </w:p>
          <w:p w14:paraId="457FFF94">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能量≥100 keV。</w:t>
            </w:r>
          </w:p>
          <w:p w14:paraId="5A7CA848">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剂量≥5E14。</w:t>
            </w:r>
          </w:p>
          <w:p w14:paraId="7B50B1FC">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晶圆尺寸≥6英寸。</w:t>
            </w:r>
          </w:p>
          <w:p w14:paraId="61C91CF6">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napToGrid w:val="0"/>
                <w:kern w:val="0"/>
                <w:sz w:val="24"/>
                <w:szCs w:val="24"/>
                <w:highlight w:val="none"/>
              </w:rPr>
              <w:t>■</w:t>
            </w:r>
            <w:r>
              <w:rPr>
                <w:rFonts w:hint="eastAsia" w:ascii="宋体" w:hAnsi="宋体" w:eastAsia="宋体" w:cs="宋体"/>
                <w:sz w:val="24"/>
                <w:szCs w:val="24"/>
                <w:highlight w:val="none"/>
              </w:rPr>
              <w:t>2.8注入角度</w:t>
            </w:r>
          </w:p>
          <w:p w14:paraId="7B68F27D">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2.8.1注入角度0°～45°自动可调。</w:t>
            </w:r>
          </w:p>
          <w:p w14:paraId="042B9F8C">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2.8.2注入角度精度 ≤0.2°。</w:t>
            </w:r>
          </w:p>
          <w:p w14:paraId="18947456">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2.9 本底真空度</w:t>
            </w:r>
          </w:p>
          <w:p w14:paraId="123FBCBE">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napToGrid w:val="0"/>
                <w:kern w:val="0"/>
                <w:sz w:val="24"/>
                <w:szCs w:val="24"/>
                <w:highlight w:val="none"/>
              </w:rPr>
              <w:t>■</w:t>
            </w:r>
            <w:r>
              <w:rPr>
                <w:rFonts w:hint="eastAsia" w:ascii="宋体" w:hAnsi="宋体" w:eastAsia="宋体" w:cs="宋体"/>
                <w:sz w:val="24"/>
                <w:szCs w:val="24"/>
                <w:highlight w:val="none"/>
              </w:rPr>
              <w:t>2.9.1本底真空度要求：</w:t>
            </w:r>
          </w:p>
          <w:p w14:paraId="32389306">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Ion Source真空度：≤5E-7Torr。</w:t>
            </w:r>
          </w:p>
          <w:p w14:paraId="3F6D2A64">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Beam Line真空度：≤5E-7Torr。</w:t>
            </w:r>
          </w:p>
          <w:p w14:paraId="5A0016AB">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End Station真空度：≤5E-7Torr。</w:t>
            </w:r>
          </w:p>
          <w:p w14:paraId="50727DE1">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2.10控制、操作系统</w:t>
            </w:r>
          </w:p>
          <w:p w14:paraId="5353FFD2">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2.10.1各电位区分区供电，当有紧急情况时，利用急停开关切断整机总电源。</w:t>
            </w:r>
          </w:p>
          <w:p w14:paraId="588A0862">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2.10.2各电位区供电根据部件功率及电气要求，配备相应断路器、接触器、继电器等控制操作元件。</w:t>
            </w:r>
          </w:p>
          <w:p w14:paraId="4270836C">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2.10.3控制单元实现对各电源的供电开、关。</w:t>
            </w:r>
          </w:p>
          <w:p w14:paraId="716EAEAF">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2.10.4真空系统供电与水、压缩空气、氮气及去离子水信号联锁。</w:t>
            </w:r>
          </w:p>
          <w:p w14:paraId="3E30515B">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2.10.5离子源电源、分析器电源、分子泵电源分别与相应各线圈的冷却水流量信号、热传感测量信号联锁。</w:t>
            </w:r>
          </w:p>
          <w:p w14:paraId="5EADEB8B">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2.10.6引出电源与高压仓门锁、放电棒、头部高真空状态、引出抑制电源“开关”等信号联锁。</w:t>
            </w:r>
          </w:p>
          <w:p w14:paraId="51322B61">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2.10.7加速电源与屏蔽房门锁及其放电装置、高真空状态、去离子水电阻率状态、主高压抑制电源等信号联锁。</w:t>
            </w:r>
          </w:p>
          <w:p w14:paraId="0CB71A0F">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2.10.8设高压危险警示标志。</w:t>
            </w:r>
          </w:p>
          <w:p w14:paraId="676F618D">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2.10.9工控机负责整机控制系统各部件数据采集和底层逻辑模块程序的运行。底层数据采集监控环路覆整机的离子源系统、束线系统、靶室系统、辅助系统、配电系统、电源系统的控制。</w:t>
            </w:r>
          </w:p>
          <w:p w14:paraId="36FE4F97">
            <w:pPr>
              <w:wordWrap w:val="0"/>
              <w:adjustRightInd w:val="0"/>
              <w:snapToGrid w:val="0"/>
              <w:spacing w:line="312" w:lineRule="auto"/>
              <w:contextualSpacing/>
              <w:jc w:val="left"/>
              <w:rPr>
                <w:rFonts w:hint="eastAsia" w:ascii="宋体" w:hAnsi="宋体" w:eastAsia="宋体" w:cs="宋体"/>
                <w:sz w:val="24"/>
                <w:szCs w:val="24"/>
                <w:highlight w:val="none"/>
              </w:rPr>
            </w:pPr>
            <w:bookmarkStart w:id="18" w:name="OLE_LINK9"/>
            <w:r>
              <w:rPr>
                <w:rFonts w:hint="eastAsia" w:ascii="宋体" w:hAnsi="宋体" w:eastAsia="宋体" w:cs="宋体"/>
                <w:sz w:val="24"/>
                <w:szCs w:val="24"/>
                <w:highlight w:val="none"/>
              </w:rPr>
              <w:t>★</w:t>
            </w:r>
            <w:bookmarkEnd w:id="18"/>
            <w:r>
              <w:rPr>
                <w:rFonts w:hint="eastAsia" w:ascii="宋体" w:hAnsi="宋体" w:eastAsia="宋体" w:cs="宋体"/>
                <w:sz w:val="24"/>
                <w:szCs w:val="24"/>
                <w:highlight w:val="none"/>
              </w:rPr>
              <w:t>2.11其它技术要求</w:t>
            </w:r>
          </w:p>
          <w:p w14:paraId="554026E0">
            <w:pPr>
              <w:numPr>
                <w:ilvl w:val="255"/>
                <w:numId w:val="0"/>
              </w:num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2.11.1设备尺寸：≤3400mm(W) × 6800mm(L) ×3100mm(H)。</w:t>
            </w:r>
          </w:p>
          <w:p w14:paraId="1920431B">
            <w:pPr>
              <w:numPr>
                <w:ilvl w:val="255"/>
                <w:numId w:val="0"/>
              </w:num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2.11.2 本设备属于Ⅲ 类射线装置，</w:t>
            </w:r>
            <w:r>
              <w:rPr>
                <w:rFonts w:ascii="宋体" w:hAnsi="宋体" w:eastAsia="宋体" w:cs="宋体"/>
                <w:sz w:val="24"/>
                <w:szCs w:val="24"/>
                <w:highlight w:val="none"/>
              </w:rPr>
              <w:t>应配有有效的防辐射装置，具备完整安全联锁、声光警示及辐射警示标识；应满足《放射性同位素与射线装置安全和防护管理办法》最新版</w:t>
            </w:r>
            <w:r>
              <w:rPr>
                <w:rFonts w:hint="eastAsia" w:ascii="宋体" w:hAnsi="宋体" w:eastAsia="宋体" w:cs="宋体"/>
                <w:sz w:val="24"/>
                <w:szCs w:val="24"/>
                <w:highlight w:val="none"/>
              </w:rPr>
              <w:t>要求。</w:t>
            </w:r>
          </w:p>
          <w:p w14:paraId="05BB3396">
            <w:pPr>
              <w:wordWrap w:val="0"/>
              <w:adjustRightInd w:val="0"/>
              <w:snapToGrid w:val="0"/>
              <w:spacing w:line="312" w:lineRule="auto"/>
              <w:contextualSpacing/>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2.11.3 X射线泄露值：≤0.6 μSv/h。（</w:t>
            </w:r>
            <w:r>
              <w:rPr>
                <w:rFonts w:ascii="宋体" w:hAnsi="宋体" w:eastAsia="宋体" w:cs="宋体"/>
                <w:sz w:val="24"/>
                <w:szCs w:val="24"/>
                <w:highlight w:val="none"/>
              </w:rPr>
              <w:t>设备</w:t>
            </w:r>
            <w:r>
              <w:rPr>
                <w:rFonts w:hint="eastAsia" w:ascii="宋体" w:hAnsi="宋体" w:eastAsia="宋体" w:cs="宋体"/>
                <w:sz w:val="24"/>
                <w:szCs w:val="24"/>
                <w:highlight w:val="none"/>
              </w:rPr>
              <w:t>周边</w:t>
            </w:r>
            <w:r>
              <w:rPr>
                <w:rFonts w:ascii="宋体" w:hAnsi="宋体" w:eastAsia="宋体" w:cs="宋体"/>
                <w:sz w:val="24"/>
                <w:szCs w:val="24"/>
                <w:highlight w:val="none"/>
              </w:rPr>
              <w:t>任一位置距离机器外壳10cm的辐射量值</w:t>
            </w:r>
            <w:r>
              <w:rPr>
                <w:rFonts w:hint="eastAsia" w:ascii="宋体" w:hAnsi="宋体" w:eastAsia="宋体" w:cs="宋体"/>
                <w:sz w:val="24"/>
                <w:szCs w:val="24"/>
                <w:highlight w:val="none"/>
              </w:rPr>
              <w:t>）</w:t>
            </w:r>
          </w:p>
          <w:p w14:paraId="79B6AD9F">
            <w:pPr>
              <w:widowControl/>
              <w:wordWrap w:val="0"/>
              <w:adjustRightInd w:val="0"/>
              <w:snapToGrid w:val="0"/>
              <w:spacing w:line="312" w:lineRule="auto"/>
              <w:contextualSpacing/>
              <w:jc w:val="left"/>
              <w:rPr>
                <w:rFonts w:hint="eastAsia" w:ascii="宋体" w:hAnsi="宋体" w:eastAsia="宋体" w:cs="宋体"/>
                <w:b/>
                <w:bCs/>
                <w:sz w:val="24"/>
                <w:szCs w:val="24"/>
                <w:highlight w:val="none"/>
              </w:rPr>
            </w:pPr>
            <w:r>
              <w:rPr>
                <w:rFonts w:hint="eastAsia" w:ascii="宋体" w:hAnsi="宋体" w:eastAsia="宋体" w:cs="宋体"/>
                <w:sz w:val="24"/>
                <w:szCs w:val="24"/>
                <w:highlight w:val="none"/>
              </w:rPr>
              <w:t>2.11.4 备品备件：随机备件包一套，随机工具包一套。</w:t>
            </w:r>
          </w:p>
        </w:tc>
        <w:tc>
          <w:tcPr>
            <w:tcW w:w="402" w:type="pct"/>
            <w:vAlign w:val="center"/>
          </w:tcPr>
          <w:p w14:paraId="702FAC70">
            <w:pPr>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宋体" w:hAnsi="宋体" w:eastAsia="宋体" w:cs="宋体"/>
                <w:bCs/>
                <w:sz w:val="24"/>
                <w:szCs w:val="24"/>
                <w:highlight w:val="none"/>
              </w:rPr>
              <w:t>1</w:t>
            </w:r>
          </w:p>
        </w:tc>
        <w:tc>
          <w:tcPr>
            <w:tcW w:w="367" w:type="pct"/>
            <w:vAlign w:val="center"/>
          </w:tcPr>
          <w:p w14:paraId="6FF7324E">
            <w:pPr>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宋体" w:hAnsi="宋体" w:eastAsia="宋体" w:cs="宋体"/>
                <w:bCs/>
                <w:sz w:val="24"/>
                <w:szCs w:val="24"/>
                <w:highlight w:val="none"/>
              </w:rPr>
              <w:t>工业</w:t>
            </w:r>
          </w:p>
        </w:tc>
        <w:tc>
          <w:tcPr>
            <w:tcW w:w="462" w:type="pct"/>
            <w:vAlign w:val="center"/>
          </w:tcPr>
          <w:p w14:paraId="7951D0A5">
            <w:pPr>
              <w:tabs>
                <w:tab w:val="left" w:pos="0"/>
              </w:tabs>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w:t>
            </w:r>
          </w:p>
        </w:tc>
      </w:tr>
      <w:tr w14:paraId="735A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 w:type="pct"/>
            <w:vAlign w:val="center"/>
          </w:tcPr>
          <w:p w14:paraId="681B4B9A">
            <w:pPr>
              <w:tabs>
                <w:tab w:val="left" w:pos="0"/>
              </w:tabs>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2</w:t>
            </w:r>
          </w:p>
        </w:tc>
        <w:tc>
          <w:tcPr>
            <w:tcW w:w="382" w:type="pct"/>
            <w:vAlign w:val="center"/>
          </w:tcPr>
          <w:p w14:paraId="7A303F4A">
            <w:pPr>
              <w:tabs>
                <w:tab w:val="left" w:pos="0"/>
              </w:tabs>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Times New Roman" w:hAnsi="Times New Roman" w:eastAsia="宋体" w:cs="宋体"/>
                <w:bCs/>
                <w:kern w:val="0"/>
                <w:sz w:val="24"/>
                <w:szCs w:val="24"/>
                <w:highlight w:val="none"/>
              </w:rPr>
              <w:t>氧化扩散L</w:t>
            </w:r>
            <w:r>
              <w:rPr>
                <w:rFonts w:ascii="Times New Roman" w:hAnsi="Times New Roman" w:eastAsia="宋体" w:cs="宋体"/>
                <w:bCs/>
                <w:kern w:val="0"/>
                <w:sz w:val="24"/>
                <w:szCs w:val="24"/>
                <w:highlight w:val="none"/>
              </w:rPr>
              <w:t>PCVD</w:t>
            </w:r>
            <w:r>
              <w:rPr>
                <w:rFonts w:hint="eastAsia" w:ascii="Times New Roman" w:hAnsi="Times New Roman" w:eastAsia="宋体" w:cs="宋体"/>
                <w:bCs/>
                <w:kern w:val="0"/>
                <w:sz w:val="24"/>
                <w:szCs w:val="24"/>
                <w:highlight w:val="none"/>
              </w:rPr>
              <w:t>系统</w:t>
            </w:r>
          </w:p>
        </w:tc>
        <w:tc>
          <w:tcPr>
            <w:tcW w:w="3134" w:type="pct"/>
          </w:tcPr>
          <w:p w14:paraId="27F8ECC0">
            <w:pPr>
              <w:widowControl/>
              <w:numPr>
                <w:ilvl w:val="0"/>
                <w:numId w:val="1"/>
              </w:numPr>
              <w:tabs>
                <w:tab w:val="left" w:pos="0"/>
              </w:tabs>
              <w:wordWrap w:val="0"/>
              <w:adjustRightInd w:val="0"/>
              <w:snapToGrid w:val="0"/>
              <w:spacing w:line="312" w:lineRule="auto"/>
              <w:ind w:left="0"/>
              <w:jc w:val="left"/>
              <w:rPr>
                <w:rFonts w:ascii="Times New Roman" w:hAnsi="Times New Roman" w:eastAsia="宋体" w:cs="宋体"/>
                <w:b/>
                <w:bCs/>
                <w:kern w:val="0"/>
                <w:sz w:val="24"/>
                <w:szCs w:val="24"/>
                <w:highlight w:val="none"/>
                <w:lang w:bidi="ar"/>
              </w:rPr>
            </w:pPr>
            <w:r>
              <w:rPr>
                <w:rFonts w:hint="eastAsia" w:ascii="Times New Roman" w:hAnsi="Times New Roman" w:eastAsia="宋体" w:cs="宋体"/>
                <w:b/>
                <w:bCs/>
                <w:kern w:val="0"/>
                <w:sz w:val="24"/>
                <w:szCs w:val="24"/>
                <w:highlight w:val="none"/>
                <w:lang w:bidi="ar"/>
              </w:rPr>
              <w:t>设备功能</w:t>
            </w:r>
          </w:p>
          <w:p w14:paraId="139F46C3">
            <w:pPr>
              <w:widowControl/>
              <w:tabs>
                <w:tab w:val="left" w:pos="0"/>
              </w:tabs>
              <w:wordWrap w:val="0"/>
              <w:adjustRightInd w:val="0"/>
              <w:snapToGrid w:val="0"/>
              <w:spacing w:line="312" w:lineRule="auto"/>
              <w:jc w:val="left"/>
              <w:rPr>
                <w:rFonts w:ascii="Times New Roman" w:hAnsi="Times New Roman" w:eastAsia="宋体"/>
                <w:sz w:val="24"/>
                <w:szCs w:val="24"/>
                <w:highlight w:val="none"/>
              </w:rPr>
            </w:pPr>
            <w:r>
              <w:rPr>
                <w:rFonts w:hint="eastAsia" w:ascii="Times New Roman" w:hAnsi="Times New Roman" w:eastAsia="宋体" w:cs="宋体"/>
                <w:kern w:val="0"/>
                <w:sz w:val="24"/>
                <w:szCs w:val="24"/>
                <w:highlight w:val="none"/>
                <w:lang w:bidi="ar"/>
              </w:rPr>
              <w:t>氧化扩散LPCVD系统采用多管工艺集成，由净化台、废气室、炉体柜、气源柜、TEOS（正硅酸乙酯）自动补液系统等部分组成，实现多种基底材料（如硅、石英等）高温退火、氧化工艺、沉积二氧化硅（SiO</w:t>
            </w:r>
            <w:r>
              <w:rPr>
                <w:rFonts w:hint="eastAsia" w:ascii="Times New Roman" w:hAnsi="Times New Roman" w:eastAsia="宋体" w:cs="宋体"/>
                <w:kern w:val="0"/>
                <w:sz w:val="24"/>
                <w:szCs w:val="24"/>
                <w:highlight w:val="none"/>
                <w:vertAlign w:val="subscript"/>
                <w:lang w:bidi="ar"/>
              </w:rPr>
              <w:t>2</w:t>
            </w:r>
            <w:r>
              <w:rPr>
                <w:rFonts w:hint="eastAsia" w:ascii="Times New Roman" w:hAnsi="Times New Roman" w:eastAsia="宋体" w:cs="宋体"/>
                <w:kern w:val="0"/>
                <w:sz w:val="24"/>
                <w:szCs w:val="24"/>
                <w:highlight w:val="none"/>
                <w:lang w:bidi="ar"/>
              </w:rPr>
              <w:t>）和氮化硅（Si</w:t>
            </w:r>
            <w:r>
              <w:rPr>
                <w:rFonts w:hint="eastAsia" w:ascii="Times New Roman" w:hAnsi="Times New Roman" w:eastAsia="宋体" w:cs="宋体"/>
                <w:kern w:val="0"/>
                <w:sz w:val="24"/>
                <w:szCs w:val="24"/>
                <w:highlight w:val="none"/>
                <w:vertAlign w:val="subscript"/>
                <w:lang w:bidi="ar"/>
              </w:rPr>
              <w:t>3</w:t>
            </w:r>
            <w:r>
              <w:rPr>
                <w:rFonts w:hint="eastAsia" w:ascii="Times New Roman" w:hAnsi="Times New Roman" w:eastAsia="宋体" w:cs="宋体"/>
                <w:kern w:val="0"/>
                <w:sz w:val="24"/>
                <w:szCs w:val="24"/>
                <w:highlight w:val="none"/>
                <w:lang w:bidi="ar"/>
              </w:rPr>
              <w:t>N</w:t>
            </w:r>
            <w:r>
              <w:rPr>
                <w:rFonts w:hint="eastAsia" w:ascii="Times New Roman" w:hAnsi="Times New Roman" w:eastAsia="宋体" w:cs="宋体"/>
                <w:kern w:val="0"/>
                <w:sz w:val="24"/>
                <w:szCs w:val="24"/>
                <w:highlight w:val="none"/>
                <w:vertAlign w:val="subscript"/>
                <w:lang w:bidi="ar"/>
              </w:rPr>
              <w:t>4</w:t>
            </w:r>
            <w:r>
              <w:rPr>
                <w:rFonts w:hint="eastAsia" w:ascii="Times New Roman" w:hAnsi="Times New Roman" w:eastAsia="宋体" w:cs="宋体"/>
                <w:kern w:val="0"/>
                <w:sz w:val="24"/>
                <w:szCs w:val="24"/>
                <w:highlight w:val="none"/>
                <w:lang w:bidi="ar"/>
              </w:rPr>
              <w:t>）等薄膜。</w:t>
            </w:r>
          </w:p>
          <w:p w14:paraId="606A657A">
            <w:pPr>
              <w:widowControl/>
              <w:tabs>
                <w:tab w:val="left" w:pos="0"/>
              </w:tabs>
              <w:wordWrap w:val="0"/>
              <w:adjustRightInd w:val="0"/>
              <w:snapToGrid w:val="0"/>
              <w:spacing w:line="312" w:lineRule="auto"/>
              <w:jc w:val="left"/>
              <w:rPr>
                <w:rFonts w:ascii="Times New Roman" w:hAnsi="Times New Roman" w:eastAsia="宋体"/>
                <w:sz w:val="24"/>
                <w:szCs w:val="24"/>
                <w:highlight w:val="none"/>
              </w:rPr>
            </w:pPr>
            <w:r>
              <w:rPr>
                <w:rFonts w:hint="eastAsia" w:ascii="Times New Roman" w:hAnsi="Times New Roman" w:eastAsia="宋体" w:cs="宋体"/>
                <w:b/>
                <w:bCs/>
                <w:kern w:val="0"/>
                <w:sz w:val="24"/>
                <w:szCs w:val="24"/>
                <w:highlight w:val="none"/>
                <w:lang w:bidi="ar"/>
              </w:rPr>
              <w:t>二、工作条件</w:t>
            </w:r>
          </w:p>
          <w:p w14:paraId="6CC3F3D3">
            <w:pPr>
              <w:widowControl/>
              <w:tabs>
                <w:tab w:val="left" w:pos="0"/>
              </w:tabs>
              <w:wordWrap w:val="0"/>
              <w:adjustRightInd w:val="0"/>
              <w:snapToGrid w:val="0"/>
              <w:spacing w:line="312" w:lineRule="auto"/>
              <w:jc w:val="left"/>
              <w:rPr>
                <w:rFonts w:ascii="Times New Roman" w:hAnsi="Times New Roman" w:eastAsia="宋体"/>
                <w:sz w:val="24"/>
                <w:szCs w:val="24"/>
                <w:highlight w:val="none"/>
              </w:rPr>
            </w:pPr>
            <w:r>
              <w:rPr>
                <w:rFonts w:hint="eastAsia" w:ascii="Times New Roman" w:hAnsi="Times New Roman" w:eastAsia="宋体" w:cs="宋体"/>
                <w:kern w:val="0"/>
                <w:sz w:val="24"/>
                <w:szCs w:val="24"/>
                <w:highlight w:val="none"/>
                <w:lang w:bidi="ar"/>
              </w:rPr>
              <w:t>1.工作电源：380VAC±10%、三相、50Hz，功率≤90</w:t>
            </w:r>
            <w:r>
              <w:rPr>
                <w:rFonts w:ascii="Times New Roman" w:hAnsi="Times New Roman" w:eastAsia="宋体" w:cs="宋体"/>
                <w:kern w:val="0"/>
                <w:sz w:val="24"/>
                <w:szCs w:val="24"/>
                <w:highlight w:val="none"/>
                <w:lang w:bidi="ar"/>
              </w:rPr>
              <w:t>k</w:t>
            </w:r>
            <w:r>
              <w:rPr>
                <w:rFonts w:hint="eastAsia" w:ascii="Times New Roman" w:hAnsi="Times New Roman" w:eastAsia="宋体" w:cs="宋体"/>
                <w:kern w:val="0"/>
                <w:sz w:val="24"/>
                <w:szCs w:val="24"/>
                <w:highlight w:val="none"/>
                <w:lang w:bidi="ar"/>
              </w:rPr>
              <w:t>W。</w:t>
            </w:r>
          </w:p>
          <w:p w14:paraId="346DE52E">
            <w:pPr>
              <w:widowControl/>
              <w:tabs>
                <w:tab w:val="left" w:pos="0"/>
              </w:tabs>
              <w:wordWrap w:val="0"/>
              <w:adjustRightInd w:val="0"/>
              <w:snapToGrid w:val="0"/>
              <w:spacing w:line="312" w:lineRule="auto"/>
              <w:jc w:val="left"/>
              <w:rPr>
                <w:rFonts w:ascii="Times New Roman" w:hAnsi="Times New Roman" w:eastAsia="宋体"/>
                <w:sz w:val="24"/>
                <w:szCs w:val="24"/>
                <w:highlight w:val="none"/>
              </w:rPr>
            </w:pPr>
            <w:r>
              <w:rPr>
                <w:rFonts w:hint="eastAsia" w:ascii="Times New Roman" w:hAnsi="Times New Roman" w:eastAsia="宋体" w:cs="宋体"/>
                <w:kern w:val="0"/>
                <w:sz w:val="24"/>
                <w:szCs w:val="24"/>
                <w:highlight w:val="none"/>
                <w:lang w:bidi="ar"/>
              </w:rPr>
              <w:t>2</w:t>
            </w:r>
            <w:r>
              <w:rPr>
                <w:rFonts w:ascii="Times New Roman" w:hAnsi="Times New Roman" w:eastAsia="宋体" w:cs="宋体"/>
                <w:kern w:val="0"/>
                <w:sz w:val="24"/>
                <w:szCs w:val="24"/>
                <w:highlight w:val="none"/>
                <w:lang w:bidi="ar"/>
              </w:rPr>
              <w:t>.</w:t>
            </w:r>
            <w:r>
              <w:rPr>
                <w:rFonts w:hint="eastAsia" w:ascii="Times New Roman" w:hAnsi="Times New Roman" w:eastAsia="宋体" w:cs="宋体"/>
                <w:kern w:val="0"/>
                <w:sz w:val="24"/>
                <w:szCs w:val="24"/>
                <w:highlight w:val="none"/>
                <w:lang w:bidi="ar"/>
              </w:rPr>
              <w:t>环境温度：在15℃～30℃稳定工作。</w:t>
            </w:r>
          </w:p>
          <w:p w14:paraId="76FDF58B">
            <w:pPr>
              <w:widowControl/>
              <w:tabs>
                <w:tab w:val="left" w:pos="0"/>
              </w:tabs>
              <w:wordWrap w:val="0"/>
              <w:adjustRightInd w:val="0"/>
              <w:snapToGrid w:val="0"/>
              <w:spacing w:line="312" w:lineRule="auto"/>
              <w:jc w:val="left"/>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3.环境湿度：在40%～80%湿度下稳定工作。</w:t>
            </w:r>
          </w:p>
          <w:p w14:paraId="07C1BB8D">
            <w:pPr>
              <w:widowControl/>
              <w:tabs>
                <w:tab w:val="left" w:pos="0"/>
              </w:tabs>
              <w:wordWrap w:val="0"/>
              <w:adjustRightInd w:val="0"/>
              <w:snapToGrid w:val="0"/>
              <w:spacing w:line="312" w:lineRule="auto"/>
              <w:jc w:val="left"/>
              <w:rPr>
                <w:rFonts w:ascii="Times New Roman" w:hAnsi="Times New Roman" w:eastAsia="宋体"/>
                <w:sz w:val="24"/>
                <w:szCs w:val="24"/>
                <w:highlight w:val="none"/>
              </w:rPr>
            </w:pPr>
            <w:r>
              <w:rPr>
                <w:rFonts w:hint="eastAsia" w:ascii="Times New Roman" w:hAnsi="Times New Roman" w:eastAsia="宋体" w:cs="宋体"/>
                <w:b/>
                <w:bCs/>
                <w:kern w:val="0"/>
                <w:sz w:val="24"/>
                <w:szCs w:val="24"/>
                <w:highlight w:val="none"/>
                <w:lang w:bidi="ar"/>
              </w:rPr>
              <w:t>三、主要技术指标：</w:t>
            </w:r>
          </w:p>
          <w:p w14:paraId="2E44D2FC">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sz w:val="24"/>
                <w:szCs w:val="24"/>
                <w:highlight w:val="none"/>
              </w:rPr>
              <w:t>★1</w:t>
            </w:r>
            <w:r>
              <w:rPr>
                <w:rFonts w:ascii="Times New Roman" w:hAnsi="Times New Roman" w:eastAsia="宋体" w:cs="宋体"/>
                <w:sz w:val="24"/>
                <w:szCs w:val="24"/>
                <w:highlight w:val="none"/>
              </w:rPr>
              <w:t>.</w:t>
            </w:r>
            <w:r>
              <w:rPr>
                <w:rFonts w:hint="eastAsia" w:ascii="Times New Roman" w:hAnsi="Times New Roman" w:eastAsia="宋体" w:cs="宋体"/>
                <w:kern w:val="0"/>
                <w:sz w:val="24"/>
                <w:szCs w:val="24"/>
                <w:highlight w:val="none"/>
                <w:lang w:bidi="ar"/>
              </w:rPr>
              <w:t>晶圆尺寸：6英寸，兼容4英寸圆片及碎片，产量：≥25片/批；配置6英寸、4英寸及碎片平板舟。</w:t>
            </w:r>
          </w:p>
          <w:p w14:paraId="215EE152">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sz w:val="24"/>
                <w:szCs w:val="24"/>
                <w:highlight w:val="none"/>
              </w:rPr>
              <w:t>★2</w:t>
            </w:r>
            <w:r>
              <w:rPr>
                <w:rFonts w:ascii="Times New Roman" w:hAnsi="Times New Roman" w:eastAsia="宋体" w:cs="宋体"/>
                <w:sz w:val="24"/>
                <w:szCs w:val="24"/>
                <w:highlight w:val="none"/>
              </w:rPr>
              <w:t>.</w:t>
            </w:r>
            <w:r>
              <w:rPr>
                <w:rFonts w:hint="eastAsia" w:ascii="Times New Roman" w:hAnsi="Times New Roman" w:eastAsia="宋体" w:cs="宋体"/>
                <w:kern w:val="0"/>
                <w:sz w:val="24"/>
                <w:szCs w:val="24"/>
                <w:highlight w:val="none"/>
                <w:lang w:bidi="ar"/>
              </w:rPr>
              <w:t>工艺炉管</w:t>
            </w:r>
          </w:p>
          <w:p w14:paraId="4FF6BD1D">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2.1高温退火管：温度范围800℃-1300℃，配置全套SiC套件（包括SiC管、SiC桨、SiC舟、SiC门等）。</w:t>
            </w:r>
          </w:p>
          <w:p w14:paraId="47C1CF7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2.2氧化管：温度范围600℃～1100℃，氧化方式为干氧+氢氧点火+水浴氧化。</w:t>
            </w:r>
          </w:p>
          <w:p w14:paraId="7140B81B">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2.3氮化硅管：温度范围600℃～850℃。</w:t>
            </w:r>
          </w:p>
          <w:p w14:paraId="5AE3E6A2">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2.4二氧化硅管：温度范围600℃～800℃，工艺方式为TEOS（正硅酸乙酯）工艺。</w:t>
            </w:r>
          </w:p>
          <w:p w14:paraId="7413B462">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■3.真空系统</w:t>
            </w:r>
          </w:p>
          <w:p w14:paraId="32FC042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3.1系统极限真空：≤5Pa。</w:t>
            </w:r>
          </w:p>
          <w:p w14:paraId="0937D2B1">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3.2工作压力范围：10Pa～60Pa，精度≤±0.5Pa。</w:t>
            </w:r>
          </w:p>
          <w:p w14:paraId="3D9A7C3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3.3真空恢复时间：常压至10Pa，时间≤10min。</w:t>
            </w:r>
          </w:p>
          <w:p w14:paraId="6A9BE80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3.4系统漏气率：≤5×10</w:t>
            </w:r>
            <w:r>
              <w:rPr>
                <w:rFonts w:hint="eastAsia" w:ascii="Times New Roman" w:hAnsi="Times New Roman" w:eastAsia="宋体" w:cs="宋体"/>
                <w:kern w:val="0"/>
                <w:sz w:val="24"/>
                <w:szCs w:val="24"/>
                <w:highlight w:val="none"/>
                <w:vertAlign w:val="superscript"/>
                <w:lang w:bidi="ar"/>
              </w:rPr>
              <w:t>-10</w:t>
            </w:r>
            <w:r>
              <w:rPr>
                <w:rFonts w:hint="eastAsia" w:ascii="Times New Roman" w:hAnsi="Times New Roman" w:eastAsia="宋体" w:cs="宋体"/>
                <w:kern w:val="0"/>
                <w:sz w:val="24"/>
                <w:szCs w:val="24"/>
                <w:highlight w:val="none"/>
                <w:lang w:bidi="ar"/>
              </w:rPr>
              <w:t>Pa.m</w:t>
            </w:r>
            <w:r>
              <w:rPr>
                <w:rFonts w:hint="eastAsia" w:ascii="Times New Roman" w:hAnsi="Times New Roman" w:eastAsia="宋体" w:cs="宋体"/>
                <w:kern w:val="0"/>
                <w:sz w:val="24"/>
                <w:szCs w:val="24"/>
                <w:highlight w:val="none"/>
                <w:vertAlign w:val="superscript"/>
                <w:lang w:bidi="ar"/>
              </w:rPr>
              <w:t>3</w:t>
            </w:r>
            <w:r>
              <w:rPr>
                <w:rFonts w:hint="eastAsia" w:ascii="Times New Roman" w:hAnsi="Times New Roman" w:eastAsia="宋体" w:cs="宋体"/>
                <w:kern w:val="0"/>
                <w:sz w:val="24"/>
                <w:szCs w:val="24"/>
                <w:highlight w:val="none"/>
                <w:lang w:bidi="ar"/>
              </w:rPr>
              <w:t>/s。</w:t>
            </w:r>
          </w:p>
          <w:p w14:paraId="7A212829">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sz w:val="24"/>
                <w:szCs w:val="24"/>
                <w:highlight w:val="none"/>
              </w:rPr>
              <w:t>★</w:t>
            </w:r>
            <w:r>
              <w:rPr>
                <w:rFonts w:hint="eastAsia" w:ascii="Times New Roman" w:hAnsi="Times New Roman" w:eastAsia="宋体" w:cs="宋体"/>
                <w:kern w:val="0"/>
                <w:sz w:val="24"/>
                <w:szCs w:val="24"/>
                <w:highlight w:val="none"/>
                <w:lang w:bidi="ar"/>
              </w:rPr>
              <w:t>4.气路系统</w:t>
            </w:r>
          </w:p>
          <w:p w14:paraId="650EA201">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4.1工艺气体：O</w:t>
            </w:r>
            <w:r>
              <w:rPr>
                <w:rFonts w:ascii="Times New Roman" w:hAnsi="Times New Roman" w:eastAsia="宋体" w:cs="宋体"/>
                <w:kern w:val="0"/>
                <w:sz w:val="24"/>
                <w:szCs w:val="24"/>
                <w:highlight w:val="none"/>
                <w:vertAlign w:val="subscript"/>
                <w:lang w:bidi="ar"/>
              </w:rPr>
              <w:t>2</w:t>
            </w:r>
            <w:r>
              <w:rPr>
                <w:rFonts w:hint="eastAsia" w:ascii="Times New Roman" w:hAnsi="Times New Roman" w:eastAsia="宋体" w:cs="宋体"/>
                <w:kern w:val="0"/>
                <w:sz w:val="24"/>
                <w:szCs w:val="24"/>
                <w:highlight w:val="none"/>
                <w:lang w:bidi="ar"/>
              </w:rPr>
              <w:t>、NH</w:t>
            </w:r>
            <w:r>
              <w:rPr>
                <w:rFonts w:ascii="Times New Roman" w:hAnsi="Times New Roman" w:eastAsia="宋体" w:cs="宋体"/>
                <w:kern w:val="0"/>
                <w:sz w:val="24"/>
                <w:szCs w:val="24"/>
                <w:highlight w:val="none"/>
                <w:vertAlign w:val="subscript"/>
                <w:lang w:bidi="ar"/>
              </w:rPr>
              <w:t>3</w:t>
            </w:r>
            <w:r>
              <w:rPr>
                <w:rFonts w:hint="eastAsia" w:ascii="Times New Roman" w:hAnsi="Times New Roman" w:eastAsia="宋体" w:cs="宋体"/>
                <w:kern w:val="0"/>
                <w:sz w:val="24"/>
                <w:szCs w:val="24"/>
                <w:highlight w:val="none"/>
                <w:lang w:bidi="ar"/>
              </w:rPr>
              <w:t>、SiH</w:t>
            </w:r>
            <w:r>
              <w:rPr>
                <w:rFonts w:ascii="Times New Roman" w:hAnsi="Times New Roman" w:eastAsia="宋体" w:cs="宋体"/>
                <w:kern w:val="0"/>
                <w:sz w:val="24"/>
                <w:szCs w:val="24"/>
                <w:highlight w:val="none"/>
                <w:vertAlign w:val="subscript"/>
                <w:lang w:bidi="ar"/>
              </w:rPr>
              <w:t>2</w:t>
            </w:r>
            <w:r>
              <w:rPr>
                <w:rFonts w:hint="eastAsia" w:ascii="Times New Roman" w:hAnsi="Times New Roman" w:eastAsia="宋体" w:cs="宋体"/>
                <w:kern w:val="0"/>
                <w:sz w:val="24"/>
                <w:szCs w:val="24"/>
                <w:highlight w:val="none"/>
                <w:lang w:bidi="ar"/>
              </w:rPr>
              <w:t>Cl</w:t>
            </w:r>
            <w:r>
              <w:rPr>
                <w:rFonts w:ascii="Times New Roman" w:hAnsi="Times New Roman" w:eastAsia="宋体" w:cs="宋体"/>
                <w:kern w:val="0"/>
                <w:sz w:val="24"/>
                <w:szCs w:val="24"/>
                <w:highlight w:val="none"/>
                <w:vertAlign w:val="subscript"/>
                <w:lang w:bidi="ar"/>
              </w:rPr>
              <w:t>2</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DCS</w:t>
            </w:r>
            <w:r>
              <w:rPr>
                <w:rFonts w:hint="eastAsia" w:ascii="Times New Roman" w:hAnsi="Times New Roman" w:eastAsia="宋体" w:cs="宋体"/>
                <w:kern w:val="0"/>
                <w:sz w:val="24"/>
                <w:szCs w:val="24"/>
                <w:highlight w:val="none"/>
                <w:lang w:bidi="ar"/>
              </w:rPr>
              <w:t>，二氯二氢硅）、N</w:t>
            </w:r>
            <w:r>
              <w:rPr>
                <w:rFonts w:ascii="Times New Roman" w:hAnsi="Times New Roman" w:eastAsia="宋体" w:cs="宋体"/>
                <w:kern w:val="0"/>
                <w:sz w:val="24"/>
                <w:szCs w:val="24"/>
                <w:highlight w:val="none"/>
                <w:vertAlign w:val="subscript"/>
                <w:lang w:bidi="ar"/>
              </w:rPr>
              <w:t>2</w:t>
            </w:r>
            <w:r>
              <w:rPr>
                <w:rFonts w:hint="eastAsia" w:ascii="Times New Roman" w:hAnsi="Times New Roman" w:eastAsia="宋体" w:cs="宋体"/>
                <w:kern w:val="0"/>
                <w:sz w:val="24"/>
                <w:szCs w:val="24"/>
                <w:highlight w:val="none"/>
                <w:lang w:bidi="ar"/>
              </w:rPr>
              <w:t>、H</w:t>
            </w:r>
            <w:r>
              <w:rPr>
                <w:rFonts w:ascii="Times New Roman" w:hAnsi="Times New Roman" w:eastAsia="宋体" w:cs="宋体"/>
                <w:kern w:val="0"/>
                <w:sz w:val="24"/>
                <w:szCs w:val="24"/>
                <w:highlight w:val="none"/>
                <w:vertAlign w:val="subscript"/>
                <w:lang w:bidi="ar"/>
              </w:rPr>
              <w:t>2</w:t>
            </w:r>
            <w:r>
              <w:rPr>
                <w:rFonts w:hint="eastAsia" w:ascii="Times New Roman" w:hAnsi="Times New Roman" w:eastAsia="宋体" w:cs="宋体"/>
                <w:kern w:val="0"/>
                <w:sz w:val="24"/>
                <w:szCs w:val="24"/>
                <w:highlight w:val="none"/>
                <w:lang w:bidi="ar"/>
              </w:rPr>
              <w:t>等。</w:t>
            </w:r>
          </w:p>
          <w:p w14:paraId="7D69FCF7">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4.2 工艺气体MFC控制精度：≤±1%F.S。</w:t>
            </w:r>
          </w:p>
          <w:p w14:paraId="661A928E">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4.3气密性漏率：≤5×10</w:t>
            </w:r>
            <w:r>
              <w:rPr>
                <w:rFonts w:hint="eastAsia" w:ascii="Times New Roman" w:hAnsi="Times New Roman" w:eastAsia="宋体" w:cs="宋体"/>
                <w:kern w:val="0"/>
                <w:sz w:val="24"/>
                <w:szCs w:val="24"/>
                <w:highlight w:val="none"/>
                <w:vertAlign w:val="superscript"/>
                <w:lang w:bidi="ar"/>
              </w:rPr>
              <w:t>-10</w:t>
            </w:r>
            <w:r>
              <w:rPr>
                <w:rFonts w:hint="eastAsia" w:ascii="Times New Roman" w:hAnsi="Times New Roman" w:eastAsia="宋体" w:cs="宋体"/>
                <w:kern w:val="0"/>
                <w:sz w:val="24"/>
                <w:szCs w:val="24"/>
                <w:highlight w:val="none"/>
                <w:lang w:bidi="ar"/>
              </w:rPr>
              <w:t>Pa.m</w:t>
            </w:r>
            <w:r>
              <w:rPr>
                <w:rFonts w:hint="eastAsia" w:ascii="Times New Roman" w:hAnsi="Times New Roman" w:eastAsia="宋体" w:cs="宋体"/>
                <w:kern w:val="0"/>
                <w:sz w:val="24"/>
                <w:szCs w:val="24"/>
                <w:highlight w:val="none"/>
                <w:vertAlign w:val="superscript"/>
                <w:lang w:bidi="ar"/>
              </w:rPr>
              <w:t>3</w:t>
            </w:r>
            <w:r>
              <w:rPr>
                <w:rFonts w:hint="eastAsia" w:ascii="Times New Roman" w:hAnsi="Times New Roman" w:eastAsia="宋体" w:cs="宋体"/>
                <w:kern w:val="0"/>
                <w:sz w:val="24"/>
                <w:szCs w:val="24"/>
                <w:highlight w:val="none"/>
                <w:lang w:bidi="ar"/>
              </w:rPr>
              <w:t>/s。</w:t>
            </w:r>
          </w:p>
          <w:p w14:paraId="2475311F">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4.4采用316L电化学内抛光管道，</w:t>
            </w:r>
            <w:r>
              <w:rPr>
                <w:rFonts w:ascii="Times New Roman" w:hAnsi="Times New Roman" w:eastAsia="宋体" w:cs="宋体"/>
                <w:kern w:val="0"/>
                <w:sz w:val="24"/>
                <w:szCs w:val="24"/>
                <w:highlight w:val="none"/>
                <w:lang w:bidi="ar"/>
              </w:rPr>
              <w:t>管道焊接采用自动轨道焊接</w:t>
            </w:r>
            <w:r>
              <w:rPr>
                <w:rFonts w:hint="eastAsia" w:ascii="Times New Roman" w:hAnsi="Times New Roman" w:eastAsia="宋体" w:cs="宋体"/>
                <w:kern w:val="0"/>
                <w:sz w:val="24"/>
                <w:szCs w:val="24"/>
                <w:highlight w:val="none"/>
                <w:lang w:bidi="ar"/>
              </w:rPr>
              <w:t>,气路采用VCR密封接头方式。</w:t>
            </w:r>
          </w:p>
          <w:p w14:paraId="3EEA3C71">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5.真空计</w:t>
            </w:r>
          </w:p>
          <w:p w14:paraId="3B1D8E2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5.1测量范围：≥1Torr（133Pa）。</w:t>
            </w:r>
          </w:p>
          <w:p w14:paraId="77E30C23">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5.2读数精度：≤0.2%。</w:t>
            </w:r>
          </w:p>
          <w:p w14:paraId="5C558DBA">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5.3分辨率：≤0.003%FS。</w:t>
            </w:r>
          </w:p>
          <w:p w14:paraId="592B11E1">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5.4响应时间：≤30ms。</w:t>
            </w:r>
          </w:p>
          <w:p w14:paraId="6459C17F">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5.5最大压力：≥260KPa（绝对）。</w:t>
            </w:r>
          </w:p>
          <w:p w14:paraId="62612064">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5.6输出信号：0-10V（直流）。</w:t>
            </w:r>
          </w:p>
          <w:p w14:paraId="432494D0">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6.角阀</w:t>
            </w:r>
          </w:p>
          <w:p w14:paraId="6D6DCC6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6.1口径：≥ISO80。</w:t>
            </w:r>
          </w:p>
          <w:p w14:paraId="284740EB">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6.2工作气源压力(kg/cm²)：4~6.5。</w:t>
            </w:r>
          </w:p>
          <w:p w14:paraId="5092458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6.3阀盖采用</w:t>
            </w:r>
            <w:r>
              <w:rPr>
                <w:rFonts w:ascii="Times New Roman" w:hAnsi="Times New Roman" w:eastAsia="宋体" w:cs="宋体"/>
                <w:kern w:val="0"/>
                <w:sz w:val="24"/>
                <w:szCs w:val="24"/>
                <w:highlight w:val="none"/>
                <w:lang w:bidi="ar"/>
              </w:rPr>
              <w:t>氟橡胶（Viton）密封，真空度等级：</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10</w:t>
            </w:r>
            <w:r>
              <w:rPr>
                <w:rFonts w:ascii="Times New Roman" w:hAnsi="Times New Roman" w:eastAsia="宋体" w:cs="宋体"/>
                <w:kern w:val="0"/>
                <w:sz w:val="24"/>
                <w:szCs w:val="24"/>
                <w:highlight w:val="none"/>
                <w:vertAlign w:val="superscript"/>
                <w:lang w:bidi="ar"/>
              </w:rPr>
              <w:t>-9</w:t>
            </w:r>
            <w:r>
              <w:rPr>
                <w:rFonts w:ascii="Times New Roman" w:hAnsi="Times New Roman" w:eastAsia="宋体" w:cs="宋体"/>
                <w:kern w:val="0"/>
                <w:sz w:val="24"/>
                <w:szCs w:val="24"/>
                <w:highlight w:val="none"/>
                <w:lang w:bidi="ar"/>
              </w:rPr>
              <w:t>mbar</w:t>
            </w:r>
            <w:r>
              <w:rPr>
                <w:rFonts w:hint="eastAsia" w:ascii="Times New Roman" w:hAnsi="Times New Roman" w:eastAsia="宋体" w:cs="宋体"/>
                <w:kern w:val="0"/>
                <w:sz w:val="24"/>
                <w:szCs w:val="24"/>
                <w:highlight w:val="none"/>
                <w:lang w:bidi="ar"/>
              </w:rPr>
              <w:t>。</w:t>
            </w:r>
          </w:p>
          <w:p w14:paraId="1681EA77">
            <w:pPr>
              <w:widowControl/>
              <w:tabs>
                <w:tab w:val="left" w:pos="0"/>
              </w:tabs>
              <w:wordWrap w:val="0"/>
              <w:adjustRightInd w:val="0"/>
              <w:snapToGrid w:val="0"/>
              <w:spacing w:line="312" w:lineRule="auto"/>
              <w:jc w:val="left"/>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7.TEOS蒸汽流量计（MFC）。</w:t>
            </w:r>
          </w:p>
          <w:p w14:paraId="110CA75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7.1量程：≥300</w:t>
            </w:r>
            <w:r>
              <w:rPr>
                <w:rFonts w:ascii="Times New Roman" w:hAnsi="Times New Roman" w:eastAsia="宋体" w:cs="宋体"/>
                <w:kern w:val="0"/>
                <w:sz w:val="24"/>
                <w:szCs w:val="24"/>
                <w:highlight w:val="none"/>
                <w:lang w:bidi="ar"/>
              </w:rPr>
              <w:t>sccm</w:t>
            </w:r>
            <w:r>
              <w:rPr>
                <w:rFonts w:hint="eastAsia" w:ascii="Times New Roman" w:hAnsi="Times New Roman" w:eastAsia="宋体" w:cs="宋体"/>
                <w:kern w:val="0"/>
                <w:sz w:val="24"/>
                <w:szCs w:val="24"/>
                <w:highlight w:val="none"/>
                <w:lang w:bidi="ar"/>
              </w:rPr>
              <w:t>。</w:t>
            </w:r>
          </w:p>
          <w:p w14:paraId="2D7C220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7.2精度：≤±2%F.S.。</w:t>
            </w:r>
          </w:p>
          <w:p w14:paraId="0E321839">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7.3重复精度：≤±0.2%F.S.。</w:t>
            </w:r>
          </w:p>
          <w:p w14:paraId="32D80698">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7.4控制范围：5</w:t>
            </w:r>
            <w:r>
              <w:rPr>
                <w:rFonts w:ascii="Times New Roman" w:hAnsi="Times New Roman" w:eastAsia="宋体" w:cs="宋体"/>
                <w:kern w:val="0"/>
                <w:sz w:val="24"/>
                <w:szCs w:val="24"/>
                <w:highlight w:val="none"/>
                <w:lang w:bidi="ar"/>
              </w:rPr>
              <w:t>%</w:t>
            </w:r>
            <w:r>
              <w:rPr>
                <w:rFonts w:hint="eastAsia" w:ascii="Times New Roman" w:hAnsi="Times New Roman" w:eastAsia="宋体" w:cs="宋体"/>
                <w:kern w:val="0"/>
                <w:sz w:val="24"/>
                <w:szCs w:val="24"/>
                <w:highlight w:val="none"/>
                <w:lang w:bidi="ar"/>
              </w:rPr>
              <w:t>~100%F.S.。</w:t>
            </w:r>
          </w:p>
          <w:p w14:paraId="2481BE6D">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7.5漏率：≤1×10</w:t>
            </w:r>
            <w:r>
              <w:rPr>
                <w:rFonts w:ascii="Times New Roman" w:hAnsi="Times New Roman" w:eastAsia="宋体" w:cs="宋体"/>
                <w:kern w:val="0"/>
                <w:sz w:val="24"/>
                <w:szCs w:val="24"/>
                <w:highlight w:val="none"/>
                <w:lang w:bidi="ar"/>
              </w:rPr>
              <w:t>-11Pa</w:t>
            </w:r>
            <w:r>
              <w:rPr>
                <w:rFonts w:hint="eastAsia" w:ascii="微软雅黑" w:hAnsi="微软雅黑" w:eastAsia="微软雅黑" w:cs="微软雅黑"/>
                <w:kern w:val="0"/>
                <w:sz w:val="24"/>
                <w:szCs w:val="24"/>
                <w:highlight w:val="none"/>
                <w:lang w:bidi="ar"/>
              </w:rPr>
              <w:t>・</w:t>
            </w:r>
            <w:r>
              <w:rPr>
                <w:rFonts w:ascii="Times New Roman" w:hAnsi="Times New Roman" w:eastAsia="宋体" w:cs="宋体"/>
                <w:kern w:val="0"/>
                <w:sz w:val="24"/>
                <w:szCs w:val="24"/>
                <w:highlight w:val="none"/>
                <w:lang w:bidi="ar"/>
              </w:rPr>
              <w:t>m</w:t>
            </w:r>
            <w:r>
              <w:rPr>
                <w:rFonts w:ascii="Times New Roman" w:hAnsi="Times New Roman" w:eastAsia="宋体" w:cs="宋体"/>
                <w:kern w:val="0"/>
                <w:sz w:val="24"/>
                <w:szCs w:val="24"/>
                <w:highlight w:val="none"/>
                <w:vertAlign w:val="superscript"/>
                <w:lang w:bidi="ar"/>
              </w:rPr>
              <w:t>3</w:t>
            </w:r>
            <w:r>
              <w:rPr>
                <w:rFonts w:ascii="Times New Roman" w:hAnsi="Times New Roman" w:eastAsia="宋体" w:cs="宋体"/>
                <w:kern w:val="0"/>
                <w:sz w:val="24"/>
                <w:szCs w:val="24"/>
                <w:highlight w:val="none"/>
                <w:lang w:bidi="ar"/>
              </w:rPr>
              <w:t>/s(He)Max.</w:t>
            </w:r>
            <w:r>
              <w:rPr>
                <w:rFonts w:hint="eastAsia" w:ascii="Times New Roman" w:hAnsi="Times New Roman" w:eastAsia="宋体" w:cs="宋体"/>
                <w:kern w:val="0"/>
                <w:sz w:val="24"/>
                <w:szCs w:val="24"/>
                <w:highlight w:val="none"/>
                <w:lang w:bidi="ar"/>
              </w:rPr>
              <w:t>。</w:t>
            </w:r>
          </w:p>
          <w:p w14:paraId="207320D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7.6环境温度范围：85℃</w:t>
            </w:r>
            <w:r>
              <w:rPr>
                <w:rFonts w:ascii="Times New Roman" w:hAnsi="Times New Roman" w:eastAsia="宋体" w:cs="宋体"/>
                <w:kern w:val="0"/>
                <w:sz w:val="24"/>
                <w:szCs w:val="24"/>
                <w:highlight w:val="none"/>
                <w:lang w:bidi="ar"/>
              </w:rPr>
              <w:t>±3</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w:t>
            </w:r>
          </w:p>
          <w:p w14:paraId="7BBF5EEC">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7.7最大工作压力：≥</w:t>
            </w:r>
            <w:r>
              <w:rPr>
                <w:rFonts w:ascii="Times New Roman" w:hAnsi="Times New Roman" w:eastAsia="宋体" w:cs="宋体"/>
                <w:kern w:val="0"/>
                <w:sz w:val="24"/>
                <w:szCs w:val="24"/>
                <w:highlight w:val="none"/>
                <w:lang w:bidi="ar"/>
              </w:rPr>
              <w:t>150kPa</w:t>
            </w:r>
            <w:r>
              <w:rPr>
                <w:rFonts w:hint="eastAsia" w:ascii="Times New Roman" w:hAnsi="Times New Roman" w:eastAsia="宋体" w:cs="宋体"/>
                <w:kern w:val="0"/>
                <w:sz w:val="24"/>
                <w:szCs w:val="24"/>
                <w:highlight w:val="none"/>
                <w:lang w:bidi="ar"/>
              </w:rPr>
              <w:t>。</w:t>
            </w:r>
          </w:p>
          <w:p w14:paraId="77A971E0">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8.干泵</w:t>
            </w:r>
          </w:p>
          <w:p w14:paraId="3A829F2D">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8.1抽速：≥1000m</w:t>
            </w:r>
            <w:r>
              <w:rPr>
                <w:rFonts w:ascii="Times New Roman" w:hAnsi="Times New Roman" w:eastAsia="宋体" w:cs="宋体"/>
                <w:kern w:val="0"/>
                <w:sz w:val="24"/>
                <w:szCs w:val="24"/>
                <w:highlight w:val="none"/>
                <w:vertAlign w:val="superscript"/>
                <w:lang w:bidi="ar"/>
              </w:rPr>
              <w:t>3</w:t>
            </w:r>
            <w:r>
              <w:rPr>
                <w:rFonts w:hint="eastAsia" w:ascii="Times New Roman" w:hAnsi="Times New Roman" w:eastAsia="宋体" w:cs="宋体"/>
                <w:kern w:val="0"/>
                <w:sz w:val="24"/>
                <w:szCs w:val="24"/>
                <w:highlight w:val="none"/>
                <w:lang w:bidi="ar"/>
              </w:rPr>
              <w:t>/h。</w:t>
            </w:r>
          </w:p>
          <w:p w14:paraId="4021647A">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8.2极限真空：≤0.5Pa。</w:t>
            </w:r>
          </w:p>
          <w:p w14:paraId="5C188212">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8.3进气口径：≥ISO100。</w:t>
            </w:r>
          </w:p>
          <w:p w14:paraId="3342E001">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8.4排气口径：≥NW40。</w:t>
            </w:r>
          </w:p>
          <w:p w14:paraId="27985CAF">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8.5运行功率：≥3</w:t>
            </w:r>
            <w:r>
              <w:rPr>
                <w:rFonts w:ascii="Times New Roman" w:hAnsi="Times New Roman" w:eastAsia="宋体" w:cs="宋体"/>
                <w:kern w:val="0"/>
                <w:sz w:val="24"/>
                <w:szCs w:val="24"/>
                <w:highlight w:val="none"/>
                <w:lang w:bidi="ar"/>
              </w:rPr>
              <w:t>k</w:t>
            </w:r>
            <w:r>
              <w:rPr>
                <w:rFonts w:hint="eastAsia" w:ascii="Times New Roman" w:hAnsi="Times New Roman" w:eastAsia="宋体" w:cs="宋体"/>
                <w:kern w:val="0"/>
                <w:sz w:val="24"/>
                <w:szCs w:val="24"/>
                <w:highlight w:val="none"/>
                <w:lang w:bidi="ar"/>
              </w:rPr>
              <w:t>W。</w:t>
            </w:r>
          </w:p>
          <w:p w14:paraId="1B2862A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w:t>
            </w:r>
            <w:r>
              <w:rPr>
                <w:rFonts w:ascii="Times New Roman" w:hAnsi="Times New Roman" w:eastAsia="宋体" w:cs="宋体"/>
                <w:kern w:val="0"/>
                <w:sz w:val="24"/>
                <w:szCs w:val="24"/>
                <w:highlight w:val="none"/>
                <w:lang w:bidi="ar"/>
              </w:rPr>
              <w:t>6</w:t>
            </w:r>
            <w:r>
              <w:rPr>
                <w:rFonts w:hint="eastAsia" w:ascii="Times New Roman" w:hAnsi="Times New Roman" w:eastAsia="宋体" w:cs="宋体"/>
                <w:kern w:val="0"/>
                <w:sz w:val="24"/>
                <w:szCs w:val="24"/>
                <w:highlight w:val="none"/>
                <w:lang w:bidi="ar"/>
              </w:rPr>
              <w:t>吹扫氮气：40</w:t>
            </w:r>
            <w:r>
              <w:rPr>
                <w:rFonts w:ascii="Times New Roman" w:hAnsi="Times New Roman" w:eastAsia="宋体" w:cs="宋体"/>
                <w:kern w:val="0"/>
                <w:sz w:val="24"/>
                <w:szCs w:val="24"/>
                <w:highlight w:val="none"/>
                <w:lang w:bidi="ar"/>
              </w:rPr>
              <w:t>S</w:t>
            </w:r>
            <w:r>
              <w:rPr>
                <w:rFonts w:hint="eastAsia" w:ascii="Times New Roman" w:hAnsi="Times New Roman" w:eastAsia="宋体" w:cs="宋体"/>
                <w:kern w:val="0"/>
                <w:sz w:val="24"/>
                <w:szCs w:val="24"/>
                <w:highlight w:val="none"/>
                <w:lang w:bidi="ar"/>
              </w:rPr>
              <w:t>lm-90Slm。</w:t>
            </w:r>
          </w:p>
          <w:p w14:paraId="775D08D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8.</w:t>
            </w:r>
            <w:r>
              <w:rPr>
                <w:rFonts w:ascii="Times New Roman" w:hAnsi="Times New Roman" w:eastAsia="宋体" w:cs="宋体"/>
                <w:kern w:val="0"/>
                <w:sz w:val="24"/>
                <w:szCs w:val="24"/>
                <w:highlight w:val="none"/>
                <w:lang w:bidi="ar"/>
              </w:rPr>
              <w:t>7</w:t>
            </w:r>
            <w:bookmarkStart w:id="19" w:name="OLE_LINK3"/>
            <w:r>
              <w:rPr>
                <w:rFonts w:hint="eastAsia" w:ascii="Times New Roman" w:hAnsi="Times New Roman" w:eastAsia="宋体" w:cs="宋体"/>
                <w:kern w:val="0"/>
                <w:sz w:val="24"/>
                <w:szCs w:val="24"/>
                <w:highlight w:val="none"/>
                <w:lang w:bidi="ar"/>
              </w:rPr>
              <w:t>尺寸：≤900mm</w:t>
            </w:r>
            <w:r>
              <w:rPr>
                <w:rFonts w:ascii="Times New Roman" w:hAnsi="Times New Roman" w:eastAsia="宋体" w:cs="宋体"/>
                <w:kern w:val="0"/>
                <w:sz w:val="24"/>
                <w:szCs w:val="24"/>
                <w:highlight w:val="none"/>
                <w:lang w:bidi="ar"/>
              </w:rPr>
              <w:t>*</w:t>
            </w:r>
            <w:r>
              <w:rPr>
                <w:rFonts w:hint="eastAsia" w:ascii="Times New Roman" w:hAnsi="Times New Roman" w:eastAsia="宋体" w:cs="宋体"/>
                <w:kern w:val="0"/>
                <w:sz w:val="24"/>
                <w:szCs w:val="24"/>
                <w:highlight w:val="none"/>
                <w:lang w:bidi="ar"/>
              </w:rPr>
              <w:t>400</w:t>
            </w:r>
            <w:r>
              <w:rPr>
                <w:rFonts w:ascii="Times New Roman" w:hAnsi="Times New Roman" w:eastAsia="宋体" w:cs="宋体"/>
                <w:kern w:val="0"/>
                <w:sz w:val="24"/>
                <w:szCs w:val="24"/>
                <w:highlight w:val="none"/>
                <w:lang w:bidi="ar"/>
              </w:rPr>
              <w:t>mm*</w:t>
            </w:r>
            <w:r>
              <w:rPr>
                <w:rFonts w:hint="eastAsia" w:ascii="Times New Roman" w:hAnsi="Times New Roman" w:eastAsia="宋体" w:cs="宋体"/>
                <w:kern w:val="0"/>
                <w:sz w:val="24"/>
                <w:szCs w:val="24"/>
                <w:highlight w:val="none"/>
                <w:lang w:bidi="ar"/>
              </w:rPr>
              <w:t>790mm（长*宽*高）</w:t>
            </w:r>
            <w:bookmarkEnd w:id="19"/>
            <w:r>
              <w:rPr>
                <w:rFonts w:hint="eastAsia" w:ascii="Times New Roman" w:hAnsi="Times New Roman" w:eastAsia="宋体" w:cs="宋体"/>
                <w:kern w:val="0"/>
                <w:sz w:val="24"/>
                <w:szCs w:val="24"/>
                <w:highlight w:val="none"/>
                <w:lang w:bidi="ar"/>
              </w:rPr>
              <w:t>。</w:t>
            </w:r>
          </w:p>
          <w:p w14:paraId="4729031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sz w:val="24"/>
                <w:szCs w:val="24"/>
                <w:highlight w:val="none"/>
              </w:rPr>
              <w:t>■</w:t>
            </w:r>
            <w:r>
              <w:rPr>
                <w:rFonts w:hint="eastAsia" w:ascii="Times New Roman" w:hAnsi="Times New Roman" w:eastAsia="宋体" w:cs="宋体"/>
                <w:kern w:val="0"/>
                <w:sz w:val="24"/>
                <w:szCs w:val="24"/>
                <w:highlight w:val="none"/>
                <w:lang w:bidi="ar"/>
              </w:rPr>
              <w:t>9.TEOS</w:t>
            </w:r>
            <w:r>
              <w:rPr>
                <w:rFonts w:ascii="Times New Roman" w:hAnsi="Times New Roman" w:eastAsia="宋体" w:cs="宋体"/>
                <w:kern w:val="0"/>
                <w:sz w:val="24"/>
                <w:szCs w:val="24"/>
                <w:highlight w:val="none"/>
                <w:lang w:bidi="ar"/>
              </w:rPr>
              <w:t>半导体恒温槽</w:t>
            </w:r>
          </w:p>
          <w:p w14:paraId="0B683AE3">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9.1源瓶尺寸：直径≤140mm，高度≤160mm。</w:t>
            </w:r>
          </w:p>
          <w:p w14:paraId="38A7CC6A">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9.2制冷方式：半导体制冷。</w:t>
            </w:r>
          </w:p>
          <w:p w14:paraId="1859CFF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9.3温度范围：10℃~45℃。</w:t>
            </w:r>
          </w:p>
          <w:p w14:paraId="488BAE7D">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9.4温度精度：≤±0.1℃。</w:t>
            </w:r>
          </w:p>
          <w:p w14:paraId="31B1CC00">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9.5额定功率：≤350W。</w:t>
            </w:r>
          </w:p>
          <w:p w14:paraId="0CEBE6A2">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sz w:val="24"/>
                <w:szCs w:val="24"/>
                <w:highlight w:val="none"/>
              </w:rPr>
              <w:t>★</w:t>
            </w:r>
            <w:r>
              <w:rPr>
                <w:rFonts w:hint="eastAsia" w:ascii="Times New Roman" w:hAnsi="Times New Roman" w:eastAsia="宋体" w:cs="宋体"/>
                <w:kern w:val="0"/>
                <w:sz w:val="24"/>
                <w:szCs w:val="24"/>
                <w:highlight w:val="none"/>
                <w:lang w:bidi="ar"/>
              </w:rPr>
              <w:t>10.恒温区</w:t>
            </w:r>
          </w:p>
          <w:p w14:paraId="50FB8508">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10.1长度：≧300mm。</w:t>
            </w:r>
          </w:p>
          <w:p w14:paraId="5C2B55E0">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10.2精度：≤±0.5℃（≥800℃）；</w:t>
            </w:r>
          </w:p>
          <w:p w14:paraId="058A67A4">
            <w:pPr>
              <w:tabs>
                <w:tab w:val="left" w:pos="0"/>
              </w:tabs>
              <w:wordWrap w:val="0"/>
              <w:adjustRightInd w:val="0"/>
              <w:snapToGrid w:val="0"/>
              <w:spacing w:line="312" w:lineRule="auto"/>
              <w:ind w:firstLine="1200" w:firstLineChars="500"/>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≤1℃（＜800℃）。</w:t>
            </w:r>
          </w:p>
          <w:p w14:paraId="29B6BC52">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10.3单点温度稳定性：≤±0.5℃/4h（800℃时）。</w:t>
            </w:r>
          </w:p>
          <w:p w14:paraId="6263630A">
            <w:pPr>
              <w:pStyle w:val="15"/>
              <w:tabs>
                <w:tab w:val="left" w:pos="0"/>
              </w:tabs>
              <w:wordWrap w:val="0"/>
              <w:adjustRightInd w:val="0"/>
              <w:snapToGrid w:val="0"/>
              <w:spacing w:line="312" w:lineRule="auto"/>
              <w:ind w:firstLine="0" w:firstLineChars="0"/>
              <w:rPr>
                <w:rFonts w:cs="宋体"/>
                <w:kern w:val="0"/>
                <w:sz w:val="24"/>
                <w:szCs w:val="24"/>
                <w:highlight w:val="none"/>
                <w:lang w:bidi="ar"/>
              </w:rPr>
            </w:pPr>
            <w:r>
              <w:rPr>
                <w:rFonts w:hint="eastAsia" w:cs="宋体"/>
                <w:sz w:val="24"/>
                <w:szCs w:val="24"/>
                <w:highlight w:val="none"/>
              </w:rPr>
              <w:t>■</w:t>
            </w:r>
            <w:r>
              <w:rPr>
                <w:rFonts w:hint="eastAsia" w:cs="宋体"/>
                <w:kern w:val="0"/>
                <w:sz w:val="24"/>
                <w:szCs w:val="24"/>
                <w:highlight w:val="none"/>
                <w:lang w:bidi="ar"/>
              </w:rPr>
              <w:t>11.炉体升降温速率：最大升温速率≥15℃/分钟；最大降温速率≥3℃/分钟。</w:t>
            </w:r>
          </w:p>
          <w:p w14:paraId="19DB5AE4">
            <w:pPr>
              <w:pStyle w:val="15"/>
              <w:tabs>
                <w:tab w:val="left" w:pos="0"/>
              </w:tabs>
              <w:wordWrap w:val="0"/>
              <w:adjustRightInd w:val="0"/>
              <w:snapToGrid w:val="0"/>
              <w:spacing w:line="312" w:lineRule="auto"/>
              <w:ind w:firstLine="0" w:firstLineChars="0"/>
              <w:rPr>
                <w:rFonts w:cs="宋体"/>
                <w:kern w:val="0"/>
                <w:sz w:val="24"/>
                <w:szCs w:val="24"/>
                <w:highlight w:val="none"/>
                <w:lang w:bidi="ar"/>
              </w:rPr>
            </w:pPr>
            <w:r>
              <w:rPr>
                <w:rFonts w:hint="eastAsia" w:cs="宋体"/>
                <w:sz w:val="24"/>
                <w:szCs w:val="24"/>
                <w:highlight w:val="none"/>
              </w:rPr>
              <w:t>■</w:t>
            </w:r>
            <w:r>
              <w:rPr>
                <w:rFonts w:hint="eastAsia" w:cs="宋体"/>
                <w:kern w:val="0"/>
                <w:sz w:val="24"/>
                <w:szCs w:val="24"/>
                <w:highlight w:val="none"/>
                <w:lang w:bidi="ar"/>
              </w:rPr>
              <w:t>12.炉体温度控制方式：3温区独立加热，内外热偶双回路温度控制，自动校温区，具有回温功能。</w:t>
            </w:r>
          </w:p>
          <w:p w14:paraId="0F3A91A8">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13.系统具有自动斜率升温及恒温功能。</w:t>
            </w:r>
          </w:p>
          <w:p w14:paraId="54F28FAE">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14.系统具有超温、断偶、流量偏差报警和保护功能。</w:t>
            </w:r>
          </w:p>
          <w:p w14:paraId="787EE22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sz w:val="24"/>
                <w:szCs w:val="24"/>
                <w:highlight w:val="none"/>
              </w:rPr>
              <w:t>■</w:t>
            </w:r>
            <w:r>
              <w:rPr>
                <w:rFonts w:hint="eastAsia" w:ascii="Times New Roman" w:hAnsi="Times New Roman" w:eastAsia="宋体" w:cs="宋体"/>
                <w:kern w:val="0"/>
                <w:sz w:val="24"/>
                <w:szCs w:val="24"/>
                <w:highlight w:val="none"/>
                <w:lang w:bidi="ar"/>
              </w:rPr>
              <w:t>15.系统送片方式：自动进出舟送片。</w:t>
            </w:r>
          </w:p>
          <w:p w14:paraId="36B6A0C6">
            <w:pPr>
              <w:pStyle w:val="15"/>
              <w:tabs>
                <w:tab w:val="left" w:pos="0"/>
              </w:tabs>
              <w:wordWrap w:val="0"/>
              <w:adjustRightInd w:val="0"/>
              <w:snapToGrid w:val="0"/>
              <w:spacing w:line="312" w:lineRule="auto"/>
              <w:ind w:firstLine="0" w:firstLineChars="0"/>
              <w:rPr>
                <w:rFonts w:cs="宋体"/>
                <w:kern w:val="0"/>
                <w:sz w:val="24"/>
                <w:szCs w:val="24"/>
                <w:highlight w:val="none"/>
                <w:lang w:bidi="ar"/>
              </w:rPr>
            </w:pPr>
            <w:r>
              <w:rPr>
                <w:rFonts w:hint="eastAsia" w:cs="宋体"/>
                <w:kern w:val="0"/>
                <w:sz w:val="24"/>
                <w:szCs w:val="24"/>
                <w:highlight w:val="none"/>
                <w:lang w:bidi="ar"/>
              </w:rPr>
              <w:t>16.工艺过程由工业控制计算机+PLC进行全自动控制，可直接在上位机上操作，自动记录设备运行数据，工艺数据可根据各个参数图形化显示。</w:t>
            </w:r>
          </w:p>
          <w:p w14:paraId="1742A52C">
            <w:pPr>
              <w:tabs>
                <w:tab w:val="left" w:pos="0"/>
              </w:tabs>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sz w:val="24"/>
                <w:szCs w:val="24"/>
                <w:highlight w:val="none"/>
              </w:rPr>
              <w:t>★</w:t>
            </w:r>
            <w:r>
              <w:rPr>
                <w:rFonts w:hint="eastAsia" w:ascii="Times New Roman" w:hAnsi="Times New Roman" w:eastAsia="宋体" w:cs="宋体"/>
                <w:kern w:val="0"/>
                <w:sz w:val="24"/>
                <w:szCs w:val="24"/>
                <w:highlight w:val="none"/>
                <w:lang w:bidi="ar"/>
              </w:rPr>
              <w:t>17.工艺指标（6英寸）：片内均匀性计算方式：（</w:t>
            </w:r>
            <w:r>
              <w:rPr>
                <w:rFonts w:ascii="Times New Roman" w:hAnsi="Times New Roman" w:eastAsia="宋体" w:cs="宋体"/>
                <w:kern w:val="0"/>
                <w:sz w:val="24"/>
                <w:szCs w:val="24"/>
                <w:highlight w:val="none"/>
                <w:lang w:bidi="ar"/>
              </w:rPr>
              <w:t>Max-Min</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/2avg*100%</w:t>
            </w:r>
            <w:r>
              <w:rPr>
                <w:rFonts w:hint="eastAsia" w:ascii="Times New Roman" w:hAnsi="Times New Roman" w:eastAsia="宋体" w:cs="宋体"/>
                <w:kern w:val="0"/>
                <w:sz w:val="24"/>
                <w:szCs w:val="24"/>
                <w:highlight w:val="none"/>
                <w:lang w:bidi="ar"/>
              </w:rPr>
              <w:t>，测量点选取晶圆去除边缘</w:t>
            </w:r>
            <w:r>
              <w:rPr>
                <w:rFonts w:ascii="Times New Roman" w:hAnsi="Times New Roman" w:eastAsia="宋体" w:cs="宋体"/>
                <w:kern w:val="0"/>
                <w:sz w:val="24"/>
                <w:szCs w:val="24"/>
                <w:highlight w:val="none"/>
                <w:lang w:bidi="ar"/>
              </w:rPr>
              <w:t>6mm</w:t>
            </w:r>
            <w:r>
              <w:rPr>
                <w:rFonts w:hint="eastAsia" w:ascii="Times New Roman" w:hAnsi="Times New Roman" w:eastAsia="宋体" w:cs="宋体"/>
                <w:kern w:val="0"/>
                <w:sz w:val="24"/>
                <w:szCs w:val="24"/>
                <w:highlight w:val="none"/>
                <w:lang w:bidi="ar"/>
              </w:rPr>
              <w:t>后取面内均布的</w:t>
            </w:r>
            <w:r>
              <w:rPr>
                <w:rFonts w:ascii="Times New Roman" w:hAnsi="Times New Roman" w:eastAsia="宋体" w:cs="宋体"/>
                <w:kern w:val="0"/>
                <w:sz w:val="24"/>
                <w:szCs w:val="24"/>
                <w:highlight w:val="none"/>
                <w:lang w:bidi="ar"/>
              </w:rPr>
              <w:t>9</w:t>
            </w:r>
            <w:r>
              <w:rPr>
                <w:rFonts w:hint="eastAsia" w:ascii="Times New Roman" w:hAnsi="Times New Roman" w:eastAsia="宋体" w:cs="宋体"/>
                <w:kern w:val="0"/>
                <w:sz w:val="24"/>
                <w:szCs w:val="24"/>
                <w:highlight w:val="none"/>
                <w:lang w:bidi="ar"/>
              </w:rPr>
              <w:t>点，片间与批间均匀性采用平均值计算。</w:t>
            </w:r>
          </w:p>
          <w:p w14:paraId="72C74945">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17.1氮化硅（Si</w:t>
            </w:r>
            <w:r>
              <w:rPr>
                <w:rFonts w:hint="eastAsia" w:ascii="Times New Roman" w:hAnsi="Times New Roman" w:eastAsia="宋体" w:cs="宋体"/>
                <w:kern w:val="0"/>
                <w:sz w:val="24"/>
                <w:szCs w:val="24"/>
                <w:highlight w:val="none"/>
                <w:vertAlign w:val="subscript"/>
                <w:lang w:bidi="ar"/>
              </w:rPr>
              <w:t>3</w:t>
            </w:r>
            <w:r>
              <w:rPr>
                <w:rFonts w:hint="eastAsia" w:ascii="Times New Roman" w:hAnsi="Times New Roman" w:eastAsia="宋体" w:cs="宋体"/>
                <w:kern w:val="0"/>
                <w:sz w:val="24"/>
                <w:szCs w:val="24"/>
                <w:highlight w:val="none"/>
                <w:lang w:bidi="ar"/>
              </w:rPr>
              <w:t>N</w:t>
            </w:r>
            <w:r>
              <w:rPr>
                <w:rFonts w:hint="eastAsia" w:ascii="Times New Roman" w:hAnsi="Times New Roman" w:eastAsia="宋体" w:cs="宋体"/>
                <w:kern w:val="0"/>
                <w:sz w:val="24"/>
                <w:szCs w:val="24"/>
                <w:highlight w:val="none"/>
                <w:vertAlign w:val="subscript"/>
                <w:lang w:bidi="ar"/>
              </w:rPr>
              <w:t>4</w:t>
            </w:r>
            <w:r>
              <w:rPr>
                <w:rFonts w:hint="eastAsia" w:ascii="Times New Roman" w:hAnsi="Times New Roman" w:eastAsia="宋体" w:cs="宋体"/>
                <w:kern w:val="0"/>
                <w:sz w:val="24"/>
                <w:szCs w:val="24"/>
                <w:highlight w:val="none"/>
                <w:lang w:bidi="ar"/>
              </w:rPr>
              <w:t>）</w:t>
            </w:r>
          </w:p>
          <w:p w14:paraId="6252D66C">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7.1.1</w:t>
            </w:r>
            <w:r>
              <w:rPr>
                <w:rFonts w:hint="eastAsia" w:ascii="Times New Roman" w:hAnsi="Times New Roman" w:eastAsia="宋体" w:cs="宋体"/>
                <w:kern w:val="0"/>
                <w:sz w:val="24"/>
                <w:szCs w:val="24"/>
                <w:highlight w:val="none"/>
                <w:lang w:bidi="ar"/>
              </w:rPr>
              <w:t>膜厚均匀性指标：片内≤±</w:t>
            </w:r>
            <w:r>
              <w:rPr>
                <w:rFonts w:ascii="Times New Roman" w:hAnsi="Times New Roman" w:eastAsia="宋体" w:cs="宋体"/>
                <w:kern w:val="0"/>
                <w:sz w:val="24"/>
                <w:szCs w:val="24"/>
                <w:highlight w:val="none"/>
                <w:lang w:bidi="ar"/>
              </w:rPr>
              <w:t>3%</w:t>
            </w:r>
            <w:r>
              <w:rPr>
                <w:rFonts w:hint="eastAsia" w:ascii="Times New Roman" w:hAnsi="Times New Roman" w:eastAsia="宋体" w:cs="宋体"/>
                <w:kern w:val="0"/>
                <w:sz w:val="24"/>
                <w:szCs w:val="24"/>
                <w:highlight w:val="none"/>
                <w:lang w:bidi="ar"/>
              </w:rPr>
              <w:t>，片间≤±</w:t>
            </w:r>
            <w:r>
              <w:rPr>
                <w:rFonts w:ascii="Times New Roman" w:hAnsi="Times New Roman" w:eastAsia="宋体" w:cs="宋体"/>
                <w:kern w:val="0"/>
                <w:sz w:val="24"/>
                <w:szCs w:val="24"/>
                <w:highlight w:val="none"/>
                <w:lang w:bidi="ar"/>
              </w:rPr>
              <w:t>3%</w:t>
            </w:r>
            <w:r>
              <w:rPr>
                <w:rFonts w:hint="eastAsia" w:ascii="Times New Roman" w:hAnsi="Times New Roman" w:eastAsia="宋体" w:cs="宋体"/>
                <w:kern w:val="0"/>
                <w:sz w:val="24"/>
                <w:szCs w:val="24"/>
                <w:highlight w:val="none"/>
                <w:lang w:bidi="ar"/>
              </w:rPr>
              <w:t>，批间≤±</w:t>
            </w:r>
            <w:r>
              <w:rPr>
                <w:rFonts w:ascii="Times New Roman" w:hAnsi="Times New Roman" w:eastAsia="宋体" w:cs="宋体"/>
                <w:kern w:val="0"/>
                <w:sz w:val="24"/>
                <w:szCs w:val="24"/>
                <w:highlight w:val="none"/>
                <w:lang w:bidi="ar"/>
              </w:rPr>
              <w:t>3%</w:t>
            </w:r>
            <w:r>
              <w:rPr>
                <w:rFonts w:hint="eastAsia" w:ascii="Times New Roman" w:hAnsi="Times New Roman" w:eastAsia="宋体" w:cs="宋体"/>
                <w:kern w:val="0"/>
                <w:sz w:val="24"/>
                <w:szCs w:val="24"/>
                <w:highlight w:val="none"/>
                <w:lang w:bidi="ar"/>
              </w:rPr>
              <w:t>；（膜厚</w:t>
            </w:r>
            <w:r>
              <w:rPr>
                <w:rFonts w:ascii="Times New Roman" w:hAnsi="Times New Roman" w:eastAsia="宋体" w:cs="宋体"/>
                <w:kern w:val="0"/>
                <w:sz w:val="24"/>
                <w:szCs w:val="24"/>
                <w:highlight w:val="none"/>
                <w:lang w:bidi="ar"/>
              </w:rPr>
              <w:t>1000Å-10000Å</w:t>
            </w:r>
            <w:r>
              <w:rPr>
                <w:rFonts w:hint="eastAsia" w:ascii="Times New Roman" w:hAnsi="Times New Roman" w:eastAsia="宋体" w:cs="宋体"/>
                <w:kern w:val="0"/>
                <w:sz w:val="24"/>
                <w:szCs w:val="24"/>
                <w:highlight w:val="none"/>
                <w:lang w:bidi="ar"/>
              </w:rPr>
              <w:t>）。</w:t>
            </w:r>
          </w:p>
          <w:p w14:paraId="1EF8DEE7">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7.1.2</w:t>
            </w:r>
            <w:r>
              <w:rPr>
                <w:rFonts w:hint="eastAsia" w:ascii="Times New Roman" w:hAnsi="Times New Roman" w:eastAsia="宋体" w:cs="宋体"/>
                <w:kern w:val="0"/>
                <w:sz w:val="24"/>
                <w:szCs w:val="24"/>
                <w:highlight w:val="none"/>
                <w:lang w:bidi="ar"/>
              </w:rPr>
              <w:t>化学计量比氮化硅应力范围：</w:t>
            </w:r>
            <w:r>
              <w:rPr>
                <w:rFonts w:ascii="Times New Roman" w:hAnsi="Times New Roman" w:eastAsia="宋体" w:cs="宋体"/>
                <w:kern w:val="0"/>
                <w:sz w:val="24"/>
                <w:szCs w:val="24"/>
                <w:highlight w:val="none"/>
                <w:lang w:bidi="ar"/>
              </w:rPr>
              <w:t>900MPa~1100MPa</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1000Å~2000Å</w:t>
            </w:r>
            <w:r>
              <w:rPr>
                <w:rFonts w:hint="eastAsia" w:ascii="Times New Roman" w:hAnsi="Times New Roman" w:eastAsia="宋体" w:cs="宋体"/>
                <w:kern w:val="0"/>
                <w:sz w:val="24"/>
                <w:szCs w:val="24"/>
                <w:highlight w:val="none"/>
                <w:lang w:bidi="ar"/>
              </w:rPr>
              <w:t>）。</w:t>
            </w:r>
          </w:p>
          <w:p w14:paraId="4C8C0C73">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7.1.3</w:t>
            </w:r>
            <w:r>
              <w:rPr>
                <w:rFonts w:hint="eastAsia" w:ascii="Times New Roman" w:hAnsi="Times New Roman" w:eastAsia="宋体" w:cs="宋体"/>
                <w:kern w:val="0"/>
                <w:sz w:val="24"/>
                <w:szCs w:val="24"/>
                <w:highlight w:val="none"/>
                <w:lang w:bidi="ar"/>
              </w:rPr>
              <w:t>低应力氮化硅应力范围：</w:t>
            </w:r>
            <w:r>
              <w:rPr>
                <w:rFonts w:ascii="Times New Roman" w:hAnsi="Times New Roman" w:eastAsia="宋体" w:cs="宋体"/>
                <w:kern w:val="0"/>
                <w:sz w:val="24"/>
                <w:szCs w:val="24"/>
                <w:highlight w:val="none"/>
                <w:lang w:bidi="ar"/>
              </w:rPr>
              <w:t>50MPa~300MPa</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1000Å~2000Å</w:t>
            </w:r>
            <w:r>
              <w:rPr>
                <w:rFonts w:hint="eastAsia" w:ascii="Times New Roman" w:hAnsi="Times New Roman" w:eastAsia="宋体" w:cs="宋体"/>
                <w:kern w:val="0"/>
                <w:sz w:val="24"/>
                <w:szCs w:val="24"/>
                <w:highlight w:val="none"/>
                <w:lang w:bidi="ar"/>
              </w:rPr>
              <w:t>）。</w:t>
            </w:r>
          </w:p>
          <w:p w14:paraId="33C66B0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7.1.4</w:t>
            </w:r>
            <w:r>
              <w:rPr>
                <w:rFonts w:hint="eastAsia" w:ascii="Times New Roman" w:hAnsi="Times New Roman" w:eastAsia="宋体" w:cs="宋体"/>
                <w:kern w:val="0"/>
                <w:sz w:val="24"/>
                <w:szCs w:val="24"/>
                <w:highlight w:val="none"/>
                <w:lang w:bidi="ar"/>
              </w:rPr>
              <w:t>折射率：</w:t>
            </w:r>
            <w:r>
              <w:rPr>
                <w:rFonts w:ascii="Times New Roman" w:hAnsi="Times New Roman" w:eastAsia="宋体" w:cs="宋体"/>
                <w:kern w:val="0"/>
                <w:sz w:val="24"/>
                <w:szCs w:val="24"/>
                <w:highlight w:val="none"/>
                <w:lang w:bidi="ar"/>
              </w:rPr>
              <w:t>2.0~2.3@550nm</w:t>
            </w:r>
            <w:r>
              <w:rPr>
                <w:rFonts w:hint="eastAsia" w:ascii="Times New Roman" w:hAnsi="Times New Roman" w:eastAsia="宋体" w:cs="宋体"/>
                <w:kern w:val="0"/>
                <w:sz w:val="24"/>
                <w:szCs w:val="24"/>
                <w:highlight w:val="none"/>
                <w:lang w:bidi="ar"/>
              </w:rPr>
              <w:t>。</w:t>
            </w:r>
          </w:p>
          <w:p w14:paraId="5E049773">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17.2二氧化硅（TEOS）</w:t>
            </w:r>
          </w:p>
          <w:p w14:paraId="7133018C">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7.2.1</w:t>
            </w:r>
            <w:r>
              <w:rPr>
                <w:rFonts w:hint="eastAsia" w:ascii="Times New Roman" w:hAnsi="Times New Roman" w:eastAsia="宋体" w:cs="宋体"/>
                <w:kern w:val="0"/>
                <w:sz w:val="24"/>
                <w:szCs w:val="24"/>
                <w:highlight w:val="none"/>
                <w:lang w:bidi="ar"/>
              </w:rPr>
              <w:t>膜厚均匀性指标：片内≤±</w:t>
            </w:r>
            <w:r>
              <w:rPr>
                <w:rFonts w:ascii="Times New Roman" w:hAnsi="Times New Roman" w:eastAsia="宋体" w:cs="宋体"/>
                <w:kern w:val="0"/>
                <w:sz w:val="24"/>
                <w:szCs w:val="24"/>
                <w:highlight w:val="none"/>
                <w:lang w:bidi="ar"/>
              </w:rPr>
              <w:t>3%</w:t>
            </w:r>
            <w:r>
              <w:rPr>
                <w:rFonts w:hint="eastAsia" w:ascii="Times New Roman" w:hAnsi="Times New Roman" w:eastAsia="宋体" w:cs="宋体"/>
                <w:kern w:val="0"/>
                <w:sz w:val="24"/>
                <w:szCs w:val="24"/>
                <w:highlight w:val="none"/>
                <w:lang w:bidi="ar"/>
              </w:rPr>
              <w:t>，片间≤±</w:t>
            </w:r>
            <w:r>
              <w:rPr>
                <w:rFonts w:ascii="Times New Roman" w:hAnsi="Times New Roman" w:eastAsia="宋体" w:cs="宋体"/>
                <w:kern w:val="0"/>
                <w:sz w:val="24"/>
                <w:szCs w:val="24"/>
                <w:highlight w:val="none"/>
                <w:lang w:bidi="ar"/>
              </w:rPr>
              <w:t>3%</w:t>
            </w:r>
            <w:r>
              <w:rPr>
                <w:rFonts w:hint="eastAsia" w:ascii="Times New Roman" w:hAnsi="Times New Roman" w:eastAsia="宋体" w:cs="宋体"/>
                <w:kern w:val="0"/>
                <w:sz w:val="24"/>
                <w:szCs w:val="24"/>
                <w:highlight w:val="none"/>
                <w:lang w:bidi="ar"/>
              </w:rPr>
              <w:t>，批间≤±</w:t>
            </w:r>
            <w:r>
              <w:rPr>
                <w:rFonts w:ascii="Times New Roman" w:hAnsi="Times New Roman" w:eastAsia="宋体" w:cs="宋体"/>
                <w:kern w:val="0"/>
                <w:sz w:val="24"/>
                <w:szCs w:val="24"/>
                <w:highlight w:val="none"/>
                <w:lang w:bidi="ar"/>
              </w:rPr>
              <w:t>3%</w:t>
            </w:r>
            <w:r>
              <w:rPr>
                <w:rFonts w:hint="eastAsia" w:ascii="Times New Roman" w:hAnsi="Times New Roman" w:eastAsia="宋体" w:cs="宋体"/>
                <w:kern w:val="0"/>
                <w:sz w:val="24"/>
                <w:szCs w:val="24"/>
                <w:highlight w:val="none"/>
                <w:lang w:bidi="ar"/>
              </w:rPr>
              <w:t>；（膜厚</w:t>
            </w:r>
            <w:r>
              <w:rPr>
                <w:rFonts w:ascii="Times New Roman" w:hAnsi="Times New Roman" w:eastAsia="宋体" w:cs="宋体"/>
                <w:kern w:val="0"/>
                <w:sz w:val="24"/>
                <w:szCs w:val="24"/>
                <w:highlight w:val="none"/>
                <w:lang w:bidi="ar"/>
              </w:rPr>
              <w:t>1000Å-20000Å</w:t>
            </w:r>
            <w:r>
              <w:rPr>
                <w:rFonts w:hint="eastAsia" w:ascii="Times New Roman" w:hAnsi="Times New Roman" w:eastAsia="宋体" w:cs="宋体"/>
                <w:kern w:val="0"/>
                <w:sz w:val="24"/>
                <w:szCs w:val="24"/>
                <w:highlight w:val="none"/>
                <w:lang w:bidi="ar"/>
              </w:rPr>
              <w:t>）。</w:t>
            </w:r>
          </w:p>
          <w:p w14:paraId="4CCF51D8">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7.2.2</w:t>
            </w:r>
            <w:r>
              <w:rPr>
                <w:rFonts w:hint="eastAsia" w:ascii="Times New Roman" w:hAnsi="Times New Roman" w:eastAsia="宋体" w:cs="宋体"/>
                <w:kern w:val="0"/>
                <w:sz w:val="24"/>
                <w:szCs w:val="24"/>
                <w:highlight w:val="none"/>
                <w:lang w:bidi="ar"/>
              </w:rPr>
              <w:t>应力范围：</w:t>
            </w:r>
            <w:r>
              <w:rPr>
                <w:rFonts w:ascii="Times New Roman" w:hAnsi="Times New Roman" w:eastAsia="宋体" w:cs="宋体"/>
                <w:kern w:val="0"/>
                <w:sz w:val="24"/>
                <w:szCs w:val="24"/>
                <w:highlight w:val="none"/>
                <w:lang w:bidi="ar"/>
              </w:rPr>
              <w:t>100MPa~150MPa</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1000Å~20000Å</w:t>
            </w:r>
            <w:r>
              <w:rPr>
                <w:rFonts w:hint="eastAsia" w:ascii="Times New Roman" w:hAnsi="Times New Roman" w:eastAsia="宋体" w:cs="宋体"/>
                <w:kern w:val="0"/>
                <w:sz w:val="24"/>
                <w:szCs w:val="24"/>
                <w:highlight w:val="none"/>
                <w:lang w:bidi="ar"/>
              </w:rPr>
              <w:t>）。</w:t>
            </w:r>
          </w:p>
          <w:p w14:paraId="48839A38">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7.2.3</w:t>
            </w:r>
            <w:r>
              <w:rPr>
                <w:rFonts w:hint="eastAsia" w:ascii="Times New Roman" w:hAnsi="Times New Roman" w:eastAsia="宋体" w:cs="宋体"/>
                <w:kern w:val="0"/>
                <w:sz w:val="24"/>
                <w:szCs w:val="24"/>
                <w:highlight w:val="none"/>
                <w:lang w:bidi="ar"/>
              </w:rPr>
              <w:t>折射率：</w:t>
            </w:r>
            <w:r>
              <w:rPr>
                <w:rFonts w:ascii="Times New Roman" w:hAnsi="Times New Roman" w:eastAsia="宋体" w:cs="宋体"/>
                <w:kern w:val="0"/>
                <w:sz w:val="24"/>
                <w:szCs w:val="24"/>
                <w:highlight w:val="none"/>
                <w:lang w:bidi="ar"/>
              </w:rPr>
              <w:t>1.4~1.5@550nm</w:t>
            </w:r>
            <w:r>
              <w:rPr>
                <w:rFonts w:hint="eastAsia" w:ascii="Times New Roman" w:hAnsi="Times New Roman" w:eastAsia="宋体" w:cs="宋体"/>
                <w:kern w:val="0"/>
                <w:sz w:val="24"/>
                <w:szCs w:val="24"/>
                <w:highlight w:val="none"/>
                <w:lang w:bidi="ar"/>
              </w:rPr>
              <w:t>。</w:t>
            </w:r>
          </w:p>
          <w:p w14:paraId="7BC02C82">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ascii="Times New Roman" w:hAnsi="Times New Roman" w:eastAsia="宋体" w:cs="宋体"/>
                <w:kern w:val="0"/>
                <w:sz w:val="24"/>
                <w:szCs w:val="24"/>
                <w:highlight w:val="none"/>
                <w:lang w:bidi="ar"/>
              </w:rPr>
              <w:t>17.3</w:t>
            </w:r>
            <w:r>
              <w:rPr>
                <w:rFonts w:hint="eastAsia" w:ascii="Times New Roman" w:hAnsi="Times New Roman" w:eastAsia="宋体" w:cs="宋体"/>
                <w:kern w:val="0"/>
                <w:sz w:val="24"/>
                <w:szCs w:val="24"/>
                <w:highlight w:val="none"/>
                <w:lang w:bidi="ar"/>
              </w:rPr>
              <w:t>氧化</w:t>
            </w:r>
          </w:p>
          <w:p w14:paraId="1678731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7.3.1</w:t>
            </w:r>
            <w:r>
              <w:rPr>
                <w:rFonts w:hint="eastAsia" w:ascii="Times New Roman" w:hAnsi="Times New Roman" w:eastAsia="宋体" w:cs="宋体"/>
                <w:kern w:val="0"/>
                <w:sz w:val="24"/>
                <w:szCs w:val="24"/>
                <w:highlight w:val="none"/>
                <w:lang w:bidi="ar"/>
              </w:rPr>
              <w:t>膜厚均匀性指标：片内≤±</w:t>
            </w:r>
            <w:r>
              <w:rPr>
                <w:rFonts w:ascii="Times New Roman" w:hAnsi="Times New Roman" w:eastAsia="宋体" w:cs="宋体"/>
                <w:kern w:val="0"/>
                <w:sz w:val="24"/>
                <w:szCs w:val="24"/>
                <w:highlight w:val="none"/>
                <w:lang w:bidi="ar"/>
              </w:rPr>
              <w:t>2%</w:t>
            </w:r>
            <w:r>
              <w:rPr>
                <w:rFonts w:hint="eastAsia" w:ascii="Times New Roman" w:hAnsi="Times New Roman" w:eastAsia="宋体" w:cs="宋体"/>
                <w:kern w:val="0"/>
                <w:sz w:val="24"/>
                <w:szCs w:val="24"/>
                <w:highlight w:val="none"/>
                <w:lang w:bidi="ar"/>
              </w:rPr>
              <w:t>，片间≤±</w:t>
            </w:r>
            <w:r>
              <w:rPr>
                <w:rFonts w:ascii="Times New Roman" w:hAnsi="Times New Roman" w:eastAsia="宋体" w:cs="宋体"/>
                <w:kern w:val="0"/>
                <w:sz w:val="24"/>
                <w:szCs w:val="24"/>
                <w:highlight w:val="none"/>
                <w:lang w:bidi="ar"/>
              </w:rPr>
              <w:t>2%</w:t>
            </w:r>
            <w:r>
              <w:rPr>
                <w:rFonts w:hint="eastAsia" w:ascii="Times New Roman" w:hAnsi="Times New Roman" w:eastAsia="宋体" w:cs="宋体"/>
                <w:kern w:val="0"/>
                <w:sz w:val="24"/>
                <w:szCs w:val="24"/>
                <w:highlight w:val="none"/>
                <w:lang w:bidi="ar"/>
              </w:rPr>
              <w:t>，批间≤±</w:t>
            </w:r>
            <w:r>
              <w:rPr>
                <w:rFonts w:ascii="Times New Roman" w:hAnsi="Times New Roman" w:eastAsia="宋体" w:cs="宋体"/>
                <w:kern w:val="0"/>
                <w:sz w:val="24"/>
                <w:szCs w:val="24"/>
                <w:highlight w:val="none"/>
                <w:lang w:bidi="ar"/>
              </w:rPr>
              <w:t>2%</w:t>
            </w:r>
            <w:r>
              <w:rPr>
                <w:rFonts w:hint="eastAsia" w:ascii="Times New Roman" w:hAnsi="Times New Roman" w:eastAsia="宋体" w:cs="宋体"/>
                <w:kern w:val="0"/>
                <w:sz w:val="24"/>
                <w:szCs w:val="24"/>
                <w:highlight w:val="none"/>
                <w:lang w:bidi="ar"/>
              </w:rPr>
              <w:t>；（膜厚</w:t>
            </w:r>
            <w:r>
              <w:rPr>
                <w:rFonts w:ascii="Times New Roman" w:hAnsi="Times New Roman" w:eastAsia="宋体" w:cs="宋体"/>
                <w:kern w:val="0"/>
                <w:sz w:val="24"/>
                <w:szCs w:val="24"/>
                <w:highlight w:val="none"/>
                <w:lang w:bidi="ar"/>
              </w:rPr>
              <w:t>5000</w:t>
            </w:r>
            <w:r>
              <w:rPr>
                <w:rFonts w:hint="eastAsia" w:ascii="Times New Roman" w:hAnsi="Times New Roman" w:eastAsia="宋体" w:cs="宋体"/>
                <w:kern w:val="0"/>
                <w:sz w:val="24"/>
                <w:szCs w:val="24"/>
                <w:highlight w:val="none"/>
                <w:lang w:bidi="ar"/>
              </w:rPr>
              <w:t>Å</w:t>
            </w:r>
            <w:r>
              <w:rPr>
                <w:rFonts w:ascii="Times New Roman" w:hAnsi="Times New Roman" w:eastAsia="宋体" w:cs="宋体"/>
                <w:kern w:val="0"/>
                <w:sz w:val="24"/>
                <w:szCs w:val="24"/>
                <w:highlight w:val="none"/>
                <w:lang w:bidi="ar"/>
              </w:rPr>
              <w:t>~20000Å</w:t>
            </w:r>
            <w:r>
              <w:rPr>
                <w:rFonts w:hint="eastAsia" w:ascii="Times New Roman" w:hAnsi="Times New Roman" w:eastAsia="宋体" w:cs="宋体"/>
                <w:kern w:val="0"/>
                <w:sz w:val="24"/>
                <w:szCs w:val="24"/>
                <w:highlight w:val="none"/>
                <w:lang w:bidi="ar"/>
              </w:rPr>
              <w:t>）。</w:t>
            </w:r>
          </w:p>
          <w:p w14:paraId="25E3D036">
            <w:pPr>
              <w:tabs>
                <w:tab w:val="left" w:pos="0"/>
              </w:tabs>
              <w:wordWrap w:val="0"/>
              <w:adjustRightInd w:val="0"/>
              <w:snapToGrid w:val="0"/>
              <w:spacing w:line="312" w:lineRule="auto"/>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w:t>
            </w:r>
            <w:r>
              <w:rPr>
                <w:rFonts w:ascii="Times New Roman" w:hAnsi="Times New Roman" w:eastAsia="宋体" w:cs="宋体"/>
                <w:kern w:val="0"/>
                <w:sz w:val="24"/>
                <w:szCs w:val="24"/>
                <w:highlight w:val="none"/>
                <w:lang w:bidi="ar"/>
              </w:rPr>
              <w:t>7.3.2</w:t>
            </w:r>
            <w:r>
              <w:rPr>
                <w:rFonts w:hint="eastAsia" w:ascii="Times New Roman" w:hAnsi="Times New Roman" w:eastAsia="宋体" w:cs="宋体"/>
                <w:kern w:val="0"/>
                <w:sz w:val="24"/>
                <w:szCs w:val="24"/>
                <w:highlight w:val="none"/>
                <w:lang w:bidi="ar"/>
              </w:rPr>
              <w:t>折射率：</w:t>
            </w:r>
            <w:r>
              <w:rPr>
                <w:rFonts w:ascii="Times New Roman" w:hAnsi="Times New Roman" w:eastAsia="宋体" w:cs="宋体"/>
                <w:kern w:val="0"/>
                <w:sz w:val="24"/>
                <w:szCs w:val="24"/>
                <w:highlight w:val="none"/>
                <w:lang w:bidi="ar"/>
              </w:rPr>
              <w:t>1.45</w:t>
            </w:r>
            <w:r>
              <w:rPr>
                <w:rFonts w:hint="eastAsia" w:ascii="Times New Roman" w:hAnsi="Times New Roman" w:eastAsia="宋体" w:cs="宋体"/>
                <w:kern w:val="0"/>
                <w:sz w:val="24"/>
                <w:szCs w:val="24"/>
                <w:highlight w:val="none"/>
                <w:lang w:bidi="ar"/>
              </w:rPr>
              <w:t>±</w:t>
            </w:r>
            <w:r>
              <w:rPr>
                <w:rFonts w:ascii="Times New Roman" w:hAnsi="Times New Roman" w:eastAsia="宋体" w:cs="宋体"/>
                <w:kern w:val="0"/>
                <w:sz w:val="24"/>
                <w:szCs w:val="24"/>
                <w:highlight w:val="none"/>
                <w:lang w:bidi="ar"/>
              </w:rPr>
              <w:t>0.05@550nm</w:t>
            </w:r>
            <w:r>
              <w:rPr>
                <w:rFonts w:hint="eastAsia" w:ascii="Times New Roman" w:hAnsi="Times New Roman" w:eastAsia="宋体" w:cs="宋体"/>
                <w:kern w:val="0"/>
                <w:sz w:val="24"/>
                <w:szCs w:val="24"/>
                <w:highlight w:val="none"/>
                <w:lang w:bidi="ar"/>
              </w:rPr>
              <w:t>。</w:t>
            </w:r>
          </w:p>
          <w:p w14:paraId="2FB76A74">
            <w:pPr>
              <w:tabs>
                <w:tab w:val="left" w:pos="0"/>
              </w:tabs>
              <w:wordWrap w:val="0"/>
              <w:adjustRightInd w:val="0"/>
              <w:snapToGrid w:val="0"/>
              <w:spacing w:line="312" w:lineRule="auto"/>
              <w:rPr>
                <w:rFonts w:hint="eastAsia"/>
                <w:sz w:val="24"/>
                <w:szCs w:val="24"/>
                <w:highlight w:val="none"/>
                <w:lang w:bidi="ar"/>
              </w:rPr>
            </w:pPr>
            <w:r>
              <w:rPr>
                <w:rFonts w:hint="eastAsia" w:ascii="Times New Roman" w:hAnsi="Times New Roman" w:eastAsia="宋体" w:cs="宋体"/>
                <w:kern w:val="0"/>
                <w:sz w:val="24"/>
                <w:szCs w:val="24"/>
                <w:highlight w:val="none"/>
                <w:lang w:bidi="ar"/>
              </w:rPr>
              <w:t>18.设备外形尺寸：≤4800mm</w:t>
            </w:r>
            <w:r>
              <w:rPr>
                <w:rFonts w:ascii="Times New Roman" w:hAnsi="Times New Roman" w:eastAsia="宋体" w:cs="宋体"/>
                <w:kern w:val="0"/>
                <w:sz w:val="24"/>
                <w:szCs w:val="24"/>
                <w:highlight w:val="none"/>
                <w:lang w:bidi="ar"/>
              </w:rPr>
              <w:t>*</w:t>
            </w:r>
            <w:r>
              <w:rPr>
                <w:rFonts w:hint="eastAsia" w:ascii="Times New Roman" w:hAnsi="Times New Roman" w:eastAsia="宋体" w:cs="宋体"/>
                <w:kern w:val="0"/>
                <w:sz w:val="24"/>
                <w:szCs w:val="24"/>
                <w:highlight w:val="none"/>
                <w:lang w:bidi="ar"/>
              </w:rPr>
              <w:t>1200</w:t>
            </w:r>
            <w:r>
              <w:rPr>
                <w:rFonts w:ascii="Times New Roman" w:hAnsi="Times New Roman" w:eastAsia="宋体" w:cs="宋体"/>
                <w:kern w:val="0"/>
                <w:sz w:val="24"/>
                <w:szCs w:val="24"/>
                <w:highlight w:val="none"/>
                <w:lang w:bidi="ar"/>
              </w:rPr>
              <w:t>mm*</w:t>
            </w:r>
            <w:r>
              <w:rPr>
                <w:rFonts w:hint="eastAsia" w:ascii="Times New Roman" w:hAnsi="Times New Roman" w:eastAsia="宋体" w:cs="宋体"/>
                <w:kern w:val="0"/>
                <w:sz w:val="24"/>
                <w:szCs w:val="24"/>
                <w:highlight w:val="none"/>
                <w:lang w:bidi="ar"/>
              </w:rPr>
              <w:t>2800mm（长*宽*高）</w:t>
            </w:r>
          </w:p>
          <w:p w14:paraId="2A7BBEE1">
            <w:pPr>
              <w:tabs>
                <w:tab w:val="left" w:pos="0"/>
              </w:tabs>
              <w:wordWrap w:val="0"/>
              <w:adjustRightInd w:val="0"/>
              <w:snapToGrid w:val="0"/>
              <w:spacing w:line="312" w:lineRule="auto"/>
              <w:rPr>
                <w:rFonts w:ascii="Times New Roman" w:hAnsi="Times New Roman" w:eastAsia="宋体" w:cs="宋体"/>
                <w:b/>
                <w:bCs/>
                <w:sz w:val="24"/>
                <w:szCs w:val="24"/>
                <w:highlight w:val="none"/>
              </w:rPr>
            </w:pPr>
            <w:r>
              <w:rPr>
                <w:rFonts w:hint="eastAsia" w:ascii="Times New Roman" w:hAnsi="Times New Roman" w:eastAsia="宋体" w:cs="宋体"/>
                <w:sz w:val="24"/>
                <w:szCs w:val="24"/>
                <w:highlight w:val="none"/>
              </w:rPr>
              <w:t>★</w:t>
            </w:r>
            <w:r>
              <w:rPr>
                <w:rFonts w:hint="eastAsia" w:ascii="Times New Roman" w:hAnsi="Times New Roman" w:eastAsia="宋体" w:cs="宋体"/>
                <w:b/>
                <w:bCs/>
                <w:sz w:val="24"/>
                <w:szCs w:val="24"/>
                <w:highlight w:val="none"/>
              </w:rPr>
              <w:t>四、备品备件</w:t>
            </w:r>
          </w:p>
          <w:tbl>
            <w:tblPr>
              <w:tblStyle w:val="11"/>
              <w:tblW w:w="5064" w:type="dxa"/>
              <w:tblInd w:w="0" w:type="dxa"/>
              <w:tblLayout w:type="fixed"/>
              <w:tblCellMar>
                <w:top w:w="0" w:type="dxa"/>
                <w:left w:w="108" w:type="dxa"/>
                <w:bottom w:w="0" w:type="dxa"/>
                <w:right w:w="108" w:type="dxa"/>
              </w:tblCellMar>
            </w:tblPr>
            <w:tblGrid>
              <w:gridCol w:w="1778"/>
              <w:gridCol w:w="1301"/>
              <w:gridCol w:w="1985"/>
            </w:tblGrid>
            <w:tr w14:paraId="2D347E0C">
              <w:tblPrEx>
                <w:tblCellMar>
                  <w:top w:w="0" w:type="dxa"/>
                  <w:left w:w="108" w:type="dxa"/>
                  <w:bottom w:w="0" w:type="dxa"/>
                  <w:right w:w="108" w:type="dxa"/>
                </w:tblCellMar>
              </w:tblPrEx>
              <w:trPr>
                <w:trHeight w:val="400"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6856964D">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名称</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5CD0FCA2">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数量</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5878CBEF">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备注</w:t>
                  </w:r>
                </w:p>
              </w:tc>
            </w:tr>
            <w:tr w14:paraId="23C6CCDB">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51D44D41">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石英炉门盖板</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58A4879C">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1套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3AF35313">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49F6D159">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1CADB5F1">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卡箍</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F29A3DC">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5套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0B800970">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0C759FB2">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1CCA1DFF">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不锈钢夹子</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10ED913D">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1套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04E97D39">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7131942B">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177C14AE">
                  <w:pPr>
                    <w:widowControl/>
                    <w:tabs>
                      <w:tab w:val="left" w:pos="0"/>
                    </w:tabs>
                    <w:wordWrap w:val="0"/>
                    <w:adjustRightInd w:val="0"/>
                    <w:snapToGrid w:val="0"/>
                    <w:spacing w:line="312" w:lineRule="auto"/>
                    <w:jc w:val="center"/>
                    <w:textAlignment w:val="center"/>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四氟接头</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E3226B7">
                  <w:pPr>
                    <w:widowControl/>
                    <w:tabs>
                      <w:tab w:val="left" w:pos="0"/>
                    </w:tabs>
                    <w:wordWrap w:val="0"/>
                    <w:adjustRightInd w:val="0"/>
                    <w:snapToGrid w:val="0"/>
                    <w:spacing w:line="312" w:lineRule="auto"/>
                    <w:jc w:val="center"/>
                    <w:textAlignment w:val="center"/>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4套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3503E33E">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31B2A0FC">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160E1CE0">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石英、SiC舟</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36767C8A">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各1套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7A9498B0">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4英寸，6英寸及碎片舟</w:t>
                  </w:r>
                </w:p>
              </w:tc>
            </w:tr>
            <w:tr w14:paraId="164895D6">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2CD69F91">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石英进气管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40B4441C">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2套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5EA5B61E">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26206C22">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79A8ECA9">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外热偶</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608BF8E4">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1套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74D83970">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45B30FCB">
              <w:tblPrEx>
                <w:tblCellMar>
                  <w:top w:w="0" w:type="dxa"/>
                  <w:left w:w="108" w:type="dxa"/>
                  <w:bottom w:w="0" w:type="dxa"/>
                  <w:right w:w="108" w:type="dxa"/>
                </w:tblCellMar>
              </w:tblPrEx>
              <w:trPr>
                <w:trHeight w:val="357"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44E1244D">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拆卸工具</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C3A708C">
                  <w:pPr>
                    <w:widowControl/>
                    <w:tabs>
                      <w:tab w:val="left" w:pos="0"/>
                    </w:tabs>
                    <w:wordWrap w:val="0"/>
                    <w:adjustRightInd w:val="0"/>
                    <w:snapToGrid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bidi="ar"/>
                    </w:rPr>
                    <w:t>1套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38FC64C8">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3B14F813">
              <w:tblPrEx>
                <w:tblCellMar>
                  <w:top w:w="0" w:type="dxa"/>
                  <w:left w:w="108" w:type="dxa"/>
                  <w:bottom w:w="0" w:type="dxa"/>
                  <w:right w:w="108" w:type="dxa"/>
                </w:tblCellMar>
              </w:tblPrEx>
              <w:trPr>
                <w:trHeight w:val="400"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0171AF00">
                  <w:pPr>
                    <w:widowControl/>
                    <w:tabs>
                      <w:tab w:val="left" w:pos="0"/>
                    </w:tabs>
                    <w:wordWrap w:val="0"/>
                    <w:adjustRightInd w:val="0"/>
                    <w:snapToGrid w:val="0"/>
                    <w:spacing w:line="312" w:lineRule="auto"/>
                    <w:jc w:val="center"/>
                    <w:textAlignment w:val="center"/>
                    <w:rPr>
                      <w:rFonts w:ascii="Times New Roman" w:hAnsi="Times New Roman" w:eastAsia="宋体" w:cs="宋体"/>
                      <w:kern w:val="0"/>
                      <w:sz w:val="24"/>
                      <w:szCs w:val="24"/>
                      <w:highlight w:val="none"/>
                      <w:lang w:bidi="ar"/>
                    </w:rPr>
                  </w:pPr>
                  <w:r>
                    <w:rPr>
                      <w:rFonts w:ascii="Times New Roman" w:hAnsi="Times New Roman" w:eastAsia="宋体" w:cs="Segoe UI"/>
                      <w:sz w:val="24"/>
                      <w:szCs w:val="24"/>
                      <w:highlight w:val="none"/>
                      <w:shd w:val="clear" w:color="auto" w:fill="FFFFFF"/>
                    </w:rPr>
                    <w:t>氟橡胶O型密封圈</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015334B9">
                  <w:pPr>
                    <w:widowControl/>
                    <w:tabs>
                      <w:tab w:val="left" w:pos="0"/>
                    </w:tabs>
                    <w:wordWrap w:val="0"/>
                    <w:adjustRightInd w:val="0"/>
                    <w:snapToGrid w:val="0"/>
                    <w:spacing w:line="312" w:lineRule="auto"/>
                    <w:jc w:val="center"/>
                    <w:textAlignment w:val="center"/>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701A46A4">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234392C0">
              <w:tblPrEx>
                <w:tblCellMar>
                  <w:top w:w="0" w:type="dxa"/>
                  <w:left w:w="108" w:type="dxa"/>
                  <w:bottom w:w="0" w:type="dxa"/>
                  <w:right w:w="108" w:type="dxa"/>
                </w:tblCellMar>
              </w:tblPrEx>
              <w:trPr>
                <w:trHeight w:val="703"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2E7DD130">
                  <w:pPr>
                    <w:widowControl/>
                    <w:tabs>
                      <w:tab w:val="left" w:pos="0"/>
                    </w:tabs>
                    <w:wordWrap w:val="0"/>
                    <w:adjustRightInd w:val="0"/>
                    <w:snapToGrid w:val="0"/>
                    <w:spacing w:line="312" w:lineRule="auto"/>
                    <w:jc w:val="center"/>
                    <w:textAlignment w:val="center"/>
                    <w:rPr>
                      <w:rFonts w:ascii="Times New Roman" w:hAnsi="Times New Roman" w:eastAsia="宋体" w:cs="Segoe UI"/>
                      <w:sz w:val="24"/>
                      <w:szCs w:val="24"/>
                      <w:highlight w:val="none"/>
                      <w:shd w:val="clear" w:color="auto" w:fill="FFFFFF"/>
                    </w:rPr>
                  </w:pPr>
                  <w:r>
                    <w:rPr>
                      <w:rFonts w:ascii="Times New Roman" w:hAnsi="Times New Roman" w:eastAsia="宋体" w:cs="Segoe UI"/>
                      <w:sz w:val="24"/>
                      <w:szCs w:val="24"/>
                      <w:highlight w:val="none"/>
                      <w:shd w:val="clear" w:color="auto" w:fill="FFFFFF"/>
                    </w:rPr>
                    <w:t>VCR金属面密封接头及垫片</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2BCEE193">
                  <w:pPr>
                    <w:widowControl/>
                    <w:tabs>
                      <w:tab w:val="left" w:pos="0"/>
                    </w:tabs>
                    <w:wordWrap w:val="0"/>
                    <w:adjustRightInd w:val="0"/>
                    <w:snapToGrid w:val="0"/>
                    <w:spacing w:line="312" w:lineRule="auto"/>
                    <w:jc w:val="center"/>
                    <w:textAlignment w:val="center"/>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10套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3AB094A7">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w:t>
                  </w:r>
                </w:p>
              </w:tc>
            </w:tr>
            <w:tr w14:paraId="00168862">
              <w:tblPrEx>
                <w:tblCellMar>
                  <w:top w:w="0" w:type="dxa"/>
                  <w:left w:w="108" w:type="dxa"/>
                  <w:bottom w:w="0" w:type="dxa"/>
                  <w:right w:w="108" w:type="dxa"/>
                </w:tblCellMar>
              </w:tblPrEx>
              <w:trPr>
                <w:trHeight w:val="410" w:hRule="atLeast"/>
              </w:trPr>
              <w:tc>
                <w:tcPr>
                  <w:tcW w:w="1778" w:type="dxa"/>
                  <w:tcBorders>
                    <w:top w:val="single" w:color="000000" w:sz="4" w:space="0"/>
                    <w:left w:val="single" w:color="000000" w:sz="4" w:space="0"/>
                    <w:bottom w:val="single" w:color="000000" w:sz="4" w:space="0"/>
                    <w:right w:val="single" w:color="000000" w:sz="4" w:space="0"/>
                  </w:tcBorders>
                  <w:noWrap/>
                  <w:vAlign w:val="center"/>
                </w:tcPr>
                <w:p w14:paraId="72619F8C">
                  <w:pPr>
                    <w:widowControl/>
                    <w:tabs>
                      <w:tab w:val="left" w:pos="0"/>
                    </w:tabs>
                    <w:wordWrap w:val="0"/>
                    <w:adjustRightInd w:val="0"/>
                    <w:snapToGrid w:val="0"/>
                    <w:spacing w:line="312" w:lineRule="auto"/>
                    <w:jc w:val="center"/>
                    <w:textAlignment w:val="center"/>
                    <w:rPr>
                      <w:rFonts w:ascii="Times New Roman" w:hAnsi="Times New Roman" w:eastAsia="宋体" w:cs="Segoe UI"/>
                      <w:sz w:val="24"/>
                      <w:szCs w:val="24"/>
                      <w:highlight w:val="none"/>
                      <w:shd w:val="clear" w:color="auto" w:fill="FFFFFF"/>
                    </w:rPr>
                  </w:pPr>
                  <w:r>
                    <w:rPr>
                      <w:rFonts w:hint="eastAsia" w:ascii="Times New Roman" w:hAnsi="Times New Roman" w:eastAsia="宋体" w:cs="Segoe UI"/>
                      <w:sz w:val="24"/>
                      <w:szCs w:val="24"/>
                      <w:highlight w:val="none"/>
                      <w:shd w:val="clear" w:color="auto" w:fill="FFFFFF"/>
                    </w:rPr>
                    <w:t>石英管</w:t>
                  </w:r>
                </w:p>
              </w:tc>
              <w:tc>
                <w:tcPr>
                  <w:tcW w:w="1301" w:type="dxa"/>
                  <w:tcBorders>
                    <w:top w:val="single" w:color="000000" w:sz="4" w:space="0"/>
                    <w:left w:val="single" w:color="000000" w:sz="4" w:space="0"/>
                    <w:bottom w:val="single" w:color="000000" w:sz="4" w:space="0"/>
                    <w:right w:val="single" w:color="000000" w:sz="4" w:space="0"/>
                  </w:tcBorders>
                  <w:noWrap/>
                  <w:vAlign w:val="center"/>
                </w:tcPr>
                <w:p w14:paraId="2632A8DC">
                  <w:pPr>
                    <w:widowControl/>
                    <w:tabs>
                      <w:tab w:val="left" w:pos="0"/>
                    </w:tabs>
                    <w:wordWrap w:val="0"/>
                    <w:adjustRightInd w:val="0"/>
                    <w:snapToGrid w:val="0"/>
                    <w:spacing w:line="312" w:lineRule="auto"/>
                    <w:jc w:val="center"/>
                    <w:textAlignment w:val="center"/>
                    <w:rPr>
                      <w:rFonts w:ascii="Times New Roman" w:hAnsi="Times New Roman" w:eastAsia="宋体" w:cs="宋体"/>
                      <w:kern w:val="0"/>
                      <w:sz w:val="24"/>
                      <w:szCs w:val="24"/>
                      <w:highlight w:val="none"/>
                      <w:lang w:bidi="ar"/>
                    </w:rPr>
                  </w:pPr>
                  <w:r>
                    <w:rPr>
                      <w:rFonts w:hint="eastAsia" w:ascii="Times New Roman" w:hAnsi="Times New Roman" w:eastAsia="宋体" w:cs="宋体"/>
                      <w:kern w:val="0"/>
                      <w:sz w:val="24"/>
                      <w:szCs w:val="24"/>
                      <w:highlight w:val="none"/>
                      <w:lang w:bidi="ar"/>
                    </w:rPr>
                    <w:t>3套</w:t>
                  </w:r>
                </w:p>
              </w:tc>
              <w:tc>
                <w:tcPr>
                  <w:tcW w:w="1985" w:type="dxa"/>
                  <w:tcBorders>
                    <w:top w:val="single" w:color="000000" w:sz="4" w:space="0"/>
                    <w:left w:val="single" w:color="000000" w:sz="4" w:space="0"/>
                    <w:bottom w:val="single" w:color="000000" w:sz="4" w:space="0"/>
                    <w:right w:val="single" w:color="000000" w:sz="4" w:space="0"/>
                  </w:tcBorders>
                  <w:noWrap/>
                  <w:vAlign w:val="center"/>
                </w:tcPr>
                <w:p w14:paraId="0084C216">
                  <w:pPr>
                    <w:tabs>
                      <w:tab w:val="left" w:pos="0"/>
                    </w:tabs>
                    <w:wordWrap w:val="0"/>
                    <w:adjustRightInd w:val="0"/>
                    <w:snapToGrid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常压管1套，低压管2套</w:t>
                  </w:r>
                </w:p>
              </w:tc>
            </w:tr>
          </w:tbl>
          <w:p w14:paraId="7B7AC887">
            <w:pPr>
              <w:tabs>
                <w:tab w:val="left" w:pos="0"/>
              </w:tabs>
              <w:wordWrap w:val="0"/>
              <w:adjustRightInd w:val="0"/>
              <w:snapToGrid w:val="0"/>
              <w:spacing w:line="312" w:lineRule="auto"/>
              <w:rPr>
                <w:rFonts w:hint="eastAsia" w:asciiTheme="majorEastAsia" w:hAnsiTheme="majorEastAsia" w:eastAsiaTheme="majorEastAsia"/>
                <w:sz w:val="24"/>
                <w:szCs w:val="24"/>
                <w:highlight w:val="none"/>
              </w:rPr>
            </w:pPr>
          </w:p>
        </w:tc>
        <w:tc>
          <w:tcPr>
            <w:tcW w:w="402" w:type="pct"/>
            <w:vAlign w:val="center"/>
          </w:tcPr>
          <w:p w14:paraId="306BDFD6">
            <w:pPr>
              <w:tabs>
                <w:tab w:val="left" w:pos="0"/>
              </w:tabs>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1</w:t>
            </w:r>
          </w:p>
        </w:tc>
        <w:tc>
          <w:tcPr>
            <w:tcW w:w="367" w:type="pct"/>
            <w:vAlign w:val="center"/>
          </w:tcPr>
          <w:p w14:paraId="3576DAA7">
            <w:pPr>
              <w:tabs>
                <w:tab w:val="left" w:pos="0"/>
              </w:tabs>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工业</w:t>
            </w:r>
          </w:p>
        </w:tc>
        <w:tc>
          <w:tcPr>
            <w:tcW w:w="462" w:type="pct"/>
            <w:vAlign w:val="center"/>
          </w:tcPr>
          <w:p w14:paraId="2BAEFE34">
            <w:pPr>
              <w:tabs>
                <w:tab w:val="left" w:pos="0"/>
              </w:tabs>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w:t>
            </w:r>
          </w:p>
        </w:tc>
      </w:tr>
    </w:tbl>
    <w:p w14:paraId="7F67F692">
      <w:pP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br w:type="page"/>
      </w:r>
    </w:p>
    <w:p w14:paraId="705364E3">
      <w:pPr>
        <w:pStyle w:val="2"/>
        <w:wordWrap w:val="0"/>
        <w:spacing w:line="360" w:lineRule="auto"/>
        <w:ind w:leftChars="200" w:firstLine="0" w:firstLineChars="0"/>
        <w:rPr>
          <w:rFonts w:hint="eastAsia" w:ascii="宋体" w:hAnsi="宋体" w:eastAsia="宋体" w:cs="宋体"/>
          <w:b/>
          <w:bCs/>
          <w:sz w:val="24"/>
          <w:szCs w:val="24"/>
          <w:highlight w:val="none"/>
        </w:rPr>
      </w:pPr>
    </w:p>
    <w:bookmarkEnd w:id="0"/>
    <w:p w14:paraId="526B4157">
      <w:pPr>
        <w:pStyle w:val="2"/>
        <w:tabs>
          <w:tab w:val="left" w:pos="0"/>
        </w:tabs>
        <w:wordWrap w:val="0"/>
        <w:spacing w:before="100" w:beforeAutospacing="1"/>
        <w:ind w:left="0" w:firstLine="48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（三）第2包货物需求清单（激光植球机和高精度外延生长系统）</w:t>
      </w:r>
    </w:p>
    <w:tbl>
      <w:tblPr>
        <w:tblStyle w:val="11"/>
        <w:tblpPr w:leftFromText="180" w:rightFromText="180" w:vertAnchor="text" w:horzAnchor="page" w:tblpX="1778" w:tblpY="687"/>
        <w:tblOverlap w:val="never"/>
        <w:tblW w:w="507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657"/>
        <w:gridCol w:w="5803"/>
        <w:gridCol w:w="571"/>
        <w:gridCol w:w="450"/>
        <w:gridCol w:w="730"/>
      </w:tblGrid>
      <w:tr w14:paraId="004D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3" w:type="pct"/>
            <w:vAlign w:val="center"/>
          </w:tcPr>
          <w:p w14:paraId="77B67BA5">
            <w:pPr>
              <w:tabs>
                <w:tab w:val="left" w:pos="0"/>
              </w:tabs>
              <w:wordWrap w:val="0"/>
              <w:spacing w:before="100" w:beforeAutospacing="1" w:line="312"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序号</w:t>
            </w:r>
          </w:p>
        </w:tc>
        <w:tc>
          <w:tcPr>
            <w:tcW w:w="380" w:type="pct"/>
            <w:vAlign w:val="center"/>
          </w:tcPr>
          <w:p w14:paraId="2EB26F5D">
            <w:pPr>
              <w:tabs>
                <w:tab w:val="left" w:pos="0"/>
              </w:tabs>
              <w:wordWrap w:val="0"/>
              <w:spacing w:before="100" w:beforeAutospacing="1" w:line="312"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货物名称</w:t>
            </w:r>
          </w:p>
        </w:tc>
        <w:tc>
          <w:tcPr>
            <w:tcW w:w="3352" w:type="pct"/>
            <w:vAlign w:val="center"/>
          </w:tcPr>
          <w:p w14:paraId="0E671788">
            <w:pPr>
              <w:tabs>
                <w:tab w:val="left" w:pos="0"/>
              </w:tabs>
              <w:wordWrap w:val="0"/>
              <w:spacing w:before="100" w:beforeAutospacing="1" w:line="312"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技术参数及要求</w:t>
            </w:r>
          </w:p>
        </w:tc>
        <w:tc>
          <w:tcPr>
            <w:tcW w:w="330" w:type="pct"/>
            <w:vAlign w:val="center"/>
          </w:tcPr>
          <w:p w14:paraId="23FE8098">
            <w:pPr>
              <w:tabs>
                <w:tab w:val="left" w:pos="0"/>
              </w:tabs>
              <w:wordWrap w:val="0"/>
              <w:spacing w:before="100" w:beforeAutospacing="1" w:line="312"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数量（台/套）</w:t>
            </w:r>
          </w:p>
        </w:tc>
        <w:tc>
          <w:tcPr>
            <w:tcW w:w="260" w:type="pct"/>
            <w:vAlign w:val="center"/>
          </w:tcPr>
          <w:p w14:paraId="759805EE">
            <w:pPr>
              <w:tabs>
                <w:tab w:val="left" w:pos="0"/>
              </w:tabs>
              <w:wordWrap w:val="0"/>
              <w:adjustRightInd w:val="0"/>
              <w:snapToGrid w:val="0"/>
              <w:spacing w:before="100" w:beforeAutospacing="1" w:line="312"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所属行业</w:t>
            </w:r>
          </w:p>
        </w:tc>
        <w:tc>
          <w:tcPr>
            <w:tcW w:w="422" w:type="pct"/>
            <w:vAlign w:val="center"/>
          </w:tcPr>
          <w:p w14:paraId="64287CEF">
            <w:pPr>
              <w:tabs>
                <w:tab w:val="left" w:pos="0"/>
              </w:tabs>
              <w:wordWrap w:val="0"/>
              <w:adjustRightInd w:val="0"/>
              <w:snapToGrid w:val="0"/>
              <w:spacing w:before="100" w:beforeAutospacing="1" w:line="312"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备注（进口或强制节能）</w:t>
            </w:r>
          </w:p>
        </w:tc>
      </w:tr>
      <w:tr w14:paraId="36782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53" w:type="pct"/>
            <w:vAlign w:val="center"/>
          </w:tcPr>
          <w:p w14:paraId="456D2F7E">
            <w:pPr>
              <w:tabs>
                <w:tab w:val="left" w:pos="0"/>
              </w:tabs>
              <w:wordWrap w:val="0"/>
              <w:spacing w:line="312"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380" w:type="pct"/>
            <w:vAlign w:val="center"/>
          </w:tcPr>
          <w:p w14:paraId="08C3C95F">
            <w:pPr>
              <w:tabs>
                <w:tab w:val="left" w:pos="0"/>
              </w:tabs>
              <w:wordWrap w:val="0"/>
              <w:spacing w:line="312" w:lineRule="auto"/>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激光植球机</w:t>
            </w:r>
          </w:p>
        </w:tc>
        <w:tc>
          <w:tcPr>
            <w:tcW w:w="3352" w:type="pct"/>
          </w:tcPr>
          <w:p w14:paraId="5A110625">
            <w:pPr>
              <w:pStyle w:val="15"/>
              <w:tabs>
                <w:tab w:val="left" w:pos="0"/>
              </w:tabs>
              <w:wordWrap w:val="0"/>
              <w:spacing w:line="312" w:lineRule="auto"/>
              <w:ind w:firstLine="0" w:firstLineChars="0"/>
              <w:rPr>
                <w:rFonts w:hint="eastAsia" w:ascii="宋体" w:hAnsi="宋体" w:cs="宋体"/>
                <w:b/>
                <w:bCs/>
                <w:sz w:val="24"/>
                <w:szCs w:val="24"/>
                <w:highlight w:val="none"/>
              </w:rPr>
            </w:pPr>
            <w:r>
              <w:rPr>
                <w:rFonts w:hint="eastAsia" w:ascii="宋体" w:hAnsi="宋体" w:cs="宋体"/>
                <w:b/>
                <w:bCs/>
                <w:sz w:val="24"/>
                <w:szCs w:val="24"/>
                <w:highlight w:val="none"/>
              </w:rPr>
              <w:t>一、设备</w:t>
            </w:r>
            <w:r>
              <w:rPr>
                <w:rFonts w:hint="eastAsia" w:cs="宋体"/>
                <w:b/>
                <w:bCs/>
                <w:kern w:val="0"/>
                <w:sz w:val="24"/>
                <w:szCs w:val="24"/>
                <w:highlight w:val="none"/>
                <w:lang w:bidi="ar"/>
              </w:rPr>
              <w:t>功能</w:t>
            </w:r>
          </w:p>
          <w:p w14:paraId="5A25A1F7">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激光植球机是一种单点激光植球的设备。设备可用于半导体晶圆、单芯片、各种半导体基板（PCB、陶瓷基板、柔性基板等）、半导体元器件（BGA等）的植球或微凸点制作。</w:t>
            </w:r>
          </w:p>
          <w:p w14:paraId="70C3697A">
            <w:pPr>
              <w:pStyle w:val="15"/>
              <w:tabs>
                <w:tab w:val="left" w:pos="0"/>
              </w:tabs>
              <w:wordWrap w:val="0"/>
              <w:spacing w:line="312" w:lineRule="auto"/>
              <w:ind w:firstLine="0" w:firstLineChars="0"/>
              <w:rPr>
                <w:rFonts w:hint="eastAsia" w:ascii="宋体" w:hAnsi="宋体" w:cs="宋体"/>
                <w:b/>
                <w:bCs/>
                <w:sz w:val="24"/>
                <w:szCs w:val="24"/>
                <w:highlight w:val="none"/>
              </w:rPr>
            </w:pPr>
            <w:r>
              <w:rPr>
                <w:rFonts w:hint="eastAsia" w:ascii="宋体" w:hAnsi="宋体" w:cs="宋体"/>
                <w:b/>
                <w:bCs/>
                <w:sz w:val="24"/>
                <w:szCs w:val="24"/>
                <w:highlight w:val="none"/>
              </w:rPr>
              <w:t>二、具体要求</w:t>
            </w:r>
          </w:p>
          <w:p w14:paraId="13B26AFA">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1.工作条件</w:t>
            </w:r>
          </w:p>
          <w:p w14:paraId="3EBEC3D3">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1.1设备用电：230V单相/3线，20A，50/60Hz。</w:t>
            </w:r>
          </w:p>
          <w:p w14:paraId="376B48AC">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1.2环境温度：</w:t>
            </w:r>
            <w:r>
              <w:rPr>
                <w:rFonts w:hint="eastAsia" w:ascii="宋体" w:hAnsi="宋体" w:eastAsia="宋体" w:cs="宋体"/>
                <w:kern w:val="0"/>
                <w:sz w:val="24"/>
                <w:szCs w:val="24"/>
                <w:highlight w:val="none"/>
                <w:lang w:bidi="ar"/>
              </w:rPr>
              <w:t>15℃</w:t>
            </w:r>
            <w:bookmarkStart w:id="20" w:name="OLE_LINK52"/>
            <w:r>
              <w:rPr>
                <w:rFonts w:hint="eastAsia" w:ascii="宋体" w:hAnsi="宋体" w:eastAsia="宋体" w:cs="宋体"/>
                <w:kern w:val="0"/>
                <w:sz w:val="24"/>
                <w:szCs w:val="24"/>
                <w:highlight w:val="none"/>
                <w:lang w:bidi="ar"/>
              </w:rPr>
              <w:t>～</w:t>
            </w:r>
            <w:bookmarkEnd w:id="20"/>
            <w:r>
              <w:rPr>
                <w:rFonts w:hint="eastAsia" w:ascii="宋体" w:hAnsi="宋体" w:eastAsia="宋体" w:cs="宋体"/>
                <w:kern w:val="0"/>
                <w:sz w:val="24"/>
                <w:szCs w:val="24"/>
                <w:highlight w:val="none"/>
                <w:lang w:bidi="ar"/>
              </w:rPr>
              <w:t>30℃。</w:t>
            </w:r>
          </w:p>
          <w:p w14:paraId="29CFD237">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1.3相对湿度：30%-80%。</w:t>
            </w:r>
          </w:p>
          <w:p w14:paraId="24C058C1">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三、</w:t>
            </w:r>
            <w:r>
              <w:rPr>
                <w:rFonts w:hint="eastAsia" w:ascii="宋体" w:hAnsi="宋体" w:eastAsia="宋体" w:cs="宋体"/>
                <w:b/>
                <w:bCs/>
                <w:sz w:val="24"/>
                <w:szCs w:val="24"/>
                <w:highlight w:val="none"/>
              </w:rPr>
              <w:t>技术参数</w:t>
            </w:r>
          </w:p>
          <w:p w14:paraId="0219B69D">
            <w:pPr>
              <w:tabs>
                <w:tab w:val="left" w:pos="0"/>
              </w:tabs>
              <w:wordWrap w:val="0"/>
              <w:spacing w:line="312" w:lineRule="auto"/>
              <w:rPr>
                <w:rFonts w:hint="eastAsia" w:ascii="宋体" w:hAnsi="宋体" w:eastAsia="宋体" w:cs="宋体"/>
                <w:sz w:val="24"/>
                <w:szCs w:val="24"/>
                <w:highlight w:val="none"/>
              </w:rPr>
            </w:pPr>
            <w:bookmarkStart w:id="21" w:name="OLE_LINK11"/>
            <w:r>
              <w:rPr>
                <w:rFonts w:hint="eastAsia" w:ascii="宋体" w:hAnsi="宋体" w:eastAsia="宋体" w:cs="宋体"/>
                <w:sz w:val="24"/>
                <w:szCs w:val="24"/>
                <w:highlight w:val="none"/>
              </w:rPr>
              <w:t>★</w:t>
            </w:r>
            <w:bookmarkEnd w:id="21"/>
            <w:r>
              <w:rPr>
                <w:rFonts w:hint="eastAsia" w:ascii="宋体" w:hAnsi="宋体" w:eastAsia="宋体" w:cs="宋体"/>
                <w:sz w:val="24"/>
                <w:szCs w:val="24"/>
                <w:highlight w:val="none"/>
              </w:rPr>
              <w:t>1.支持球径范围：60um～500um。</w:t>
            </w:r>
          </w:p>
          <w:p w14:paraId="2F7F57FD">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★2.植球速度：最快≥5球/秒。</w:t>
            </w:r>
          </w:p>
          <w:p w14:paraId="435F4C2B">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3.支持产品尺寸：可支持≤8英寸晶圆或方形基板。</w:t>
            </w:r>
          </w:p>
          <w:p w14:paraId="39F9F480">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★4.设备X,Y轴精度：</w:t>
            </w:r>
            <w:bookmarkStart w:id="22" w:name="OLE_LINK48"/>
            <w:bookmarkStart w:id="23" w:name="OLE_LINK47"/>
            <w:r>
              <w:rPr>
                <w:rFonts w:hint="eastAsia" w:ascii="宋体" w:hAnsi="宋体" w:eastAsia="宋体" w:cs="宋体"/>
                <w:sz w:val="24"/>
                <w:szCs w:val="24"/>
                <w:highlight w:val="none"/>
              </w:rPr>
              <w:t>≤</w:t>
            </w:r>
            <w:bookmarkEnd w:id="22"/>
            <w:bookmarkEnd w:id="23"/>
            <w:r>
              <w:rPr>
                <w:rFonts w:hint="eastAsia" w:ascii="宋体" w:hAnsi="宋体" w:eastAsia="宋体" w:cs="宋体"/>
                <w:sz w:val="24"/>
                <w:szCs w:val="24"/>
                <w:highlight w:val="none"/>
              </w:rPr>
              <w:t>±5um。</w:t>
            </w:r>
          </w:p>
          <w:p w14:paraId="45259509">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■5.支持焊球合金种类：SAC,SnAg，SnPb，AuSn，InSn，SnBi等。</w:t>
            </w:r>
          </w:p>
          <w:p w14:paraId="4DD35F7F">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★6.设备安全：整台设备需符合LaserClassI安全认证，设备需具备安全联锁功能。</w:t>
            </w:r>
          </w:p>
          <w:p w14:paraId="41037430">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■7.设备工作台：尺寸</w:t>
            </w:r>
            <w:bookmarkStart w:id="24" w:name="OLE_LINK45"/>
            <w:bookmarkStart w:id="25" w:name="OLE_LINK46"/>
            <w:r>
              <w:rPr>
                <w:rFonts w:hint="eastAsia" w:ascii="宋体" w:hAnsi="宋体" w:eastAsia="宋体" w:cs="宋体"/>
                <w:kern w:val="0"/>
                <w:sz w:val="24"/>
                <w:szCs w:val="24"/>
                <w:highlight w:val="none"/>
                <w:lang w:bidi="ar"/>
              </w:rPr>
              <w:t>≥</w:t>
            </w:r>
            <w:bookmarkEnd w:id="24"/>
            <w:bookmarkEnd w:id="25"/>
            <w:r>
              <w:rPr>
                <w:rFonts w:hint="eastAsia" w:ascii="宋体" w:hAnsi="宋体" w:eastAsia="宋体" w:cs="宋体"/>
                <w:sz w:val="24"/>
                <w:szCs w:val="24"/>
                <w:highlight w:val="none"/>
              </w:rPr>
              <w:t>200mm*200</w:t>
            </w:r>
            <w:bookmarkStart w:id="26" w:name="OLE_LINK44"/>
            <w:bookmarkStart w:id="27" w:name="OLE_LINK43"/>
            <w:r>
              <w:rPr>
                <w:rFonts w:hint="eastAsia" w:ascii="宋体" w:hAnsi="宋体" w:eastAsia="宋体" w:cs="宋体"/>
                <w:sz w:val="24"/>
                <w:szCs w:val="24"/>
                <w:highlight w:val="none"/>
              </w:rPr>
              <w:t>mm</w:t>
            </w:r>
            <w:bookmarkEnd w:id="26"/>
            <w:bookmarkEnd w:id="27"/>
            <w:r>
              <w:rPr>
                <w:rFonts w:hint="eastAsia" w:ascii="宋体" w:hAnsi="宋体" w:eastAsia="宋体" w:cs="宋体"/>
                <w:sz w:val="24"/>
                <w:szCs w:val="24"/>
                <w:highlight w:val="none"/>
              </w:rPr>
              <w:t>,具备加热功能，具备真空吸附功能，可同时支持单芯片吸附、基板及晶圆的吸附。</w:t>
            </w:r>
          </w:p>
          <w:p w14:paraId="3C8D223D">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8.设备需配备激光自动校准功能，实现自动将激光光斑和喷嘴进行对准，实现最大化激光能量输出。</w:t>
            </w:r>
          </w:p>
          <w:p w14:paraId="0D675EF9">
            <w:pPr>
              <w:tabs>
                <w:tab w:val="left" w:pos="0"/>
              </w:tabs>
              <w:wordWrap w:val="0"/>
              <w:spacing w:line="312" w:lineRule="auto"/>
              <w:rPr>
                <w:rFonts w:hint="eastAsia" w:ascii="宋体" w:hAnsi="宋体" w:eastAsia="宋体" w:cs="宋体"/>
                <w:sz w:val="24"/>
                <w:szCs w:val="24"/>
                <w:highlight w:val="none"/>
              </w:rPr>
            </w:pPr>
            <w:bookmarkStart w:id="28" w:name="OLE_LINK51"/>
            <w:r>
              <w:rPr>
                <w:rFonts w:hint="eastAsia" w:ascii="宋体" w:hAnsi="宋体" w:eastAsia="宋体" w:cs="宋体"/>
                <w:sz w:val="24"/>
                <w:szCs w:val="24"/>
                <w:highlight w:val="none"/>
              </w:rPr>
              <w:t>■</w:t>
            </w:r>
            <w:bookmarkEnd w:id="28"/>
            <w:r>
              <w:rPr>
                <w:rFonts w:hint="eastAsia" w:ascii="宋体" w:hAnsi="宋体" w:eastAsia="宋体" w:cs="宋体"/>
                <w:sz w:val="24"/>
                <w:szCs w:val="24"/>
                <w:highlight w:val="none"/>
              </w:rPr>
              <w:t>9.设备需配备植球位置编程功能，读取焊盘分布图纸或手动编辑焊盘位置阵列。</w:t>
            </w:r>
          </w:p>
          <w:p w14:paraId="51B31DA5">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10.设备需配备激光传感器测量焊盘表面高度。</w:t>
            </w:r>
          </w:p>
          <w:p w14:paraId="5F851CB4">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11.设备需配备激光能量计，用于测量激光能量输出。</w:t>
            </w:r>
          </w:p>
          <w:p w14:paraId="10AB1676">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12.激光器：数量1台，光纤激光器，波长</w:t>
            </w:r>
            <w:r>
              <w:rPr>
                <w:rFonts w:hint="eastAsia" w:ascii="宋体" w:hAnsi="宋体" w:eastAsia="宋体" w:cs="宋体"/>
                <w:kern w:val="0"/>
                <w:sz w:val="24"/>
                <w:szCs w:val="24"/>
                <w:highlight w:val="none"/>
                <w:lang w:bidi="ar"/>
              </w:rPr>
              <w:t>≥</w:t>
            </w:r>
            <w:r>
              <w:rPr>
                <w:rFonts w:hint="eastAsia" w:ascii="宋体" w:hAnsi="宋体" w:eastAsia="宋体" w:cs="宋体"/>
                <w:sz w:val="24"/>
                <w:szCs w:val="24"/>
                <w:highlight w:val="none"/>
              </w:rPr>
              <w:t>1000nm，冷却方式为风冷。</w:t>
            </w:r>
          </w:p>
          <w:p w14:paraId="0E896405">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★13.激光能量输出稳定性：</w:t>
            </w:r>
            <w:r>
              <w:rPr>
                <w:rFonts w:hint="eastAsia" w:ascii="宋体" w:hAnsi="宋体" w:eastAsia="宋体" w:cs="宋体"/>
                <w:kern w:val="0"/>
                <w:sz w:val="24"/>
                <w:szCs w:val="24"/>
                <w:highlight w:val="none"/>
                <w:lang w:bidi="ar"/>
              </w:rPr>
              <w:t>≤±</w:t>
            </w:r>
            <w:r>
              <w:rPr>
                <w:rFonts w:hint="eastAsia" w:ascii="宋体" w:hAnsi="宋体" w:eastAsia="宋体" w:cs="宋体"/>
                <w:sz w:val="24"/>
                <w:szCs w:val="24"/>
                <w:highlight w:val="none"/>
              </w:rPr>
              <w:t>1%。</w:t>
            </w:r>
          </w:p>
          <w:p w14:paraId="47CEBB4E">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14.设备共计需配备2个焊头：</w:t>
            </w:r>
            <w:r>
              <w:rPr>
                <w:rFonts w:hint="eastAsia" w:ascii="宋体" w:hAnsi="宋体" w:eastAsia="宋体" w:cs="宋体"/>
                <w:kern w:val="0"/>
                <w:sz w:val="24"/>
                <w:szCs w:val="24"/>
                <w:highlight w:val="none"/>
                <w:lang w:bidi="ar"/>
              </w:rPr>
              <w:t>≤</w:t>
            </w:r>
            <w:r>
              <w:rPr>
                <w:rFonts w:hint="eastAsia" w:ascii="宋体" w:hAnsi="宋体" w:eastAsia="宋体" w:cs="宋体"/>
                <w:sz w:val="24"/>
                <w:szCs w:val="24"/>
                <w:highlight w:val="none"/>
              </w:rPr>
              <w:t>250um焊头1个；﹥250um焊头1个。</w:t>
            </w:r>
          </w:p>
          <w:p w14:paraId="60F46E9C">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15.设备需配备氮气压力自动调节功能。</w:t>
            </w:r>
          </w:p>
          <w:p w14:paraId="1C443742">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★16.植球位置精度：</w:t>
            </w:r>
            <w:r>
              <w:rPr>
                <w:rFonts w:hint="eastAsia" w:ascii="宋体" w:hAnsi="宋体" w:eastAsia="宋体" w:cs="宋体"/>
                <w:kern w:val="0"/>
                <w:sz w:val="24"/>
                <w:szCs w:val="24"/>
                <w:highlight w:val="none"/>
                <w:lang w:bidi="ar"/>
              </w:rPr>
              <w:t>≤±</w:t>
            </w:r>
            <w:r>
              <w:rPr>
                <w:rFonts w:hint="eastAsia" w:ascii="宋体" w:hAnsi="宋体" w:eastAsia="宋体" w:cs="宋体"/>
                <w:sz w:val="24"/>
                <w:szCs w:val="24"/>
                <w:highlight w:val="none"/>
              </w:rPr>
              <w:t>5%*球径（抛除焊球本身一致性差异、焊盘尺寸一致性差异、焊盘位置一致性差异）。</w:t>
            </w:r>
          </w:p>
          <w:p w14:paraId="000897A0">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★17.植球后的球高需</w:t>
            </w:r>
            <w:r>
              <w:rPr>
                <w:rFonts w:hint="eastAsia" w:ascii="宋体" w:hAnsi="宋体" w:eastAsia="宋体" w:cs="宋体"/>
                <w:kern w:val="0"/>
                <w:sz w:val="24"/>
                <w:szCs w:val="24"/>
                <w:highlight w:val="none"/>
                <w:lang w:bidi="ar"/>
              </w:rPr>
              <w:t>≤±</w:t>
            </w:r>
            <w:r>
              <w:rPr>
                <w:rFonts w:hint="eastAsia" w:ascii="宋体" w:hAnsi="宋体" w:eastAsia="宋体" w:cs="宋体"/>
                <w:sz w:val="24"/>
                <w:szCs w:val="24"/>
                <w:highlight w:val="none"/>
              </w:rPr>
              <w:t>5%*球径。</w:t>
            </w:r>
          </w:p>
          <w:p w14:paraId="64AD94E3">
            <w:pPr>
              <w:tabs>
                <w:tab w:val="left" w:pos="0"/>
              </w:tabs>
              <w:wordWrap w:val="0"/>
              <w:spacing w:line="312" w:lineRule="auto"/>
              <w:rPr>
                <w:rFonts w:hint="eastAsia" w:ascii="宋体" w:hAnsi="宋体" w:eastAsia="宋体" w:cs="宋体"/>
                <w:sz w:val="24"/>
                <w:szCs w:val="24"/>
                <w:highlight w:val="none"/>
              </w:rPr>
            </w:pPr>
            <w:bookmarkStart w:id="29" w:name="OLE_LINK50"/>
            <w:bookmarkStart w:id="30" w:name="OLE_LINK49"/>
            <w:r>
              <w:rPr>
                <w:rFonts w:hint="eastAsia" w:ascii="宋体" w:hAnsi="宋体" w:eastAsia="宋体" w:cs="宋体"/>
                <w:sz w:val="24"/>
                <w:szCs w:val="24"/>
                <w:highlight w:val="none"/>
              </w:rPr>
              <w:t>★</w:t>
            </w:r>
            <w:bookmarkEnd w:id="29"/>
            <w:bookmarkEnd w:id="30"/>
            <w:r>
              <w:rPr>
                <w:rFonts w:hint="eastAsia" w:ascii="宋体" w:hAnsi="宋体" w:eastAsia="宋体" w:cs="宋体"/>
                <w:sz w:val="24"/>
                <w:szCs w:val="24"/>
                <w:highlight w:val="none"/>
              </w:rPr>
              <w:t>18.喷嘴的寿命需可支持完成</w:t>
            </w:r>
            <w:r>
              <w:rPr>
                <w:rFonts w:hint="eastAsia" w:ascii="宋体" w:hAnsi="宋体" w:eastAsia="宋体" w:cs="宋体"/>
                <w:kern w:val="0"/>
                <w:sz w:val="24"/>
                <w:szCs w:val="24"/>
                <w:highlight w:val="none"/>
                <w:lang w:bidi="ar"/>
              </w:rPr>
              <w:t>≥</w:t>
            </w:r>
            <w:r>
              <w:rPr>
                <w:rFonts w:hint="eastAsia" w:ascii="宋体" w:hAnsi="宋体" w:eastAsia="宋体" w:cs="宋体"/>
                <w:sz w:val="24"/>
                <w:szCs w:val="24"/>
                <w:highlight w:val="none"/>
              </w:rPr>
              <w:t>60万颗锡球的植球。</w:t>
            </w:r>
          </w:p>
          <w:p w14:paraId="7235B868">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★19.配置要求</w:t>
            </w:r>
          </w:p>
          <w:p w14:paraId="11F0637F">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激光植球机，数量1台，配置如下：</w:t>
            </w:r>
          </w:p>
          <w:p w14:paraId="4E25C066">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设备框架和外壳。</w:t>
            </w:r>
          </w:p>
          <w:p w14:paraId="1952EAEA">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轴和驱动系统。</w:t>
            </w:r>
          </w:p>
          <w:p w14:paraId="1D0ACF07">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sz w:val="24"/>
                <w:szCs w:val="24"/>
                <w:highlight w:val="none"/>
              </w:rPr>
              <w:t>控制终端及配套操作系统。</w:t>
            </w:r>
          </w:p>
          <w:p w14:paraId="42B505FA">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焊头*2。</w:t>
            </w:r>
          </w:p>
          <w:p w14:paraId="35B317C5">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激光器*1。</w:t>
            </w:r>
          </w:p>
          <w:p w14:paraId="32A3B323">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激光自动校准系统。</w:t>
            </w:r>
          </w:p>
          <w:p w14:paraId="4D1C25FF">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Z方向高度自动测量系统。</w:t>
            </w:r>
          </w:p>
          <w:p w14:paraId="4BEA9123">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球径转换套件：9套（规格需与用户协商）。</w:t>
            </w:r>
          </w:p>
          <w:p w14:paraId="00CEBBF8">
            <w:pPr>
              <w:pStyle w:val="15"/>
              <w:numPr>
                <w:ilvl w:val="0"/>
                <w:numId w:val="2"/>
              </w:numPr>
              <w:tabs>
                <w:tab w:val="left" w:pos="0"/>
              </w:tabs>
              <w:wordWrap w:val="0"/>
              <w:spacing w:line="312" w:lineRule="auto"/>
              <w:ind w:firstLineChars="0"/>
              <w:rPr>
                <w:rFonts w:hint="eastAsia" w:ascii="宋体" w:hAnsi="宋体" w:cs="宋体"/>
                <w:sz w:val="24"/>
                <w:szCs w:val="24"/>
                <w:highlight w:val="none"/>
              </w:rPr>
            </w:pPr>
            <w:r>
              <w:rPr>
                <w:rFonts w:hint="eastAsia" w:ascii="宋体" w:hAnsi="宋体" w:cs="宋体"/>
                <w:sz w:val="24"/>
                <w:szCs w:val="24"/>
                <w:highlight w:val="none"/>
              </w:rPr>
              <w:t>喷嘴：共计70个（规格需与用户协商）。</w:t>
            </w:r>
          </w:p>
          <w:p w14:paraId="160DBAD0">
            <w:pPr>
              <w:tabs>
                <w:tab w:val="left" w:pos="0"/>
              </w:tabs>
              <w:wordWrap w:val="0"/>
              <w:spacing w:line="312" w:lineRule="auto"/>
              <w:rPr>
                <w:rFonts w:hint="eastAsia" w:ascii="宋体" w:hAnsi="宋体" w:eastAsia="宋体" w:cs="宋体"/>
                <w:bCs/>
                <w:sz w:val="24"/>
                <w:szCs w:val="24"/>
                <w:highlight w:val="none"/>
              </w:rPr>
            </w:pPr>
            <w:r>
              <w:rPr>
                <w:rFonts w:hint="eastAsia" w:ascii="宋体" w:hAnsi="宋体" w:eastAsia="宋体" w:cs="宋体"/>
                <w:sz w:val="24"/>
                <w:szCs w:val="24"/>
                <w:highlight w:val="none"/>
              </w:rPr>
              <w:t>■20.具有产品生产厂商或国内总代理（或区域代理）针对本项目的授权书及原厂售后服务承诺，投标文件中提供对应证明材料扫描件。</w:t>
            </w:r>
          </w:p>
        </w:tc>
        <w:tc>
          <w:tcPr>
            <w:tcW w:w="330" w:type="pct"/>
            <w:vAlign w:val="center"/>
          </w:tcPr>
          <w:p w14:paraId="27C48D5D">
            <w:pPr>
              <w:tabs>
                <w:tab w:val="left" w:pos="0"/>
              </w:tabs>
              <w:wordWrap w:val="0"/>
              <w:spacing w:line="312" w:lineRule="auto"/>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p>
        </w:tc>
        <w:tc>
          <w:tcPr>
            <w:tcW w:w="260" w:type="pct"/>
            <w:vAlign w:val="center"/>
          </w:tcPr>
          <w:p w14:paraId="3A6FF8EC">
            <w:pPr>
              <w:tabs>
                <w:tab w:val="left" w:pos="0"/>
              </w:tabs>
              <w:wordWrap w:val="0"/>
              <w:spacing w:line="312" w:lineRule="auto"/>
              <w:jc w:val="center"/>
              <w:rPr>
                <w:rFonts w:hint="eastAsia" w:ascii="宋体" w:hAnsi="宋体" w:eastAsia="宋体" w:cs="宋体"/>
                <w:bCs/>
                <w:sz w:val="24"/>
                <w:szCs w:val="24"/>
                <w:highlight w:val="none"/>
              </w:rPr>
            </w:pPr>
            <w:r>
              <w:rPr>
                <w:rFonts w:hint="eastAsia" w:asciiTheme="majorEastAsia" w:hAnsiTheme="majorEastAsia" w:eastAsiaTheme="majorEastAsia"/>
                <w:bCs/>
                <w:sz w:val="24"/>
                <w:szCs w:val="24"/>
                <w:highlight w:val="none"/>
              </w:rPr>
              <w:t>工业</w:t>
            </w:r>
          </w:p>
        </w:tc>
        <w:tc>
          <w:tcPr>
            <w:tcW w:w="422" w:type="pct"/>
            <w:vAlign w:val="center"/>
          </w:tcPr>
          <w:p w14:paraId="74AD468B">
            <w:pPr>
              <w:tabs>
                <w:tab w:val="left" w:pos="0"/>
              </w:tabs>
              <w:wordWrap w:val="0"/>
              <w:spacing w:line="312" w:lineRule="auto"/>
              <w:jc w:val="center"/>
              <w:rPr>
                <w:rFonts w:hint="eastAsia" w:ascii="宋体" w:hAnsi="宋体" w:eastAsia="宋体" w:cs="宋体"/>
                <w:bCs/>
                <w:sz w:val="24"/>
                <w:szCs w:val="24"/>
                <w:highlight w:val="none"/>
              </w:rPr>
            </w:pPr>
            <w:r>
              <w:rPr>
                <w:rFonts w:hint="eastAsia" w:ascii="宋体" w:hAnsi="宋体" w:eastAsia="宋体" w:cs="宋体"/>
                <w:b/>
                <w:sz w:val="24"/>
                <w:szCs w:val="24"/>
                <w:highlight w:val="none"/>
              </w:rPr>
              <w:t>进口</w:t>
            </w:r>
          </w:p>
        </w:tc>
      </w:tr>
      <w:tr w14:paraId="258E1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253" w:type="pct"/>
            <w:vAlign w:val="center"/>
          </w:tcPr>
          <w:p w14:paraId="3B312667">
            <w:pPr>
              <w:tabs>
                <w:tab w:val="left" w:pos="0"/>
              </w:tabs>
              <w:wordWrap w:val="0"/>
              <w:spacing w:line="312" w:lineRule="auto"/>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380" w:type="pct"/>
            <w:vAlign w:val="center"/>
          </w:tcPr>
          <w:p w14:paraId="679B15FB">
            <w:pPr>
              <w:tabs>
                <w:tab w:val="left" w:pos="0"/>
              </w:tabs>
              <w:wordWrap w:val="0"/>
              <w:spacing w:line="312" w:lineRule="auto"/>
              <w:jc w:val="center"/>
              <w:rPr>
                <w:rFonts w:hint="eastAsia" w:ascii="宋体" w:hAnsi="宋体" w:eastAsia="宋体" w:cs="宋体"/>
                <w:bCs/>
                <w:sz w:val="24"/>
                <w:szCs w:val="24"/>
                <w:highlight w:val="none"/>
              </w:rPr>
            </w:pPr>
            <w:r>
              <w:rPr>
                <w:rFonts w:hint="eastAsia" w:ascii="宋体" w:hAnsi="宋体" w:eastAsia="宋体" w:cs="宋体"/>
                <w:b/>
                <w:bCs/>
                <w:kern w:val="0"/>
                <w:sz w:val="24"/>
                <w:szCs w:val="24"/>
                <w:highlight w:val="none"/>
              </w:rPr>
              <w:t>▲</w:t>
            </w:r>
            <w:r>
              <w:rPr>
                <w:rFonts w:hint="eastAsia" w:ascii="宋体" w:hAnsi="宋体" w:eastAsia="宋体" w:cs="宋体"/>
                <w:b/>
                <w:kern w:val="0"/>
                <w:sz w:val="24"/>
                <w:szCs w:val="24"/>
                <w:highlight w:val="none"/>
              </w:rPr>
              <w:t>高精度外延生长系统</w:t>
            </w:r>
          </w:p>
        </w:tc>
        <w:tc>
          <w:tcPr>
            <w:tcW w:w="3352" w:type="pct"/>
          </w:tcPr>
          <w:p w14:paraId="43A732D9">
            <w:pPr>
              <w:widowControl/>
              <w:tabs>
                <w:tab w:val="left" w:pos="0"/>
              </w:tabs>
              <w:wordWrap w:val="0"/>
              <w:spacing w:line="312" w:lineRule="auto"/>
              <w:jc w:val="left"/>
              <w:rPr>
                <w:rFonts w:hint="eastAsia" w:ascii="宋体" w:hAnsi="宋体" w:eastAsia="宋体" w:cs="宋体"/>
                <w:b/>
                <w:bCs/>
                <w:kern w:val="0"/>
                <w:sz w:val="24"/>
                <w:szCs w:val="24"/>
                <w:highlight w:val="none"/>
                <w:lang w:bidi="ar"/>
              </w:rPr>
            </w:pPr>
            <w:r>
              <w:rPr>
                <w:rFonts w:hint="eastAsia" w:ascii="宋体" w:hAnsi="宋体" w:eastAsia="宋体" w:cs="宋体"/>
                <w:b/>
                <w:bCs/>
                <w:kern w:val="0"/>
                <w:sz w:val="24"/>
                <w:szCs w:val="24"/>
                <w:highlight w:val="none"/>
                <w:lang w:bidi="ar"/>
              </w:rPr>
              <w:t>一、设备功能</w:t>
            </w:r>
          </w:p>
          <w:p w14:paraId="0056818F">
            <w:pPr>
              <w:widowControl/>
              <w:tabs>
                <w:tab w:val="left" w:pos="0"/>
              </w:tabs>
              <w:wordWrap w:val="0"/>
              <w:spacing w:line="312" w:lineRule="auto"/>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外延生长系统为CCS近耦合垂直喷淋气流注入式金属有机物化学气相沉积（MOCVD），兼容实现Ga</w:t>
            </w:r>
            <w:r>
              <w:rPr>
                <w:rFonts w:hint="eastAsia" w:ascii="宋体" w:hAnsi="宋体" w:eastAsia="宋体" w:cs="宋体"/>
                <w:kern w:val="0"/>
                <w:sz w:val="24"/>
                <w:szCs w:val="24"/>
                <w:highlight w:val="none"/>
                <w:vertAlign w:val="subscript"/>
                <w:lang w:bidi="ar"/>
              </w:rPr>
              <w:t>2</w:t>
            </w:r>
            <w:r>
              <w:rPr>
                <w:rFonts w:hint="eastAsia" w:ascii="宋体" w:hAnsi="宋体" w:eastAsia="宋体" w:cs="宋体"/>
                <w:kern w:val="0"/>
                <w:sz w:val="24"/>
                <w:szCs w:val="24"/>
                <w:highlight w:val="none"/>
                <w:lang w:bidi="ar"/>
              </w:rPr>
              <w:t>O</w:t>
            </w:r>
            <w:r>
              <w:rPr>
                <w:rFonts w:hint="eastAsia" w:ascii="宋体" w:hAnsi="宋体" w:eastAsia="宋体" w:cs="宋体"/>
                <w:kern w:val="0"/>
                <w:sz w:val="24"/>
                <w:szCs w:val="24"/>
                <w:highlight w:val="none"/>
                <w:vertAlign w:val="subscript"/>
                <w:lang w:bidi="ar"/>
              </w:rPr>
              <w:t>3、</w:t>
            </w:r>
            <w:r>
              <w:rPr>
                <w:rFonts w:hint="eastAsia" w:ascii="宋体" w:hAnsi="宋体" w:eastAsia="宋体" w:cs="宋体"/>
                <w:kern w:val="0"/>
                <w:sz w:val="24"/>
                <w:szCs w:val="24"/>
                <w:highlight w:val="none"/>
                <w:lang w:bidi="ar"/>
              </w:rPr>
              <w:t>GaN、2D材料等薄膜材料生长，满足光电子、微电子、MEMS微纳工艺中外延层薄膜材料的生长。受限于场地规划，设备尺寸≤</w:t>
            </w:r>
            <w:r>
              <w:rPr>
                <w:rFonts w:ascii="宋体" w:hAnsi="宋体" w:eastAsia="宋体" w:cs="宋体"/>
                <w:kern w:val="0"/>
                <w:sz w:val="24"/>
                <w:szCs w:val="24"/>
                <w:highlight w:val="none"/>
                <w:lang w:bidi="ar"/>
              </w:rPr>
              <w:t>5000</w:t>
            </w:r>
            <w:r>
              <w:rPr>
                <w:rFonts w:hint="eastAsia" w:ascii="宋体" w:hAnsi="宋体" w:eastAsia="宋体" w:cs="宋体"/>
                <w:kern w:val="0"/>
                <w:sz w:val="24"/>
                <w:szCs w:val="24"/>
                <w:highlight w:val="none"/>
                <w:lang w:bidi="ar"/>
              </w:rPr>
              <w:t>*1000*</w:t>
            </w:r>
            <w:r>
              <w:rPr>
                <w:rFonts w:ascii="宋体" w:hAnsi="宋体" w:eastAsia="宋体" w:cs="宋体"/>
                <w:kern w:val="0"/>
                <w:sz w:val="24"/>
                <w:szCs w:val="24"/>
                <w:highlight w:val="none"/>
                <w:lang w:bidi="ar"/>
              </w:rPr>
              <w:t>2200</w:t>
            </w:r>
            <w:r>
              <w:rPr>
                <w:rFonts w:hint="eastAsia" w:ascii="宋体" w:hAnsi="宋体" w:eastAsia="宋体" w:cs="宋体"/>
                <w:kern w:val="0"/>
                <w:sz w:val="24"/>
                <w:szCs w:val="24"/>
                <w:highlight w:val="none"/>
                <w:lang w:bidi="ar"/>
              </w:rPr>
              <w:t>（长*宽*高，mm）。</w:t>
            </w:r>
          </w:p>
          <w:p w14:paraId="11B4EC72">
            <w:pPr>
              <w:widowControl/>
              <w:tabs>
                <w:tab w:val="left" w:pos="0"/>
              </w:tabs>
              <w:wordWrap w:val="0"/>
              <w:spacing w:line="312" w:lineRule="auto"/>
              <w:jc w:val="left"/>
              <w:rPr>
                <w:rFonts w:hint="eastAsia" w:ascii="宋体" w:hAnsi="宋体" w:eastAsia="宋体" w:cs="宋体"/>
                <w:sz w:val="24"/>
                <w:szCs w:val="24"/>
                <w:highlight w:val="none"/>
              </w:rPr>
            </w:pPr>
            <w:r>
              <w:rPr>
                <w:rFonts w:hint="eastAsia" w:ascii="宋体" w:hAnsi="宋体" w:eastAsia="宋体" w:cs="宋体"/>
                <w:b/>
                <w:bCs/>
                <w:kern w:val="0"/>
                <w:sz w:val="24"/>
                <w:szCs w:val="24"/>
                <w:highlight w:val="none"/>
                <w:lang w:bidi="ar"/>
              </w:rPr>
              <w:t>二、工作条件</w:t>
            </w:r>
          </w:p>
          <w:p w14:paraId="64DF8C4F">
            <w:pPr>
              <w:widowControl/>
              <w:tabs>
                <w:tab w:val="left" w:pos="0"/>
              </w:tabs>
              <w:wordWrap w:val="0"/>
              <w:spacing w:line="312" w:lineRule="auto"/>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1.洁净室：Class1000以上。</w:t>
            </w:r>
          </w:p>
          <w:p w14:paraId="6F169210">
            <w:pPr>
              <w:widowControl/>
              <w:tabs>
                <w:tab w:val="left" w:pos="0"/>
              </w:tabs>
              <w:wordWrap w:val="0"/>
              <w:spacing w:line="312" w:lineRule="auto"/>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2.环境湿度：30%～70%。</w:t>
            </w:r>
          </w:p>
          <w:p w14:paraId="4FEE5A49">
            <w:pPr>
              <w:widowControl/>
              <w:tabs>
                <w:tab w:val="left" w:pos="0"/>
              </w:tabs>
              <w:wordWrap w:val="0"/>
              <w:spacing w:line="312" w:lineRule="auto"/>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3.温度范围：15°C～35°C。</w:t>
            </w:r>
          </w:p>
          <w:p w14:paraId="060A80B5">
            <w:pPr>
              <w:widowControl/>
              <w:tabs>
                <w:tab w:val="left" w:pos="0"/>
              </w:tabs>
              <w:wordWrap w:val="0"/>
              <w:spacing w:line="312" w:lineRule="auto"/>
              <w:jc w:val="left"/>
              <w:rPr>
                <w:rFonts w:hint="eastAsia" w:ascii="宋体" w:hAnsi="宋体" w:eastAsia="宋体" w:cs="宋体"/>
                <w:sz w:val="24"/>
                <w:szCs w:val="24"/>
                <w:highlight w:val="none"/>
              </w:rPr>
            </w:pPr>
            <w:r>
              <w:rPr>
                <w:rFonts w:hint="eastAsia" w:ascii="宋体" w:hAnsi="宋体" w:eastAsia="宋体" w:cs="宋体"/>
                <w:b/>
                <w:bCs/>
                <w:kern w:val="0"/>
                <w:sz w:val="24"/>
                <w:szCs w:val="24"/>
                <w:highlight w:val="none"/>
                <w:lang w:bidi="ar"/>
              </w:rPr>
              <w:t>三、技术指标</w:t>
            </w:r>
          </w:p>
          <w:p w14:paraId="5BF85F97">
            <w:pPr>
              <w:tabs>
                <w:tab w:val="left" w:pos="0"/>
              </w:tabs>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★1.反应腔</w:t>
            </w:r>
          </w:p>
          <w:p w14:paraId="62781AC4">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1.1采用金属反应腔，喷淋头内管道密度≥</w:t>
            </w:r>
            <w:r>
              <w:rPr>
                <w:rFonts w:ascii="宋体" w:hAnsi="宋体" w:cs="宋体"/>
                <w:sz w:val="24"/>
                <w:szCs w:val="24"/>
                <w:highlight w:val="none"/>
              </w:rPr>
              <w:t>90管/平方英寸，喷淋头进气孔直径在0.3</w:t>
            </w:r>
            <w:r>
              <w:rPr>
                <w:rFonts w:hint="eastAsia" w:ascii="宋体" w:hAnsi="宋体" w:cs="宋体"/>
                <w:sz w:val="24"/>
                <w:szCs w:val="24"/>
                <w:highlight w:val="none"/>
              </w:rPr>
              <w:t>mm</w:t>
            </w:r>
            <w:r>
              <w:rPr>
                <w:rFonts w:ascii="宋体" w:hAnsi="宋体" w:cs="宋体"/>
                <w:sz w:val="24"/>
                <w:szCs w:val="24"/>
                <w:highlight w:val="none"/>
              </w:rPr>
              <w:t>~0.6mm范围，相邻孔中心间距≤2.6mm</w:t>
            </w:r>
            <w:r>
              <w:rPr>
                <w:rFonts w:hint="eastAsia" w:ascii="宋体" w:hAnsi="宋体" w:cs="宋体"/>
                <w:sz w:val="24"/>
                <w:szCs w:val="24"/>
                <w:highlight w:val="none"/>
              </w:rPr>
              <w:t>，反应腔顶盖配Ceiling（喷淋头挡板），反应腔内径尺寸≤</w:t>
            </w:r>
            <w:r>
              <w:rPr>
                <w:rFonts w:ascii="宋体" w:hAnsi="宋体" w:cs="宋体"/>
                <w:sz w:val="24"/>
                <w:szCs w:val="24"/>
                <w:highlight w:val="none"/>
              </w:rPr>
              <w:t>300mm</w:t>
            </w:r>
            <w:r>
              <w:rPr>
                <w:rFonts w:hint="eastAsia" w:ascii="宋体" w:hAnsi="宋体" w:cs="宋体"/>
                <w:sz w:val="24"/>
                <w:szCs w:val="24"/>
                <w:highlight w:val="none"/>
              </w:rPr>
              <w:t>，喷淋头</w:t>
            </w:r>
            <w:r>
              <w:rPr>
                <w:rFonts w:ascii="宋体" w:hAnsi="宋体" w:cs="宋体"/>
                <w:sz w:val="24"/>
                <w:szCs w:val="24"/>
                <w:highlight w:val="none"/>
              </w:rPr>
              <w:t>孔面直径≤200mm</w:t>
            </w:r>
            <w:r>
              <w:rPr>
                <w:rFonts w:hint="eastAsia" w:ascii="宋体" w:hAnsi="宋体" w:cs="宋体"/>
                <w:sz w:val="24"/>
                <w:szCs w:val="24"/>
                <w:highlight w:val="none"/>
              </w:rPr>
              <w:t>。</w:t>
            </w:r>
          </w:p>
          <w:p w14:paraId="34A7B529">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1.2支持单片6英寸、4英寸，3片3英寸，6片2英寸。</w:t>
            </w:r>
          </w:p>
          <w:p w14:paraId="20DDA536">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1.3漏率：≤1x10</w:t>
            </w:r>
            <w:r>
              <w:rPr>
                <w:rFonts w:hint="eastAsia" w:ascii="宋体" w:hAnsi="宋体" w:cs="宋体"/>
                <w:sz w:val="24"/>
                <w:szCs w:val="24"/>
                <w:highlight w:val="none"/>
                <w:vertAlign w:val="superscript"/>
              </w:rPr>
              <w:t>-9</w:t>
            </w:r>
            <w:r>
              <w:rPr>
                <w:rFonts w:hint="eastAsia" w:ascii="宋体" w:hAnsi="宋体" w:cs="宋体"/>
                <w:sz w:val="24"/>
                <w:szCs w:val="24"/>
                <w:highlight w:val="none"/>
              </w:rPr>
              <w:t>mbar·L/s。</w:t>
            </w:r>
          </w:p>
          <w:p w14:paraId="7217CEBF">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1.4本底真空：≤5.3×10</w:t>
            </w:r>
            <w:r>
              <w:rPr>
                <w:rFonts w:hint="eastAsia" w:ascii="宋体" w:hAnsi="宋体" w:cs="宋体"/>
                <w:sz w:val="24"/>
                <w:szCs w:val="24"/>
                <w:highlight w:val="none"/>
                <w:vertAlign w:val="superscript"/>
              </w:rPr>
              <w:t>-2</w:t>
            </w:r>
            <w:r>
              <w:rPr>
                <w:rFonts w:hint="eastAsia" w:ascii="宋体" w:hAnsi="宋体" w:cs="宋体"/>
                <w:sz w:val="24"/>
                <w:szCs w:val="24"/>
                <w:highlight w:val="none"/>
              </w:rPr>
              <w:t>mbar（50Hz）。</w:t>
            </w:r>
          </w:p>
          <w:p w14:paraId="16637631">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1.5工艺压力范围：5.0mbar～1000mbar。</w:t>
            </w:r>
          </w:p>
          <w:p w14:paraId="00B9F292">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1.6反应室控压精度：</w:t>
            </w:r>
            <w:bookmarkStart w:id="31" w:name="OLE_LINK4"/>
            <w:r>
              <w:rPr>
                <w:rFonts w:hint="eastAsia" w:ascii="宋体" w:hAnsi="宋体" w:cs="宋体"/>
                <w:sz w:val="24"/>
                <w:szCs w:val="24"/>
                <w:highlight w:val="none"/>
              </w:rPr>
              <w:t>≤</w:t>
            </w:r>
            <w:bookmarkEnd w:id="31"/>
            <w:r>
              <w:rPr>
                <w:rFonts w:hint="eastAsia" w:ascii="宋体" w:hAnsi="宋体" w:cs="宋体"/>
                <w:sz w:val="24"/>
                <w:szCs w:val="24"/>
                <w:highlight w:val="none"/>
              </w:rPr>
              <w:t>±1%或≤1mbar。</w:t>
            </w:r>
          </w:p>
          <w:p w14:paraId="789B8A6D">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1.7反应室抽速：由1000mbar至5.0mbar时间不超过6min。</w:t>
            </w:r>
          </w:p>
          <w:p w14:paraId="021A6B11">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1.8材料生长压力：≥900mbar。</w:t>
            </w:r>
          </w:p>
          <w:p w14:paraId="4A8A26BE">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1.9工艺间隙（ProcessGap）：≤11mm。</w:t>
            </w:r>
          </w:p>
          <w:p w14:paraId="30FD3060">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★2.加热系统</w:t>
            </w:r>
          </w:p>
          <w:p w14:paraId="7C35AC30">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2.1加热系统升温速率：≥1.2℃/s，或≥100℃/min。</w:t>
            </w:r>
          </w:p>
          <w:p w14:paraId="321B9B0F">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2.2石墨盘面温度：≤1400℃@GaN，≤1200℃@Ga</w:t>
            </w:r>
            <w:r>
              <w:rPr>
                <w:rFonts w:hint="eastAsia" w:ascii="宋体" w:hAnsi="宋体" w:cs="宋体"/>
                <w:sz w:val="24"/>
                <w:szCs w:val="24"/>
                <w:highlight w:val="none"/>
                <w:vertAlign w:val="subscript"/>
              </w:rPr>
              <w:t>2</w:t>
            </w:r>
            <w:r>
              <w:rPr>
                <w:rFonts w:hint="eastAsia" w:ascii="宋体" w:hAnsi="宋体" w:cs="宋体"/>
                <w:sz w:val="24"/>
                <w:szCs w:val="24"/>
                <w:highlight w:val="none"/>
              </w:rPr>
              <w:t>O</w:t>
            </w:r>
            <w:r>
              <w:rPr>
                <w:rFonts w:hint="eastAsia" w:ascii="宋体" w:hAnsi="宋体" w:cs="宋体"/>
                <w:sz w:val="24"/>
                <w:szCs w:val="24"/>
                <w:highlight w:val="none"/>
                <w:vertAlign w:val="subscript"/>
              </w:rPr>
              <w:t>3</w:t>
            </w:r>
            <w:r>
              <w:rPr>
                <w:rFonts w:hint="eastAsia" w:ascii="宋体" w:hAnsi="宋体" w:cs="宋体"/>
                <w:sz w:val="24"/>
                <w:szCs w:val="24"/>
                <w:highlight w:val="none"/>
              </w:rPr>
              <w:t>&amp;2D。</w:t>
            </w:r>
          </w:p>
          <w:p w14:paraId="68185E65">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2.3加热系统温度精度：≤±1℃。</w:t>
            </w:r>
          </w:p>
          <w:p w14:paraId="09EA41A1">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■3.旋转系统</w:t>
            </w:r>
          </w:p>
          <w:p w14:paraId="7AE47768">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3.1转速范围：0-200RPM。</w:t>
            </w:r>
          </w:p>
          <w:p w14:paraId="29C5BA48">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sz w:val="24"/>
                <w:szCs w:val="24"/>
                <w:highlight w:val="none"/>
              </w:rPr>
              <w:t>3.2控制精度：≤±0</w:t>
            </w:r>
            <w:r>
              <w:rPr>
                <w:rFonts w:hint="eastAsia" w:ascii="宋体" w:hAnsi="宋体" w:cs="宋体"/>
                <w:snapToGrid w:val="0"/>
                <w:kern w:val="0"/>
                <w:sz w:val="24"/>
                <w:szCs w:val="24"/>
                <w:highlight w:val="none"/>
                <w:lang w:bidi="ar"/>
              </w:rPr>
              <w:t>.5RPM。</w:t>
            </w:r>
          </w:p>
          <w:p w14:paraId="21882C68">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4.真空系统</w:t>
            </w:r>
          </w:p>
          <w:p w14:paraId="001C59DE">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4.1真空室压力:5.0mbar～1000mbar连续可调。</w:t>
            </w:r>
          </w:p>
          <w:p w14:paraId="5AB04315">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4.2配可编程碟型节流阀，控制精度≤±0.1%</w:t>
            </w:r>
            <w:r>
              <w:rPr>
                <w:rFonts w:ascii="宋体" w:hAnsi="宋体" w:cs="宋体"/>
                <w:sz w:val="24"/>
                <w:szCs w:val="24"/>
                <w:highlight w:val="none"/>
              </w:rPr>
              <w:t xml:space="preserve"> </w:t>
            </w:r>
            <w:r>
              <w:rPr>
                <w:rFonts w:hint="eastAsia" w:ascii="宋体" w:hAnsi="宋体" w:cs="宋体"/>
                <w:sz w:val="24"/>
                <w:szCs w:val="24"/>
                <w:highlight w:val="none"/>
              </w:rPr>
              <w:t>of</w:t>
            </w:r>
            <w:r>
              <w:rPr>
                <w:rFonts w:ascii="宋体" w:hAnsi="宋体" w:cs="宋体"/>
                <w:sz w:val="24"/>
                <w:szCs w:val="24"/>
                <w:highlight w:val="none"/>
              </w:rPr>
              <w:t xml:space="preserve"> </w:t>
            </w:r>
            <w:r>
              <w:rPr>
                <w:rFonts w:hint="eastAsia" w:ascii="宋体" w:hAnsi="宋体" w:cs="宋体"/>
                <w:sz w:val="24"/>
                <w:szCs w:val="24"/>
                <w:highlight w:val="none"/>
              </w:rPr>
              <w:t>F.S.，控制范围0.5</w:t>
            </w:r>
            <w:r>
              <w:rPr>
                <w:rFonts w:ascii="宋体" w:hAnsi="宋体" w:cs="宋体"/>
                <w:sz w:val="24"/>
                <w:szCs w:val="24"/>
                <w:highlight w:val="none"/>
              </w:rPr>
              <w:t>%</w:t>
            </w:r>
            <w:r>
              <w:rPr>
                <w:rFonts w:hint="eastAsia" w:ascii="宋体" w:hAnsi="宋体" w:cs="宋体"/>
                <w:sz w:val="24"/>
                <w:szCs w:val="24"/>
                <w:highlight w:val="none"/>
              </w:rPr>
              <w:t>-100%。</w:t>
            </w:r>
          </w:p>
          <w:p w14:paraId="370A67A1">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sz w:val="24"/>
                <w:szCs w:val="24"/>
                <w:highlight w:val="none"/>
              </w:rPr>
              <w:t>4.3 50Hz时抽速≤2</w:t>
            </w:r>
            <w:r>
              <w:rPr>
                <w:rFonts w:hint="eastAsia" w:ascii="宋体" w:hAnsi="宋体" w:cs="宋体"/>
                <w:kern w:val="0"/>
                <w:sz w:val="24"/>
                <w:szCs w:val="24"/>
                <w:highlight w:val="none"/>
                <w:lang w:bidi="ar"/>
              </w:rPr>
              <w:t>500L/min。</w:t>
            </w:r>
          </w:p>
          <w:p w14:paraId="25365C0A">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5.MO单元组</w:t>
            </w:r>
          </w:p>
          <w:p w14:paraId="3175A93A">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kern w:val="0"/>
                <w:sz w:val="24"/>
                <w:szCs w:val="24"/>
                <w:highlight w:val="none"/>
                <w:lang w:bidi="ar"/>
              </w:rPr>
              <w:t>5.1</w:t>
            </w:r>
            <w:r>
              <w:rPr>
                <w:rFonts w:hint="eastAsia" w:ascii="宋体" w:hAnsi="宋体" w:cs="宋体"/>
                <w:sz w:val="24"/>
                <w:szCs w:val="24"/>
                <w:highlight w:val="none"/>
              </w:rPr>
              <w:t xml:space="preserve"> MO-1：TMGa，标准配置，2个MFC，1个PC，阀组和管路及接头等。</w:t>
            </w:r>
          </w:p>
          <w:p w14:paraId="09E9D563">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5.2 MO-2：DEZn，标准配置，2个MFC，1个PC，阀组和管路及接头等。</w:t>
            </w:r>
          </w:p>
          <w:p w14:paraId="6AABFD18">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5.3 MO-3：TMAl，标准配置，2个MFC，1个PC，阀组和管路及接头等。</w:t>
            </w:r>
          </w:p>
          <w:p w14:paraId="63198285">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5.4 MO-4：Cp2Mg，标准配置，2个MFC ，1个PC，阀组和管路及接头等。</w:t>
            </w:r>
          </w:p>
          <w:p w14:paraId="64B10B5F">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5.5 MO-5：TMIn，标准配置，2个MFC，1个PC，阀组和管路及接头等。</w:t>
            </w:r>
          </w:p>
          <w:p w14:paraId="770E1A4B">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5.6 MO-6：TEGa，标准配置，2个MFC ，1个PC，阀组和管路及接头等。</w:t>
            </w:r>
          </w:p>
          <w:p w14:paraId="7313A6D4">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5.7 MO-7：Mo(CO)6，标准配置，2个MFC，1个PC，阀组和管路及接头等。</w:t>
            </w:r>
          </w:p>
          <w:p w14:paraId="53F40F52">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5.8 MO-8：DTBS，标准配置，2个MFC，1个PC，阀组和管路及接头等。</w:t>
            </w:r>
          </w:p>
          <w:p w14:paraId="54FCA3D1">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5.9 MO-9</w:t>
            </w:r>
            <w:r>
              <w:rPr>
                <w:rFonts w:hint="eastAsia" w:ascii="宋体" w:hAnsi="宋体" w:cs="宋体"/>
                <w:kern w:val="0"/>
                <w:sz w:val="24"/>
                <w:szCs w:val="24"/>
                <w:highlight w:val="none"/>
                <w:lang w:bidi="ar"/>
              </w:rPr>
              <w:t>～</w:t>
            </w:r>
            <w:r>
              <w:rPr>
                <w:rFonts w:hint="eastAsia" w:ascii="宋体" w:hAnsi="宋体" w:cs="宋体"/>
                <w:sz w:val="24"/>
                <w:szCs w:val="24"/>
                <w:highlight w:val="none"/>
              </w:rPr>
              <w:t>MO-12：预留空间。</w:t>
            </w:r>
          </w:p>
          <w:p w14:paraId="7B255965">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5.10 SiH4_1掺杂源：双稀释，进气主管路及切换系统。</w:t>
            </w:r>
          </w:p>
          <w:p w14:paraId="62E37B0A">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sz w:val="24"/>
                <w:szCs w:val="24"/>
                <w:highlight w:val="none"/>
              </w:rPr>
              <w:t>5.11 Dummy-MO-1</w:t>
            </w:r>
            <w:r>
              <w:rPr>
                <w:rFonts w:hint="eastAsia" w:ascii="宋体" w:hAnsi="宋体" w:cs="宋体"/>
                <w:kern w:val="0"/>
                <w:sz w:val="24"/>
                <w:szCs w:val="24"/>
                <w:highlight w:val="none"/>
                <w:lang w:bidi="ar"/>
              </w:rPr>
              <w:t>：气体补偿与平衡，1个MFC，和阀组。</w:t>
            </w:r>
          </w:p>
          <w:p w14:paraId="4BF41882">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5.12 MO源用MFC技术指标：</w:t>
            </w:r>
          </w:p>
          <w:p w14:paraId="6E5CFFF3">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（1）精度：≤±1.0% F.S.(设定流量＞30% F.S.)；</w:t>
            </w:r>
          </w:p>
          <w:p w14:paraId="00D40D7C">
            <w:pPr>
              <w:pStyle w:val="2"/>
              <w:tabs>
                <w:tab w:val="left" w:pos="0"/>
              </w:tabs>
              <w:spacing w:line="312" w:lineRule="auto"/>
              <w:ind w:left="0" w:firstLine="1200" w:firstLineChars="50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≤±0.3% F.S.(设定流量≤30% F.S.)。</w:t>
            </w:r>
          </w:p>
          <w:p w14:paraId="6215F96E">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（2）线性：≤±0.5%F.S.。</w:t>
            </w:r>
          </w:p>
          <w:p w14:paraId="000ED153">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（3）重复精度：≤±0.2% F.S.。</w:t>
            </w:r>
          </w:p>
          <w:p w14:paraId="53810C5B">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（4）控制范围：2%~100% F.S.。</w:t>
            </w:r>
          </w:p>
          <w:p w14:paraId="18C3E989">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（5）漏率：≤5×10-12 Pa</w:t>
            </w:r>
            <w:r>
              <w:rPr>
                <w:rFonts w:hint="eastAsia" w:ascii="微软雅黑" w:hAnsi="微软雅黑" w:eastAsia="微软雅黑" w:cs="微软雅黑"/>
                <w:kern w:val="0"/>
                <w:sz w:val="24"/>
                <w:szCs w:val="24"/>
                <w:highlight w:val="none"/>
                <w:lang w:bidi="ar"/>
              </w:rPr>
              <w:t>・</w:t>
            </w:r>
            <w:r>
              <w:rPr>
                <w:rFonts w:hint="eastAsia" w:ascii="宋体" w:hAnsi="宋体" w:eastAsia="宋体" w:cs="宋体"/>
                <w:kern w:val="0"/>
                <w:sz w:val="24"/>
                <w:szCs w:val="24"/>
                <w:highlight w:val="none"/>
                <w:lang w:bidi="ar"/>
              </w:rPr>
              <w:t>m</w:t>
            </w:r>
            <w:r>
              <w:rPr>
                <w:rFonts w:hint="eastAsia" w:ascii="宋体" w:hAnsi="宋体" w:eastAsia="宋体" w:cs="宋体"/>
                <w:kern w:val="0"/>
                <w:sz w:val="24"/>
                <w:szCs w:val="24"/>
                <w:highlight w:val="none"/>
                <w:vertAlign w:val="superscript"/>
                <w:lang w:bidi="ar"/>
              </w:rPr>
              <w:t>3</w:t>
            </w:r>
            <w:r>
              <w:rPr>
                <w:rFonts w:hint="eastAsia" w:ascii="宋体" w:hAnsi="宋体" w:eastAsia="宋体" w:cs="宋体"/>
                <w:kern w:val="0"/>
                <w:sz w:val="24"/>
                <w:szCs w:val="24"/>
                <w:highlight w:val="none"/>
                <w:lang w:bidi="ar"/>
              </w:rPr>
              <w:t>/s(He)。</w:t>
            </w:r>
          </w:p>
          <w:p w14:paraId="2EE2F228">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（6）环境温度范围：15~45 ℃</w:t>
            </w:r>
            <w:r>
              <w:rPr>
                <w:rFonts w:hAnsi="Times New Roman" w:eastAsia="宋体"/>
                <w:kern w:val="0"/>
                <w:sz w:val="24"/>
                <w:szCs w:val="24"/>
                <w:highlight w:val="none"/>
                <w:lang w:bidi="ar"/>
              </w:rPr>
              <w:t>‌</w:t>
            </w:r>
          </w:p>
          <w:p w14:paraId="5370A3A6">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（7）使用压力：50~300 kPa(d)。</w:t>
            </w:r>
          </w:p>
          <w:p w14:paraId="2342FD36">
            <w:pPr>
              <w:tabs>
                <w:tab w:val="left" w:pos="0"/>
              </w:tabs>
              <w:wordWrap w:val="0"/>
              <w:spacing w:line="312" w:lineRule="auto"/>
              <w:rPr>
                <w:rFonts w:hint="eastAsia" w:ascii="宋体" w:hAnsi="宋体" w:eastAsia="宋体" w:cs="宋体"/>
                <w:kern w:val="0"/>
                <w:sz w:val="24"/>
                <w:szCs w:val="24"/>
                <w:highlight w:val="none"/>
                <w:lang w:bidi="ar"/>
              </w:rPr>
            </w:pPr>
            <w:bookmarkStart w:id="32" w:name="OLE_LINK54"/>
            <w:bookmarkStart w:id="33" w:name="OLE_LINK53"/>
            <w:r>
              <w:rPr>
                <w:rFonts w:hint="eastAsia" w:ascii="宋体" w:hAnsi="宋体" w:eastAsia="宋体" w:cs="宋体"/>
                <w:sz w:val="24"/>
                <w:szCs w:val="24"/>
                <w:highlight w:val="none"/>
              </w:rPr>
              <w:t>★</w:t>
            </w:r>
            <w:bookmarkEnd w:id="32"/>
            <w:bookmarkEnd w:id="33"/>
            <w:r>
              <w:rPr>
                <w:rFonts w:hint="eastAsia" w:ascii="宋体" w:hAnsi="宋体" w:eastAsia="宋体" w:cs="宋体"/>
                <w:kern w:val="0"/>
                <w:sz w:val="24"/>
                <w:szCs w:val="24"/>
                <w:highlight w:val="none"/>
                <w:lang w:bidi="ar"/>
              </w:rPr>
              <w:t>6.氨源及载气单元组</w:t>
            </w:r>
          </w:p>
          <w:p w14:paraId="5BF8B54A">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6.1</w:t>
            </w:r>
            <w:r>
              <w:rPr>
                <w:rFonts w:hint="eastAsia" w:ascii="宋体" w:hAnsi="宋体" w:cs="宋体"/>
                <w:sz w:val="24"/>
                <w:szCs w:val="24"/>
                <w:highlight w:val="none"/>
              </w:rPr>
              <w:t xml:space="preserve"> </w:t>
            </w:r>
            <w:r>
              <w:rPr>
                <w:rFonts w:hint="eastAsia" w:ascii="宋体" w:hAnsi="宋体" w:cs="宋体"/>
                <w:kern w:val="0"/>
                <w:sz w:val="24"/>
                <w:szCs w:val="24"/>
                <w:highlight w:val="none"/>
                <w:lang w:bidi="ar"/>
              </w:rPr>
              <w:t>O</w:t>
            </w:r>
            <w:r>
              <w:rPr>
                <w:rFonts w:hint="eastAsia" w:ascii="宋体" w:hAnsi="宋体" w:cs="宋体"/>
                <w:kern w:val="0"/>
                <w:sz w:val="24"/>
                <w:szCs w:val="24"/>
                <w:highlight w:val="none"/>
                <w:vertAlign w:val="subscript"/>
                <w:lang w:bidi="ar"/>
              </w:rPr>
              <w:t>2</w:t>
            </w:r>
            <w:r>
              <w:rPr>
                <w:rFonts w:hint="eastAsia" w:ascii="宋体" w:hAnsi="宋体" w:cs="宋体"/>
                <w:kern w:val="0"/>
                <w:sz w:val="24"/>
                <w:szCs w:val="24"/>
                <w:highlight w:val="none"/>
                <w:lang w:bidi="ar"/>
              </w:rPr>
              <w:t>：标准配置，2个MFC，调压阀，压力表，阀组和管路及接头等。</w:t>
            </w:r>
          </w:p>
          <w:p w14:paraId="6F4FCC52">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6.2</w:t>
            </w:r>
            <w:r>
              <w:rPr>
                <w:rFonts w:hint="eastAsia" w:ascii="宋体" w:hAnsi="宋体" w:cs="宋体"/>
                <w:sz w:val="24"/>
                <w:szCs w:val="24"/>
                <w:highlight w:val="none"/>
              </w:rPr>
              <w:t xml:space="preserve"> </w:t>
            </w:r>
            <w:r>
              <w:rPr>
                <w:rFonts w:hint="eastAsia" w:ascii="宋体" w:hAnsi="宋体" w:cs="宋体"/>
                <w:kern w:val="0"/>
                <w:sz w:val="24"/>
                <w:szCs w:val="24"/>
                <w:highlight w:val="none"/>
                <w:lang w:bidi="ar"/>
              </w:rPr>
              <w:t>NH</w:t>
            </w:r>
            <w:r>
              <w:rPr>
                <w:rFonts w:hint="eastAsia" w:ascii="宋体" w:hAnsi="宋体" w:cs="宋体"/>
                <w:kern w:val="0"/>
                <w:sz w:val="24"/>
                <w:szCs w:val="24"/>
                <w:highlight w:val="none"/>
                <w:vertAlign w:val="subscript"/>
                <w:lang w:bidi="ar"/>
              </w:rPr>
              <w:t>3</w:t>
            </w:r>
            <w:r>
              <w:rPr>
                <w:rFonts w:hint="eastAsia" w:ascii="宋体" w:hAnsi="宋体" w:cs="宋体"/>
                <w:kern w:val="0"/>
                <w:sz w:val="24"/>
                <w:szCs w:val="24"/>
                <w:highlight w:val="none"/>
                <w:lang w:bidi="ar"/>
              </w:rPr>
              <w:t>：标准配置，2个MFC，调压阀，压力表，阀组和管路及接头等。</w:t>
            </w:r>
          </w:p>
          <w:p w14:paraId="635E49F7">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6.3</w:t>
            </w:r>
            <w:r>
              <w:rPr>
                <w:rFonts w:hint="eastAsia" w:ascii="宋体" w:hAnsi="宋体" w:cs="宋体"/>
                <w:sz w:val="24"/>
                <w:szCs w:val="24"/>
                <w:highlight w:val="none"/>
              </w:rPr>
              <w:t xml:space="preserve"> </w:t>
            </w:r>
            <w:r>
              <w:rPr>
                <w:rFonts w:hint="eastAsia" w:ascii="宋体" w:hAnsi="宋体" w:cs="宋体"/>
                <w:kern w:val="0"/>
                <w:sz w:val="24"/>
                <w:szCs w:val="24"/>
                <w:highlight w:val="none"/>
                <w:lang w:bidi="ar"/>
              </w:rPr>
              <w:t>H</w:t>
            </w:r>
            <w:r>
              <w:rPr>
                <w:rFonts w:hint="eastAsia" w:ascii="宋体" w:hAnsi="宋体" w:cs="宋体"/>
                <w:kern w:val="0"/>
                <w:sz w:val="24"/>
                <w:szCs w:val="24"/>
                <w:highlight w:val="none"/>
                <w:vertAlign w:val="subscript"/>
                <w:lang w:bidi="ar"/>
              </w:rPr>
              <w:t>2</w:t>
            </w:r>
            <w:r>
              <w:rPr>
                <w:rFonts w:hint="eastAsia" w:ascii="宋体" w:hAnsi="宋体" w:cs="宋体"/>
                <w:kern w:val="0"/>
                <w:sz w:val="24"/>
                <w:szCs w:val="24"/>
                <w:highlight w:val="none"/>
                <w:lang w:bidi="ar"/>
              </w:rPr>
              <w:t>：进气管道及切换系统，调压阀，压力表，阀组和管路及接头等。</w:t>
            </w:r>
          </w:p>
          <w:p w14:paraId="33488364">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6.4</w:t>
            </w:r>
            <w:r>
              <w:rPr>
                <w:rFonts w:hint="eastAsia" w:ascii="宋体" w:hAnsi="宋体" w:cs="宋体"/>
                <w:sz w:val="24"/>
                <w:szCs w:val="24"/>
                <w:highlight w:val="none"/>
              </w:rPr>
              <w:t xml:space="preserve"> </w:t>
            </w:r>
            <w:r>
              <w:rPr>
                <w:rFonts w:hint="eastAsia" w:ascii="宋体" w:hAnsi="宋体" w:cs="宋体"/>
                <w:kern w:val="0"/>
                <w:sz w:val="24"/>
                <w:szCs w:val="24"/>
                <w:highlight w:val="none"/>
                <w:lang w:bidi="ar"/>
              </w:rPr>
              <w:t>Ar：进气管道及切换系统，调压阀，压力表，阀组和管路及接头等。</w:t>
            </w:r>
          </w:p>
          <w:p w14:paraId="7FE55410">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6.5</w:t>
            </w:r>
            <w:r>
              <w:rPr>
                <w:rFonts w:hint="eastAsia" w:ascii="宋体" w:hAnsi="宋体" w:cs="宋体"/>
                <w:sz w:val="24"/>
                <w:szCs w:val="24"/>
                <w:highlight w:val="none"/>
              </w:rPr>
              <w:t xml:space="preserve"> </w:t>
            </w:r>
            <w:r>
              <w:rPr>
                <w:rFonts w:hint="eastAsia" w:ascii="宋体" w:hAnsi="宋体" w:cs="宋体"/>
                <w:kern w:val="0"/>
                <w:sz w:val="24"/>
                <w:szCs w:val="24"/>
                <w:highlight w:val="none"/>
                <w:lang w:bidi="ar"/>
              </w:rPr>
              <w:t>Dummy-Hyd-1：气体补偿与平衡，1个MFC，和阀组。</w:t>
            </w:r>
          </w:p>
          <w:p w14:paraId="1BD6E79F">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6.6</w:t>
            </w:r>
            <w:r>
              <w:rPr>
                <w:rFonts w:hint="eastAsia" w:ascii="宋体" w:hAnsi="宋体" w:cs="宋体"/>
                <w:sz w:val="24"/>
                <w:szCs w:val="24"/>
                <w:highlight w:val="none"/>
              </w:rPr>
              <w:t xml:space="preserve"> </w:t>
            </w:r>
            <w:r>
              <w:rPr>
                <w:rFonts w:hint="eastAsia" w:ascii="宋体" w:hAnsi="宋体" w:cs="宋体"/>
                <w:kern w:val="0"/>
                <w:sz w:val="24"/>
                <w:szCs w:val="24"/>
                <w:highlight w:val="none"/>
                <w:lang w:bidi="ar"/>
              </w:rPr>
              <w:t>Hydride单元组之Run/Vent管路、阀岛、阀组和压差平衡系统。</w:t>
            </w:r>
          </w:p>
          <w:p w14:paraId="1E807157">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6.7 Source Supply气体管路，阀组（MO+Hyd）。</w:t>
            </w:r>
          </w:p>
          <w:p w14:paraId="4088E162">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6.8 MFC技术指标：</w:t>
            </w:r>
          </w:p>
          <w:p w14:paraId="5E3B5114">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（1）精度：≤±1.0% F.S.(设定流量＞30% F.S.)；</w:t>
            </w:r>
          </w:p>
          <w:p w14:paraId="24A25C5C">
            <w:pPr>
              <w:pStyle w:val="2"/>
              <w:tabs>
                <w:tab w:val="left" w:pos="0"/>
              </w:tabs>
              <w:spacing w:line="312" w:lineRule="auto"/>
              <w:ind w:left="0" w:firstLine="1200" w:firstLineChars="50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≤±0.3% F.S.(设定流量≤30% F.S.)。</w:t>
            </w:r>
          </w:p>
          <w:p w14:paraId="03BE0513">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（2）线性：≤±0.5%F.S.。</w:t>
            </w:r>
          </w:p>
          <w:p w14:paraId="2BD5609A">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（3）重复精度：≤±0.2% F.S.。</w:t>
            </w:r>
          </w:p>
          <w:p w14:paraId="33E7BE5A">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（4）控制范围：2%~100% F.S.。</w:t>
            </w:r>
          </w:p>
          <w:p w14:paraId="5C7E4455">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（5）漏率：≤5×10-12 Pa</w:t>
            </w:r>
            <w:r>
              <w:rPr>
                <w:rFonts w:hint="eastAsia" w:ascii="微软雅黑" w:hAnsi="微软雅黑" w:eastAsia="微软雅黑" w:cs="微软雅黑"/>
                <w:kern w:val="0"/>
                <w:sz w:val="24"/>
                <w:szCs w:val="24"/>
                <w:highlight w:val="none"/>
                <w:lang w:bidi="ar"/>
              </w:rPr>
              <w:t>・</w:t>
            </w:r>
            <w:r>
              <w:rPr>
                <w:rFonts w:hint="eastAsia" w:ascii="宋体" w:hAnsi="宋体" w:eastAsia="宋体" w:cs="宋体"/>
                <w:kern w:val="0"/>
                <w:sz w:val="24"/>
                <w:szCs w:val="24"/>
                <w:highlight w:val="none"/>
                <w:lang w:bidi="ar"/>
              </w:rPr>
              <w:t>m</w:t>
            </w:r>
            <w:r>
              <w:rPr>
                <w:rFonts w:hint="eastAsia" w:ascii="宋体" w:hAnsi="宋体" w:eastAsia="宋体" w:cs="宋体"/>
                <w:kern w:val="0"/>
                <w:sz w:val="24"/>
                <w:szCs w:val="24"/>
                <w:highlight w:val="none"/>
                <w:vertAlign w:val="superscript"/>
                <w:lang w:bidi="ar"/>
              </w:rPr>
              <w:t>3</w:t>
            </w:r>
            <w:r>
              <w:rPr>
                <w:rFonts w:hint="eastAsia" w:ascii="宋体" w:hAnsi="宋体" w:eastAsia="宋体" w:cs="宋体"/>
                <w:kern w:val="0"/>
                <w:sz w:val="24"/>
                <w:szCs w:val="24"/>
                <w:highlight w:val="none"/>
                <w:lang w:bidi="ar"/>
              </w:rPr>
              <w:t>/s(He)。</w:t>
            </w:r>
          </w:p>
          <w:p w14:paraId="73104F36">
            <w:pPr>
              <w:pStyle w:val="2"/>
              <w:tabs>
                <w:tab w:val="left" w:pos="0"/>
              </w:tabs>
              <w:spacing w:line="312" w:lineRule="auto"/>
              <w:ind w:left="0" w:firstLine="0" w:firstLineChars="0"/>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（6）环境温度范围：15~45 ℃</w:t>
            </w:r>
            <w:r>
              <w:rPr>
                <w:rFonts w:hAnsi="Times New Roman" w:eastAsia="宋体"/>
                <w:kern w:val="0"/>
                <w:sz w:val="24"/>
                <w:szCs w:val="24"/>
                <w:highlight w:val="none"/>
                <w:lang w:bidi="ar"/>
              </w:rPr>
              <w:t>‌</w:t>
            </w:r>
          </w:p>
          <w:p w14:paraId="53BBBEC1">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（7）使用压力：50~300 kPa(d)。</w:t>
            </w:r>
          </w:p>
          <w:p w14:paraId="6491E0EE">
            <w:pPr>
              <w:widowControl/>
              <w:tabs>
                <w:tab w:val="left" w:pos="0"/>
              </w:tabs>
              <w:wordWrap w:val="0"/>
              <w:spacing w:line="312" w:lineRule="auto"/>
              <w:jc w:val="left"/>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7.恒温水浴槽(6个)</w:t>
            </w:r>
          </w:p>
          <w:p w14:paraId="4B6EFD1A">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7.1调温范围：0-60°C。</w:t>
            </w:r>
          </w:p>
          <w:p w14:paraId="7BF0A4D6">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7.2控温精度：≤±0.03°C。</w:t>
            </w:r>
          </w:p>
          <w:p w14:paraId="59F09024">
            <w:pPr>
              <w:widowControl/>
              <w:tabs>
                <w:tab w:val="left" w:pos="0"/>
              </w:tabs>
              <w:wordWrap w:val="0"/>
              <w:spacing w:line="312" w:lineRule="auto"/>
              <w:jc w:val="left"/>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8.逻辑控制器PLC</w:t>
            </w:r>
          </w:p>
          <w:p w14:paraId="7CD68C37">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8.</w:t>
            </w:r>
            <w:r>
              <w:rPr>
                <w:rFonts w:ascii="宋体" w:hAnsi="宋体" w:cs="宋体"/>
                <w:kern w:val="0"/>
                <w:sz w:val="24"/>
                <w:szCs w:val="24"/>
                <w:highlight w:val="none"/>
                <w:lang w:bidi="ar"/>
              </w:rPr>
              <w:t>1</w:t>
            </w:r>
            <w:r>
              <w:rPr>
                <w:rFonts w:hint="eastAsia" w:ascii="宋体" w:hAnsi="宋体" w:cs="宋体"/>
                <w:kern w:val="0"/>
                <w:sz w:val="24"/>
                <w:szCs w:val="24"/>
                <w:highlight w:val="none"/>
                <w:lang w:bidi="ar"/>
              </w:rPr>
              <w:t>实时性：最小PLC循环周期≤50µs，支持≤4个独立PLC任务，满足高速运动控制与快速逻辑响应需求。</w:t>
            </w:r>
          </w:p>
          <w:p w14:paraId="4DCE23B3">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8.</w:t>
            </w:r>
            <w:r>
              <w:rPr>
                <w:rFonts w:ascii="宋体" w:hAnsi="宋体" w:cs="宋体"/>
                <w:kern w:val="0"/>
                <w:sz w:val="24"/>
                <w:szCs w:val="24"/>
                <w:highlight w:val="none"/>
                <w:lang w:bidi="ar"/>
              </w:rPr>
              <w:t>2</w:t>
            </w:r>
            <w:r>
              <w:rPr>
                <w:rFonts w:hint="eastAsia" w:ascii="宋体" w:hAnsi="宋体" w:cs="宋体"/>
                <w:kern w:val="0"/>
                <w:sz w:val="24"/>
                <w:szCs w:val="24"/>
                <w:highlight w:val="none"/>
                <w:lang w:bidi="ar"/>
              </w:rPr>
              <w:t>运动控制能力：可执行电子齿轮、凸轮等复杂轴控算法（轴数受任务周期限制）。</w:t>
            </w:r>
          </w:p>
          <w:p w14:paraId="783C5E78">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9.原位监测及数据统计系统</w:t>
            </w:r>
          </w:p>
          <w:p w14:paraId="3F0116A2">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9.1配备原位监测系统，实时监测并显示外延生长时的反射曲线、表面温度、生长速率、温度mapping等。</w:t>
            </w:r>
          </w:p>
          <w:p w14:paraId="27CE1434">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9.2自动统计客户所需要的生长数据，可根据客户需求编辑计算。</w:t>
            </w:r>
          </w:p>
          <w:p w14:paraId="27E9D014">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10.安全监测与互锁系统</w:t>
            </w:r>
          </w:p>
          <w:p w14:paraId="4FE06A27">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10.1安全监测与报警系统（H</w:t>
            </w:r>
            <w:r>
              <w:rPr>
                <w:rFonts w:hint="eastAsia" w:ascii="宋体" w:hAnsi="宋体" w:eastAsia="宋体" w:cs="宋体"/>
                <w:kern w:val="0"/>
                <w:sz w:val="24"/>
                <w:szCs w:val="24"/>
                <w:highlight w:val="none"/>
                <w:vertAlign w:val="subscript"/>
                <w:lang w:bidi="ar"/>
              </w:rPr>
              <w:t>2</w:t>
            </w:r>
            <w:r>
              <w:rPr>
                <w:rFonts w:hint="eastAsia" w:ascii="宋体" w:hAnsi="宋体" w:eastAsia="宋体" w:cs="宋体"/>
                <w:kern w:val="0"/>
                <w:sz w:val="24"/>
                <w:szCs w:val="24"/>
                <w:highlight w:val="none"/>
                <w:lang w:bidi="ar"/>
              </w:rPr>
              <w:t>、NH</w:t>
            </w:r>
            <w:r>
              <w:rPr>
                <w:rFonts w:hint="eastAsia" w:ascii="宋体" w:hAnsi="宋体" w:eastAsia="宋体" w:cs="宋体"/>
                <w:kern w:val="0"/>
                <w:sz w:val="24"/>
                <w:szCs w:val="24"/>
                <w:highlight w:val="none"/>
                <w:vertAlign w:val="subscript"/>
                <w:lang w:bidi="ar"/>
              </w:rPr>
              <w:t>3</w:t>
            </w: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SiH</w:t>
            </w:r>
            <w:r>
              <w:rPr>
                <w:rFonts w:hint="eastAsia" w:ascii="宋体" w:hAnsi="宋体" w:eastAsia="宋体" w:cs="宋体"/>
                <w:kern w:val="0"/>
                <w:sz w:val="24"/>
                <w:szCs w:val="24"/>
                <w:highlight w:val="none"/>
                <w:vertAlign w:val="subscript"/>
                <w:lang w:bidi="ar"/>
              </w:rPr>
              <w:t>4</w:t>
            </w:r>
            <w:r>
              <w:rPr>
                <w:rFonts w:hint="eastAsia" w:ascii="宋体" w:hAnsi="宋体" w:eastAsia="宋体" w:cs="宋体"/>
                <w:kern w:val="0"/>
                <w:sz w:val="24"/>
                <w:szCs w:val="24"/>
                <w:highlight w:val="none"/>
                <w:lang w:bidi="ar"/>
              </w:rPr>
              <w:t>等特气气体监测，漏水监测等；每套配一组探头和一个电源信号盒子）。</w:t>
            </w:r>
          </w:p>
          <w:p w14:paraId="6F5540AB">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kern w:val="0"/>
                <w:sz w:val="24"/>
                <w:szCs w:val="24"/>
                <w:highlight w:val="none"/>
                <w:lang w:bidi="ar"/>
              </w:rPr>
              <w:t>10.2安全PLC，H</w:t>
            </w:r>
            <w:r>
              <w:rPr>
                <w:rFonts w:hint="eastAsia" w:ascii="宋体" w:hAnsi="宋体" w:eastAsia="宋体" w:cs="宋体"/>
                <w:kern w:val="0"/>
                <w:sz w:val="24"/>
                <w:szCs w:val="24"/>
                <w:highlight w:val="none"/>
                <w:vertAlign w:val="subscript"/>
                <w:lang w:bidi="ar"/>
              </w:rPr>
              <w:t>2</w:t>
            </w:r>
            <w:r>
              <w:rPr>
                <w:rFonts w:hint="eastAsia" w:ascii="宋体" w:hAnsi="宋体" w:eastAsia="宋体" w:cs="宋体"/>
                <w:kern w:val="0"/>
                <w:sz w:val="24"/>
                <w:szCs w:val="24"/>
                <w:highlight w:val="none"/>
                <w:lang w:bidi="ar"/>
              </w:rPr>
              <w:t>与O</w:t>
            </w:r>
            <w:r>
              <w:rPr>
                <w:rFonts w:hint="eastAsia" w:ascii="宋体" w:hAnsi="宋体" w:eastAsia="宋体" w:cs="宋体"/>
                <w:kern w:val="0"/>
                <w:sz w:val="24"/>
                <w:szCs w:val="24"/>
                <w:highlight w:val="none"/>
                <w:vertAlign w:val="subscript"/>
                <w:lang w:bidi="ar"/>
              </w:rPr>
              <w:t>2</w:t>
            </w:r>
            <w:r>
              <w:rPr>
                <w:rFonts w:hint="eastAsia" w:ascii="宋体" w:hAnsi="宋体" w:eastAsia="宋体" w:cs="宋体"/>
                <w:kern w:val="0"/>
                <w:sz w:val="24"/>
                <w:szCs w:val="24"/>
                <w:highlight w:val="none"/>
                <w:lang w:bidi="ar"/>
              </w:rPr>
              <w:t>互锁等安全互锁系统，EMO急停系统，报警灯塔。</w:t>
            </w:r>
          </w:p>
          <w:p w14:paraId="349ECC8B">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11.手套箱系统</w:t>
            </w:r>
          </w:p>
          <w:p w14:paraId="4B19C40A">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11.1净化方式为PN</w:t>
            </w:r>
            <w:r>
              <w:rPr>
                <w:rFonts w:hint="eastAsia" w:ascii="宋体" w:hAnsi="宋体" w:cs="宋体"/>
                <w:kern w:val="0"/>
                <w:sz w:val="24"/>
                <w:szCs w:val="24"/>
                <w:highlight w:val="none"/>
                <w:vertAlign w:val="subscript"/>
                <w:lang w:bidi="ar"/>
              </w:rPr>
              <w:t>2</w:t>
            </w:r>
            <w:r>
              <w:rPr>
                <w:rFonts w:hint="eastAsia" w:ascii="宋体" w:hAnsi="宋体" w:cs="宋体"/>
                <w:kern w:val="0"/>
                <w:sz w:val="24"/>
                <w:szCs w:val="24"/>
                <w:highlight w:val="none"/>
                <w:lang w:bidi="ar"/>
              </w:rPr>
              <w:t>内循环。</w:t>
            </w:r>
          </w:p>
          <w:p w14:paraId="3682A1C7">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11.2系统包含监控摄像头、粉尘过滤、再生纯化柱、压力控制、照明、真空吸笔、光栅安全防护、传递舱、水氧浓度传感器，控制软件。</w:t>
            </w:r>
          </w:p>
          <w:p w14:paraId="4C852995">
            <w:pPr>
              <w:tabs>
                <w:tab w:val="left" w:pos="0"/>
              </w:tabs>
              <w:wordWrap w:val="0"/>
              <w:spacing w:line="312" w:lineRule="auto"/>
              <w:rPr>
                <w:rFonts w:hint="eastAsia" w:ascii="宋体" w:hAnsi="宋体" w:eastAsia="宋体" w:cs="宋体"/>
                <w:kern w:val="0"/>
                <w:sz w:val="24"/>
                <w:szCs w:val="24"/>
                <w:highlight w:val="none"/>
                <w:lang w:bidi="ar"/>
              </w:rPr>
            </w:pPr>
            <w:bookmarkStart w:id="34" w:name="OLE_LINK15"/>
            <w:bookmarkStart w:id="35" w:name="OLE_LINK56"/>
            <w:r>
              <w:rPr>
                <w:rFonts w:hint="eastAsia" w:ascii="宋体" w:hAnsi="宋体" w:eastAsia="宋体" w:cs="宋体"/>
                <w:sz w:val="24"/>
                <w:szCs w:val="24"/>
                <w:highlight w:val="none"/>
              </w:rPr>
              <w:t>★</w:t>
            </w:r>
            <w:bookmarkEnd w:id="34"/>
            <w:bookmarkEnd w:id="35"/>
            <w:r>
              <w:rPr>
                <w:rFonts w:hint="eastAsia" w:ascii="宋体" w:hAnsi="宋体" w:eastAsia="宋体" w:cs="宋体"/>
                <w:kern w:val="0"/>
                <w:sz w:val="24"/>
                <w:szCs w:val="24"/>
                <w:highlight w:val="none"/>
                <w:lang w:bidi="ar"/>
              </w:rPr>
              <w:t>12.真空泄漏检测系统</w:t>
            </w:r>
          </w:p>
          <w:p w14:paraId="2B990E40">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12.1氦气最小泄漏检测率（真空模式）：≤5x10-12mbar·L/s。</w:t>
            </w:r>
          </w:p>
          <w:p w14:paraId="29C46DEA">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12.2氦气最小泄漏检测率（吸枪模式）：≤5x10-8mbar·L/s。</w:t>
            </w:r>
          </w:p>
          <w:p w14:paraId="6FB97A7A">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12.3最大入口压力（GROSS模式）：≤15mbar。</w:t>
            </w:r>
          </w:p>
          <w:p w14:paraId="399C9DAC">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12.4最大入口压力（FINE模式）：≤2mbar。</w:t>
            </w:r>
          </w:p>
          <w:p w14:paraId="485992FF">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12.5最大入口压力（ULTRA模式）：≤0.4mbar。</w:t>
            </w:r>
          </w:p>
          <w:p w14:paraId="2F690D5D">
            <w:pPr>
              <w:pStyle w:val="15"/>
              <w:tabs>
                <w:tab w:val="left" w:pos="0"/>
              </w:tabs>
              <w:wordWrap w:val="0"/>
              <w:spacing w:line="312" w:lineRule="auto"/>
              <w:ind w:firstLine="0" w:firstLineChars="0"/>
              <w:rPr>
                <w:rFonts w:hint="eastAsia" w:ascii="宋体" w:hAnsi="宋体" w:cs="宋体"/>
                <w:kern w:val="0"/>
                <w:sz w:val="24"/>
                <w:szCs w:val="24"/>
                <w:highlight w:val="none"/>
                <w:lang w:bidi="ar"/>
              </w:rPr>
            </w:pPr>
            <w:r>
              <w:rPr>
                <w:rFonts w:hint="eastAsia" w:ascii="宋体" w:hAnsi="宋体" w:cs="宋体"/>
                <w:kern w:val="0"/>
                <w:sz w:val="24"/>
                <w:szCs w:val="24"/>
                <w:highlight w:val="none"/>
                <w:lang w:bidi="ar"/>
              </w:rPr>
              <w:t>12.6前置真空泵类型：干式压缩。</w:t>
            </w:r>
          </w:p>
          <w:p w14:paraId="6C32829F">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kern w:val="0"/>
                <w:sz w:val="24"/>
                <w:szCs w:val="24"/>
                <w:highlight w:val="none"/>
                <w:lang w:bidi="ar"/>
              </w:rPr>
              <w:t>12.7泵的抽速：≤</w:t>
            </w:r>
            <w:r>
              <w:rPr>
                <w:rFonts w:hint="eastAsia" w:ascii="宋体" w:hAnsi="宋体" w:cs="宋体"/>
                <w:sz w:val="24"/>
                <w:szCs w:val="24"/>
                <w:highlight w:val="none"/>
              </w:rPr>
              <w:t>25m</w:t>
            </w:r>
            <w:r>
              <w:rPr>
                <w:rFonts w:hint="eastAsia" w:ascii="宋体" w:hAnsi="宋体" w:cs="宋体"/>
                <w:sz w:val="24"/>
                <w:szCs w:val="24"/>
                <w:highlight w:val="none"/>
                <w:vertAlign w:val="subscript"/>
              </w:rPr>
              <w:t>3</w:t>
            </w:r>
            <w:r>
              <w:rPr>
                <w:rFonts w:hint="eastAsia" w:ascii="宋体" w:hAnsi="宋体" w:cs="宋体"/>
                <w:sz w:val="24"/>
                <w:szCs w:val="24"/>
                <w:highlight w:val="none"/>
              </w:rPr>
              <w:t>/h@50Hz。</w:t>
            </w:r>
          </w:p>
          <w:p w14:paraId="68CA05CB">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12.8氦气抽速（ULTRA模式）：</w:t>
            </w:r>
            <w:r>
              <w:rPr>
                <w:rFonts w:hint="eastAsia" w:ascii="宋体" w:hAnsi="宋体" w:cs="宋体"/>
                <w:kern w:val="0"/>
                <w:sz w:val="24"/>
                <w:szCs w:val="24"/>
                <w:highlight w:val="none"/>
                <w:lang w:bidi="ar"/>
              </w:rPr>
              <w:t>≤</w:t>
            </w:r>
            <w:r>
              <w:rPr>
                <w:rFonts w:hint="eastAsia" w:ascii="宋体" w:hAnsi="宋体" w:cs="宋体"/>
                <w:sz w:val="24"/>
                <w:szCs w:val="24"/>
                <w:highlight w:val="none"/>
              </w:rPr>
              <w:t>2.5L/s。</w:t>
            </w:r>
          </w:p>
          <w:p w14:paraId="294D3CA7">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12.9校准内置泄漏：</w:t>
            </w:r>
            <w:r>
              <w:rPr>
                <w:rFonts w:hint="eastAsia" w:ascii="宋体" w:hAnsi="宋体" w:cs="宋体"/>
                <w:kern w:val="0"/>
                <w:sz w:val="24"/>
                <w:szCs w:val="24"/>
                <w:highlight w:val="none"/>
                <w:lang w:bidi="ar"/>
              </w:rPr>
              <w:t>≤</w:t>
            </w:r>
            <w:r>
              <w:rPr>
                <w:rFonts w:hint="eastAsia" w:ascii="宋体" w:hAnsi="宋体" w:cs="宋体"/>
                <w:sz w:val="24"/>
                <w:szCs w:val="24"/>
                <w:highlight w:val="none"/>
              </w:rPr>
              <w:t>10</w:t>
            </w:r>
            <w:r>
              <w:rPr>
                <w:rFonts w:hint="eastAsia" w:ascii="宋体" w:hAnsi="宋体" w:cs="宋体"/>
                <w:sz w:val="24"/>
                <w:szCs w:val="24"/>
                <w:highlight w:val="none"/>
                <w:vertAlign w:val="superscript"/>
              </w:rPr>
              <w:t>-7</w:t>
            </w:r>
            <w:r>
              <w:rPr>
                <w:rFonts w:hint="eastAsia" w:ascii="宋体" w:hAnsi="宋体" w:cs="宋体"/>
                <w:sz w:val="24"/>
                <w:szCs w:val="24"/>
                <w:highlight w:val="none"/>
              </w:rPr>
              <w:t>mbar·L/s。</w:t>
            </w:r>
          </w:p>
          <w:p w14:paraId="131C8878">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12.10高度≤900mm。</w:t>
            </w:r>
          </w:p>
          <w:p w14:paraId="48AC271B">
            <w:pPr>
              <w:pStyle w:val="15"/>
              <w:tabs>
                <w:tab w:val="left" w:pos="0"/>
              </w:tabs>
              <w:wordWrap w:val="0"/>
              <w:spacing w:line="312" w:lineRule="auto"/>
              <w:ind w:firstLine="0" w:firstLineChars="0"/>
              <w:rPr>
                <w:rFonts w:hint="eastAsia" w:ascii="宋体" w:hAnsi="宋体" w:cs="宋体"/>
                <w:sz w:val="24"/>
                <w:szCs w:val="24"/>
                <w:highlight w:val="none"/>
                <w:lang w:bidi="ar"/>
              </w:rPr>
            </w:pPr>
            <w:r>
              <w:rPr>
                <w:rFonts w:hint="eastAsia" w:ascii="宋体" w:hAnsi="宋体" w:cs="宋体"/>
                <w:sz w:val="24"/>
                <w:szCs w:val="24"/>
                <w:highlight w:val="none"/>
              </w:rPr>
              <w:t>12.11铱/钇涂层灯丝离子源：≥2根。</w:t>
            </w:r>
          </w:p>
          <w:p w14:paraId="0F65038A">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13.HMDS烘箱系统</w:t>
            </w:r>
          </w:p>
          <w:p w14:paraId="3145789C">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13.1控温范围：50℃-200℃。</w:t>
            </w:r>
          </w:p>
          <w:p w14:paraId="5130CA58">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13.2温度波动度：±0.5℃。</w:t>
            </w:r>
          </w:p>
          <w:p w14:paraId="57CF6B5B">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13.3样品尺寸：≤8英寸。</w:t>
            </w:r>
          </w:p>
          <w:p w14:paraId="4B5676A6">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13.4HMDS液位报警。</w:t>
            </w:r>
          </w:p>
          <w:p w14:paraId="4F128A0E">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14.激光开封系统</w:t>
            </w:r>
          </w:p>
          <w:p w14:paraId="15472D6E">
            <w:pPr>
              <w:pStyle w:val="15"/>
              <w:tabs>
                <w:tab w:val="left" w:pos="0"/>
              </w:tabs>
              <w:wordWrap w:val="0"/>
              <w:spacing w:line="312" w:lineRule="auto"/>
              <w:ind w:firstLine="0" w:firstLineChars="0"/>
              <w:rPr>
                <w:rFonts w:hint="eastAsia" w:ascii="宋体" w:hAnsi="宋体" w:cs="宋体"/>
                <w:bCs/>
                <w:sz w:val="24"/>
                <w:szCs w:val="24"/>
                <w:highlight w:val="none"/>
              </w:rPr>
            </w:pPr>
            <w:r>
              <w:rPr>
                <w:rFonts w:hint="eastAsia" w:ascii="宋体" w:hAnsi="宋体" w:cs="宋体"/>
                <w:sz w:val="24"/>
                <w:szCs w:val="24"/>
                <w:highlight w:val="none"/>
              </w:rPr>
              <w:t>14.1开封速度：</w:t>
            </w:r>
            <w:r>
              <w:rPr>
                <w:rFonts w:hint="eastAsia" w:ascii="宋体" w:hAnsi="宋体" w:cs="宋体"/>
                <w:bCs/>
                <w:sz w:val="24"/>
                <w:szCs w:val="24"/>
                <w:highlight w:val="none"/>
              </w:rPr>
              <w:t>≥</w:t>
            </w:r>
            <w:r>
              <w:rPr>
                <w:rFonts w:hint="eastAsia" w:ascii="宋体" w:hAnsi="宋体" w:cs="宋体"/>
                <w:sz w:val="24"/>
                <w:szCs w:val="24"/>
                <w:highlight w:val="none"/>
              </w:rPr>
              <w:t>5000mm/s。</w:t>
            </w:r>
          </w:p>
          <w:p w14:paraId="66A68F7A">
            <w:pPr>
              <w:pStyle w:val="15"/>
              <w:tabs>
                <w:tab w:val="left" w:pos="0"/>
              </w:tabs>
              <w:wordWrap w:val="0"/>
              <w:spacing w:line="312" w:lineRule="auto"/>
              <w:ind w:firstLine="0" w:firstLineChars="0"/>
              <w:rPr>
                <w:rFonts w:hint="eastAsia" w:ascii="宋体" w:hAnsi="宋体" w:cs="宋体"/>
                <w:bCs/>
                <w:sz w:val="24"/>
                <w:szCs w:val="24"/>
                <w:highlight w:val="none"/>
              </w:rPr>
            </w:pPr>
            <w:r>
              <w:rPr>
                <w:rFonts w:hint="eastAsia" w:ascii="宋体" w:hAnsi="宋体" w:cs="宋体"/>
                <w:bCs/>
                <w:sz w:val="24"/>
                <w:szCs w:val="24"/>
                <w:highlight w:val="none"/>
              </w:rPr>
              <w:t>14.</w:t>
            </w:r>
            <w:r>
              <w:rPr>
                <w:rFonts w:hint="eastAsia" w:ascii="宋体" w:hAnsi="宋体" w:cs="宋体"/>
                <w:sz w:val="24"/>
                <w:szCs w:val="24"/>
                <w:highlight w:val="none"/>
              </w:rPr>
              <w:t>2</w:t>
            </w:r>
            <w:r>
              <w:rPr>
                <w:rFonts w:hint="eastAsia" w:ascii="宋体" w:hAnsi="宋体" w:cs="宋体"/>
                <w:bCs/>
                <w:sz w:val="24"/>
                <w:szCs w:val="24"/>
                <w:highlight w:val="none"/>
              </w:rPr>
              <w:t>重复精度：≤±0.01mm。</w:t>
            </w:r>
          </w:p>
          <w:p w14:paraId="1EDB3634">
            <w:pPr>
              <w:pStyle w:val="15"/>
              <w:tabs>
                <w:tab w:val="left" w:pos="0"/>
              </w:tabs>
              <w:wordWrap w:val="0"/>
              <w:spacing w:line="312" w:lineRule="auto"/>
              <w:ind w:firstLine="0" w:firstLineChars="0"/>
              <w:rPr>
                <w:rFonts w:hint="eastAsia" w:ascii="宋体" w:hAnsi="宋体" w:cs="宋体"/>
                <w:bCs/>
                <w:sz w:val="24"/>
                <w:szCs w:val="24"/>
                <w:highlight w:val="none"/>
              </w:rPr>
            </w:pPr>
            <w:r>
              <w:rPr>
                <w:rFonts w:hint="eastAsia" w:ascii="宋体" w:hAnsi="宋体" w:cs="宋体"/>
                <w:bCs/>
                <w:sz w:val="24"/>
                <w:szCs w:val="24"/>
                <w:highlight w:val="none"/>
              </w:rPr>
              <w:t>14.</w:t>
            </w:r>
            <w:r>
              <w:rPr>
                <w:rFonts w:hint="eastAsia" w:ascii="宋体" w:hAnsi="宋体" w:cs="宋体"/>
                <w:sz w:val="24"/>
                <w:szCs w:val="24"/>
                <w:highlight w:val="none"/>
              </w:rPr>
              <w:t>3</w:t>
            </w:r>
            <w:r>
              <w:rPr>
                <w:rFonts w:hint="eastAsia" w:ascii="宋体" w:hAnsi="宋体" w:cs="宋体"/>
                <w:bCs/>
                <w:sz w:val="24"/>
                <w:szCs w:val="24"/>
                <w:highlight w:val="none"/>
              </w:rPr>
              <w:t>激光输出总功率：≥20W。</w:t>
            </w:r>
          </w:p>
          <w:p w14:paraId="5ABB3E88">
            <w:pPr>
              <w:pStyle w:val="15"/>
              <w:tabs>
                <w:tab w:val="left" w:pos="0"/>
              </w:tabs>
              <w:wordWrap w:val="0"/>
              <w:spacing w:line="312" w:lineRule="auto"/>
              <w:ind w:firstLine="0" w:firstLineChars="0"/>
              <w:rPr>
                <w:rFonts w:hint="eastAsia" w:ascii="宋体" w:hAnsi="宋体" w:cs="宋体"/>
                <w:bCs/>
                <w:sz w:val="24"/>
                <w:szCs w:val="24"/>
                <w:highlight w:val="none"/>
              </w:rPr>
            </w:pPr>
            <w:r>
              <w:rPr>
                <w:rFonts w:hint="eastAsia" w:ascii="宋体" w:hAnsi="宋体" w:cs="宋体"/>
                <w:bCs/>
                <w:sz w:val="24"/>
                <w:szCs w:val="24"/>
                <w:highlight w:val="none"/>
              </w:rPr>
              <w:t>14.</w:t>
            </w:r>
            <w:r>
              <w:rPr>
                <w:rFonts w:hint="eastAsia" w:ascii="宋体" w:hAnsi="宋体" w:cs="宋体"/>
                <w:sz w:val="24"/>
                <w:szCs w:val="24"/>
                <w:highlight w:val="none"/>
              </w:rPr>
              <w:t>4</w:t>
            </w:r>
            <w:r>
              <w:rPr>
                <w:rFonts w:hint="eastAsia" w:ascii="宋体" w:hAnsi="宋体" w:cs="宋体"/>
                <w:bCs/>
                <w:sz w:val="24"/>
                <w:szCs w:val="24"/>
                <w:highlight w:val="none"/>
              </w:rPr>
              <w:t>激光寿命≥100000小时。</w:t>
            </w:r>
          </w:p>
          <w:p w14:paraId="5C5AD8D9">
            <w:pPr>
              <w:pStyle w:val="15"/>
              <w:tabs>
                <w:tab w:val="left" w:pos="0"/>
              </w:tabs>
              <w:wordWrap w:val="0"/>
              <w:spacing w:line="312" w:lineRule="auto"/>
              <w:ind w:firstLine="0" w:firstLineChars="0"/>
              <w:rPr>
                <w:rFonts w:hint="eastAsia" w:ascii="宋体" w:hAnsi="宋体" w:cs="宋体"/>
                <w:bCs/>
                <w:sz w:val="24"/>
                <w:szCs w:val="24"/>
                <w:highlight w:val="none"/>
              </w:rPr>
            </w:pPr>
            <w:r>
              <w:rPr>
                <w:rFonts w:hint="eastAsia" w:ascii="宋体" w:hAnsi="宋体" w:cs="宋体"/>
                <w:bCs/>
                <w:sz w:val="24"/>
                <w:szCs w:val="24"/>
                <w:highlight w:val="none"/>
              </w:rPr>
              <w:t>14.</w:t>
            </w:r>
            <w:r>
              <w:rPr>
                <w:rFonts w:hint="eastAsia" w:ascii="宋体" w:hAnsi="宋体" w:cs="宋体"/>
                <w:sz w:val="24"/>
                <w:szCs w:val="24"/>
                <w:highlight w:val="none"/>
              </w:rPr>
              <w:t>5</w:t>
            </w:r>
            <w:r>
              <w:rPr>
                <w:rFonts w:hint="eastAsia" w:ascii="宋体" w:hAnsi="宋体" w:cs="宋体"/>
                <w:bCs/>
                <w:sz w:val="24"/>
                <w:szCs w:val="24"/>
                <w:highlight w:val="none"/>
              </w:rPr>
              <w:t>激光视觉扫描范围≥110mm*110mm。</w:t>
            </w:r>
          </w:p>
          <w:p w14:paraId="243DD6D3">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15.金相分析系统</w:t>
            </w:r>
          </w:p>
          <w:p w14:paraId="736715E5">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15.1真空冷镶单元：程序控制，≤12个样品。</w:t>
            </w:r>
          </w:p>
          <w:p w14:paraId="54BFE9B3">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15.2双盘自动磨抛单元：单点加载和中心加载，10吋盘。</w:t>
            </w:r>
          </w:p>
          <w:p w14:paraId="61756D70">
            <w:pPr>
              <w:pStyle w:val="15"/>
              <w:tabs>
                <w:tab w:val="left" w:pos="0"/>
              </w:tabs>
              <w:wordWrap w:val="0"/>
              <w:spacing w:line="312" w:lineRule="auto"/>
              <w:ind w:firstLine="0" w:firstLineChars="0"/>
              <w:rPr>
                <w:rFonts w:hint="eastAsia" w:ascii="宋体" w:hAnsi="宋体" w:cs="宋体"/>
                <w:sz w:val="24"/>
                <w:szCs w:val="24"/>
                <w:highlight w:val="none"/>
              </w:rPr>
            </w:pPr>
            <w:r>
              <w:rPr>
                <w:rFonts w:hint="eastAsia" w:ascii="宋体" w:hAnsi="宋体" w:cs="宋体"/>
                <w:sz w:val="24"/>
                <w:szCs w:val="24"/>
                <w:highlight w:val="none"/>
              </w:rPr>
              <w:t>15.3金相备件及耗材：一组。</w:t>
            </w:r>
          </w:p>
          <w:p w14:paraId="70F453BA">
            <w:pPr>
              <w:tabs>
                <w:tab w:val="left" w:pos="0"/>
              </w:tabs>
              <w:wordWrap w:val="0"/>
              <w:spacing w:line="312" w:lineRule="auto"/>
              <w:rPr>
                <w:rFonts w:hint="eastAsia" w:ascii="宋体" w:hAnsi="宋体" w:eastAsia="宋体" w:cs="宋体"/>
                <w:kern w:val="0"/>
                <w:sz w:val="24"/>
                <w:szCs w:val="24"/>
                <w:highlight w:val="none"/>
                <w:lang w:bidi="ar"/>
              </w:rPr>
            </w:pPr>
            <w:r>
              <w:rPr>
                <w:rFonts w:hint="eastAsia" w:ascii="宋体" w:hAnsi="宋体" w:eastAsia="宋体" w:cs="宋体"/>
                <w:sz w:val="24"/>
                <w:szCs w:val="24"/>
                <w:highlight w:val="none"/>
              </w:rPr>
              <w:t>★</w:t>
            </w:r>
            <w:r>
              <w:rPr>
                <w:rFonts w:hint="eastAsia" w:ascii="宋体" w:hAnsi="宋体" w:eastAsia="宋体" w:cs="宋体"/>
                <w:kern w:val="0"/>
                <w:sz w:val="24"/>
                <w:szCs w:val="24"/>
                <w:highlight w:val="none"/>
                <w:lang w:bidi="ar"/>
              </w:rPr>
              <w:t>16.工艺指标</w:t>
            </w:r>
          </w:p>
          <w:tbl>
            <w:tblPr>
              <w:tblStyle w:val="11"/>
              <w:tblW w:w="5400" w:type="dxa"/>
              <w:tblInd w:w="0" w:type="dxa"/>
              <w:tblLayout w:type="fixed"/>
              <w:tblCellMar>
                <w:top w:w="0" w:type="dxa"/>
                <w:left w:w="108" w:type="dxa"/>
                <w:bottom w:w="0" w:type="dxa"/>
                <w:right w:w="108" w:type="dxa"/>
              </w:tblCellMar>
            </w:tblPr>
            <w:tblGrid>
              <w:gridCol w:w="624"/>
              <w:gridCol w:w="1968"/>
              <w:gridCol w:w="1706"/>
              <w:gridCol w:w="1102"/>
            </w:tblGrid>
            <w:tr w14:paraId="051A8FA2">
              <w:tblPrEx>
                <w:tblCellMar>
                  <w:top w:w="0" w:type="dxa"/>
                  <w:left w:w="108" w:type="dxa"/>
                  <w:bottom w:w="0" w:type="dxa"/>
                  <w:right w:w="108" w:type="dxa"/>
                </w:tblCellMar>
              </w:tblPrEx>
              <w:trPr>
                <w:trHeight w:val="428" w:hRule="atLeast"/>
              </w:trPr>
              <w:tc>
                <w:tcPr>
                  <w:tcW w:w="5400" w:type="dxa"/>
                  <w:gridSpan w:val="4"/>
                  <w:tcBorders>
                    <w:top w:val="single" w:color="auto" w:sz="4" w:space="0"/>
                    <w:left w:val="single" w:color="auto" w:sz="4" w:space="0"/>
                    <w:bottom w:val="single" w:color="auto" w:sz="4" w:space="0"/>
                    <w:right w:val="single" w:color="auto" w:sz="4" w:space="0"/>
                  </w:tcBorders>
                  <w:shd w:val="clear" w:color="000000" w:fill="E7E6E6"/>
                  <w:noWrap/>
                  <w:vAlign w:val="center"/>
                </w:tcPr>
                <w:p w14:paraId="683CF1F1">
                  <w:pPr>
                    <w:widowControl/>
                    <w:tabs>
                      <w:tab w:val="left" w:pos="0"/>
                    </w:tabs>
                    <w:wordWrap w:val="0"/>
                    <w:spacing w:line="312"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工艺验收指标</w:t>
                  </w:r>
                  <w:r>
                    <w:rPr>
                      <w:rFonts w:ascii="Times New Roman" w:hAnsi="Times New Roman" w:eastAsia="宋体" w:cs="宋体"/>
                      <w:b/>
                      <w:bCs/>
                      <w:kern w:val="0"/>
                      <w:sz w:val="24"/>
                      <w:szCs w:val="24"/>
                      <w:highlight w:val="none"/>
                    </w:rPr>
                    <w:t>之一</w:t>
                  </w:r>
                  <w:r>
                    <w:rPr>
                      <w:rFonts w:hint="eastAsia" w:ascii="Times New Roman" w:hAnsi="Times New Roman" w:eastAsia="宋体" w:cs="宋体"/>
                      <w:b/>
                      <w:bCs/>
                      <w:kern w:val="0"/>
                      <w:sz w:val="24"/>
                      <w:szCs w:val="24"/>
                      <w:highlight w:val="none"/>
                    </w:rPr>
                    <w:t>：(2英寸 C面蓝宝石)</w:t>
                  </w:r>
                </w:p>
              </w:tc>
            </w:tr>
            <w:tr w14:paraId="5C05298C">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6704EE99">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序号</w:t>
                  </w:r>
                </w:p>
              </w:tc>
              <w:tc>
                <w:tcPr>
                  <w:tcW w:w="1968" w:type="dxa"/>
                  <w:tcBorders>
                    <w:top w:val="nil"/>
                    <w:left w:val="nil"/>
                    <w:bottom w:val="single" w:color="auto" w:sz="4" w:space="0"/>
                    <w:right w:val="single" w:color="auto" w:sz="4" w:space="0"/>
                  </w:tcBorders>
                  <w:vAlign w:val="center"/>
                </w:tcPr>
                <w:p w14:paraId="43425EFD">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验收指标</w:t>
                  </w:r>
                </w:p>
              </w:tc>
              <w:tc>
                <w:tcPr>
                  <w:tcW w:w="1706" w:type="dxa"/>
                  <w:tcBorders>
                    <w:top w:val="nil"/>
                    <w:left w:val="nil"/>
                    <w:bottom w:val="single" w:color="auto" w:sz="4" w:space="0"/>
                    <w:right w:val="single" w:color="auto" w:sz="4" w:space="0"/>
                  </w:tcBorders>
                  <w:vAlign w:val="center"/>
                </w:tcPr>
                <w:p w14:paraId="6442EFF7">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验收规格</w:t>
                  </w:r>
                </w:p>
              </w:tc>
              <w:tc>
                <w:tcPr>
                  <w:tcW w:w="1102" w:type="dxa"/>
                  <w:tcBorders>
                    <w:top w:val="nil"/>
                    <w:left w:val="nil"/>
                    <w:bottom w:val="single" w:color="auto" w:sz="4" w:space="0"/>
                    <w:right w:val="single" w:color="auto" w:sz="4" w:space="0"/>
                  </w:tcBorders>
                  <w:vAlign w:val="center"/>
                </w:tcPr>
                <w:p w14:paraId="76FCD1AF">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测试方法</w:t>
                  </w:r>
                </w:p>
              </w:tc>
            </w:tr>
            <w:tr w14:paraId="6C9F0CFD">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shd w:val="clear" w:color="000000" w:fill="D9D9D9"/>
                  <w:noWrap/>
                  <w:vAlign w:val="center"/>
                </w:tcPr>
                <w:p w14:paraId="4D17CD2E">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1</w:t>
                  </w:r>
                </w:p>
              </w:tc>
              <w:tc>
                <w:tcPr>
                  <w:tcW w:w="4776" w:type="dxa"/>
                  <w:gridSpan w:val="3"/>
                  <w:tcBorders>
                    <w:top w:val="single" w:color="auto" w:sz="4" w:space="0"/>
                    <w:left w:val="nil"/>
                    <w:bottom w:val="single" w:color="auto" w:sz="4" w:space="0"/>
                    <w:right w:val="single" w:color="auto" w:sz="4" w:space="0"/>
                  </w:tcBorders>
                  <w:shd w:val="clear" w:color="000000" w:fill="D9D9D9"/>
                  <w:vAlign w:val="center"/>
                </w:tcPr>
                <w:p w14:paraId="25273814">
                  <w:pPr>
                    <w:widowControl/>
                    <w:tabs>
                      <w:tab w:val="left" w:pos="0"/>
                    </w:tabs>
                    <w:wordWrap w:val="0"/>
                    <w:spacing w:line="312"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 xml:space="preserve">非掺杂GaN  (厚度2.5 </w:t>
                  </w:r>
                  <w:r>
                    <w:rPr>
                      <w:rFonts w:ascii="Times New Roman" w:hAnsi="Times New Roman" w:eastAsia="宋体" w:cs="Times New Roman"/>
                      <w:b/>
                      <w:bCs/>
                      <w:kern w:val="0"/>
                      <w:sz w:val="24"/>
                      <w:szCs w:val="24"/>
                      <w:highlight w:val="none"/>
                    </w:rPr>
                    <w:t>μm</w:t>
                  </w:r>
                  <w:r>
                    <w:rPr>
                      <w:rFonts w:hint="eastAsia" w:ascii="Times New Roman" w:hAnsi="Times New Roman" w:eastAsia="宋体" w:cs="宋体"/>
                      <w:b/>
                      <w:bCs/>
                      <w:kern w:val="0"/>
                      <w:sz w:val="24"/>
                      <w:szCs w:val="24"/>
                      <w:highlight w:val="none"/>
                    </w:rPr>
                    <w:t>，可轻微掺杂)</w:t>
                  </w:r>
                </w:p>
              </w:tc>
            </w:tr>
            <w:tr w14:paraId="3F9C4619">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2CC228D1">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2FA4AAC6">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生长速率</w:t>
                  </w:r>
                </w:p>
              </w:tc>
              <w:tc>
                <w:tcPr>
                  <w:tcW w:w="1706" w:type="dxa"/>
                  <w:tcBorders>
                    <w:top w:val="nil"/>
                    <w:left w:val="nil"/>
                    <w:bottom w:val="single" w:color="auto" w:sz="4" w:space="0"/>
                    <w:right w:val="single" w:color="auto" w:sz="4" w:space="0"/>
                  </w:tcBorders>
                  <w:vAlign w:val="center"/>
                </w:tcPr>
                <w:p w14:paraId="5B38476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≥0.2 um/h</w:t>
                  </w:r>
                </w:p>
              </w:tc>
              <w:tc>
                <w:tcPr>
                  <w:tcW w:w="1102" w:type="dxa"/>
                  <w:tcBorders>
                    <w:top w:val="nil"/>
                    <w:left w:val="nil"/>
                    <w:bottom w:val="single" w:color="auto" w:sz="4" w:space="0"/>
                    <w:right w:val="single" w:color="auto" w:sz="4" w:space="0"/>
                  </w:tcBorders>
                  <w:vAlign w:val="center"/>
                </w:tcPr>
                <w:p w14:paraId="1917C2E3">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原位监控</w:t>
                  </w:r>
                </w:p>
              </w:tc>
            </w:tr>
            <w:tr w14:paraId="2BE85AD3">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6939F96F">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7022F4AF">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厚度均匀性(标准差)</w:t>
                  </w:r>
                </w:p>
              </w:tc>
              <w:tc>
                <w:tcPr>
                  <w:tcW w:w="1706" w:type="dxa"/>
                  <w:tcBorders>
                    <w:top w:val="nil"/>
                    <w:left w:val="nil"/>
                    <w:bottom w:val="single" w:color="auto" w:sz="4" w:space="0"/>
                    <w:right w:val="single" w:color="auto" w:sz="4" w:space="0"/>
                  </w:tcBorders>
                  <w:vAlign w:val="center"/>
                </w:tcPr>
                <w:p w14:paraId="0811C3DB">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δ≤2%</w:t>
                  </w:r>
                </w:p>
              </w:tc>
              <w:tc>
                <w:tcPr>
                  <w:tcW w:w="1102" w:type="dxa"/>
                  <w:tcBorders>
                    <w:top w:val="nil"/>
                    <w:left w:val="nil"/>
                    <w:bottom w:val="single" w:color="auto" w:sz="4" w:space="0"/>
                    <w:right w:val="single" w:color="auto" w:sz="4" w:space="0"/>
                  </w:tcBorders>
                  <w:vAlign w:val="center"/>
                </w:tcPr>
                <w:p w14:paraId="2C9359CA">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PL</w:t>
                  </w:r>
                </w:p>
              </w:tc>
            </w:tr>
            <w:tr w14:paraId="513CD07D">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0BF10C39">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396EA9B2">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本征浓度</w:t>
                  </w:r>
                </w:p>
              </w:tc>
              <w:tc>
                <w:tcPr>
                  <w:tcW w:w="1706" w:type="dxa"/>
                  <w:tcBorders>
                    <w:top w:val="nil"/>
                    <w:left w:val="nil"/>
                    <w:bottom w:val="single" w:color="auto" w:sz="4" w:space="0"/>
                    <w:right w:val="single" w:color="auto" w:sz="4" w:space="0"/>
                  </w:tcBorders>
                  <w:vAlign w:val="center"/>
                </w:tcPr>
                <w:p w14:paraId="6570D3F9">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≤1x10</w:t>
                  </w:r>
                  <w:r>
                    <w:rPr>
                      <w:rFonts w:hint="eastAsia" w:ascii="Times New Roman" w:hAnsi="Times New Roman" w:eastAsia="宋体" w:cs="宋体"/>
                      <w:kern w:val="0"/>
                      <w:sz w:val="24"/>
                      <w:szCs w:val="24"/>
                      <w:highlight w:val="none"/>
                      <w:vertAlign w:val="superscript"/>
                    </w:rPr>
                    <w:t>17</w:t>
                  </w:r>
                  <w:r>
                    <w:rPr>
                      <w:rFonts w:hint="eastAsia" w:ascii="Times New Roman" w:hAnsi="Times New Roman" w:eastAsia="宋体" w:cs="宋体"/>
                      <w:kern w:val="0"/>
                      <w:sz w:val="24"/>
                      <w:szCs w:val="24"/>
                      <w:highlight w:val="none"/>
                    </w:rPr>
                    <w:t>cm</w:t>
                  </w:r>
                  <w:r>
                    <w:rPr>
                      <w:rFonts w:hint="eastAsia" w:ascii="Times New Roman" w:hAnsi="Times New Roman" w:eastAsia="宋体" w:cs="宋体"/>
                      <w:kern w:val="0"/>
                      <w:sz w:val="24"/>
                      <w:szCs w:val="24"/>
                      <w:highlight w:val="none"/>
                      <w:vertAlign w:val="superscript"/>
                    </w:rPr>
                    <w:t>-3</w:t>
                  </w:r>
                </w:p>
              </w:tc>
              <w:tc>
                <w:tcPr>
                  <w:tcW w:w="1102" w:type="dxa"/>
                  <w:tcBorders>
                    <w:top w:val="nil"/>
                    <w:left w:val="nil"/>
                    <w:bottom w:val="single" w:color="auto" w:sz="4" w:space="0"/>
                    <w:right w:val="single" w:color="auto" w:sz="4" w:space="0"/>
                  </w:tcBorders>
                  <w:vAlign w:val="center"/>
                </w:tcPr>
                <w:p w14:paraId="3480EE2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5D263422">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25173D74">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079D5027">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本征迁移率</w:t>
                  </w:r>
                </w:p>
              </w:tc>
              <w:tc>
                <w:tcPr>
                  <w:tcW w:w="1706" w:type="dxa"/>
                  <w:tcBorders>
                    <w:top w:val="nil"/>
                    <w:left w:val="nil"/>
                    <w:bottom w:val="single" w:color="auto" w:sz="4" w:space="0"/>
                    <w:right w:val="single" w:color="auto" w:sz="4" w:space="0"/>
                  </w:tcBorders>
                  <w:vAlign w:val="center"/>
                </w:tcPr>
                <w:p w14:paraId="3918A6CF">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≥350cm</w:t>
                  </w:r>
                  <w:r>
                    <w:rPr>
                      <w:rFonts w:hint="eastAsia" w:ascii="Times New Roman" w:hAnsi="Times New Roman" w:eastAsia="宋体" w:cs="宋体"/>
                      <w:kern w:val="0"/>
                      <w:sz w:val="24"/>
                      <w:szCs w:val="24"/>
                      <w:highlight w:val="none"/>
                      <w:vertAlign w:val="superscript"/>
                    </w:rPr>
                    <w:t>2</w:t>
                  </w:r>
                  <w:r>
                    <w:rPr>
                      <w:rFonts w:hint="eastAsia" w:ascii="Times New Roman" w:hAnsi="Times New Roman" w:eastAsia="宋体" w:cs="宋体"/>
                      <w:kern w:val="0"/>
                      <w:sz w:val="24"/>
                      <w:szCs w:val="24"/>
                      <w:highlight w:val="none"/>
                    </w:rPr>
                    <w:t>/</w:t>
                  </w:r>
                  <w:r>
                    <w:rPr>
                      <w:rFonts w:ascii="Times New Roman" w:hAnsi="Times New Roman" w:eastAsia="宋体" w:cs="Times New Roman"/>
                      <w:kern w:val="0"/>
                      <w:sz w:val="24"/>
                      <w:szCs w:val="24"/>
                      <w:highlight w:val="none"/>
                    </w:rPr>
                    <w:t>V·s</w:t>
                  </w:r>
                </w:p>
              </w:tc>
              <w:tc>
                <w:tcPr>
                  <w:tcW w:w="1102" w:type="dxa"/>
                  <w:tcBorders>
                    <w:top w:val="nil"/>
                    <w:left w:val="nil"/>
                    <w:bottom w:val="single" w:color="auto" w:sz="4" w:space="0"/>
                    <w:right w:val="single" w:color="auto" w:sz="4" w:space="0"/>
                  </w:tcBorders>
                  <w:vAlign w:val="center"/>
                </w:tcPr>
                <w:p w14:paraId="01C42759">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0520B0BD">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1DAADC0A">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3EC83463">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XRD(002) 半高宽</w:t>
                  </w:r>
                </w:p>
              </w:tc>
              <w:tc>
                <w:tcPr>
                  <w:tcW w:w="1706" w:type="dxa"/>
                  <w:tcBorders>
                    <w:top w:val="nil"/>
                    <w:left w:val="nil"/>
                    <w:bottom w:val="single" w:color="auto" w:sz="4" w:space="0"/>
                    <w:right w:val="single" w:color="auto" w:sz="4" w:space="0"/>
                  </w:tcBorders>
                  <w:vAlign w:val="center"/>
                </w:tcPr>
                <w:p w14:paraId="218EA21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≤300arcsec</w:t>
                  </w:r>
                </w:p>
              </w:tc>
              <w:tc>
                <w:tcPr>
                  <w:tcW w:w="1102" w:type="dxa"/>
                  <w:tcBorders>
                    <w:top w:val="nil"/>
                    <w:left w:val="nil"/>
                    <w:bottom w:val="single" w:color="auto" w:sz="4" w:space="0"/>
                    <w:right w:val="single" w:color="auto" w:sz="4" w:space="0"/>
                  </w:tcBorders>
                  <w:vAlign w:val="center"/>
                </w:tcPr>
                <w:p w14:paraId="77EE1EC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w:t>
                  </w:r>
                </w:p>
              </w:tc>
            </w:tr>
            <w:tr w14:paraId="7FF0E39D">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5228E55A">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05F38B5C">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XRD(102) 半高宽</w:t>
                  </w:r>
                </w:p>
              </w:tc>
              <w:tc>
                <w:tcPr>
                  <w:tcW w:w="1706" w:type="dxa"/>
                  <w:tcBorders>
                    <w:top w:val="nil"/>
                    <w:left w:val="nil"/>
                    <w:bottom w:val="single" w:color="auto" w:sz="4" w:space="0"/>
                    <w:right w:val="single" w:color="auto" w:sz="4" w:space="0"/>
                  </w:tcBorders>
                  <w:vAlign w:val="center"/>
                </w:tcPr>
                <w:p w14:paraId="6B35FDD8">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≤400arcsec</w:t>
                  </w:r>
                </w:p>
              </w:tc>
              <w:tc>
                <w:tcPr>
                  <w:tcW w:w="1102" w:type="dxa"/>
                  <w:tcBorders>
                    <w:top w:val="nil"/>
                    <w:left w:val="nil"/>
                    <w:bottom w:val="single" w:color="auto" w:sz="4" w:space="0"/>
                    <w:right w:val="single" w:color="auto" w:sz="4" w:space="0"/>
                  </w:tcBorders>
                  <w:vAlign w:val="center"/>
                </w:tcPr>
                <w:p w14:paraId="115834D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w:t>
                  </w:r>
                </w:p>
              </w:tc>
            </w:tr>
            <w:tr w14:paraId="3A0F9C3E">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shd w:val="clear" w:color="000000" w:fill="D9D9D9"/>
                  <w:noWrap/>
                  <w:vAlign w:val="center"/>
                </w:tcPr>
                <w:p w14:paraId="5758FC5D">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2</w:t>
                  </w:r>
                </w:p>
              </w:tc>
              <w:tc>
                <w:tcPr>
                  <w:tcW w:w="4776" w:type="dxa"/>
                  <w:gridSpan w:val="3"/>
                  <w:tcBorders>
                    <w:top w:val="single" w:color="auto" w:sz="4" w:space="0"/>
                    <w:left w:val="nil"/>
                    <w:bottom w:val="single" w:color="auto" w:sz="4" w:space="0"/>
                    <w:right w:val="single" w:color="auto" w:sz="4" w:space="0"/>
                  </w:tcBorders>
                  <w:shd w:val="clear" w:color="000000" w:fill="D9D9D9"/>
                  <w:vAlign w:val="center"/>
                </w:tcPr>
                <w:p w14:paraId="0BD65F38">
                  <w:pPr>
                    <w:widowControl/>
                    <w:tabs>
                      <w:tab w:val="left" w:pos="0"/>
                    </w:tabs>
                    <w:wordWrap w:val="0"/>
                    <w:spacing w:line="312"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n型GaN  (厚度2.5μm)</w:t>
                  </w:r>
                </w:p>
              </w:tc>
            </w:tr>
            <w:tr w14:paraId="7FD378A3">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03E9D982">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3D4A01A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掺杂浓度</w:t>
                  </w:r>
                </w:p>
              </w:tc>
              <w:tc>
                <w:tcPr>
                  <w:tcW w:w="1706" w:type="dxa"/>
                  <w:tcBorders>
                    <w:top w:val="nil"/>
                    <w:left w:val="nil"/>
                    <w:bottom w:val="single" w:color="auto" w:sz="4" w:space="0"/>
                    <w:right w:val="single" w:color="auto" w:sz="4" w:space="0"/>
                  </w:tcBorders>
                  <w:vAlign w:val="center"/>
                </w:tcPr>
                <w:p w14:paraId="5B2F458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≥2x10</w:t>
                  </w:r>
                  <w:r>
                    <w:rPr>
                      <w:rFonts w:hint="eastAsia" w:ascii="Times New Roman" w:hAnsi="Times New Roman" w:eastAsia="宋体" w:cs="宋体"/>
                      <w:kern w:val="0"/>
                      <w:sz w:val="24"/>
                      <w:szCs w:val="24"/>
                      <w:highlight w:val="none"/>
                      <w:vertAlign w:val="superscript"/>
                    </w:rPr>
                    <w:t>18</w:t>
                  </w:r>
                  <w:r>
                    <w:rPr>
                      <w:rFonts w:hint="eastAsia" w:ascii="Times New Roman" w:hAnsi="Times New Roman" w:eastAsia="宋体" w:cs="宋体"/>
                      <w:kern w:val="0"/>
                      <w:sz w:val="24"/>
                      <w:szCs w:val="24"/>
                      <w:highlight w:val="none"/>
                    </w:rPr>
                    <w:t>cm</w:t>
                  </w:r>
                  <w:r>
                    <w:rPr>
                      <w:rFonts w:hint="eastAsia" w:ascii="Times New Roman" w:hAnsi="Times New Roman" w:eastAsia="宋体" w:cs="宋体"/>
                      <w:kern w:val="0"/>
                      <w:sz w:val="24"/>
                      <w:szCs w:val="24"/>
                      <w:highlight w:val="none"/>
                      <w:vertAlign w:val="superscript"/>
                    </w:rPr>
                    <w:t>-3</w:t>
                  </w:r>
                </w:p>
              </w:tc>
              <w:tc>
                <w:tcPr>
                  <w:tcW w:w="1102" w:type="dxa"/>
                  <w:tcBorders>
                    <w:top w:val="nil"/>
                    <w:left w:val="nil"/>
                    <w:bottom w:val="single" w:color="auto" w:sz="4" w:space="0"/>
                    <w:right w:val="single" w:color="auto" w:sz="4" w:space="0"/>
                  </w:tcBorders>
                  <w:vAlign w:val="center"/>
                </w:tcPr>
                <w:p w14:paraId="3F8C2E28">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5EC525FA">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6EC809AF">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0B28842D">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载子迁移率</w:t>
                  </w:r>
                </w:p>
              </w:tc>
              <w:tc>
                <w:tcPr>
                  <w:tcW w:w="1706" w:type="dxa"/>
                  <w:tcBorders>
                    <w:top w:val="nil"/>
                    <w:left w:val="nil"/>
                    <w:bottom w:val="single" w:color="auto" w:sz="4" w:space="0"/>
                    <w:right w:val="single" w:color="auto" w:sz="4" w:space="0"/>
                  </w:tcBorders>
                  <w:vAlign w:val="center"/>
                </w:tcPr>
                <w:p w14:paraId="2C6360BB">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≥200cm</w:t>
                  </w:r>
                  <w:r>
                    <w:rPr>
                      <w:rFonts w:hint="eastAsia" w:ascii="Times New Roman" w:hAnsi="Times New Roman" w:eastAsia="宋体" w:cs="宋体"/>
                      <w:kern w:val="0"/>
                      <w:sz w:val="24"/>
                      <w:szCs w:val="24"/>
                      <w:highlight w:val="none"/>
                      <w:vertAlign w:val="superscript"/>
                    </w:rPr>
                    <w:t>2</w:t>
                  </w:r>
                  <w:r>
                    <w:rPr>
                      <w:rFonts w:hint="eastAsia" w:ascii="Times New Roman" w:hAnsi="Times New Roman" w:eastAsia="宋体" w:cs="宋体"/>
                      <w:kern w:val="0"/>
                      <w:sz w:val="24"/>
                      <w:szCs w:val="24"/>
                      <w:highlight w:val="none"/>
                    </w:rPr>
                    <w:t>/</w:t>
                  </w:r>
                  <w:r>
                    <w:rPr>
                      <w:rFonts w:ascii="Times New Roman" w:hAnsi="Times New Roman" w:eastAsia="宋体" w:cs="Times New Roman"/>
                      <w:kern w:val="0"/>
                      <w:sz w:val="24"/>
                      <w:szCs w:val="24"/>
                      <w:highlight w:val="none"/>
                    </w:rPr>
                    <w:t>V·s</w:t>
                  </w:r>
                </w:p>
              </w:tc>
              <w:tc>
                <w:tcPr>
                  <w:tcW w:w="1102" w:type="dxa"/>
                  <w:tcBorders>
                    <w:top w:val="nil"/>
                    <w:left w:val="nil"/>
                    <w:bottom w:val="single" w:color="auto" w:sz="4" w:space="0"/>
                    <w:right w:val="single" w:color="auto" w:sz="4" w:space="0"/>
                  </w:tcBorders>
                  <w:vAlign w:val="center"/>
                </w:tcPr>
                <w:p w14:paraId="7B82AA1D">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757A8D76">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4C4EC302">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049BFFB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掺杂浓度</w:t>
                  </w:r>
                </w:p>
              </w:tc>
              <w:tc>
                <w:tcPr>
                  <w:tcW w:w="1706" w:type="dxa"/>
                  <w:tcBorders>
                    <w:top w:val="nil"/>
                    <w:left w:val="nil"/>
                    <w:bottom w:val="single" w:color="auto" w:sz="4" w:space="0"/>
                    <w:right w:val="single" w:color="auto" w:sz="4" w:space="0"/>
                  </w:tcBorders>
                  <w:vAlign w:val="center"/>
                </w:tcPr>
                <w:p w14:paraId="6FAED198">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≥1x10</w:t>
                  </w:r>
                  <w:r>
                    <w:rPr>
                      <w:rFonts w:hint="eastAsia" w:ascii="Times New Roman" w:hAnsi="Times New Roman" w:eastAsia="宋体" w:cs="宋体"/>
                      <w:kern w:val="0"/>
                      <w:sz w:val="24"/>
                      <w:szCs w:val="24"/>
                      <w:highlight w:val="none"/>
                      <w:vertAlign w:val="superscript"/>
                    </w:rPr>
                    <w:t>19</w:t>
                  </w:r>
                  <w:r>
                    <w:rPr>
                      <w:rFonts w:hint="eastAsia" w:ascii="Times New Roman" w:hAnsi="Times New Roman" w:eastAsia="宋体" w:cs="宋体"/>
                      <w:kern w:val="0"/>
                      <w:sz w:val="24"/>
                      <w:szCs w:val="24"/>
                      <w:highlight w:val="none"/>
                    </w:rPr>
                    <w:t>cm</w:t>
                  </w:r>
                  <w:r>
                    <w:rPr>
                      <w:rFonts w:hint="eastAsia" w:ascii="Times New Roman" w:hAnsi="Times New Roman" w:eastAsia="宋体" w:cs="宋体"/>
                      <w:kern w:val="0"/>
                      <w:sz w:val="24"/>
                      <w:szCs w:val="24"/>
                      <w:highlight w:val="none"/>
                      <w:vertAlign w:val="superscript"/>
                    </w:rPr>
                    <w:t>-3</w:t>
                  </w:r>
                </w:p>
              </w:tc>
              <w:tc>
                <w:tcPr>
                  <w:tcW w:w="1102" w:type="dxa"/>
                  <w:tcBorders>
                    <w:top w:val="nil"/>
                    <w:left w:val="nil"/>
                    <w:bottom w:val="single" w:color="auto" w:sz="4" w:space="0"/>
                    <w:right w:val="single" w:color="auto" w:sz="4" w:space="0"/>
                  </w:tcBorders>
                  <w:vAlign w:val="center"/>
                </w:tcPr>
                <w:p w14:paraId="20ABAF8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70B22CDC">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7991CE84">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69AC987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载子迁移率</w:t>
                  </w:r>
                </w:p>
              </w:tc>
              <w:tc>
                <w:tcPr>
                  <w:tcW w:w="1706" w:type="dxa"/>
                  <w:tcBorders>
                    <w:top w:val="nil"/>
                    <w:left w:val="nil"/>
                    <w:bottom w:val="single" w:color="auto" w:sz="4" w:space="0"/>
                    <w:right w:val="single" w:color="auto" w:sz="4" w:space="0"/>
                  </w:tcBorders>
                  <w:vAlign w:val="center"/>
                </w:tcPr>
                <w:p w14:paraId="1D61C01C">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≥150cm</w:t>
                  </w:r>
                  <w:r>
                    <w:rPr>
                      <w:rFonts w:hint="eastAsia" w:ascii="Times New Roman" w:hAnsi="Times New Roman" w:eastAsia="宋体" w:cs="宋体"/>
                      <w:kern w:val="0"/>
                      <w:sz w:val="24"/>
                      <w:szCs w:val="24"/>
                      <w:highlight w:val="none"/>
                      <w:vertAlign w:val="superscript"/>
                    </w:rPr>
                    <w:t>2</w:t>
                  </w:r>
                  <w:r>
                    <w:rPr>
                      <w:rFonts w:hint="eastAsia" w:ascii="Times New Roman" w:hAnsi="Times New Roman" w:eastAsia="宋体" w:cs="宋体"/>
                      <w:kern w:val="0"/>
                      <w:sz w:val="24"/>
                      <w:szCs w:val="24"/>
                      <w:highlight w:val="none"/>
                    </w:rPr>
                    <w:t>/</w:t>
                  </w:r>
                  <w:r>
                    <w:rPr>
                      <w:rFonts w:ascii="Times New Roman" w:hAnsi="Times New Roman" w:eastAsia="宋体" w:cs="Times New Roman"/>
                      <w:kern w:val="0"/>
                      <w:sz w:val="24"/>
                      <w:szCs w:val="24"/>
                      <w:highlight w:val="none"/>
                    </w:rPr>
                    <w:t>V·s</w:t>
                  </w:r>
                </w:p>
              </w:tc>
              <w:tc>
                <w:tcPr>
                  <w:tcW w:w="1102" w:type="dxa"/>
                  <w:tcBorders>
                    <w:top w:val="nil"/>
                    <w:left w:val="nil"/>
                    <w:bottom w:val="single" w:color="auto" w:sz="4" w:space="0"/>
                    <w:right w:val="single" w:color="auto" w:sz="4" w:space="0"/>
                  </w:tcBorders>
                  <w:vAlign w:val="center"/>
                </w:tcPr>
                <w:p w14:paraId="4A13B276">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07343166">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shd w:val="clear" w:color="000000" w:fill="D9D9D9"/>
                  <w:noWrap/>
                  <w:vAlign w:val="center"/>
                </w:tcPr>
                <w:p w14:paraId="7E6FE582">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3</w:t>
                  </w:r>
                </w:p>
              </w:tc>
              <w:tc>
                <w:tcPr>
                  <w:tcW w:w="4776" w:type="dxa"/>
                  <w:gridSpan w:val="3"/>
                  <w:tcBorders>
                    <w:top w:val="single" w:color="auto" w:sz="4" w:space="0"/>
                    <w:left w:val="nil"/>
                    <w:bottom w:val="single" w:color="auto" w:sz="4" w:space="0"/>
                    <w:right w:val="single" w:color="auto" w:sz="4" w:space="0"/>
                  </w:tcBorders>
                  <w:shd w:val="clear" w:color="000000" w:fill="D9D9D9"/>
                  <w:vAlign w:val="center"/>
                </w:tcPr>
                <w:p w14:paraId="25C4BA84">
                  <w:pPr>
                    <w:widowControl/>
                    <w:tabs>
                      <w:tab w:val="left" w:pos="0"/>
                    </w:tabs>
                    <w:wordWrap w:val="0"/>
                    <w:spacing w:line="312"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p型GaN  (厚度0.5μm)</w:t>
                  </w:r>
                </w:p>
              </w:tc>
            </w:tr>
            <w:tr w14:paraId="7F3108D2">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7857C88E">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5AB5D9C2">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掺杂浓度</w:t>
                  </w:r>
                </w:p>
              </w:tc>
              <w:tc>
                <w:tcPr>
                  <w:tcW w:w="1706" w:type="dxa"/>
                  <w:tcBorders>
                    <w:top w:val="nil"/>
                    <w:left w:val="nil"/>
                    <w:bottom w:val="single" w:color="auto" w:sz="4" w:space="0"/>
                    <w:right w:val="single" w:color="auto" w:sz="4" w:space="0"/>
                  </w:tcBorders>
                  <w:vAlign w:val="center"/>
                </w:tcPr>
                <w:p w14:paraId="0D6FD028">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≥1x10</w:t>
                  </w:r>
                  <w:r>
                    <w:rPr>
                      <w:rFonts w:hint="eastAsia" w:ascii="Times New Roman" w:hAnsi="Times New Roman" w:eastAsia="宋体" w:cs="宋体"/>
                      <w:kern w:val="0"/>
                      <w:sz w:val="24"/>
                      <w:szCs w:val="24"/>
                      <w:highlight w:val="none"/>
                      <w:vertAlign w:val="superscript"/>
                    </w:rPr>
                    <w:t>17</w:t>
                  </w:r>
                  <w:r>
                    <w:rPr>
                      <w:rFonts w:hint="eastAsia" w:ascii="Times New Roman" w:hAnsi="Times New Roman" w:eastAsia="宋体" w:cs="宋体"/>
                      <w:kern w:val="0"/>
                      <w:sz w:val="24"/>
                      <w:szCs w:val="24"/>
                      <w:highlight w:val="none"/>
                    </w:rPr>
                    <w:t>cm</w:t>
                  </w:r>
                  <w:r>
                    <w:rPr>
                      <w:rFonts w:hint="eastAsia" w:ascii="Times New Roman" w:hAnsi="Times New Roman" w:eastAsia="宋体" w:cs="宋体"/>
                      <w:kern w:val="0"/>
                      <w:sz w:val="24"/>
                      <w:szCs w:val="24"/>
                      <w:highlight w:val="none"/>
                      <w:vertAlign w:val="superscript"/>
                    </w:rPr>
                    <w:t>-3</w:t>
                  </w:r>
                </w:p>
              </w:tc>
              <w:tc>
                <w:tcPr>
                  <w:tcW w:w="1102" w:type="dxa"/>
                  <w:tcBorders>
                    <w:top w:val="nil"/>
                    <w:left w:val="nil"/>
                    <w:bottom w:val="single" w:color="auto" w:sz="4" w:space="0"/>
                    <w:right w:val="single" w:color="auto" w:sz="4" w:space="0"/>
                  </w:tcBorders>
                  <w:vAlign w:val="center"/>
                </w:tcPr>
                <w:p w14:paraId="1591387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26FB673B">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172C5255">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1A5F4C0A">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载子迁移率</w:t>
                  </w:r>
                </w:p>
              </w:tc>
              <w:tc>
                <w:tcPr>
                  <w:tcW w:w="1706" w:type="dxa"/>
                  <w:tcBorders>
                    <w:top w:val="nil"/>
                    <w:left w:val="nil"/>
                    <w:bottom w:val="single" w:color="auto" w:sz="4" w:space="0"/>
                    <w:right w:val="single" w:color="auto" w:sz="4" w:space="0"/>
                  </w:tcBorders>
                  <w:vAlign w:val="center"/>
                </w:tcPr>
                <w:p w14:paraId="54F4E83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≥10 cm</w:t>
                  </w:r>
                  <w:r>
                    <w:rPr>
                      <w:rFonts w:hint="eastAsia" w:ascii="Times New Roman" w:hAnsi="Times New Roman" w:eastAsia="宋体" w:cs="宋体"/>
                      <w:kern w:val="0"/>
                      <w:sz w:val="24"/>
                      <w:szCs w:val="24"/>
                      <w:highlight w:val="none"/>
                      <w:vertAlign w:val="superscript"/>
                    </w:rPr>
                    <w:t>2</w:t>
                  </w:r>
                  <w:r>
                    <w:rPr>
                      <w:rFonts w:hint="eastAsia" w:ascii="Times New Roman" w:hAnsi="Times New Roman" w:eastAsia="宋体" w:cs="宋体"/>
                      <w:kern w:val="0"/>
                      <w:sz w:val="24"/>
                      <w:szCs w:val="24"/>
                      <w:highlight w:val="none"/>
                    </w:rPr>
                    <w:t>/</w:t>
                  </w:r>
                  <w:r>
                    <w:rPr>
                      <w:rFonts w:ascii="Times New Roman" w:hAnsi="Times New Roman" w:eastAsia="宋体" w:cs="Times New Roman"/>
                      <w:kern w:val="0"/>
                      <w:sz w:val="24"/>
                      <w:szCs w:val="24"/>
                      <w:highlight w:val="none"/>
                    </w:rPr>
                    <w:t>V·s</w:t>
                  </w:r>
                </w:p>
              </w:tc>
              <w:tc>
                <w:tcPr>
                  <w:tcW w:w="1102" w:type="dxa"/>
                  <w:tcBorders>
                    <w:top w:val="nil"/>
                    <w:left w:val="nil"/>
                    <w:bottom w:val="single" w:color="auto" w:sz="4" w:space="0"/>
                    <w:right w:val="single" w:color="auto" w:sz="4" w:space="0"/>
                  </w:tcBorders>
                  <w:vAlign w:val="center"/>
                </w:tcPr>
                <w:p w14:paraId="527D2B8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217217F2">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15B41B14">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397F7D2C">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电阻率</w:t>
                  </w:r>
                </w:p>
              </w:tc>
              <w:tc>
                <w:tcPr>
                  <w:tcW w:w="1706" w:type="dxa"/>
                  <w:tcBorders>
                    <w:top w:val="nil"/>
                    <w:left w:val="nil"/>
                    <w:bottom w:val="single" w:color="auto" w:sz="4" w:space="0"/>
                    <w:right w:val="single" w:color="auto" w:sz="4" w:space="0"/>
                  </w:tcBorders>
                  <w:vAlign w:val="center"/>
                </w:tcPr>
                <w:p w14:paraId="6AF1CF9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 xml:space="preserve">≤3 </w:t>
                  </w:r>
                  <w:r>
                    <w:rPr>
                      <w:rFonts w:ascii="Times New Roman" w:hAnsi="Times New Roman" w:eastAsia="宋体" w:cs="Times New Roman"/>
                      <w:kern w:val="0"/>
                      <w:sz w:val="24"/>
                      <w:szCs w:val="24"/>
                      <w:highlight w:val="none"/>
                    </w:rPr>
                    <w:t>Ω·cm</w:t>
                  </w:r>
                </w:p>
              </w:tc>
              <w:tc>
                <w:tcPr>
                  <w:tcW w:w="1102" w:type="dxa"/>
                  <w:tcBorders>
                    <w:top w:val="nil"/>
                    <w:left w:val="nil"/>
                    <w:bottom w:val="single" w:color="auto" w:sz="4" w:space="0"/>
                    <w:right w:val="single" w:color="auto" w:sz="4" w:space="0"/>
                  </w:tcBorders>
                  <w:vAlign w:val="center"/>
                </w:tcPr>
                <w:p w14:paraId="59B575B9">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5E754A60">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shd w:val="clear" w:color="000000" w:fill="D9D9D9"/>
                  <w:noWrap/>
                  <w:vAlign w:val="center"/>
                </w:tcPr>
                <w:p w14:paraId="310D5B4F">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4</w:t>
                  </w:r>
                </w:p>
              </w:tc>
              <w:tc>
                <w:tcPr>
                  <w:tcW w:w="4776" w:type="dxa"/>
                  <w:gridSpan w:val="3"/>
                  <w:tcBorders>
                    <w:top w:val="single" w:color="auto" w:sz="4" w:space="0"/>
                    <w:left w:val="nil"/>
                    <w:bottom w:val="single" w:color="auto" w:sz="4" w:space="0"/>
                    <w:right w:val="single" w:color="auto" w:sz="4" w:space="0"/>
                  </w:tcBorders>
                  <w:shd w:val="clear" w:color="000000" w:fill="D9D9D9"/>
                  <w:vAlign w:val="center"/>
                </w:tcPr>
                <w:p w14:paraId="6874A89C">
                  <w:pPr>
                    <w:widowControl/>
                    <w:tabs>
                      <w:tab w:val="left" w:pos="0"/>
                    </w:tabs>
                    <w:wordWrap w:val="0"/>
                    <w:spacing w:line="312"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InGaN/GaN  (5对量子井)</w:t>
                  </w:r>
                </w:p>
              </w:tc>
            </w:tr>
            <w:tr w14:paraId="16C10D55">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54B33FAE">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7B9EEB3F">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波长(λ)</w:t>
                  </w:r>
                </w:p>
              </w:tc>
              <w:tc>
                <w:tcPr>
                  <w:tcW w:w="1706" w:type="dxa"/>
                  <w:tcBorders>
                    <w:top w:val="nil"/>
                    <w:left w:val="nil"/>
                    <w:bottom w:val="single" w:color="auto" w:sz="4" w:space="0"/>
                    <w:right w:val="single" w:color="auto" w:sz="4" w:space="0"/>
                  </w:tcBorders>
                  <w:vAlign w:val="center"/>
                </w:tcPr>
                <w:p w14:paraId="1AB3C574">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450nm~470nm</w:t>
                  </w:r>
                </w:p>
              </w:tc>
              <w:tc>
                <w:tcPr>
                  <w:tcW w:w="1102" w:type="dxa"/>
                  <w:tcBorders>
                    <w:top w:val="nil"/>
                    <w:left w:val="nil"/>
                    <w:bottom w:val="single" w:color="auto" w:sz="4" w:space="0"/>
                    <w:right w:val="single" w:color="auto" w:sz="4" w:space="0"/>
                  </w:tcBorders>
                  <w:vAlign w:val="center"/>
                </w:tcPr>
                <w:p w14:paraId="7DAAA677">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PL</w:t>
                  </w:r>
                </w:p>
              </w:tc>
            </w:tr>
            <w:tr w14:paraId="1ACA2D5E">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07293127">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524F4C48">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波长均匀性(标准差)</w:t>
                  </w:r>
                </w:p>
              </w:tc>
              <w:tc>
                <w:tcPr>
                  <w:tcW w:w="1706" w:type="dxa"/>
                  <w:tcBorders>
                    <w:top w:val="nil"/>
                    <w:left w:val="nil"/>
                    <w:bottom w:val="single" w:color="auto" w:sz="4" w:space="0"/>
                    <w:right w:val="single" w:color="auto" w:sz="4" w:space="0"/>
                  </w:tcBorders>
                  <w:vAlign w:val="center"/>
                </w:tcPr>
                <w:p w14:paraId="472E38F4">
                  <w:pPr>
                    <w:widowControl/>
                    <w:tabs>
                      <w:tab w:val="left" w:pos="0"/>
                    </w:tabs>
                    <w:wordWrap w:val="0"/>
                    <w:spacing w:line="312" w:lineRule="auto"/>
                    <w:jc w:val="left"/>
                    <w:rPr>
                      <w:rFonts w:ascii="Times New Roman" w:hAnsi="Times New Roman" w:eastAsia="宋体" w:cs="宋体"/>
                      <w:kern w:val="0"/>
                      <w:sz w:val="24"/>
                      <w:szCs w:val="24"/>
                      <w:highlight w:val="none"/>
                    </w:rPr>
                  </w:pPr>
                  <w:r>
                    <w:rPr>
                      <w:rFonts w:ascii="Times New Roman" w:hAnsi="Times New Roman" w:eastAsia="宋体" w:cs="Times New Roman"/>
                      <w:kern w:val="0"/>
                      <w:sz w:val="24"/>
                      <w:szCs w:val="24"/>
                      <w:highlight w:val="none"/>
                    </w:rPr>
                    <w:t>δ</w:t>
                  </w:r>
                  <w:r>
                    <w:rPr>
                      <w:rFonts w:ascii="Times New Roman" w:hAnsi="Times New Roman" w:eastAsia="宋体" w:cs="Times New Roman"/>
                      <w:kern w:val="0"/>
                      <w:sz w:val="24"/>
                      <w:szCs w:val="24"/>
                      <w:highlight w:val="none"/>
                      <w:vertAlign w:val="subscript"/>
                    </w:rPr>
                    <w:t>avg</w:t>
                  </w:r>
                  <w:r>
                    <w:rPr>
                      <w:rFonts w:hint="eastAsia" w:ascii="Times New Roman" w:hAnsi="Times New Roman" w:eastAsia="宋体" w:cs="宋体"/>
                      <w:kern w:val="0"/>
                      <w:sz w:val="24"/>
                      <w:szCs w:val="24"/>
                      <w:highlight w:val="none"/>
                    </w:rPr>
                    <w:t>≤3.0nm</w:t>
                  </w:r>
                </w:p>
              </w:tc>
              <w:tc>
                <w:tcPr>
                  <w:tcW w:w="1102" w:type="dxa"/>
                  <w:tcBorders>
                    <w:top w:val="nil"/>
                    <w:left w:val="nil"/>
                    <w:bottom w:val="single" w:color="auto" w:sz="4" w:space="0"/>
                    <w:right w:val="single" w:color="auto" w:sz="4" w:space="0"/>
                  </w:tcBorders>
                  <w:vAlign w:val="center"/>
                </w:tcPr>
                <w:p w14:paraId="534BB777">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PL</w:t>
                  </w:r>
                </w:p>
              </w:tc>
            </w:tr>
            <w:tr w14:paraId="3D399F8D">
              <w:tblPrEx>
                <w:tblCellMar>
                  <w:top w:w="0" w:type="dxa"/>
                  <w:left w:w="108" w:type="dxa"/>
                  <w:bottom w:w="0" w:type="dxa"/>
                  <w:right w:w="108" w:type="dxa"/>
                </w:tblCellMar>
              </w:tblPrEx>
              <w:trPr>
                <w:trHeight w:val="428" w:hRule="atLeast"/>
              </w:trPr>
              <w:tc>
                <w:tcPr>
                  <w:tcW w:w="624" w:type="dxa"/>
                  <w:tcBorders>
                    <w:top w:val="nil"/>
                    <w:left w:val="single" w:color="auto" w:sz="4" w:space="0"/>
                    <w:bottom w:val="single" w:color="auto" w:sz="4" w:space="0"/>
                    <w:right w:val="single" w:color="auto" w:sz="4" w:space="0"/>
                  </w:tcBorders>
                  <w:noWrap/>
                  <w:vAlign w:val="center"/>
                </w:tcPr>
                <w:p w14:paraId="593B4085">
                  <w:pPr>
                    <w:widowControl/>
                    <w:tabs>
                      <w:tab w:val="left" w:pos="0"/>
                    </w:tabs>
                    <w:wordWrap w:val="0"/>
                    <w:spacing w:line="312" w:lineRule="auto"/>
                    <w:jc w:val="center"/>
                    <w:rPr>
                      <w:rFonts w:ascii="Times New Roman" w:hAnsi="Times New Roman" w:eastAsia="宋体" w:cs="宋体"/>
                      <w:kern w:val="0"/>
                      <w:sz w:val="24"/>
                      <w:szCs w:val="24"/>
                      <w:highlight w:val="none"/>
                    </w:rPr>
                  </w:pPr>
                </w:p>
              </w:tc>
              <w:tc>
                <w:tcPr>
                  <w:tcW w:w="1968" w:type="dxa"/>
                  <w:tcBorders>
                    <w:top w:val="nil"/>
                    <w:left w:val="nil"/>
                    <w:bottom w:val="single" w:color="auto" w:sz="4" w:space="0"/>
                    <w:right w:val="single" w:color="auto" w:sz="4" w:space="0"/>
                  </w:tcBorders>
                  <w:vAlign w:val="center"/>
                </w:tcPr>
                <w:p w14:paraId="51271232">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平均波长(连续3炉)</w:t>
                  </w:r>
                </w:p>
              </w:tc>
              <w:tc>
                <w:tcPr>
                  <w:tcW w:w="1706" w:type="dxa"/>
                  <w:tcBorders>
                    <w:top w:val="nil"/>
                    <w:left w:val="nil"/>
                    <w:bottom w:val="single" w:color="auto" w:sz="4" w:space="0"/>
                    <w:right w:val="single" w:color="auto" w:sz="4" w:space="0"/>
                  </w:tcBorders>
                  <w:vAlign w:val="center"/>
                </w:tcPr>
                <w:p w14:paraId="62F1E6DF">
                  <w:pPr>
                    <w:widowControl/>
                    <w:tabs>
                      <w:tab w:val="left" w:pos="0"/>
                    </w:tabs>
                    <w:wordWrap w:val="0"/>
                    <w:spacing w:line="312" w:lineRule="auto"/>
                    <w:jc w:val="left"/>
                    <w:rPr>
                      <w:rFonts w:ascii="Times New Roman" w:hAnsi="Times New Roman" w:eastAsia="宋体" w:cs="宋体"/>
                      <w:kern w:val="0"/>
                      <w:sz w:val="24"/>
                      <w:szCs w:val="24"/>
                      <w:highlight w:val="none"/>
                    </w:rPr>
                  </w:pPr>
                  <w:r>
                    <w:rPr>
                      <w:rFonts w:ascii="Times New Roman" w:hAnsi="Times New Roman" w:eastAsia="宋体" w:cs="Times New Roman"/>
                      <w:kern w:val="0"/>
                      <w:sz w:val="24"/>
                      <w:szCs w:val="24"/>
                      <w:highlight w:val="none"/>
                    </w:rPr>
                    <w:t>Δλ</w:t>
                  </w:r>
                  <w:r>
                    <w:rPr>
                      <w:rFonts w:hint="eastAsia" w:ascii="Times New Roman" w:hAnsi="Times New Roman" w:eastAsia="宋体" w:cs="宋体"/>
                      <w:kern w:val="0"/>
                      <w:sz w:val="24"/>
                      <w:szCs w:val="24"/>
                      <w:highlight w:val="none"/>
                    </w:rPr>
                    <w:t>≤3.0nm</w:t>
                  </w:r>
                </w:p>
              </w:tc>
              <w:tc>
                <w:tcPr>
                  <w:tcW w:w="1102" w:type="dxa"/>
                  <w:tcBorders>
                    <w:top w:val="nil"/>
                    <w:left w:val="nil"/>
                    <w:bottom w:val="single" w:color="auto" w:sz="4" w:space="0"/>
                    <w:right w:val="single" w:color="auto" w:sz="4" w:space="0"/>
                  </w:tcBorders>
                  <w:vAlign w:val="center"/>
                </w:tcPr>
                <w:p w14:paraId="7532E9A0">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PL</w:t>
                  </w:r>
                </w:p>
              </w:tc>
            </w:tr>
            <w:tr w14:paraId="3574BCA2">
              <w:tblPrEx>
                <w:tblCellMar>
                  <w:top w:w="0" w:type="dxa"/>
                  <w:left w:w="108" w:type="dxa"/>
                  <w:bottom w:w="0" w:type="dxa"/>
                  <w:right w:w="108" w:type="dxa"/>
                </w:tblCellMar>
              </w:tblPrEx>
              <w:trPr>
                <w:trHeight w:val="428" w:hRule="atLeast"/>
              </w:trPr>
              <w:tc>
                <w:tcPr>
                  <w:tcW w:w="624" w:type="dxa"/>
                  <w:tcBorders>
                    <w:top w:val="single" w:color="auto" w:sz="4" w:space="0"/>
                    <w:left w:val="single" w:color="auto" w:sz="4" w:space="0"/>
                    <w:bottom w:val="single" w:color="auto" w:sz="4" w:space="0"/>
                    <w:right w:val="single" w:color="auto" w:sz="4" w:space="0"/>
                  </w:tcBorders>
                  <w:shd w:val="clear" w:color="000000" w:fill="D9D9D9"/>
                  <w:noWrap/>
                  <w:vAlign w:val="center"/>
                </w:tcPr>
                <w:p w14:paraId="66AACAF3">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5</w:t>
                  </w:r>
                </w:p>
              </w:tc>
              <w:tc>
                <w:tcPr>
                  <w:tcW w:w="4776" w:type="dxa"/>
                  <w:gridSpan w:val="3"/>
                  <w:tcBorders>
                    <w:top w:val="single" w:color="auto" w:sz="4" w:space="0"/>
                    <w:left w:val="nil"/>
                    <w:bottom w:val="single" w:color="auto" w:sz="4" w:space="0"/>
                    <w:right w:val="single" w:color="auto" w:sz="4" w:space="0"/>
                  </w:tcBorders>
                  <w:shd w:val="clear" w:color="000000" w:fill="D9D9D9"/>
                  <w:vAlign w:val="center"/>
                </w:tcPr>
                <w:p w14:paraId="4138A73E">
                  <w:pPr>
                    <w:widowControl/>
                    <w:tabs>
                      <w:tab w:val="left" w:pos="0"/>
                    </w:tabs>
                    <w:wordWrap w:val="0"/>
                    <w:spacing w:line="312"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AlGaN  (厚度0.3μm)</w:t>
                  </w:r>
                </w:p>
              </w:tc>
            </w:tr>
            <w:tr w14:paraId="7D20E37D">
              <w:tblPrEx>
                <w:tblCellMar>
                  <w:top w:w="0" w:type="dxa"/>
                  <w:left w:w="108" w:type="dxa"/>
                  <w:bottom w:w="0" w:type="dxa"/>
                  <w:right w:w="108" w:type="dxa"/>
                </w:tblCellMar>
              </w:tblPrEx>
              <w:trPr>
                <w:trHeight w:val="428" w:hRule="atLeast"/>
              </w:trPr>
              <w:tc>
                <w:tcPr>
                  <w:tcW w:w="624" w:type="dxa"/>
                  <w:tcBorders>
                    <w:top w:val="single" w:color="auto" w:sz="4" w:space="0"/>
                    <w:left w:val="single" w:color="auto" w:sz="4" w:space="0"/>
                    <w:bottom w:val="single" w:color="auto" w:sz="4" w:space="0"/>
                    <w:right w:val="single" w:color="auto" w:sz="4" w:space="0"/>
                  </w:tcBorders>
                  <w:noWrap/>
                  <w:vAlign w:val="center"/>
                </w:tcPr>
                <w:p w14:paraId="5A7554CA">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1968" w:type="dxa"/>
                  <w:tcBorders>
                    <w:top w:val="single" w:color="auto" w:sz="4" w:space="0"/>
                    <w:left w:val="nil"/>
                    <w:bottom w:val="single" w:color="auto" w:sz="4" w:space="0"/>
                    <w:right w:val="single" w:color="auto" w:sz="4" w:space="0"/>
                  </w:tcBorders>
                  <w:vAlign w:val="center"/>
                </w:tcPr>
                <w:p w14:paraId="62429D3A">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铝组分</w:t>
                  </w:r>
                </w:p>
              </w:tc>
              <w:tc>
                <w:tcPr>
                  <w:tcW w:w="1706" w:type="dxa"/>
                  <w:tcBorders>
                    <w:top w:val="single" w:color="auto" w:sz="4" w:space="0"/>
                    <w:left w:val="nil"/>
                    <w:bottom w:val="single" w:color="auto" w:sz="4" w:space="0"/>
                    <w:right w:val="single" w:color="auto" w:sz="4" w:space="0"/>
                  </w:tcBorders>
                  <w:vAlign w:val="center"/>
                </w:tcPr>
                <w:p w14:paraId="30969DBA">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15%~20%</w:t>
                  </w:r>
                </w:p>
              </w:tc>
              <w:tc>
                <w:tcPr>
                  <w:tcW w:w="1102" w:type="dxa"/>
                  <w:tcBorders>
                    <w:top w:val="single" w:color="auto" w:sz="4" w:space="0"/>
                    <w:left w:val="nil"/>
                    <w:bottom w:val="single" w:color="auto" w:sz="4" w:space="0"/>
                    <w:right w:val="single" w:color="auto" w:sz="4" w:space="0"/>
                  </w:tcBorders>
                  <w:vAlign w:val="center"/>
                </w:tcPr>
                <w:p w14:paraId="1D2DB261">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w:t>
                  </w:r>
                </w:p>
              </w:tc>
            </w:tr>
            <w:tr w14:paraId="6E076D89">
              <w:tblPrEx>
                <w:tblCellMar>
                  <w:top w:w="0" w:type="dxa"/>
                  <w:left w:w="108" w:type="dxa"/>
                  <w:bottom w:w="0" w:type="dxa"/>
                  <w:right w:w="108" w:type="dxa"/>
                </w:tblCellMar>
              </w:tblPrEx>
              <w:trPr>
                <w:trHeight w:val="847" w:hRule="atLeast"/>
              </w:trPr>
              <w:tc>
                <w:tcPr>
                  <w:tcW w:w="624" w:type="dxa"/>
                  <w:tcBorders>
                    <w:top w:val="single" w:color="auto" w:sz="4" w:space="0"/>
                    <w:left w:val="single" w:color="auto" w:sz="4" w:space="0"/>
                    <w:bottom w:val="single" w:color="auto" w:sz="4" w:space="0"/>
                    <w:right w:val="single" w:color="auto" w:sz="4" w:space="0"/>
                  </w:tcBorders>
                  <w:noWrap/>
                  <w:vAlign w:val="center"/>
                </w:tcPr>
                <w:p w14:paraId="71C431B6">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1968" w:type="dxa"/>
                  <w:tcBorders>
                    <w:top w:val="single" w:color="auto" w:sz="4" w:space="0"/>
                    <w:left w:val="nil"/>
                    <w:bottom w:val="single" w:color="auto" w:sz="4" w:space="0"/>
                    <w:right w:val="single" w:color="auto" w:sz="4" w:space="0"/>
                  </w:tcBorders>
                  <w:vAlign w:val="center"/>
                </w:tcPr>
                <w:p w14:paraId="0EB40456">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组分均匀性(5点)</w:t>
                  </w:r>
                </w:p>
              </w:tc>
              <w:tc>
                <w:tcPr>
                  <w:tcW w:w="1706" w:type="dxa"/>
                  <w:tcBorders>
                    <w:top w:val="single" w:color="auto" w:sz="4" w:space="0"/>
                    <w:left w:val="nil"/>
                    <w:bottom w:val="single" w:color="auto" w:sz="4" w:space="0"/>
                    <w:right w:val="single" w:color="auto" w:sz="4" w:space="0"/>
                  </w:tcBorders>
                  <w:vAlign w:val="center"/>
                </w:tcPr>
                <w:p w14:paraId="2B171C67">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Al%(max-min)≤2%</w:t>
                  </w:r>
                </w:p>
              </w:tc>
              <w:tc>
                <w:tcPr>
                  <w:tcW w:w="1102" w:type="dxa"/>
                  <w:tcBorders>
                    <w:top w:val="single" w:color="auto" w:sz="4" w:space="0"/>
                    <w:left w:val="nil"/>
                    <w:bottom w:val="single" w:color="auto" w:sz="4" w:space="0"/>
                    <w:right w:val="single" w:color="auto" w:sz="4" w:space="0"/>
                  </w:tcBorders>
                  <w:vAlign w:val="center"/>
                </w:tcPr>
                <w:p w14:paraId="30A967FF">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w:t>
                  </w:r>
                </w:p>
              </w:tc>
            </w:tr>
            <w:tr w14:paraId="6CE5AF44">
              <w:tblPrEx>
                <w:tblCellMar>
                  <w:top w:w="0" w:type="dxa"/>
                  <w:left w:w="108" w:type="dxa"/>
                  <w:bottom w:w="0" w:type="dxa"/>
                  <w:right w:w="108" w:type="dxa"/>
                </w:tblCellMar>
              </w:tblPrEx>
              <w:trPr>
                <w:trHeight w:val="428" w:hRule="atLeast"/>
              </w:trPr>
              <w:tc>
                <w:tcPr>
                  <w:tcW w:w="624" w:type="dxa"/>
                  <w:tcBorders>
                    <w:top w:val="single" w:color="auto" w:sz="4" w:space="0"/>
                    <w:left w:val="single" w:color="auto" w:sz="4" w:space="0"/>
                    <w:bottom w:val="single" w:color="auto" w:sz="4" w:space="0"/>
                    <w:right w:val="single" w:color="auto" w:sz="4" w:space="0"/>
                  </w:tcBorders>
                  <w:shd w:val="clear" w:color="auto" w:fill="D8D8D8" w:themeFill="background1" w:themeFillShade="D9"/>
                  <w:noWrap/>
                  <w:vAlign w:val="center"/>
                </w:tcPr>
                <w:p w14:paraId="2E02210C">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6</w:t>
                  </w:r>
                </w:p>
              </w:tc>
              <w:tc>
                <w:tcPr>
                  <w:tcW w:w="4776" w:type="dxa"/>
                  <w:gridSpan w:val="3"/>
                  <w:tcBorders>
                    <w:top w:val="single" w:color="auto" w:sz="4" w:space="0"/>
                    <w:left w:val="nil"/>
                    <w:bottom w:val="single" w:color="auto" w:sz="4" w:space="0"/>
                    <w:right w:val="single" w:color="auto" w:sz="4" w:space="0"/>
                  </w:tcBorders>
                  <w:shd w:val="clear" w:color="auto" w:fill="D8D8D8" w:themeFill="background1" w:themeFillShade="D9"/>
                  <w:vAlign w:val="center"/>
                </w:tcPr>
                <w:p w14:paraId="22BAA200">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b/>
                      <w:bCs/>
                      <w:kern w:val="0"/>
                      <w:sz w:val="24"/>
                      <w:szCs w:val="24"/>
                      <w:highlight w:val="none"/>
                    </w:rPr>
                    <w:t>HEMT 2DEG</w:t>
                  </w:r>
                </w:p>
              </w:tc>
            </w:tr>
            <w:tr w14:paraId="7425B608">
              <w:tblPrEx>
                <w:tblCellMar>
                  <w:top w:w="0" w:type="dxa"/>
                  <w:left w:w="108" w:type="dxa"/>
                  <w:bottom w:w="0" w:type="dxa"/>
                  <w:right w:w="108" w:type="dxa"/>
                </w:tblCellMar>
              </w:tblPrEx>
              <w:trPr>
                <w:trHeight w:val="428" w:hRule="atLeast"/>
              </w:trPr>
              <w:tc>
                <w:tcPr>
                  <w:tcW w:w="624" w:type="dxa"/>
                  <w:tcBorders>
                    <w:top w:val="single" w:color="auto" w:sz="4" w:space="0"/>
                    <w:left w:val="single" w:color="auto" w:sz="4" w:space="0"/>
                    <w:bottom w:val="single" w:color="auto" w:sz="4" w:space="0"/>
                    <w:right w:val="single" w:color="auto" w:sz="4" w:space="0"/>
                  </w:tcBorders>
                  <w:noWrap/>
                  <w:vAlign w:val="center"/>
                </w:tcPr>
                <w:p w14:paraId="4281B8AB">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1968" w:type="dxa"/>
                  <w:tcBorders>
                    <w:top w:val="single" w:color="auto" w:sz="4" w:space="0"/>
                    <w:left w:val="nil"/>
                    <w:bottom w:val="single" w:color="auto" w:sz="4" w:space="0"/>
                    <w:right w:val="single" w:color="auto" w:sz="4" w:space="0"/>
                  </w:tcBorders>
                  <w:vAlign w:val="center"/>
                </w:tcPr>
                <w:p w14:paraId="0596406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sz w:val="24"/>
                      <w:szCs w:val="24"/>
                      <w:highlight w:val="none"/>
                    </w:rPr>
                    <w:t>载子迁移率</w:t>
                  </w:r>
                </w:p>
              </w:tc>
              <w:tc>
                <w:tcPr>
                  <w:tcW w:w="1706" w:type="dxa"/>
                  <w:tcBorders>
                    <w:top w:val="single" w:color="auto" w:sz="4" w:space="0"/>
                    <w:left w:val="nil"/>
                    <w:bottom w:val="single" w:color="auto" w:sz="4" w:space="0"/>
                    <w:right w:val="single" w:color="auto" w:sz="4" w:space="0"/>
                  </w:tcBorders>
                  <w:vAlign w:val="center"/>
                </w:tcPr>
                <w:p w14:paraId="70327A4C">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w:t>
                  </w:r>
                  <w:r>
                    <w:rPr>
                      <w:rFonts w:hint="eastAsia" w:ascii="Times New Roman" w:hAnsi="Times New Roman" w:eastAsia="宋体" w:cs="宋体"/>
                      <w:sz w:val="24"/>
                      <w:szCs w:val="24"/>
                      <w:highlight w:val="none"/>
                    </w:rPr>
                    <w:t>1800cm²/</w:t>
                  </w:r>
                  <w:r>
                    <w:rPr>
                      <w:rFonts w:ascii="Times New Roman" w:hAnsi="Times New Roman" w:eastAsia="宋体" w:cs="Times New Roman"/>
                      <w:kern w:val="0"/>
                      <w:sz w:val="24"/>
                      <w:szCs w:val="24"/>
                      <w:highlight w:val="none"/>
                    </w:rPr>
                    <w:t>V·s</w:t>
                  </w:r>
                </w:p>
              </w:tc>
              <w:tc>
                <w:tcPr>
                  <w:tcW w:w="1102" w:type="dxa"/>
                  <w:tcBorders>
                    <w:top w:val="single" w:color="auto" w:sz="4" w:space="0"/>
                    <w:left w:val="nil"/>
                    <w:bottom w:val="single" w:color="auto" w:sz="4" w:space="0"/>
                    <w:right w:val="single" w:color="auto" w:sz="4" w:space="0"/>
                  </w:tcBorders>
                  <w:vAlign w:val="center"/>
                </w:tcPr>
                <w:p w14:paraId="5B8ABA9B">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sz w:val="24"/>
                      <w:szCs w:val="24"/>
                      <w:highlight w:val="none"/>
                    </w:rPr>
                    <w:t>Hall</w:t>
                  </w:r>
                </w:p>
              </w:tc>
            </w:tr>
            <w:tr w14:paraId="1956B6D5">
              <w:tblPrEx>
                <w:tblCellMar>
                  <w:top w:w="0" w:type="dxa"/>
                  <w:left w:w="108" w:type="dxa"/>
                  <w:bottom w:w="0" w:type="dxa"/>
                  <w:right w:w="108" w:type="dxa"/>
                </w:tblCellMar>
              </w:tblPrEx>
              <w:trPr>
                <w:trHeight w:val="438" w:hRule="atLeast"/>
              </w:trPr>
              <w:tc>
                <w:tcPr>
                  <w:tcW w:w="624" w:type="dxa"/>
                  <w:tcBorders>
                    <w:top w:val="single" w:color="auto" w:sz="4" w:space="0"/>
                    <w:left w:val="single" w:color="auto" w:sz="4" w:space="0"/>
                    <w:bottom w:val="single" w:color="auto" w:sz="4" w:space="0"/>
                    <w:right w:val="single" w:color="auto" w:sz="4" w:space="0"/>
                  </w:tcBorders>
                  <w:noWrap/>
                  <w:vAlign w:val="center"/>
                </w:tcPr>
                <w:p w14:paraId="65C5360F">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1968" w:type="dxa"/>
                  <w:tcBorders>
                    <w:top w:val="single" w:color="auto" w:sz="4" w:space="0"/>
                    <w:left w:val="nil"/>
                    <w:bottom w:val="single" w:color="auto" w:sz="4" w:space="0"/>
                    <w:right w:val="single" w:color="auto" w:sz="4" w:space="0"/>
                  </w:tcBorders>
                  <w:vAlign w:val="center"/>
                </w:tcPr>
                <w:p w14:paraId="59B7BFA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sz w:val="24"/>
                      <w:szCs w:val="24"/>
                      <w:highlight w:val="none"/>
                    </w:rPr>
                    <w:t>载子浓度</w:t>
                  </w:r>
                </w:p>
              </w:tc>
              <w:tc>
                <w:tcPr>
                  <w:tcW w:w="1706" w:type="dxa"/>
                  <w:tcBorders>
                    <w:top w:val="single" w:color="auto" w:sz="4" w:space="0"/>
                    <w:left w:val="nil"/>
                    <w:bottom w:val="single" w:color="auto" w:sz="4" w:space="0"/>
                    <w:right w:val="single" w:color="auto" w:sz="4" w:space="0"/>
                  </w:tcBorders>
                  <w:vAlign w:val="center"/>
                </w:tcPr>
                <w:p w14:paraId="79415511">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sz w:val="24"/>
                      <w:szCs w:val="24"/>
                      <w:highlight w:val="none"/>
                    </w:rPr>
                    <w:t>≥5x10</w:t>
                  </w:r>
                  <w:r>
                    <w:rPr>
                      <w:rFonts w:hint="eastAsia" w:ascii="Times New Roman" w:hAnsi="Times New Roman" w:eastAsia="宋体" w:cs="宋体"/>
                      <w:sz w:val="24"/>
                      <w:szCs w:val="24"/>
                      <w:highlight w:val="none"/>
                      <w:vertAlign w:val="superscript"/>
                    </w:rPr>
                    <w:t>12</w:t>
                  </w:r>
                  <w:r>
                    <w:rPr>
                      <w:rFonts w:hint="eastAsia" w:ascii="Times New Roman" w:hAnsi="Times New Roman" w:eastAsia="宋体" w:cs="宋体"/>
                      <w:sz w:val="24"/>
                      <w:szCs w:val="24"/>
                      <w:highlight w:val="none"/>
                    </w:rPr>
                    <w:t>cm</w:t>
                  </w:r>
                  <w:r>
                    <w:rPr>
                      <w:rFonts w:hint="eastAsia" w:ascii="Times New Roman" w:hAnsi="Times New Roman" w:eastAsia="宋体" w:cs="宋体"/>
                      <w:sz w:val="24"/>
                      <w:szCs w:val="24"/>
                      <w:highlight w:val="none"/>
                      <w:vertAlign w:val="superscript"/>
                    </w:rPr>
                    <w:t>-2</w:t>
                  </w:r>
                </w:p>
              </w:tc>
              <w:tc>
                <w:tcPr>
                  <w:tcW w:w="1102" w:type="dxa"/>
                  <w:tcBorders>
                    <w:top w:val="single" w:color="auto" w:sz="4" w:space="0"/>
                    <w:left w:val="nil"/>
                    <w:bottom w:val="single" w:color="auto" w:sz="4" w:space="0"/>
                    <w:right w:val="single" w:color="auto" w:sz="4" w:space="0"/>
                  </w:tcBorders>
                  <w:vAlign w:val="center"/>
                </w:tcPr>
                <w:p w14:paraId="5A696BBA">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sz w:val="24"/>
                      <w:szCs w:val="24"/>
                      <w:highlight w:val="none"/>
                    </w:rPr>
                    <w:t>Hall</w:t>
                  </w:r>
                </w:p>
              </w:tc>
            </w:tr>
          </w:tbl>
          <w:p w14:paraId="2EB0D150">
            <w:pPr>
              <w:pStyle w:val="15"/>
              <w:tabs>
                <w:tab w:val="left" w:pos="0"/>
              </w:tabs>
              <w:wordWrap w:val="0"/>
              <w:spacing w:line="312" w:lineRule="auto"/>
              <w:ind w:firstLine="0" w:firstLineChars="0"/>
              <w:rPr>
                <w:rFonts w:cs="宋体"/>
                <w:kern w:val="0"/>
                <w:sz w:val="24"/>
                <w:szCs w:val="24"/>
                <w:highlight w:val="none"/>
                <w:lang w:bidi="ar"/>
              </w:rPr>
            </w:pPr>
          </w:p>
          <w:p w14:paraId="505AABEC">
            <w:pPr>
              <w:pStyle w:val="15"/>
              <w:tabs>
                <w:tab w:val="left" w:pos="0"/>
              </w:tabs>
              <w:wordWrap w:val="0"/>
              <w:spacing w:line="312" w:lineRule="auto"/>
              <w:ind w:firstLine="0" w:firstLineChars="0"/>
              <w:rPr>
                <w:rFonts w:cs="宋体"/>
                <w:kern w:val="0"/>
                <w:sz w:val="24"/>
                <w:szCs w:val="24"/>
                <w:highlight w:val="none"/>
                <w:lang w:bidi="ar"/>
              </w:rPr>
            </w:pPr>
          </w:p>
          <w:tbl>
            <w:tblPr>
              <w:tblStyle w:val="11"/>
              <w:tblW w:w="5420" w:type="dxa"/>
              <w:tblInd w:w="0" w:type="dxa"/>
              <w:tblLayout w:type="fixed"/>
              <w:tblCellMar>
                <w:top w:w="0" w:type="dxa"/>
                <w:left w:w="108" w:type="dxa"/>
                <w:bottom w:w="0" w:type="dxa"/>
                <w:right w:w="108" w:type="dxa"/>
              </w:tblCellMar>
            </w:tblPr>
            <w:tblGrid>
              <w:gridCol w:w="573"/>
              <w:gridCol w:w="2086"/>
              <w:gridCol w:w="1654"/>
              <w:gridCol w:w="1107"/>
            </w:tblGrid>
            <w:tr w14:paraId="440E8B3C">
              <w:tblPrEx>
                <w:tblCellMar>
                  <w:top w:w="0" w:type="dxa"/>
                  <w:left w:w="108" w:type="dxa"/>
                  <w:bottom w:w="0" w:type="dxa"/>
                  <w:right w:w="108" w:type="dxa"/>
                </w:tblCellMar>
              </w:tblPrEx>
              <w:trPr>
                <w:trHeight w:val="806" w:hRule="atLeast"/>
              </w:trPr>
              <w:tc>
                <w:tcPr>
                  <w:tcW w:w="5420" w:type="dxa"/>
                  <w:gridSpan w:val="4"/>
                  <w:tcBorders>
                    <w:top w:val="single" w:color="auto" w:sz="4" w:space="0"/>
                    <w:left w:val="single" w:color="auto" w:sz="4" w:space="0"/>
                    <w:bottom w:val="single" w:color="auto" w:sz="4" w:space="0"/>
                    <w:right w:val="single" w:color="auto" w:sz="4" w:space="0"/>
                  </w:tcBorders>
                  <w:shd w:val="clear" w:color="000000" w:fill="D9D9D9"/>
                  <w:noWrap/>
                  <w:vAlign w:val="center"/>
                </w:tcPr>
                <w:p w14:paraId="41826FF9">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b/>
                      <w:bCs/>
                      <w:kern w:val="0"/>
                      <w:sz w:val="24"/>
                      <w:szCs w:val="24"/>
                      <w:highlight w:val="none"/>
                    </w:rPr>
                    <w:t>工艺验收指标</w:t>
                  </w:r>
                  <w:r>
                    <w:rPr>
                      <w:rFonts w:ascii="Times New Roman" w:hAnsi="Times New Roman" w:eastAsia="宋体" w:cs="宋体"/>
                      <w:b/>
                      <w:bCs/>
                      <w:kern w:val="0"/>
                      <w:sz w:val="24"/>
                      <w:szCs w:val="24"/>
                      <w:highlight w:val="none"/>
                    </w:rPr>
                    <w:t>之二</w:t>
                  </w:r>
                  <w:r>
                    <w:rPr>
                      <w:rFonts w:hint="eastAsia" w:ascii="Times New Roman" w:hAnsi="Times New Roman" w:eastAsia="宋体" w:cs="宋体"/>
                      <w:b/>
                      <w:bCs/>
                      <w:kern w:val="0"/>
                      <w:sz w:val="24"/>
                      <w:szCs w:val="24"/>
                      <w:highlight w:val="none"/>
                    </w:rPr>
                    <w:t>：(*2英寸或4英寸基板，其余为同质外延)</w:t>
                  </w:r>
                </w:p>
              </w:tc>
            </w:tr>
            <w:tr w14:paraId="0104CADB">
              <w:tblPrEx>
                <w:tblCellMar>
                  <w:top w:w="0" w:type="dxa"/>
                  <w:left w:w="108" w:type="dxa"/>
                  <w:bottom w:w="0" w:type="dxa"/>
                  <w:right w:w="108" w:type="dxa"/>
                </w:tblCellMar>
              </w:tblPrEx>
              <w:trPr>
                <w:trHeight w:val="806" w:hRule="atLeast"/>
              </w:trPr>
              <w:tc>
                <w:tcPr>
                  <w:tcW w:w="573" w:type="dxa"/>
                  <w:tcBorders>
                    <w:top w:val="nil"/>
                    <w:left w:val="single" w:color="auto" w:sz="4" w:space="0"/>
                    <w:bottom w:val="single" w:color="auto" w:sz="4" w:space="0"/>
                    <w:right w:val="single" w:color="auto" w:sz="4" w:space="0"/>
                  </w:tcBorders>
                  <w:noWrap/>
                  <w:vAlign w:val="center"/>
                </w:tcPr>
                <w:p w14:paraId="7D004639">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序号</w:t>
                  </w:r>
                </w:p>
              </w:tc>
              <w:tc>
                <w:tcPr>
                  <w:tcW w:w="2086" w:type="dxa"/>
                  <w:tcBorders>
                    <w:top w:val="nil"/>
                    <w:left w:val="nil"/>
                    <w:bottom w:val="single" w:color="auto" w:sz="4" w:space="0"/>
                    <w:right w:val="single" w:color="auto" w:sz="4" w:space="0"/>
                  </w:tcBorders>
                  <w:vAlign w:val="center"/>
                </w:tcPr>
                <w:p w14:paraId="0E92F936">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验收指标</w:t>
                  </w:r>
                </w:p>
              </w:tc>
              <w:tc>
                <w:tcPr>
                  <w:tcW w:w="1654" w:type="dxa"/>
                  <w:tcBorders>
                    <w:top w:val="nil"/>
                    <w:left w:val="nil"/>
                    <w:bottom w:val="single" w:color="auto" w:sz="4" w:space="0"/>
                    <w:right w:val="single" w:color="auto" w:sz="4" w:space="0"/>
                  </w:tcBorders>
                  <w:vAlign w:val="center"/>
                </w:tcPr>
                <w:p w14:paraId="376F53E0">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验收规格</w:t>
                  </w:r>
                </w:p>
              </w:tc>
              <w:tc>
                <w:tcPr>
                  <w:tcW w:w="1107" w:type="dxa"/>
                  <w:tcBorders>
                    <w:top w:val="nil"/>
                    <w:left w:val="nil"/>
                    <w:bottom w:val="single" w:color="auto" w:sz="4" w:space="0"/>
                    <w:right w:val="single" w:color="auto" w:sz="4" w:space="0"/>
                  </w:tcBorders>
                  <w:vAlign w:val="center"/>
                </w:tcPr>
                <w:p w14:paraId="44F18840">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测试方法</w:t>
                  </w:r>
                </w:p>
              </w:tc>
            </w:tr>
            <w:tr w14:paraId="3430F607">
              <w:tblPrEx>
                <w:tblCellMar>
                  <w:top w:w="0" w:type="dxa"/>
                  <w:left w:w="108" w:type="dxa"/>
                  <w:bottom w:w="0" w:type="dxa"/>
                  <w:right w:w="108" w:type="dxa"/>
                </w:tblCellMar>
              </w:tblPrEx>
              <w:trPr>
                <w:trHeight w:val="408" w:hRule="atLeast"/>
              </w:trPr>
              <w:tc>
                <w:tcPr>
                  <w:tcW w:w="573" w:type="dxa"/>
                  <w:tcBorders>
                    <w:top w:val="single" w:color="auto" w:sz="4" w:space="0"/>
                    <w:left w:val="single" w:color="auto" w:sz="4" w:space="0"/>
                    <w:bottom w:val="single" w:color="auto" w:sz="4" w:space="0"/>
                    <w:right w:val="single" w:color="auto" w:sz="4" w:space="0"/>
                  </w:tcBorders>
                  <w:shd w:val="clear" w:color="000000" w:fill="D9D9D9"/>
                  <w:vAlign w:val="center"/>
                </w:tcPr>
                <w:p w14:paraId="2FE6F19A">
                  <w:pPr>
                    <w:widowControl/>
                    <w:tabs>
                      <w:tab w:val="left" w:pos="0"/>
                    </w:tabs>
                    <w:wordWrap w:val="0"/>
                    <w:spacing w:line="312" w:lineRule="auto"/>
                    <w:jc w:val="center"/>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1</w:t>
                  </w:r>
                </w:p>
              </w:tc>
              <w:tc>
                <w:tcPr>
                  <w:tcW w:w="4847" w:type="dxa"/>
                  <w:gridSpan w:val="3"/>
                  <w:tcBorders>
                    <w:top w:val="single" w:color="auto" w:sz="4" w:space="0"/>
                    <w:left w:val="single" w:color="auto" w:sz="4" w:space="0"/>
                    <w:bottom w:val="single" w:color="auto" w:sz="4" w:space="0"/>
                    <w:right w:val="single" w:color="auto" w:sz="4" w:space="0"/>
                  </w:tcBorders>
                  <w:shd w:val="clear" w:color="000000" w:fill="D9D9D9"/>
                  <w:vAlign w:val="center"/>
                </w:tcPr>
                <w:p w14:paraId="49CF63B5">
                  <w:pPr>
                    <w:widowControl/>
                    <w:tabs>
                      <w:tab w:val="left" w:pos="0"/>
                    </w:tabs>
                    <w:wordWrap w:val="0"/>
                    <w:spacing w:line="312" w:lineRule="auto"/>
                    <w:jc w:val="left"/>
                    <w:rPr>
                      <w:rFonts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非掺杂GaO  (2.0 μm)</w:t>
                  </w:r>
                </w:p>
              </w:tc>
            </w:tr>
            <w:tr w14:paraId="3C4FD8D5">
              <w:tblPrEx>
                <w:tblCellMar>
                  <w:top w:w="0" w:type="dxa"/>
                  <w:left w:w="108" w:type="dxa"/>
                  <w:bottom w:w="0" w:type="dxa"/>
                  <w:right w:w="108" w:type="dxa"/>
                </w:tblCellMar>
              </w:tblPrEx>
              <w:trPr>
                <w:trHeight w:val="806" w:hRule="atLeast"/>
              </w:trPr>
              <w:tc>
                <w:tcPr>
                  <w:tcW w:w="573" w:type="dxa"/>
                  <w:tcBorders>
                    <w:top w:val="nil"/>
                    <w:left w:val="single" w:color="auto" w:sz="4" w:space="0"/>
                    <w:bottom w:val="single" w:color="auto" w:sz="4" w:space="0"/>
                    <w:right w:val="single" w:color="auto" w:sz="4" w:space="0"/>
                  </w:tcBorders>
                  <w:noWrap/>
                  <w:vAlign w:val="center"/>
                </w:tcPr>
                <w:p w14:paraId="555B2F7A">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2086" w:type="dxa"/>
                  <w:tcBorders>
                    <w:top w:val="nil"/>
                    <w:left w:val="nil"/>
                    <w:bottom w:val="single" w:color="auto" w:sz="4" w:space="0"/>
                    <w:right w:val="single" w:color="auto" w:sz="4" w:space="0"/>
                  </w:tcBorders>
                  <w:vAlign w:val="center"/>
                </w:tcPr>
                <w:p w14:paraId="2639395B">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生长速率</w:t>
                  </w:r>
                </w:p>
              </w:tc>
              <w:tc>
                <w:tcPr>
                  <w:tcW w:w="1654" w:type="dxa"/>
                  <w:tcBorders>
                    <w:top w:val="nil"/>
                    <w:left w:val="nil"/>
                    <w:bottom w:val="single" w:color="auto" w:sz="4" w:space="0"/>
                    <w:right w:val="single" w:color="auto" w:sz="4" w:space="0"/>
                  </w:tcBorders>
                  <w:vAlign w:val="center"/>
                </w:tcPr>
                <w:p w14:paraId="7C5A3052">
                  <w:pPr>
                    <w:widowControl/>
                    <w:tabs>
                      <w:tab w:val="left" w:pos="0"/>
                    </w:tabs>
                    <w:wordWrap w:val="0"/>
                    <w:spacing w:line="312" w:lineRule="auto"/>
                    <w:jc w:val="left"/>
                    <w:rPr>
                      <w:rFonts w:ascii="Times New Roman" w:hAnsi="Times New Roman" w:eastAsia="宋体" w:cs="Times New Roman"/>
                      <w:kern w:val="0"/>
                      <w:sz w:val="24"/>
                      <w:szCs w:val="24"/>
                      <w:highlight w:val="none"/>
                    </w:rPr>
                  </w:pPr>
                  <w:r>
                    <w:rPr>
                      <w:rFonts w:ascii="Times New Roman" w:hAnsi="Times New Roman" w:eastAsia="宋体" w:cs="Times New Roman"/>
                      <w:kern w:val="0"/>
                      <w:sz w:val="24"/>
                      <w:szCs w:val="24"/>
                      <w:highlight w:val="none"/>
                    </w:rPr>
                    <w:t>≥2.5µm/h</w:t>
                  </w:r>
                </w:p>
              </w:tc>
              <w:tc>
                <w:tcPr>
                  <w:tcW w:w="1107" w:type="dxa"/>
                  <w:tcBorders>
                    <w:top w:val="nil"/>
                    <w:left w:val="nil"/>
                    <w:bottom w:val="single" w:color="auto" w:sz="4" w:space="0"/>
                    <w:right w:val="single" w:color="auto" w:sz="4" w:space="0"/>
                  </w:tcBorders>
                  <w:vAlign w:val="center"/>
                </w:tcPr>
                <w:p w14:paraId="2AFCB8F2">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原位监控</w:t>
                  </w:r>
                </w:p>
              </w:tc>
            </w:tr>
            <w:tr w14:paraId="4BD952CB">
              <w:tblPrEx>
                <w:tblCellMar>
                  <w:top w:w="0" w:type="dxa"/>
                  <w:left w:w="108" w:type="dxa"/>
                  <w:bottom w:w="0" w:type="dxa"/>
                  <w:right w:w="108" w:type="dxa"/>
                </w:tblCellMar>
              </w:tblPrEx>
              <w:trPr>
                <w:trHeight w:val="408" w:hRule="atLeast"/>
              </w:trPr>
              <w:tc>
                <w:tcPr>
                  <w:tcW w:w="573" w:type="dxa"/>
                  <w:tcBorders>
                    <w:top w:val="nil"/>
                    <w:left w:val="single" w:color="auto" w:sz="4" w:space="0"/>
                    <w:bottom w:val="single" w:color="auto" w:sz="4" w:space="0"/>
                    <w:right w:val="single" w:color="auto" w:sz="4" w:space="0"/>
                  </w:tcBorders>
                  <w:noWrap/>
                  <w:vAlign w:val="center"/>
                </w:tcPr>
                <w:p w14:paraId="5E3E30B4">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2086" w:type="dxa"/>
                  <w:tcBorders>
                    <w:top w:val="nil"/>
                    <w:left w:val="nil"/>
                    <w:bottom w:val="single" w:color="auto" w:sz="4" w:space="0"/>
                    <w:right w:val="single" w:color="auto" w:sz="4" w:space="0"/>
                  </w:tcBorders>
                  <w:vAlign w:val="center"/>
                </w:tcPr>
                <w:p w14:paraId="12DF549E">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片内厚度均匀性</w:t>
                  </w:r>
                </w:p>
              </w:tc>
              <w:tc>
                <w:tcPr>
                  <w:tcW w:w="1654" w:type="dxa"/>
                  <w:tcBorders>
                    <w:top w:val="nil"/>
                    <w:left w:val="nil"/>
                    <w:bottom w:val="single" w:color="auto" w:sz="4" w:space="0"/>
                    <w:right w:val="single" w:color="auto" w:sz="4" w:space="0"/>
                  </w:tcBorders>
                  <w:vAlign w:val="center"/>
                </w:tcPr>
                <w:p w14:paraId="1CBDE21B">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σ≤2%</w:t>
                  </w:r>
                </w:p>
              </w:tc>
              <w:tc>
                <w:tcPr>
                  <w:tcW w:w="1107" w:type="dxa"/>
                  <w:tcBorders>
                    <w:top w:val="nil"/>
                    <w:left w:val="nil"/>
                    <w:bottom w:val="single" w:color="auto" w:sz="4" w:space="0"/>
                    <w:right w:val="single" w:color="auto" w:sz="4" w:space="0"/>
                  </w:tcBorders>
                  <w:vAlign w:val="center"/>
                </w:tcPr>
                <w:p w14:paraId="3B97DBD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PL</w:t>
                  </w:r>
                </w:p>
              </w:tc>
            </w:tr>
            <w:tr w14:paraId="226DE969">
              <w:tblPrEx>
                <w:tblCellMar>
                  <w:top w:w="0" w:type="dxa"/>
                  <w:left w:w="108" w:type="dxa"/>
                  <w:bottom w:w="0" w:type="dxa"/>
                  <w:right w:w="108" w:type="dxa"/>
                </w:tblCellMar>
              </w:tblPrEx>
              <w:trPr>
                <w:trHeight w:val="408" w:hRule="atLeast"/>
              </w:trPr>
              <w:tc>
                <w:tcPr>
                  <w:tcW w:w="573" w:type="dxa"/>
                  <w:tcBorders>
                    <w:top w:val="nil"/>
                    <w:left w:val="single" w:color="auto" w:sz="4" w:space="0"/>
                    <w:bottom w:val="single" w:color="auto" w:sz="4" w:space="0"/>
                    <w:right w:val="single" w:color="auto" w:sz="4" w:space="0"/>
                  </w:tcBorders>
                  <w:noWrap/>
                  <w:vAlign w:val="center"/>
                </w:tcPr>
                <w:p w14:paraId="6B4A1C78">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2086" w:type="dxa"/>
                  <w:tcBorders>
                    <w:top w:val="nil"/>
                    <w:left w:val="nil"/>
                    <w:bottom w:val="single" w:color="auto" w:sz="4" w:space="0"/>
                    <w:right w:val="single" w:color="auto" w:sz="4" w:space="0"/>
                  </w:tcBorders>
                  <w:vAlign w:val="center"/>
                </w:tcPr>
                <w:p w14:paraId="153328EC">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炉间厚度均匀性</w:t>
                  </w:r>
                </w:p>
              </w:tc>
              <w:tc>
                <w:tcPr>
                  <w:tcW w:w="1654" w:type="dxa"/>
                  <w:tcBorders>
                    <w:top w:val="nil"/>
                    <w:left w:val="nil"/>
                    <w:bottom w:val="single" w:color="auto" w:sz="4" w:space="0"/>
                    <w:right w:val="single" w:color="auto" w:sz="4" w:space="0"/>
                  </w:tcBorders>
                  <w:vAlign w:val="center"/>
                </w:tcPr>
                <w:p w14:paraId="66B5ACFD">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σ≤2%</w:t>
                  </w:r>
                </w:p>
              </w:tc>
              <w:tc>
                <w:tcPr>
                  <w:tcW w:w="1107" w:type="dxa"/>
                  <w:tcBorders>
                    <w:top w:val="nil"/>
                    <w:left w:val="nil"/>
                    <w:bottom w:val="single" w:color="auto" w:sz="4" w:space="0"/>
                    <w:right w:val="single" w:color="auto" w:sz="4" w:space="0"/>
                  </w:tcBorders>
                  <w:vAlign w:val="center"/>
                </w:tcPr>
                <w:p w14:paraId="62BA5C2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PL</w:t>
                  </w:r>
                </w:p>
              </w:tc>
            </w:tr>
            <w:tr w14:paraId="688E266C">
              <w:tblPrEx>
                <w:tblCellMar>
                  <w:top w:w="0" w:type="dxa"/>
                  <w:left w:w="108" w:type="dxa"/>
                  <w:bottom w:w="0" w:type="dxa"/>
                  <w:right w:w="108" w:type="dxa"/>
                </w:tblCellMar>
              </w:tblPrEx>
              <w:trPr>
                <w:trHeight w:val="408" w:hRule="atLeast"/>
              </w:trPr>
              <w:tc>
                <w:tcPr>
                  <w:tcW w:w="573" w:type="dxa"/>
                  <w:tcBorders>
                    <w:top w:val="nil"/>
                    <w:left w:val="single" w:color="auto" w:sz="4" w:space="0"/>
                    <w:bottom w:val="single" w:color="auto" w:sz="4" w:space="0"/>
                    <w:right w:val="single" w:color="auto" w:sz="4" w:space="0"/>
                  </w:tcBorders>
                  <w:noWrap/>
                  <w:vAlign w:val="center"/>
                </w:tcPr>
                <w:p w14:paraId="6DA01F2F">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2086" w:type="dxa"/>
                  <w:tcBorders>
                    <w:top w:val="nil"/>
                    <w:left w:val="nil"/>
                    <w:bottom w:val="single" w:color="auto" w:sz="4" w:space="0"/>
                    <w:right w:val="single" w:color="auto" w:sz="4" w:space="0"/>
                  </w:tcBorders>
                  <w:vAlign w:val="center"/>
                </w:tcPr>
                <w:p w14:paraId="32D93733">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背景掺杂</w:t>
                  </w:r>
                </w:p>
              </w:tc>
              <w:tc>
                <w:tcPr>
                  <w:tcW w:w="1654" w:type="dxa"/>
                  <w:tcBorders>
                    <w:top w:val="nil"/>
                    <w:left w:val="nil"/>
                    <w:bottom w:val="single" w:color="auto" w:sz="4" w:space="0"/>
                    <w:right w:val="single" w:color="auto" w:sz="4" w:space="0"/>
                  </w:tcBorders>
                  <w:vAlign w:val="center"/>
                </w:tcPr>
                <w:p w14:paraId="5227735F">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≤1e</w:t>
                  </w:r>
                  <w:r>
                    <w:rPr>
                      <w:rFonts w:hint="eastAsia" w:ascii="Times New Roman" w:hAnsi="Times New Roman" w:eastAsia="宋体" w:cs="宋体"/>
                      <w:kern w:val="0"/>
                      <w:sz w:val="24"/>
                      <w:szCs w:val="24"/>
                      <w:highlight w:val="none"/>
                      <w:vertAlign w:val="superscript"/>
                    </w:rPr>
                    <w:t>17</w:t>
                  </w:r>
                  <w:r>
                    <w:rPr>
                      <w:rFonts w:hint="eastAsia" w:ascii="Times New Roman" w:hAnsi="Times New Roman" w:eastAsia="宋体" w:cs="宋体"/>
                      <w:kern w:val="0"/>
                      <w:sz w:val="24"/>
                      <w:szCs w:val="24"/>
                      <w:highlight w:val="none"/>
                    </w:rPr>
                    <w:t>cm</w:t>
                  </w:r>
                  <w:r>
                    <w:rPr>
                      <w:rFonts w:hint="eastAsia" w:ascii="Times New Roman" w:hAnsi="Times New Roman" w:eastAsia="宋体" w:cs="宋体"/>
                      <w:kern w:val="0"/>
                      <w:sz w:val="24"/>
                      <w:szCs w:val="24"/>
                      <w:highlight w:val="none"/>
                      <w:vertAlign w:val="superscript"/>
                    </w:rPr>
                    <w:t>-3</w:t>
                  </w:r>
                </w:p>
              </w:tc>
              <w:tc>
                <w:tcPr>
                  <w:tcW w:w="1107" w:type="dxa"/>
                  <w:tcBorders>
                    <w:top w:val="nil"/>
                    <w:left w:val="nil"/>
                    <w:bottom w:val="single" w:color="auto" w:sz="4" w:space="0"/>
                    <w:right w:val="single" w:color="auto" w:sz="4" w:space="0"/>
                  </w:tcBorders>
                  <w:vAlign w:val="center"/>
                </w:tcPr>
                <w:p w14:paraId="4E81E72A">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0DBB1A46">
              <w:tblPrEx>
                <w:tblCellMar>
                  <w:top w:w="0" w:type="dxa"/>
                  <w:left w:w="108" w:type="dxa"/>
                  <w:bottom w:w="0" w:type="dxa"/>
                  <w:right w:w="108" w:type="dxa"/>
                </w:tblCellMar>
              </w:tblPrEx>
              <w:trPr>
                <w:trHeight w:val="408" w:hRule="atLeast"/>
              </w:trPr>
              <w:tc>
                <w:tcPr>
                  <w:tcW w:w="573" w:type="dxa"/>
                  <w:tcBorders>
                    <w:top w:val="nil"/>
                    <w:left w:val="single" w:color="auto" w:sz="4" w:space="0"/>
                    <w:bottom w:val="single" w:color="auto" w:sz="4" w:space="0"/>
                    <w:right w:val="single" w:color="auto" w:sz="4" w:space="0"/>
                  </w:tcBorders>
                  <w:noWrap/>
                  <w:vAlign w:val="center"/>
                </w:tcPr>
                <w:p w14:paraId="3064FA37">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2086" w:type="dxa"/>
                  <w:tcBorders>
                    <w:top w:val="nil"/>
                    <w:left w:val="nil"/>
                    <w:bottom w:val="single" w:color="auto" w:sz="4" w:space="0"/>
                    <w:right w:val="single" w:color="auto" w:sz="4" w:space="0"/>
                  </w:tcBorders>
                  <w:vAlign w:val="center"/>
                </w:tcPr>
                <w:p w14:paraId="2CDFE8EC">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迁移率 @300K</w:t>
                  </w:r>
                </w:p>
              </w:tc>
              <w:tc>
                <w:tcPr>
                  <w:tcW w:w="1654" w:type="dxa"/>
                  <w:tcBorders>
                    <w:top w:val="nil"/>
                    <w:left w:val="nil"/>
                    <w:bottom w:val="single" w:color="auto" w:sz="4" w:space="0"/>
                    <w:right w:val="single" w:color="auto" w:sz="4" w:space="0"/>
                  </w:tcBorders>
                  <w:vAlign w:val="center"/>
                </w:tcPr>
                <w:p w14:paraId="24F77084">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≥70cm</w:t>
                  </w:r>
                  <w:r>
                    <w:rPr>
                      <w:rFonts w:hint="eastAsia" w:ascii="Times New Roman" w:hAnsi="Times New Roman" w:eastAsia="宋体" w:cs="宋体"/>
                      <w:kern w:val="0"/>
                      <w:sz w:val="24"/>
                      <w:szCs w:val="24"/>
                      <w:highlight w:val="none"/>
                      <w:vertAlign w:val="superscript"/>
                    </w:rPr>
                    <w:t>2</w:t>
                  </w:r>
                  <w:r>
                    <w:rPr>
                      <w:rFonts w:hint="eastAsia" w:ascii="Times New Roman" w:hAnsi="Times New Roman" w:eastAsia="宋体" w:cs="宋体"/>
                      <w:kern w:val="0"/>
                      <w:sz w:val="24"/>
                      <w:szCs w:val="24"/>
                      <w:highlight w:val="none"/>
                    </w:rPr>
                    <w:t>/V</w:t>
                  </w:r>
                  <w:r>
                    <w:rPr>
                      <w:rFonts w:ascii="Times New Roman" w:hAnsi="Times New Roman" w:eastAsia="宋体" w:cs="Times New Roman"/>
                      <w:kern w:val="0"/>
                      <w:sz w:val="24"/>
                      <w:szCs w:val="24"/>
                      <w:highlight w:val="none"/>
                    </w:rPr>
                    <w:t>·</w:t>
                  </w:r>
                  <w:r>
                    <w:rPr>
                      <w:rFonts w:hint="eastAsia" w:ascii="Times New Roman" w:hAnsi="Times New Roman" w:eastAsia="宋体" w:cs="宋体"/>
                      <w:kern w:val="0"/>
                      <w:sz w:val="24"/>
                      <w:szCs w:val="24"/>
                      <w:highlight w:val="none"/>
                    </w:rPr>
                    <w:t>s</w:t>
                  </w:r>
                </w:p>
              </w:tc>
              <w:tc>
                <w:tcPr>
                  <w:tcW w:w="1107" w:type="dxa"/>
                  <w:tcBorders>
                    <w:top w:val="nil"/>
                    <w:left w:val="nil"/>
                    <w:bottom w:val="single" w:color="auto" w:sz="4" w:space="0"/>
                    <w:right w:val="single" w:color="auto" w:sz="4" w:space="0"/>
                  </w:tcBorders>
                  <w:vAlign w:val="center"/>
                </w:tcPr>
                <w:p w14:paraId="43A43612">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Hall</w:t>
                  </w:r>
                </w:p>
              </w:tc>
            </w:tr>
            <w:tr w14:paraId="27CD3BEC">
              <w:tblPrEx>
                <w:tblCellMar>
                  <w:top w:w="0" w:type="dxa"/>
                  <w:left w:w="108" w:type="dxa"/>
                  <w:bottom w:w="0" w:type="dxa"/>
                  <w:right w:w="108" w:type="dxa"/>
                </w:tblCellMar>
              </w:tblPrEx>
              <w:trPr>
                <w:trHeight w:val="408" w:hRule="atLeast"/>
              </w:trPr>
              <w:tc>
                <w:tcPr>
                  <w:tcW w:w="573" w:type="dxa"/>
                  <w:tcBorders>
                    <w:top w:val="nil"/>
                    <w:left w:val="single" w:color="auto" w:sz="4" w:space="0"/>
                    <w:bottom w:val="single" w:color="auto" w:sz="4" w:space="0"/>
                    <w:right w:val="single" w:color="auto" w:sz="4" w:space="0"/>
                  </w:tcBorders>
                  <w:noWrap/>
                  <w:vAlign w:val="center"/>
                </w:tcPr>
                <w:p w14:paraId="5DEB98B7">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2086" w:type="dxa"/>
                  <w:tcBorders>
                    <w:top w:val="nil"/>
                    <w:left w:val="nil"/>
                    <w:bottom w:val="single" w:color="auto" w:sz="4" w:space="0"/>
                    <w:right w:val="single" w:color="auto" w:sz="4" w:space="0"/>
                  </w:tcBorders>
                  <w:vAlign w:val="center"/>
                </w:tcPr>
                <w:p w14:paraId="324E818B">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XRD(400)衍射半宽</w:t>
                  </w:r>
                </w:p>
              </w:tc>
              <w:tc>
                <w:tcPr>
                  <w:tcW w:w="1654" w:type="dxa"/>
                  <w:tcBorders>
                    <w:top w:val="nil"/>
                    <w:left w:val="nil"/>
                    <w:bottom w:val="single" w:color="auto" w:sz="4" w:space="0"/>
                    <w:right w:val="single" w:color="auto" w:sz="4" w:space="0"/>
                  </w:tcBorders>
                  <w:vAlign w:val="center"/>
                </w:tcPr>
                <w:p w14:paraId="08CC7BE7">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≤100arcsec</w:t>
                  </w:r>
                </w:p>
              </w:tc>
              <w:tc>
                <w:tcPr>
                  <w:tcW w:w="1107" w:type="dxa"/>
                  <w:tcBorders>
                    <w:top w:val="nil"/>
                    <w:left w:val="nil"/>
                    <w:bottom w:val="single" w:color="auto" w:sz="4" w:space="0"/>
                    <w:right w:val="single" w:color="auto" w:sz="4" w:space="0"/>
                  </w:tcBorders>
                  <w:vAlign w:val="center"/>
                </w:tcPr>
                <w:p w14:paraId="27BA0E8F">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XRD</w:t>
                  </w:r>
                </w:p>
              </w:tc>
            </w:tr>
            <w:tr w14:paraId="3C19FF4E">
              <w:tblPrEx>
                <w:tblCellMar>
                  <w:top w:w="0" w:type="dxa"/>
                  <w:left w:w="108" w:type="dxa"/>
                  <w:bottom w:w="0" w:type="dxa"/>
                  <w:right w:w="108" w:type="dxa"/>
                </w:tblCellMar>
              </w:tblPrEx>
              <w:trPr>
                <w:trHeight w:val="816" w:hRule="atLeast"/>
              </w:trPr>
              <w:tc>
                <w:tcPr>
                  <w:tcW w:w="573" w:type="dxa"/>
                  <w:tcBorders>
                    <w:top w:val="nil"/>
                    <w:left w:val="single" w:color="auto" w:sz="4" w:space="0"/>
                    <w:bottom w:val="single" w:color="auto" w:sz="4" w:space="0"/>
                    <w:right w:val="single" w:color="auto" w:sz="4" w:space="0"/>
                  </w:tcBorders>
                  <w:noWrap/>
                  <w:vAlign w:val="center"/>
                </w:tcPr>
                <w:p w14:paraId="07809A84">
                  <w:pPr>
                    <w:widowControl/>
                    <w:tabs>
                      <w:tab w:val="left" w:pos="0"/>
                    </w:tabs>
                    <w:wordWrap w:val="0"/>
                    <w:spacing w:line="312" w:lineRule="auto"/>
                    <w:jc w:val="right"/>
                    <w:rPr>
                      <w:rFonts w:ascii="Times New Roman" w:hAnsi="Times New Roman" w:eastAsia="宋体" w:cs="宋体"/>
                      <w:kern w:val="0"/>
                      <w:sz w:val="24"/>
                      <w:szCs w:val="24"/>
                      <w:highlight w:val="none"/>
                    </w:rPr>
                  </w:pPr>
                </w:p>
              </w:tc>
              <w:tc>
                <w:tcPr>
                  <w:tcW w:w="2086" w:type="dxa"/>
                  <w:tcBorders>
                    <w:top w:val="nil"/>
                    <w:left w:val="nil"/>
                    <w:bottom w:val="single" w:color="auto" w:sz="4" w:space="0"/>
                    <w:right w:val="single" w:color="auto" w:sz="4" w:space="0"/>
                  </w:tcBorders>
                  <w:vAlign w:val="center"/>
                </w:tcPr>
                <w:p w14:paraId="6BB45BE5">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表面粗糙度</w:t>
                  </w:r>
                  <w:r>
                    <w:rPr>
                      <w:rFonts w:ascii="Times New Roman" w:hAnsi="Times New Roman" w:eastAsia="宋体" w:cs="Times New Roman"/>
                      <w:kern w:val="0"/>
                      <w:sz w:val="24"/>
                      <w:szCs w:val="24"/>
                      <w:highlight w:val="none"/>
                    </w:rPr>
                    <w:t>(5µm x 5µm)</w:t>
                  </w:r>
                </w:p>
              </w:tc>
              <w:tc>
                <w:tcPr>
                  <w:tcW w:w="1654" w:type="dxa"/>
                  <w:tcBorders>
                    <w:top w:val="nil"/>
                    <w:left w:val="nil"/>
                    <w:bottom w:val="single" w:color="auto" w:sz="4" w:space="0"/>
                    <w:right w:val="single" w:color="auto" w:sz="4" w:space="0"/>
                  </w:tcBorders>
                  <w:vAlign w:val="center"/>
                </w:tcPr>
                <w:p w14:paraId="013644E6">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σ≤1.5nm</w:t>
                  </w:r>
                </w:p>
              </w:tc>
              <w:tc>
                <w:tcPr>
                  <w:tcW w:w="1107" w:type="dxa"/>
                  <w:tcBorders>
                    <w:top w:val="nil"/>
                    <w:left w:val="nil"/>
                    <w:bottom w:val="single" w:color="auto" w:sz="4" w:space="0"/>
                    <w:right w:val="single" w:color="auto" w:sz="4" w:space="0"/>
                  </w:tcBorders>
                  <w:vAlign w:val="center"/>
                </w:tcPr>
                <w:p w14:paraId="19FDE3D4">
                  <w:pPr>
                    <w:widowControl/>
                    <w:tabs>
                      <w:tab w:val="left" w:pos="0"/>
                    </w:tabs>
                    <w:wordWrap w:val="0"/>
                    <w:spacing w:line="312" w:lineRule="auto"/>
                    <w:jc w:val="left"/>
                    <w:rPr>
                      <w:rFonts w:ascii="Times New Roman" w:hAnsi="Times New Roman" w:eastAsia="宋体" w:cs="宋体"/>
                      <w:kern w:val="0"/>
                      <w:sz w:val="24"/>
                      <w:szCs w:val="24"/>
                      <w:highlight w:val="none"/>
                    </w:rPr>
                  </w:pPr>
                  <w:r>
                    <w:rPr>
                      <w:rFonts w:hint="eastAsia" w:ascii="Times New Roman" w:hAnsi="Times New Roman" w:eastAsia="宋体" w:cs="宋体"/>
                      <w:kern w:val="0"/>
                      <w:sz w:val="24"/>
                      <w:szCs w:val="24"/>
                      <w:highlight w:val="none"/>
                    </w:rPr>
                    <w:t>AFM</w:t>
                  </w:r>
                </w:p>
              </w:tc>
            </w:tr>
          </w:tbl>
          <w:p w14:paraId="4C6416A9">
            <w:pPr>
              <w:tabs>
                <w:tab w:val="left" w:pos="0"/>
              </w:tabs>
              <w:wordWrap w:val="0"/>
              <w:spacing w:line="312" w:lineRule="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★四、备品备件</w:t>
            </w:r>
          </w:p>
          <w:tbl>
            <w:tblPr>
              <w:tblStyle w:val="11"/>
              <w:tblW w:w="5469" w:type="dxa"/>
              <w:tblInd w:w="0" w:type="dxa"/>
              <w:tblLayout w:type="fixed"/>
              <w:tblCellMar>
                <w:top w:w="0" w:type="dxa"/>
                <w:left w:w="108" w:type="dxa"/>
                <w:bottom w:w="0" w:type="dxa"/>
                <w:right w:w="108" w:type="dxa"/>
              </w:tblCellMar>
            </w:tblPr>
            <w:tblGrid>
              <w:gridCol w:w="1286"/>
              <w:gridCol w:w="1029"/>
              <w:gridCol w:w="3154"/>
            </w:tblGrid>
            <w:tr w14:paraId="3A43A528">
              <w:tblPrEx>
                <w:tblCellMar>
                  <w:top w:w="0" w:type="dxa"/>
                  <w:left w:w="108" w:type="dxa"/>
                  <w:bottom w:w="0" w:type="dxa"/>
                  <w:right w:w="108" w:type="dxa"/>
                </w:tblCellMar>
              </w:tblPrEx>
              <w:trPr>
                <w:trHeight w:val="424" w:hRule="atLeast"/>
              </w:trPr>
              <w:tc>
                <w:tcPr>
                  <w:tcW w:w="1286" w:type="dxa"/>
                  <w:tcBorders>
                    <w:top w:val="single" w:color="000000" w:sz="4" w:space="0"/>
                    <w:left w:val="single" w:color="000000" w:sz="4" w:space="0"/>
                    <w:bottom w:val="single" w:color="000000" w:sz="4" w:space="0"/>
                    <w:right w:val="single" w:color="000000" w:sz="4" w:space="0"/>
                  </w:tcBorders>
                  <w:noWrap/>
                  <w:vAlign w:val="center"/>
                </w:tcPr>
                <w:p w14:paraId="36C61FEC">
                  <w:pPr>
                    <w:widowControl/>
                    <w:tabs>
                      <w:tab w:val="left" w:pos="0"/>
                    </w:tabs>
                    <w:wordWrap w:val="0"/>
                    <w:spacing w:line="312" w:lineRule="auto"/>
                    <w:jc w:val="center"/>
                    <w:rPr>
                      <w:rFonts w:hint="eastAsia"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名称</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69C361FF">
                  <w:pPr>
                    <w:widowControl/>
                    <w:tabs>
                      <w:tab w:val="left" w:pos="0"/>
                    </w:tabs>
                    <w:wordWrap w:val="0"/>
                    <w:spacing w:line="312" w:lineRule="auto"/>
                    <w:jc w:val="center"/>
                    <w:rPr>
                      <w:rFonts w:hint="eastAsia"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数量</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0793557F">
                  <w:pPr>
                    <w:widowControl/>
                    <w:tabs>
                      <w:tab w:val="left" w:pos="0"/>
                    </w:tabs>
                    <w:wordWrap w:val="0"/>
                    <w:spacing w:line="312" w:lineRule="auto"/>
                    <w:jc w:val="center"/>
                    <w:rPr>
                      <w:rFonts w:hint="eastAsia" w:ascii="Times New Roman" w:hAnsi="Times New Roman" w:eastAsia="宋体" w:cs="宋体"/>
                      <w:b/>
                      <w:bCs/>
                      <w:kern w:val="0"/>
                      <w:sz w:val="24"/>
                      <w:szCs w:val="24"/>
                      <w:highlight w:val="none"/>
                    </w:rPr>
                  </w:pPr>
                  <w:r>
                    <w:rPr>
                      <w:rFonts w:hint="eastAsia" w:ascii="Times New Roman" w:hAnsi="Times New Roman" w:eastAsia="宋体" w:cs="宋体"/>
                      <w:b/>
                      <w:bCs/>
                      <w:kern w:val="0"/>
                      <w:sz w:val="24"/>
                      <w:szCs w:val="24"/>
                      <w:highlight w:val="none"/>
                    </w:rPr>
                    <w:t>备注</w:t>
                  </w:r>
                </w:p>
              </w:tc>
            </w:tr>
            <w:tr w14:paraId="734A3DF0">
              <w:tblPrEx>
                <w:tblCellMar>
                  <w:top w:w="0" w:type="dxa"/>
                  <w:left w:w="108" w:type="dxa"/>
                  <w:bottom w:w="0" w:type="dxa"/>
                  <w:right w:w="108" w:type="dxa"/>
                </w:tblCellMar>
              </w:tblPrEx>
              <w:trPr>
                <w:trHeight w:val="424" w:hRule="atLeast"/>
              </w:trPr>
              <w:tc>
                <w:tcPr>
                  <w:tcW w:w="1286" w:type="dxa"/>
                  <w:tcBorders>
                    <w:top w:val="single" w:color="000000" w:sz="4" w:space="0"/>
                    <w:left w:val="single" w:color="000000" w:sz="4" w:space="0"/>
                    <w:bottom w:val="single" w:color="000000" w:sz="4" w:space="0"/>
                    <w:right w:val="single" w:color="000000" w:sz="4" w:space="0"/>
                  </w:tcBorders>
                  <w:noWrap/>
                  <w:vAlign w:val="center"/>
                </w:tcPr>
                <w:p w14:paraId="5023B5F7">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石墨盘</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050894AF">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2套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353CA9C8">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6*2英寸</w:t>
                  </w:r>
                </w:p>
              </w:tc>
            </w:tr>
            <w:tr w14:paraId="6DA8271E">
              <w:tblPrEx>
                <w:tblCellMar>
                  <w:top w:w="0" w:type="dxa"/>
                  <w:left w:w="108" w:type="dxa"/>
                  <w:bottom w:w="0" w:type="dxa"/>
                  <w:right w:w="108" w:type="dxa"/>
                </w:tblCellMar>
              </w:tblPrEx>
              <w:trPr>
                <w:trHeight w:val="424" w:hRule="atLeast"/>
              </w:trPr>
              <w:tc>
                <w:tcPr>
                  <w:tcW w:w="1286" w:type="dxa"/>
                  <w:tcBorders>
                    <w:top w:val="single" w:color="000000" w:sz="4" w:space="0"/>
                    <w:left w:val="single" w:color="000000" w:sz="4" w:space="0"/>
                    <w:bottom w:val="single" w:color="000000" w:sz="4" w:space="0"/>
                    <w:right w:val="single" w:color="000000" w:sz="4" w:space="0"/>
                  </w:tcBorders>
                  <w:noWrap/>
                  <w:vAlign w:val="center"/>
                </w:tcPr>
                <w:p w14:paraId="023709B1">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石墨盘</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147B7530">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5F4B7A85">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3*3英寸</w:t>
                  </w:r>
                </w:p>
              </w:tc>
            </w:tr>
            <w:tr w14:paraId="4B0FB615">
              <w:tblPrEx>
                <w:tblCellMar>
                  <w:top w:w="0" w:type="dxa"/>
                  <w:left w:w="108" w:type="dxa"/>
                  <w:bottom w:w="0" w:type="dxa"/>
                  <w:right w:w="108" w:type="dxa"/>
                </w:tblCellMar>
              </w:tblPrEx>
              <w:trPr>
                <w:trHeight w:val="424" w:hRule="atLeast"/>
              </w:trPr>
              <w:tc>
                <w:tcPr>
                  <w:tcW w:w="1286" w:type="dxa"/>
                  <w:tcBorders>
                    <w:top w:val="single" w:color="000000" w:sz="4" w:space="0"/>
                    <w:left w:val="single" w:color="000000" w:sz="4" w:space="0"/>
                    <w:bottom w:val="single" w:color="000000" w:sz="4" w:space="0"/>
                    <w:right w:val="single" w:color="000000" w:sz="4" w:space="0"/>
                  </w:tcBorders>
                  <w:noWrap/>
                  <w:vAlign w:val="center"/>
                </w:tcPr>
                <w:p w14:paraId="66F18BD4">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石墨盘</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5B8E2D70">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78721154">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1*4英寸</w:t>
                  </w:r>
                </w:p>
              </w:tc>
            </w:tr>
            <w:tr w14:paraId="1FE552F7">
              <w:tblPrEx>
                <w:tblCellMar>
                  <w:top w:w="0" w:type="dxa"/>
                  <w:left w:w="108" w:type="dxa"/>
                  <w:bottom w:w="0" w:type="dxa"/>
                  <w:right w:w="108" w:type="dxa"/>
                </w:tblCellMar>
              </w:tblPrEx>
              <w:trPr>
                <w:trHeight w:val="424" w:hRule="atLeast"/>
              </w:trPr>
              <w:tc>
                <w:tcPr>
                  <w:tcW w:w="1286" w:type="dxa"/>
                  <w:tcBorders>
                    <w:top w:val="single" w:color="000000" w:sz="4" w:space="0"/>
                    <w:left w:val="single" w:color="000000" w:sz="4" w:space="0"/>
                    <w:bottom w:val="single" w:color="000000" w:sz="4" w:space="0"/>
                    <w:right w:val="single" w:color="000000" w:sz="4" w:space="0"/>
                  </w:tcBorders>
                  <w:noWrap/>
                  <w:vAlign w:val="center"/>
                </w:tcPr>
                <w:p w14:paraId="34C91321">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石墨盘</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20EFA81D">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2511332F">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1*6英寸</w:t>
                  </w:r>
                </w:p>
              </w:tc>
            </w:tr>
            <w:tr w14:paraId="3C1468DD">
              <w:tblPrEx>
                <w:tblCellMar>
                  <w:top w:w="0" w:type="dxa"/>
                  <w:left w:w="108" w:type="dxa"/>
                  <w:bottom w:w="0" w:type="dxa"/>
                  <w:right w:w="108" w:type="dxa"/>
                </w:tblCellMar>
              </w:tblPrEx>
              <w:trPr>
                <w:trHeight w:val="459" w:hRule="atLeast"/>
              </w:trPr>
              <w:tc>
                <w:tcPr>
                  <w:tcW w:w="1286" w:type="dxa"/>
                  <w:tcBorders>
                    <w:top w:val="single" w:color="000000" w:sz="4" w:space="0"/>
                    <w:left w:val="single" w:color="000000" w:sz="4" w:space="0"/>
                    <w:bottom w:val="single" w:color="000000" w:sz="4" w:space="0"/>
                    <w:right w:val="single" w:color="000000" w:sz="4" w:space="0"/>
                  </w:tcBorders>
                  <w:noWrap/>
                  <w:vAlign w:val="center"/>
                </w:tcPr>
                <w:p w14:paraId="3BAC8CBF">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ascii="Times New Roman" w:hAnsi="Times New Roman" w:eastAsia="宋体" w:cs="宋体"/>
                      <w:sz w:val="24"/>
                      <w:szCs w:val="24"/>
                      <w:highlight w:val="none"/>
                    </w:rPr>
                    <w:t>J型内衬环</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65A04C02">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2套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5190D3A6">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J-Liner，外径268mm</w:t>
                  </w:r>
                </w:p>
              </w:tc>
            </w:tr>
            <w:tr w14:paraId="39E427E9">
              <w:tblPrEx>
                <w:tblCellMar>
                  <w:top w:w="0" w:type="dxa"/>
                  <w:left w:w="108" w:type="dxa"/>
                  <w:bottom w:w="0" w:type="dxa"/>
                  <w:right w:w="108" w:type="dxa"/>
                </w:tblCellMar>
              </w:tblPrEx>
              <w:trPr>
                <w:trHeight w:val="424" w:hRule="atLeast"/>
              </w:trPr>
              <w:tc>
                <w:tcPr>
                  <w:tcW w:w="1286" w:type="dxa"/>
                  <w:tcBorders>
                    <w:top w:val="single" w:color="000000" w:sz="4" w:space="0"/>
                    <w:left w:val="single" w:color="000000" w:sz="4" w:space="0"/>
                    <w:bottom w:val="single" w:color="000000" w:sz="4" w:space="0"/>
                    <w:right w:val="single" w:color="000000" w:sz="4" w:space="0"/>
                  </w:tcBorders>
                  <w:noWrap/>
                </w:tcPr>
                <w:p w14:paraId="7607ACCA">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手套</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1F7CBEAA">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1副</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0FAB4E36">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12寸</w:t>
                  </w:r>
                </w:p>
              </w:tc>
            </w:tr>
            <w:tr w14:paraId="7710955E">
              <w:tblPrEx>
                <w:tblCellMar>
                  <w:top w:w="0" w:type="dxa"/>
                  <w:left w:w="108" w:type="dxa"/>
                  <w:bottom w:w="0" w:type="dxa"/>
                  <w:right w:w="108" w:type="dxa"/>
                </w:tblCellMar>
              </w:tblPrEx>
              <w:trPr>
                <w:trHeight w:val="424" w:hRule="atLeast"/>
              </w:trPr>
              <w:tc>
                <w:tcPr>
                  <w:tcW w:w="1286" w:type="dxa"/>
                  <w:tcBorders>
                    <w:top w:val="single" w:color="000000" w:sz="4" w:space="0"/>
                    <w:left w:val="single" w:color="000000" w:sz="4" w:space="0"/>
                    <w:bottom w:val="single" w:color="000000" w:sz="4" w:space="0"/>
                    <w:right w:val="single" w:color="000000" w:sz="4" w:space="0"/>
                  </w:tcBorders>
                  <w:noWrap/>
                </w:tcPr>
                <w:p w14:paraId="00DBFBA0">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滤芯</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1250E4C5">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44652386">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 xml:space="preserve">100 </w:t>
                  </w:r>
                  <w:r>
                    <w:rPr>
                      <w:rFonts w:ascii="Times New Roman" w:hAnsi="Times New Roman" w:eastAsia="宋体" w:cs="Times New Roman"/>
                      <w:sz w:val="24"/>
                      <w:szCs w:val="24"/>
                      <w:highlight w:val="none"/>
                    </w:rPr>
                    <w:t>μm</w:t>
                  </w:r>
                </w:p>
              </w:tc>
            </w:tr>
            <w:tr w14:paraId="1C987F2A">
              <w:tblPrEx>
                <w:tblCellMar>
                  <w:top w:w="0" w:type="dxa"/>
                  <w:left w:w="108" w:type="dxa"/>
                  <w:bottom w:w="0" w:type="dxa"/>
                  <w:right w:w="108" w:type="dxa"/>
                </w:tblCellMar>
              </w:tblPrEx>
              <w:trPr>
                <w:trHeight w:val="547" w:hRule="atLeast"/>
              </w:trPr>
              <w:tc>
                <w:tcPr>
                  <w:tcW w:w="1286" w:type="dxa"/>
                  <w:tcBorders>
                    <w:top w:val="single" w:color="000000" w:sz="4" w:space="0"/>
                    <w:left w:val="single" w:color="000000" w:sz="4" w:space="0"/>
                    <w:bottom w:val="single" w:color="000000" w:sz="4" w:space="0"/>
                    <w:right w:val="single" w:color="000000" w:sz="4" w:space="0"/>
                  </w:tcBorders>
                  <w:noWrap/>
                </w:tcPr>
                <w:p w14:paraId="523F3CD2">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O-ring（密封圈）</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5F0D1FED">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1套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158EA68F">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全氟醚橡胶（腔体）/氟橡胶（其他）</w:t>
                  </w:r>
                </w:p>
              </w:tc>
            </w:tr>
            <w:tr w14:paraId="19ACCD2E">
              <w:tblPrEx>
                <w:tblCellMar>
                  <w:top w:w="0" w:type="dxa"/>
                  <w:left w:w="108" w:type="dxa"/>
                  <w:bottom w:w="0" w:type="dxa"/>
                  <w:right w:w="108" w:type="dxa"/>
                </w:tblCellMar>
              </w:tblPrEx>
              <w:trPr>
                <w:trHeight w:val="153" w:hRule="atLeast"/>
              </w:trPr>
              <w:tc>
                <w:tcPr>
                  <w:tcW w:w="1286" w:type="dxa"/>
                  <w:tcBorders>
                    <w:top w:val="single" w:color="000000" w:sz="4" w:space="0"/>
                    <w:left w:val="single" w:color="000000" w:sz="4" w:space="0"/>
                    <w:bottom w:val="single" w:color="000000" w:sz="4" w:space="0"/>
                    <w:right w:val="single" w:color="000000" w:sz="4" w:space="0"/>
                  </w:tcBorders>
                  <w:noWrap/>
                </w:tcPr>
                <w:p w14:paraId="21531F1D">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石英环</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0CDD5F80">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2套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23A55B50">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Supptor ring</w:t>
                  </w:r>
                </w:p>
              </w:tc>
            </w:tr>
            <w:tr w14:paraId="74065184">
              <w:tblPrEx>
                <w:tblCellMar>
                  <w:top w:w="0" w:type="dxa"/>
                  <w:left w:w="108" w:type="dxa"/>
                  <w:bottom w:w="0" w:type="dxa"/>
                  <w:right w:w="108" w:type="dxa"/>
                </w:tblCellMar>
              </w:tblPrEx>
              <w:trPr>
                <w:trHeight w:val="52" w:hRule="atLeast"/>
              </w:trPr>
              <w:tc>
                <w:tcPr>
                  <w:tcW w:w="1286" w:type="dxa"/>
                  <w:tcBorders>
                    <w:top w:val="single" w:color="000000" w:sz="4" w:space="0"/>
                    <w:left w:val="single" w:color="000000" w:sz="4" w:space="0"/>
                    <w:bottom w:val="single" w:color="000000" w:sz="4" w:space="0"/>
                    <w:right w:val="single" w:color="000000" w:sz="4" w:space="0"/>
                  </w:tcBorders>
                  <w:noWrap/>
                </w:tcPr>
                <w:p w14:paraId="15480B45">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石墨支撑环</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07E51A54">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2套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7B2FCE32">
                  <w:pPr>
                    <w:tabs>
                      <w:tab w:val="left" w:pos="0"/>
                    </w:tabs>
                    <w:wordWrap w:val="0"/>
                    <w:spacing w:line="312" w:lineRule="auto"/>
                    <w:jc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Susceptor ring</w:t>
                  </w:r>
                </w:p>
              </w:tc>
            </w:tr>
            <w:tr w14:paraId="65E3C382">
              <w:tblPrEx>
                <w:tblCellMar>
                  <w:top w:w="0" w:type="dxa"/>
                  <w:left w:w="108" w:type="dxa"/>
                  <w:bottom w:w="0" w:type="dxa"/>
                  <w:right w:w="108" w:type="dxa"/>
                </w:tblCellMar>
              </w:tblPrEx>
              <w:trPr>
                <w:trHeight w:val="52" w:hRule="atLeast"/>
              </w:trPr>
              <w:tc>
                <w:tcPr>
                  <w:tcW w:w="1286" w:type="dxa"/>
                  <w:tcBorders>
                    <w:top w:val="single" w:color="000000" w:sz="4" w:space="0"/>
                    <w:left w:val="single" w:color="000000" w:sz="4" w:space="0"/>
                    <w:bottom w:val="single" w:color="000000" w:sz="4" w:space="0"/>
                    <w:right w:val="single" w:color="000000" w:sz="4" w:space="0"/>
                  </w:tcBorders>
                  <w:noWrap/>
                </w:tcPr>
                <w:p w14:paraId="317230D0">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喷淋头挡板</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04C758C8">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ascii="Times New Roman" w:hAnsi="Times New Roman" w:eastAsia="宋体" w:cs="宋体"/>
                      <w:sz w:val="24"/>
                      <w:szCs w:val="24"/>
                      <w:highlight w:val="none"/>
                    </w:rPr>
                    <w:t>2</w:t>
                  </w:r>
                  <w:r>
                    <w:rPr>
                      <w:rFonts w:hint="eastAsia" w:ascii="Times New Roman" w:hAnsi="Times New Roman" w:eastAsia="宋体" w:cs="宋体"/>
                      <w:sz w:val="24"/>
                      <w:szCs w:val="24"/>
                      <w:highlight w:val="none"/>
                    </w:rPr>
                    <w:t>套</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6EA5B37D">
                  <w:pPr>
                    <w:tabs>
                      <w:tab w:val="left" w:pos="0"/>
                    </w:tabs>
                    <w:wordWrap w:val="0"/>
                    <w:spacing w:line="312" w:lineRule="auto"/>
                    <w:jc w:val="center"/>
                    <w:rPr>
                      <w:rFonts w:ascii="Times New Roman" w:hAnsi="Times New Roman" w:eastAsia="宋体" w:cs="宋体"/>
                      <w:sz w:val="24"/>
                      <w:szCs w:val="24"/>
                      <w:highlight w:val="none"/>
                    </w:rPr>
                  </w:pPr>
                  <w:r>
                    <w:rPr>
                      <w:rFonts w:ascii="Times New Roman" w:hAnsi="Times New Roman" w:eastAsia="宋体" w:cs="宋体"/>
                      <w:sz w:val="24"/>
                      <w:szCs w:val="24"/>
                      <w:highlight w:val="none"/>
                    </w:rPr>
                    <w:t>C</w:t>
                  </w:r>
                  <w:r>
                    <w:rPr>
                      <w:rFonts w:hint="eastAsia" w:ascii="Times New Roman" w:hAnsi="Times New Roman" w:eastAsia="宋体" w:cs="宋体"/>
                      <w:sz w:val="24"/>
                      <w:szCs w:val="24"/>
                      <w:highlight w:val="none"/>
                    </w:rPr>
                    <w:t>eiling</w:t>
                  </w:r>
                </w:p>
              </w:tc>
            </w:tr>
            <w:tr w14:paraId="1F8F8453">
              <w:tblPrEx>
                <w:tblCellMar>
                  <w:top w:w="0" w:type="dxa"/>
                  <w:left w:w="108" w:type="dxa"/>
                  <w:bottom w:w="0" w:type="dxa"/>
                  <w:right w:w="108" w:type="dxa"/>
                </w:tblCellMar>
              </w:tblPrEx>
              <w:trPr>
                <w:trHeight w:val="52" w:hRule="atLeast"/>
              </w:trPr>
              <w:tc>
                <w:tcPr>
                  <w:tcW w:w="1286" w:type="dxa"/>
                  <w:tcBorders>
                    <w:top w:val="single" w:color="000000" w:sz="4" w:space="0"/>
                    <w:left w:val="single" w:color="000000" w:sz="4" w:space="0"/>
                    <w:bottom w:val="single" w:color="000000" w:sz="4" w:space="0"/>
                    <w:right w:val="single" w:color="000000" w:sz="4" w:space="0"/>
                  </w:tcBorders>
                  <w:noWrap/>
                </w:tcPr>
                <w:p w14:paraId="6DD0513A">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蓝宝石衬底</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6BC919B3">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各1盒</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1CEBDD25">
                  <w:pPr>
                    <w:tabs>
                      <w:tab w:val="left" w:pos="0"/>
                    </w:tabs>
                    <w:wordWrap w:val="0"/>
                    <w:spacing w:line="312" w:lineRule="auto"/>
                    <w:jc w:val="center"/>
                    <w:rPr>
                      <w:rFonts w:ascii="Times New Roman" w:hAnsi="Times New Roman" w:eastAsia="宋体" w:cs="宋体"/>
                      <w:sz w:val="24"/>
                      <w:szCs w:val="24"/>
                      <w:highlight w:val="none"/>
                    </w:rPr>
                  </w:pPr>
                  <w:r>
                    <w:rPr>
                      <w:rFonts w:ascii="Times New Roman" w:hAnsi="Times New Roman" w:eastAsia="宋体" w:cs="宋体"/>
                      <w:sz w:val="24"/>
                      <w:szCs w:val="24"/>
                      <w:highlight w:val="none"/>
                    </w:rPr>
                    <w:t>2</w:t>
                  </w:r>
                  <w:r>
                    <w:rPr>
                      <w:rFonts w:hint="eastAsia" w:ascii="Times New Roman" w:hAnsi="Times New Roman" w:eastAsia="宋体" w:cs="宋体"/>
                      <w:sz w:val="24"/>
                      <w:szCs w:val="24"/>
                      <w:highlight w:val="none"/>
                    </w:rPr>
                    <w:t>英寸、</w:t>
                  </w:r>
                  <w:r>
                    <w:rPr>
                      <w:rFonts w:ascii="Times New Roman" w:hAnsi="Times New Roman" w:eastAsia="宋体" w:cs="宋体"/>
                      <w:sz w:val="24"/>
                      <w:szCs w:val="24"/>
                      <w:highlight w:val="none"/>
                    </w:rPr>
                    <w:t>4</w:t>
                  </w:r>
                  <w:r>
                    <w:rPr>
                      <w:rFonts w:hint="eastAsia" w:ascii="Times New Roman" w:hAnsi="Times New Roman" w:eastAsia="宋体" w:cs="宋体"/>
                      <w:sz w:val="24"/>
                      <w:szCs w:val="24"/>
                      <w:highlight w:val="none"/>
                    </w:rPr>
                    <w:t>英寸和</w:t>
                  </w:r>
                  <w:r>
                    <w:rPr>
                      <w:rFonts w:ascii="Times New Roman" w:hAnsi="Times New Roman" w:eastAsia="宋体" w:cs="宋体"/>
                      <w:sz w:val="24"/>
                      <w:szCs w:val="24"/>
                      <w:highlight w:val="none"/>
                    </w:rPr>
                    <w:t>6</w:t>
                  </w:r>
                  <w:r>
                    <w:rPr>
                      <w:rFonts w:hint="eastAsia" w:ascii="Times New Roman" w:hAnsi="Times New Roman" w:eastAsia="宋体" w:cs="宋体"/>
                      <w:sz w:val="24"/>
                      <w:szCs w:val="24"/>
                      <w:highlight w:val="none"/>
                    </w:rPr>
                    <w:t>英寸</w:t>
                  </w:r>
                </w:p>
              </w:tc>
            </w:tr>
            <w:tr w14:paraId="60E970D7">
              <w:tblPrEx>
                <w:tblCellMar>
                  <w:top w:w="0" w:type="dxa"/>
                  <w:left w:w="108" w:type="dxa"/>
                  <w:bottom w:w="0" w:type="dxa"/>
                  <w:right w:w="108" w:type="dxa"/>
                </w:tblCellMar>
              </w:tblPrEx>
              <w:trPr>
                <w:trHeight w:val="52" w:hRule="atLeast"/>
              </w:trPr>
              <w:tc>
                <w:tcPr>
                  <w:tcW w:w="1286" w:type="dxa"/>
                  <w:tcBorders>
                    <w:top w:val="single" w:color="000000" w:sz="4" w:space="0"/>
                    <w:left w:val="single" w:color="000000" w:sz="4" w:space="0"/>
                    <w:bottom w:val="single" w:color="000000" w:sz="4" w:space="0"/>
                    <w:right w:val="single" w:color="000000" w:sz="4" w:space="0"/>
                  </w:tcBorders>
                  <w:noWrap/>
                </w:tcPr>
                <w:p w14:paraId="5FD41A40">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hint="eastAsia" w:ascii="Times New Roman" w:hAnsi="Times New Roman" w:eastAsia="宋体" w:cs="宋体"/>
                      <w:sz w:val="24"/>
                      <w:szCs w:val="24"/>
                      <w:highlight w:val="none"/>
                    </w:rPr>
                    <w:t>氧化镓衬底</w:t>
                  </w:r>
                </w:p>
              </w:tc>
              <w:tc>
                <w:tcPr>
                  <w:tcW w:w="1029" w:type="dxa"/>
                  <w:tcBorders>
                    <w:top w:val="single" w:color="000000" w:sz="4" w:space="0"/>
                    <w:left w:val="single" w:color="000000" w:sz="4" w:space="0"/>
                    <w:bottom w:val="single" w:color="000000" w:sz="4" w:space="0"/>
                    <w:right w:val="single" w:color="000000" w:sz="4" w:space="0"/>
                  </w:tcBorders>
                  <w:noWrap/>
                  <w:vAlign w:val="center"/>
                </w:tcPr>
                <w:p w14:paraId="66FFE8A2">
                  <w:pPr>
                    <w:widowControl/>
                    <w:tabs>
                      <w:tab w:val="left" w:pos="0"/>
                    </w:tabs>
                    <w:wordWrap w:val="0"/>
                    <w:spacing w:line="312" w:lineRule="auto"/>
                    <w:jc w:val="center"/>
                    <w:textAlignment w:val="center"/>
                    <w:rPr>
                      <w:rFonts w:ascii="Times New Roman" w:hAnsi="Times New Roman" w:eastAsia="宋体" w:cs="宋体"/>
                      <w:sz w:val="24"/>
                      <w:szCs w:val="24"/>
                      <w:highlight w:val="none"/>
                    </w:rPr>
                  </w:pPr>
                  <w:r>
                    <w:rPr>
                      <w:rFonts w:ascii="Times New Roman" w:hAnsi="Times New Roman" w:eastAsia="宋体" w:cs="宋体"/>
                      <w:sz w:val="24"/>
                      <w:szCs w:val="24"/>
                      <w:highlight w:val="none"/>
                    </w:rPr>
                    <w:t>10</w:t>
                  </w:r>
                  <w:r>
                    <w:rPr>
                      <w:rFonts w:hint="eastAsia" w:ascii="Times New Roman" w:hAnsi="Times New Roman" w:eastAsia="宋体" w:cs="宋体"/>
                      <w:sz w:val="24"/>
                      <w:szCs w:val="24"/>
                      <w:highlight w:val="none"/>
                    </w:rPr>
                    <w:t>片</w:t>
                  </w:r>
                </w:p>
              </w:tc>
              <w:tc>
                <w:tcPr>
                  <w:tcW w:w="3154" w:type="dxa"/>
                  <w:tcBorders>
                    <w:top w:val="single" w:color="000000" w:sz="4" w:space="0"/>
                    <w:left w:val="single" w:color="000000" w:sz="4" w:space="0"/>
                    <w:bottom w:val="single" w:color="000000" w:sz="4" w:space="0"/>
                    <w:right w:val="single" w:color="000000" w:sz="4" w:space="0"/>
                  </w:tcBorders>
                  <w:noWrap/>
                  <w:vAlign w:val="center"/>
                </w:tcPr>
                <w:p w14:paraId="028C7176">
                  <w:pPr>
                    <w:tabs>
                      <w:tab w:val="left" w:pos="0"/>
                    </w:tabs>
                    <w:wordWrap w:val="0"/>
                    <w:spacing w:line="312" w:lineRule="auto"/>
                    <w:jc w:val="center"/>
                    <w:rPr>
                      <w:rFonts w:ascii="Times New Roman" w:hAnsi="Times New Roman" w:eastAsia="宋体" w:cs="宋体"/>
                      <w:sz w:val="24"/>
                      <w:szCs w:val="24"/>
                      <w:highlight w:val="none"/>
                    </w:rPr>
                  </w:pPr>
                  <w:r>
                    <w:rPr>
                      <w:rFonts w:ascii="Times New Roman" w:hAnsi="Times New Roman" w:eastAsia="宋体" w:cs="宋体"/>
                      <w:sz w:val="24"/>
                      <w:szCs w:val="24"/>
                      <w:highlight w:val="none"/>
                    </w:rPr>
                    <w:t>2</w:t>
                  </w:r>
                  <w:r>
                    <w:rPr>
                      <w:rFonts w:hint="eastAsia" w:ascii="Times New Roman" w:hAnsi="Times New Roman" w:eastAsia="宋体" w:cs="宋体"/>
                      <w:sz w:val="24"/>
                      <w:szCs w:val="24"/>
                      <w:highlight w:val="none"/>
                    </w:rPr>
                    <w:t>英寸</w:t>
                  </w:r>
                </w:p>
              </w:tc>
            </w:tr>
          </w:tbl>
          <w:p w14:paraId="769AD20E">
            <w:pPr>
              <w:spacing w:line="312" w:lineRule="auto"/>
              <w:rPr>
                <w:rFonts w:hint="eastAsia"/>
                <w:sz w:val="24"/>
                <w:szCs w:val="24"/>
                <w:highlight w:val="none"/>
              </w:rPr>
            </w:pPr>
          </w:p>
        </w:tc>
        <w:tc>
          <w:tcPr>
            <w:tcW w:w="330" w:type="pct"/>
            <w:vAlign w:val="center"/>
          </w:tcPr>
          <w:p w14:paraId="2C794DC9">
            <w:pPr>
              <w:tabs>
                <w:tab w:val="left" w:pos="0"/>
              </w:tabs>
              <w:wordWrap w:val="0"/>
              <w:spacing w:line="312" w:lineRule="auto"/>
              <w:jc w:val="center"/>
              <w:rPr>
                <w:rFonts w:hint="eastAsia" w:ascii="宋体" w:hAnsi="宋体" w:eastAsia="宋体" w:cs="宋体"/>
                <w:bCs/>
                <w:sz w:val="24"/>
                <w:szCs w:val="24"/>
                <w:highlight w:val="none"/>
              </w:rPr>
            </w:pPr>
            <w:r>
              <w:rPr>
                <w:rFonts w:hint="eastAsia" w:ascii="宋体" w:hAnsi="宋体" w:eastAsia="宋体" w:cs="宋体"/>
                <w:bCs/>
                <w:sz w:val="24"/>
                <w:szCs w:val="24"/>
                <w:highlight w:val="none"/>
              </w:rPr>
              <w:t>1</w:t>
            </w:r>
          </w:p>
        </w:tc>
        <w:tc>
          <w:tcPr>
            <w:tcW w:w="260" w:type="pct"/>
            <w:vAlign w:val="center"/>
          </w:tcPr>
          <w:p w14:paraId="44A9E4AC">
            <w:pPr>
              <w:tabs>
                <w:tab w:val="left" w:pos="0"/>
              </w:tabs>
              <w:wordWrap w:val="0"/>
              <w:spacing w:line="312" w:lineRule="auto"/>
              <w:jc w:val="center"/>
              <w:rPr>
                <w:rFonts w:hint="eastAsia" w:ascii="宋体" w:hAnsi="宋体" w:eastAsia="宋体" w:cs="宋体"/>
                <w:bCs/>
                <w:sz w:val="24"/>
                <w:szCs w:val="24"/>
                <w:highlight w:val="none"/>
              </w:rPr>
            </w:pPr>
            <w:r>
              <w:rPr>
                <w:rFonts w:hint="eastAsia" w:asciiTheme="majorEastAsia" w:hAnsiTheme="majorEastAsia" w:eastAsiaTheme="majorEastAsia"/>
                <w:bCs/>
                <w:sz w:val="24"/>
                <w:szCs w:val="24"/>
                <w:highlight w:val="none"/>
              </w:rPr>
              <w:t>工业</w:t>
            </w:r>
          </w:p>
        </w:tc>
        <w:tc>
          <w:tcPr>
            <w:tcW w:w="422" w:type="pct"/>
            <w:vAlign w:val="center"/>
          </w:tcPr>
          <w:p w14:paraId="44B66D5B">
            <w:pPr>
              <w:tabs>
                <w:tab w:val="left" w:pos="0"/>
              </w:tabs>
              <w:wordWrap w:val="0"/>
              <w:spacing w:line="312" w:lineRule="auto"/>
              <w:jc w:val="center"/>
              <w:rPr>
                <w:rFonts w:hint="eastAsia" w:ascii="宋体" w:hAnsi="宋体" w:eastAsia="宋体" w:cs="宋体"/>
                <w:bCs/>
                <w:sz w:val="24"/>
                <w:szCs w:val="24"/>
                <w:highlight w:val="none"/>
              </w:rPr>
            </w:pPr>
            <w:r>
              <w:rPr>
                <w:rFonts w:hint="eastAsia" w:asciiTheme="majorEastAsia" w:hAnsiTheme="majorEastAsia" w:eastAsiaTheme="majorEastAsia"/>
                <w:bCs/>
                <w:sz w:val="24"/>
                <w:szCs w:val="24"/>
                <w:highlight w:val="none"/>
              </w:rPr>
              <w:t>/</w:t>
            </w:r>
          </w:p>
        </w:tc>
      </w:tr>
    </w:tbl>
    <w:p w14:paraId="564FB136">
      <w:pPr>
        <w:rPr>
          <w:rFonts w:hint="eastAsia" w:ascii="宋体" w:hAnsi="宋体" w:eastAsia="宋体" w:cs="宋体"/>
          <w:b/>
          <w:sz w:val="24"/>
          <w:szCs w:val="24"/>
          <w:highlight w:val="none"/>
        </w:rPr>
      </w:pPr>
      <w:r>
        <w:rPr>
          <w:rFonts w:hint="eastAsia" w:ascii="宋体" w:hAnsi="宋体" w:eastAsia="宋体" w:cs="宋体"/>
          <w:b/>
          <w:sz w:val="24"/>
          <w:szCs w:val="24"/>
          <w:highlight w:val="none"/>
        </w:rPr>
        <w:br w:type="page"/>
      </w:r>
    </w:p>
    <w:p w14:paraId="4A4E365D">
      <w:pPr>
        <w:pStyle w:val="2"/>
        <w:numPr>
          <w:ilvl w:val="0"/>
          <w:numId w:val="3"/>
        </w:numPr>
        <w:wordWrap w:val="0"/>
        <w:spacing w:line="312" w:lineRule="auto"/>
        <w:ind w:left="0" w:firstLine="48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第3包货物需求清单（高精度倒装芯片键合机与底部填充系统）</w:t>
      </w:r>
    </w:p>
    <w:p w14:paraId="35886E25">
      <w:pPr>
        <w:pStyle w:val="2"/>
        <w:wordWrap w:val="0"/>
        <w:spacing w:line="312" w:lineRule="auto"/>
        <w:ind w:leftChars="200" w:firstLine="0" w:firstLineChars="0"/>
        <w:rPr>
          <w:rFonts w:hint="eastAsia" w:ascii="宋体" w:hAnsi="宋体" w:eastAsia="宋体" w:cs="宋体"/>
          <w:b/>
          <w:bCs/>
          <w:sz w:val="24"/>
          <w:szCs w:val="24"/>
          <w:highlight w:val="none"/>
        </w:rPr>
      </w:pPr>
    </w:p>
    <w:tbl>
      <w:tblPr>
        <w:tblStyle w:val="11"/>
        <w:tblW w:w="494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1067"/>
        <w:gridCol w:w="4624"/>
        <w:gridCol w:w="699"/>
        <w:gridCol w:w="602"/>
        <w:gridCol w:w="699"/>
      </w:tblGrid>
      <w:tr w14:paraId="3A018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41" w:type="dxa"/>
            <w:vAlign w:val="center"/>
          </w:tcPr>
          <w:p w14:paraId="4DF64B8C">
            <w:pPr>
              <w:wordWrap w:val="0"/>
              <w:spacing w:line="312" w:lineRule="auto"/>
              <w:jc w:val="center"/>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序号</w:t>
            </w:r>
          </w:p>
        </w:tc>
        <w:tc>
          <w:tcPr>
            <w:tcW w:w="1066" w:type="dxa"/>
            <w:vAlign w:val="center"/>
          </w:tcPr>
          <w:p w14:paraId="7CBD05FC">
            <w:pPr>
              <w:wordWrap w:val="0"/>
              <w:spacing w:line="312" w:lineRule="auto"/>
              <w:jc w:val="center"/>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货物名称</w:t>
            </w:r>
          </w:p>
        </w:tc>
        <w:tc>
          <w:tcPr>
            <w:tcW w:w="4618" w:type="dxa"/>
            <w:vAlign w:val="center"/>
          </w:tcPr>
          <w:p w14:paraId="7A9B835D">
            <w:pPr>
              <w:wordWrap w:val="0"/>
              <w:spacing w:line="312" w:lineRule="auto"/>
              <w:jc w:val="center"/>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技术参数及要求</w:t>
            </w:r>
          </w:p>
        </w:tc>
        <w:tc>
          <w:tcPr>
            <w:tcW w:w="649" w:type="dxa"/>
            <w:vAlign w:val="center"/>
          </w:tcPr>
          <w:p w14:paraId="3B0B7980">
            <w:pPr>
              <w:wordWrap w:val="0"/>
              <w:spacing w:line="312" w:lineRule="auto"/>
              <w:jc w:val="center"/>
              <w:rPr>
                <w:rFonts w:hint="eastAsia" w:asciiTheme="majorEastAsia" w:hAnsiTheme="majorEastAsia" w:eastAsiaTheme="majorEastAsia"/>
                <w:bCs/>
                <w:sz w:val="24"/>
                <w:szCs w:val="24"/>
                <w:highlight w:val="none"/>
              </w:rPr>
            </w:pPr>
            <w:r>
              <w:rPr>
                <w:rFonts w:hint="eastAsia" w:ascii="宋体" w:hAnsi="宋体" w:eastAsia="宋体" w:cs="宋体"/>
                <w:b/>
                <w:sz w:val="24"/>
                <w:szCs w:val="24"/>
                <w:highlight w:val="none"/>
              </w:rPr>
              <w:t>数量（台/套）</w:t>
            </w:r>
          </w:p>
        </w:tc>
        <w:tc>
          <w:tcPr>
            <w:tcW w:w="601" w:type="dxa"/>
            <w:vAlign w:val="center"/>
          </w:tcPr>
          <w:p w14:paraId="424100F0">
            <w:pPr>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宋体" w:hAnsi="宋体" w:eastAsia="宋体" w:cs="宋体"/>
                <w:b/>
                <w:sz w:val="24"/>
                <w:szCs w:val="24"/>
                <w:highlight w:val="none"/>
              </w:rPr>
              <w:t>所属行业</w:t>
            </w:r>
          </w:p>
        </w:tc>
        <w:tc>
          <w:tcPr>
            <w:tcW w:w="638" w:type="dxa"/>
            <w:vAlign w:val="center"/>
          </w:tcPr>
          <w:p w14:paraId="52CDBE12">
            <w:pPr>
              <w:wordWrap w:val="0"/>
              <w:adjustRightInd w:val="0"/>
              <w:snapToGrid w:val="0"/>
              <w:spacing w:line="312" w:lineRule="auto"/>
              <w:jc w:val="center"/>
              <w:rPr>
                <w:rFonts w:hint="eastAsia" w:asciiTheme="majorEastAsia" w:hAnsiTheme="majorEastAsia" w:eastAsiaTheme="majorEastAsia"/>
                <w:bCs/>
                <w:sz w:val="24"/>
                <w:szCs w:val="24"/>
                <w:highlight w:val="none"/>
              </w:rPr>
            </w:pPr>
            <w:r>
              <w:rPr>
                <w:rFonts w:hint="eastAsia" w:ascii="宋体" w:hAnsi="宋体" w:eastAsia="宋体" w:cs="宋体"/>
                <w:b/>
                <w:sz w:val="24"/>
                <w:szCs w:val="24"/>
                <w:highlight w:val="none"/>
              </w:rPr>
              <w:t>备注（进口或强制节能）</w:t>
            </w:r>
          </w:p>
        </w:tc>
      </w:tr>
      <w:tr w14:paraId="4CA0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741" w:type="dxa"/>
            <w:vAlign w:val="center"/>
          </w:tcPr>
          <w:p w14:paraId="68623008">
            <w:pPr>
              <w:wordWrap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1</w:t>
            </w:r>
          </w:p>
        </w:tc>
        <w:tc>
          <w:tcPr>
            <w:tcW w:w="1066" w:type="dxa"/>
            <w:vAlign w:val="center"/>
          </w:tcPr>
          <w:p w14:paraId="19D98571">
            <w:pPr>
              <w:wordWrap w:val="0"/>
              <w:spacing w:line="312" w:lineRule="auto"/>
              <w:jc w:val="center"/>
              <w:rPr>
                <w:rFonts w:hint="eastAsia" w:ascii="宋体" w:hAnsi="宋体" w:eastAsia="宋体" w:cs="宋体"/>
                <w:bCs/>
                <w:sz w:val="24"/>
                <w:szCs w:val="24"/>
                <w:highlight w:val="none"/>
              </w:rPr>
            </w:pPr>
            <w:r>
              <w:rPr>
                <w:rFonts w:hint="eastAsia" w:ascii="宋体" w:hAnsi="宋体" w:eastAsia="宋体" w:cs="宋体"/>
                <w:b/>
                <w:bCs/>
                <w:kern w:val="0"/>
                <w:sz w:val="24"/>
                <w:szCs w:val="24"/>
                <w:highlight w:val="none"/>
              </w:rPr>
              <w:t>▲</w:t>
            </w:r>
            <w:r>
              <w:rPr>
                <w:rFonts w:hint="eastAsia" w:ascii="宋体" w:hAnsi="宋体" w:eastAsia="宋体" w:cs="宋体"/>
                <w:bCs/>
                <w:sz w:val="24"/>
                <w:szCs w:val="24"/>
                <w:highlight w:val="none"/>
              </w:rPr>
              <w:t>高精度倒装芯片键合机与</w:t>
            </w:r>
            <w:bookmarkStart w:id="36" w:name="OLE_LINK10"/>
            <w:r>
              <w:rPr>
                <w:rFonts w:hint="eastAsia" w:ascii="宋体" w:hAnsi="宋体" w:eastAsia="宋体" w:cs="宋体"/>
                <w:bCs/>
                <w:sz w:val="24"/>
                <w:szCs w:val="24"/>
                <w:highlight w:val="none"/>
              </w:rPr>
              <w:t>底部填充系统</w:t>
            </w:r>
            <w:bookmarkEnd w:id="36"/>
          </w:p>
        </w:tc>
        <w:tc>
          <w:tcPr>
            <w:tcW w:w="4618" w:type="dxa"/>
          </w:tcPr>
          <w:p w14:paraId="48E0EE0E">
            <w:pPr>
              <w:widowControl/>
              <w:wordWrap w:val="0"/>
              <w:adjustRightInd w:val="0"/>
              <w:snapToGrid w:val="0"/>
              <w:spacing w:line="312" w:lineRule="auto"/>
              <w:jc w:val="left"/>
              <w:rPr>
                <w:rFonts w:ascii="Times New Roman" w:hAnsi="Times New Roman" w:eastAsia="宋体" w:cs="宋体"/>
                <w:b/>
                <w:bCs/>
                <w:kern w:val="0"/>
                <w:sz w:val="24"/>
                <w:szCs w:val="24"/>
                <w:highlight w:val="none"/>
                <w:lang w:bidi="ar"/>
              </w:rPr>
            </w:pPr>
            <w:r>
              <w:rPr>
                <w:rFonts w:hint="eastAsia" w:ascii="Times New Roman" w:hAnsi="Times New Roman" w:eastAsia="宋体" w:cs="宋体"/>
                <w:b/>
                <w:bCs/>
                <w:kern w:val="0"/>
                <w:sz w:val="24"/>
                <w:szCs w:val="24"/>
                <w:highlight w:val="none"/>
                <w:lang w:bidi="ar"/>
              </w:rPr>
              <w:t>一、设备功能</w:t>
            </w:r>
          </w:p>
          <w:p w14:paraId="78197D27">
            <w:pPr>
              <w:rPr>
                <w:rFonts w:hint="eastAsia" w:ascii="宋体" w:hAnsi="宋体" w:eastAsia="宋体" w:cs="宋体"/>
                <w:bCs/>
                <w:sz w:val="24"/>
                <w:szCs w:val="24"/>
                <w:highlight w:val="none"/>
              </w:rPr>
            </w:pPr>
            <w:r>
              <w:rPr>
                <w:rFonts w:hint="eastAsia" w:ascii="宋体" w:hAnsi="宋体" w:eastAsia="宋体" w:cs="宋体"/>
                <w:sz w:val="24"/>
                <w:szCs w:val="24"/>
                <w:highlight w:val="none"/>
              </w:rPr>
              <w:t>该</w:t>
            </w:r>
            <w:r>
              <w:rPr>
                <w:rFonts w:hint="eastAsia" w:ascii="宋体" w:hAnsi="宋体" w:eastAsia="宋体" w:cs="宋体"/>
                <w:bCs/>
                <w:sz w:val="24"/>
                <w:szCs w:val="24"/>
                <w:highlight w:val="none"/>
              </w:rPr>
              <w:t>高精度倒装键合机可实现芯片对芯片（C2C）、芯片对晶圆（C2W）的高精度倒装键合，包括上下料模块、甲酸活化模块、C2W键合模块、Underfill点胶模块。</w:t>
            </w:r>
          </w:p>
          <w:p w14:paraId="04E33ADB">
            <w:pPr>
              <w:wordWrap w:val="0"/>
              <w:spacing w:line="312" w:lineRule="auto"/>
              <w:rPr>
                <w:rFonts w:hint="eastAsia" w:ascii="宋体" w:hAnsi="宋体" w:eastAsia="宋体" w:cs="宋体"/>
                <w:b/>
                <w:sz w:val="24"/>
                <w:szCs w:val="24"/>
                <w:highlight w:val="none"/>
              </w:rPr>
            </w:pPr>
            <w:r>
              <w:rPr>
                <w:rFonts w:hint="eastAsia" w:ascii="宋体" w:hAnsi="宋体" w:eastAsia="宋体" w:cs="宋体"/>
                <w:b/>
                <w:sz w:val="24"/>
                <w:szCs w:val="24"/>
                <w:highlight w:val="none"/>
              </w:rPr>
              <w:t>二、技术参数</w:t>
            </w:r>
          </w:p>
          <w:p w14:paraId="1C559670">
            <w:pPr>
              <w:wordWrap w:val="0"/>
              <w:spacing w:line="312"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1.上下料模块</w:t>
            </w:r>
          </w:p>
          <w:p w14:paraId="1A7906FB">
            <w:pPr>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rPr>
              <w:t>1.1芯片上料方式：</w:t>
            </w:r>
            <w:r>
              <w:rPr>
                <w:rFonts w:hint="eastAsia" w:ascii="宋体" w:hAnsi="宋体" w:eastAsia="宋体" w:cs="宋体"/>
                <w:sz w:val="24"/>
                <w:szCs w:val="24"/>
                <w:highlight w:val="none"/>
              </w:rPr>
              <w:t>Tray (100mm*200mm)和华夫盒(2寸)。</w:t>
            </w:r>
          </w:p>
          <w:p w14:paraId="300D78D1">
            <w:pPr>
              <w:wordWrap w:val="0"/>
              <w:spacing w:line="312" w:lineRule="auto"/>
              <w:rPr>
                <w:rFonts w:hint="eastAsia" w:ascii="宋体" w:hAnsi="宋体" w:eastAsia="宋体" w:cs="宋体"/>
                <w:bCs/>
                <w:sz w:val="24"/>
                <w:szCs w:val="24"/>
                <w:highlight w:val="none"/>
              </w:rPr>
            </w:pPr>
            <w:r>
              <w:rPr>
                <w:rFonts w:hint="eastAsia" w:ascii="宋体" w:hAnsi="宋体" w:eastAsia="宋体" w:cs="宋体"/>
                <w:sz w:val="24"/>
                <w:szCs w:val="24"/>
                <w:highlight w:val="none"/>
              </w:rPr>
              <w:t>●1.2</w:t>
            </w:r>
            <w:r>
              <w:rPr>
                <w:rFonts w:hint="eastAsia" w:ascii="宋体" w:hAnsi="宋体" w:eastAsia="宋体" w:cs="宋体"/>
                <w:bCs/>
                <w:sz w:val="24"/>
                <w:szCs w:val="24"/>
                <w:highlight w:val="none"/>
              </w:rPr>
              <w:t>晶圆上料方式：单片上料。</w:t>
            </w:r>
          </w:p>
          <w:p w14:paraId="0FE0B528">
            <w:pPr>
              <w:wordWrap w:val="0"/>
              <w:spacing w:line="312" w:lineRule="auto"/>
              <w:rPr>
                <w:rFonts w:hint="eastAsia" w:ascii="宋体" w:hAnsi="宋体" w:eastAsia="宋体" w:cs="宋体"/>
                <w:bCs/>
                <w:sz w:val="24"/>
                <w:szCs w:val="24"/>
                <w:highlight w:val="none"/>
              </w:rPr>
            </w:pPr>
            <w:r>
              <w:rPr>
                <w:rFonts w:hint="eastAsia" w:ascii="宋体" w:hAnsi="宋体" w:eastAsia="宋体" w:cs="宋体"/>
                <w:sz w:val="24"/>
                <w:szCs w:val="24"/>
                <w:highlight w:val="none"/>
              </w:rPr>
              <w:t>★1.3</w:t>
            </w:r>
            <w:r>
              <w:rPr>
                <w:rFonts w:hint="eastAsia" w:ascii="宋体" w:hAnsi="宋体" w:eastAsia="宋体" w:cs="宋体"/>
                <w:bCs/>
                <w:sz w:val="24"/>
                <w:szCs w:val="24"/>
                <w:highlight w:val="none"/>
              </w:rPr>
              <w:t>物料传输：配备机械手，可将芯片托盘及晶圆传输至甲酸活化模块、C2W键合模块；也支持手动将华夫盒放入C2W键合模块内上料。</w:t>
            </w:r>
          </w:p>
          <w:p w14:paraId="3A928118">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2.甲酸活化模块</w:t>
            </w:r>
          </w:p>
          <w:p w14:paraId="216F4D16">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★2</w:t>
            </w:r>
            <w:r>
              <w:rPr>
                <w:rFonts w:hint="eastAsia" w:ascii="宋体" w:hAnsi="宋体" w:eastAsia="宋体" w:cs="宋体"/>
                <w:bCs/>
                <w:sz w:val="24"/>
                <w:szCs w:val="24"/>
                <w:highlight w:val="none"/>
              </w:rPr>
              <w:t>.1活化样品类型：晶圆、托盘内芯片。</w:t>
            </w:r>
          </w:p>
          <w:p w14:paraId="45ED16E4">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■2</w:t>
            </w:r>
            <w:r>
              <w:rPr>
                <w:rFonts w:hint="eastAsia" w:ascii="宋体" w:hAnsi="宋体" w:eastAsia="宋体" w:cs="宋体"/>
                <w:bCs/>
                <w:sz w:val="24"/>
                <w:szCs w:val="24"/>
                <w:highlight w:val="none"/>
              </w:rPr>
              <w:t>.2加热盘最高温度：≥250℃。</w:t>
            </w:r>
          </w:p>
          <w:p w14:paraId="3393F0C3">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●2</w:t>
            </w:r>
            <w:r>
              <w:rPr>
                <w:rFonts w:hint="eastAsia" w:ascii="宋体" w:hAnsi="宋体" w:eastAsia="宋体" w:cs="宋体"/>
                <w:bCs/>
                <w:sz w:val="24"/>
                <w:szCs w:val="24"/>
                <w:highlight w:val="none"/>
              </w:rPr>
              <w:t>.3加热盘控温稳定性：≤±2℃。</w:t>
            </w:r>
          </w:p>
          <w:p w14:paraId="4D882AB4">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●2</w:t>
            </w:r>
            <w:r>
              <w:rPr>
                <w:rFonts w:hint="eastAsia" w:ascii="宋体" w:hAnsi="宋体" w:eastAsia="宋体" w:cs="宋体"/>
                <w:bCs/>
                <w:sz w:val="24"/>
                <w:szCs w:val="24"/>
                <w:highlight w:val="none"/>
              </w:rPr>
              <w:t>.4腔体极限真空：≤10Pa。</w:t>
            </w:r>
          </w:p>
          <w:p w14:paraId="7BDB0844">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■2</w:t>
            </w:r>
            <w:r>
              <w:rPr>
                <w:rFonts w:hint="eastAsia" w:ascii="宋体" w:hAnsi="宋体" w:eastAsia="宋体" w:cs="宋体"/>
                <w:bCs/>
                <w:sz w:val="24"/>
                <w:szCs w:val="24"/>
                <w:highlight w:val="none"/>
              </w:rPr>
              <w:t>.5催化盒最高加热温度：≥250℃。</w:t>
            </w:r>
          </w:p>
          <w:p w14:paraId="1CD9007B">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●2</w:t>
            </w:r>
            <w:r>
              <w:rPr>
                <w:rFonts w:hint="eastAsia" w:ascii="宋体" w:hAnsi="宋体" w:eastAsia="宋体" w:cs="宋体"/>
                <w:bCs/>
                <w:sz w:val="24"/>
                <w:szCs w:val="24"/>
                <w:highlight w:val="none"/>
              </w:rPr>
              <w:t>.6催化盒控温稳定性:≤±2℃。</w:t>
            </w:r>
          </w:p>
          <w:p w14:paraId="4BF43830">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 xml:space="preserve">★2.7 </w:t>
            </w:r>
            <w:r>
              <w:rPr>
                <w:rFonts w:hint="eastAsia" w:ascii="宋体" w:hAnsi="宋体" w:eastAsia="宋体" w:cs="宋体"/>
                <w:bCs/>
                <w:sz w:val="24"/>
                <w:szCs w:val="24"/>
                <w:highlight w:val="none"/>
              </w:rPr>
              <w:t>Cu表面氧化物还原温度：≤180℃。</w:t>
            </w:r>
          </w:p>
          <w:p w14:paraId="731C6A8B">
            <w:pPr>
              <w:wordWrap w:val="0"/>
              <w:spacing w:line="312"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bCs/>
                <w:sz w:val="24"/>
                <w:szCs w:val="24"/>
                <w:highlight w:val="none"/>
              </w:rPr>
              <w:t>.8具备甲酸泄露检测功能。</w:t>
            </w:r>
          </w:p>
          <w:p w14:paraId="24303FEC">
            <w:pPr>
              <w:wordWrap w:val="0"/>
              <w:spacing w:line="312"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3.C2W键合模块</w:t>
            </w:r>
          </w:p>
          <w:p w14:paraId="6A110A16">
            <w:pPr>
              <w:wordWrap w:val="0"/>
              <w:spacing w:line="312" w:lineRule="auto"/>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.1上压头对应芯片尺寸：0.5mm*0.5mm-50mm*50mm。</w:t>
            </w:r>
          </w:p>
          <w:p w14:paraId="2ABCE787">
            <w:pPr>
              <w:wordWrap w:val="0"/>
              <w:spacing w:line="312" w:lineRule="auto"/>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.2下载台对应样品尺寸：兼容6inch和8inch和12inch晶圆，不同尺寸晶圆通过工装兼容。</w:t>
            </w:r>
          </w:p>
          <w:p w14:paraId="2C0AF159">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.3对准方式：片间同轴对准。</w:t>
            </w:r>
          </w:p>
          <w:p w14:paraId="3AD9ABDD">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.4对准精度：≤±0.2μm。</w:t>
            </w:r>
          </w:p>
          <w:p w14:paraId="4BA31088">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.5键合后精度：≤±0.5μm（标准片常温贴合精度）。</w:t>
            </w:r>
          </w:p>
          <w:p w14:paraId="49BE03AD">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.6压力范围：2N-3000N。</w:t>
            </w:r>
          </w:p>
          <w:p w14:paraId="199FEEA0">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.7控压稳定性：±2N。</w:t>
            </w:r>
          </w:p>
          <w:p w14:paraId="27921D62">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.8上压头最高温度：≥450℃。</w:t>
            </w:r>
          </w:p>
          <w:p w14:paraId="2B7E075A">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.9上压头加热方式：脉冲陶瓷加热。</w:t>
            </w:r>
          </w:p>
          <w:p w14:paraId="1CECDDDE">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.10上压头控温稳定性：≤±1℃。</w:t>
            </w:r>
          </w:p>
          <w:p w14:paraId="46083CC7">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.11上压头升温速率：升温时间≤8s（室温至450℃）。</w:t>
            </w:r>
          </w:p>
          <w:p w14:paraId="451081CC">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.12上压头降温速率：降温时间≤60s（450℃至100℃）。</w:t>
            </w:r>
          </w:p>
          <w:p w14:paraId="25505158">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.13下载台最高温度：≥300℃。</w:t>
            </w:r>
          </w:p>
          <w:p w14:paraId="154D5578">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w:t>
            </w:r>
            <w:r>
              <w:rPr>
                <w:rFonts w:hint="eastAsia" w:ascii="宋体" w:hAnsi="宋体" w:eastAsia="宋体" w:cs="宋体"/>
                <w:bCs/>
                <w:sz w:val="24"/>
                <w:szCs w:val="24"/>
                <w:highlight w:val="none"/>
              </w:rPr>
              <w:t>3.14下载台加热方式：筒式加热器。</w:t>
            </w:r>
          </w:p>
          <w:p w14:paraId="52D48E6C">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.15下载台控温稳定性：≤±1℃。</w:t>
            </w:r>
          </w:p>
          <w:p w14:paraId="3F68970E">
            <w:pPr>
              <w:wordWrap w:val="0"/>
              <w:spacing w:line="312" w:lineRule="auto"/>
              <w:jc w:val="left"/>
              <w:rPr>
                <w:rFonts w:hint="eastAsia" w:ascii="宋体" w:hAnsi="宋体" w:eastAsia="宋体" w:cs="宋体"/>
                <w:bCs/>
                <w:sz w:val="24"/>
                <w:szCs w:val="24"/>
                <w:highlight w:val="none"/>
              </w:rPr>
            </w:pPr>
            <w:r>
              <w:rPr>
                <w:rFonts w:hint="eastAsia" w:ascii="宋体" w:hAnsi="宋体" w:eastAsia="宋体" w:cs="宋体"/>
                <w:sz w:val="24"/>
                <w:szCs w:val="24"/>
                <w:highlight w:val="none"/>
              </w:rPr>
              <w:t>■3</w:t>
            </w:r>
            <w:r>
              <w:rPr>
                <w:rFonts w:hint="eastAsia" w:ascii="宋体" w:hAnsi="宋体" w:eastAsia="宋体" w:cs="宋体"/>
                <w:bCs/>
                <w:sz w:val="24"/>
                <w:szCs w:val="24"/>
                <w:highlight w:val="none"/>
              </w:rPr>
              <w:t>.16具备自动调平功能。</w:t>
            </w:r>
          </w:p>
          <w:p w14:paraId="2A77DB6A">
            <w:pPr>
              <w:rPr>
                <w:rFonts w:hint="eastAsia" w:ascii="宋体" w:hAnsi="宋体" w:eastAsia="宋体" w:cs="宋体"/>
                <w:sz w:val="24"/>
                <w:szCs w:val="24"/>
                <w:highlight w:val="none"/>
              </w:rPr>
            </w:pPr>
            <w:r>
              <w:rPr>
                <w:rFonts w:hint="eastAsia" w:ascii="宋体" w:hAnsi="宋体" w:eastAsia="宋体" w:cs="宋体"/>
                <w:sz w:val="24"/>
                <w:szCs w:val="24"/>
                <w:highlight w:val="none"/>
              </w:rPr>
              <w:t>■3.17 腔内可回填3种惰性工艺气氛：Ar、N</w:t>
            </w:r>
            <w:r>
              <w:rPr>
                <w:rFonts w:hint="eastAsia" w:ascii="宋体" w:hAnsi="宋体" w:eastAsia="宋体" w:cs="宋体"/>
                <w:sz w:val="24"/>
                <w:szCs w:val="24"/>
                <w:highlight w:val="none"/>
                <w:vertAlign w:val="subscript"/>
              </w:rPr>
              <w:t>2</w:t>
            </w:r>
            <w:r>
              <w:rPr>
                <w:rFonts w:hint="eastAsia" w:ascii="宋体" w:hAnsi="宋体" w:eastAsia="宋体" w:cs="宋体"/>
                <w:sz w:val="24"/>
                <w:szCs w:val="24"/>
                <w:highlight w:val="none"/>
              </w:rPr>
              <w:t>、He，底部填充点胶模块。</w:t>
            </w:r>
          </w:p>
          <w:p w14:paraId="65544192">
            <w:pPr>
              <w:rPr>
                <w:rFonts w:hint="eastAsia" w:ascii="宋体" w:hAnsi="宋体" w:eastAsia="宋体" w:cs="宋体"/>
                <w:sz w:val="24"/>
                <w:szCs w:val="24"/>
                <w:highlight w:val="none"/>
              </w:rPr>
            </w:pPr>
            <w:r>
              <w:rPr>
                <w:rFonts w:hint="eastAsia" w:ascii="宋体" w:hAnsi="宋体" w:eastAsia="宋体" w:cs="宋体"/>
                <w:sz w:val="24"/>
                <w:szCs w:val="24"/>
                <w:highlight w:val="none"/>
              </w:rPr>
              <w:t>4.</w:t>
            </w:r>
            <w:r>
              <w:rPr>
                <w:rFonts w:hint="eastAsia"/>
                <w:sz w:val="24"/>
                <w:szCs w:val="24"/>
                <w:highlight w:val="none"/>
              </w:rPr>
              <w:t xml:space="preserve"> </w:t>
            </w:r>
            <w:r>
              <w:rPr>
                <w:rFonts w:hint="eastAsia" w:ascii="宋体" w:hAnsi="宋体" w:eastAsia="宋体" w:cs="宋体"/>
                <w:sz w:val="24"/>
                <w:szCs w:val="24"/>
                <w:highlight w:val="none"/>
              </w:rPr>
              <w:t>underfill底部填充系统</w:t>
            </w:r>
          </w:p>
          <w:p w14:paraId="5329377D">
            <w:pPr>
              <w:wordWrap w:val="0"/>
              <w:spacing w:line="312" w:lineRule="auto"/>
              <w:jc w:val="left"/>
              <w:rPr>
                <w:rFonts w:hint="eastAsia" w:ascii="宋体" w:hAnsi="宋体" w:eastAsia="宋体" w:cs="宋体"/>
                <w:sz w:val="24"/>
                <w:szCs w:val="24"/>
                <w:highlight w:val="none"/>
              </w:rPr>
            </w:pPr>
            <w:bookmarkStart w:id="37" w:name="主要技术指标"/>
            <w:r>
              <w:rPr>
                <w:rFonts w:hint="eastAsia" w:ascii="宋体" w:hAnsi="宋体" w:eastAsia="宋体" w:cs="宋体"/>
                <w:sz w:val="24"/>
                <w:szCs w:val="24"/>
                <w:highlight w:val="none"/>
              </w:rPr>
              <w:t>●4.1 控制方式：全闭环伺服控制，视觉引导，喷射同步控制。</w:t>
            </w:r>
          </w:p>
          <w:p w14:paraId="6F42A946">
            <w:pPr>
              <w:wordWrap w:val="0"/>
              <w:spacing w:line="312"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●4.2 主轴数量：3个（X轴，Y轴，Z轴）。</w:t>
            </w:r>
          </w:p>
          <w:p w14:paraId="6B64CDBA">
            <w:pPr>
              <w:wordWrap w:val="0"/>
              <w:spacing w:line="312"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★4.3 点胶行程：X轴: ≥300mm，Y轴:≥300mm，Z轴:≥70mm。</w:t>
            </w:r>
          </w:p>
          <w:p w14:paraId="1535369C">
            <w:pPr>
              <w:wordWrap w:val="0"/>
              <w:spacing w:line="312"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●4.4 X轴和Y轴位置精度：≤±20um。</w:t>
            </w:r>
          </w:p>
          <w:p w14:paraId="357CB0A6">
            <w:pPr>
              <w:wordWrap w:val="0"/>
              <w:spacing w:line="312"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●4.5 Z轴位置精度：≤±20um。</w:t>
            </w:r>
          </w:p>
          <w:p w14:paraId="0B91B011">
            <w:pPr>
              <w:wordWrap w:val="0"/>
              <w:spacing w:line="312"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●4.6 X轴/Y轴运动加速度：≥1.0g</w:t>
            </w:r>
            <w:bookmarkEnd w:id="37"/>
            <w:r>
              <w:rPr>
                <w:rFonts w:hint="eastAsia" w:ascii="宋体" w:hAnsi="宋体" w:eastAsia="宋体" w:cs="宋体"/>
                <w:sz w:val="24"/>
                <w:szCs w:val="24"/>
                <w:highlight w:val="none"/>
              </w:rPr>
              <w:t>。</w:t>
            </w:r>
          </w:p>
          <w:p w14:paraId="6F1C34E5">
            <w:pPr>
              <w:pStyle w:val="2"/>
              <w:ind w:left="0" w:firstLine="0"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★5.设备所有承重地脚在2400*2250（长*宽，mm）面积范围内。</w:t>
            </w:r>
          </w:p>
          <w:p w14:paraId="2826224A">
            <w:pPr>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b/>
                <w:sz w:val="24"/>
                <w:szCs w:val="24"/>
                <w:highlight w:val="none"/>
              </w:rPr>
              <w:t>三、配置要求</w:t>
            </w:r>
          </w:p>
          <w:p w14:paraId="59FE3657">
            <w:pPr>
              <w:wordWrap w:val="0"/>
              <w:rPr>
                <w:rFonts w:hint="eastAsia" w:ascii="宋体" w:hAnsi="宋体" w:eastAsia="宋体" w:cs="宋体"/>
                <w:sz w:val="24"/>
                <w:szCs w:val="24"/>
                <w:highlight w:val="none"/>
              </w:rPr>
            </w:pPr>
            <w:r>
              <w:rPr>
                <w:rFonts w:hint="eastAsia" w:ascii="宋体" w:hAnsi="宋体" w:eastAsia="宋体" w:cs="宋体"/>
                <w:sz w:val="24"/>
                <w:szCs w:val="24"/>
                <w:highlight w:val="none"/>
              </w:rPr>
              <w:t>1.主机2个（含上下料、甲酸活化、C2W键合模块、点胶模块等）。</w:t>
            </w:r>
          </w:p>
          <w:p w14:paraId="0877900F">
            <w:pPr>
              <w:wordWrap w:val="0"/>
              <w:rPr>
                <w:rFonts w:hint="eastAsia" w:ascii="宋体" w:hAnsi="宋体" w:eastAsia="宋体" w:cs="宋体"/>
                <w:sz w:val="24"/>
                <w:szCs w:val="24"/>
                <w:highlight w:val="none"/>
              </w:rPr>
            </w:pPr>
            <w:r>
              <w:rPr>
                <w:rFonts w:hint="eastAsia" w:ascii="宋体" w:hAnsi="宋体" w:eastAsia="宋体" w:cs="宋体"/>
                <w:sz w:val="24"/>
                <w:szCs w:val="24"/>
                <w:highlight w:val="none"/>
              </w:rPr>
              <w:t>2.真空泵1个。</w:t>
            </w:r>
          </w:p>
          <w:p w14:paraId="6DDE4ADD">
            <w:pPr>
              <w:wordWrap w:val="0"/>
              <w:rPr>
                <w:rFonts w:hint="eastAsia" w:ascii="宋体" w:hAnsi="宋体" w:eastAsia="宋体" w:cs="宋体"/>
                <w:sz w:val="24"/>
                <w:szCs w:val="24"/>
                <w:highlight w:val="none"/>
              </w:rPr>
            </w:pPr>
            <w:r>
              <w:rPr>
                <w:rFonts w:hint="eastAsia" w:ascii="宋体" w:hAnsi="宋体" w:eastAsia="宋体" w:cs="宋体"/>
                <w:sz w:val="24"/>
                <w:szCs w:val="24"/>
                <w:highlight w:val="none"/>
              </w:rPr>
              <w:t>3.涡旋泵1个。</w:t>
            </w:r>
          </w:p>
          <w:p w14:paraId="03EB0211">
            <w:pPr>
              <w:wordWrap w:val="0"/>
              <w:rPr>
                <w:rFonts w:hint="eastAsia" w:ascii="宋体" w:hAnsi="宋体" w:eastAsia="宋体" w:cs="宋体"/>
                <w:sz w:val="24"/>
                <w:szCs w:val="24"/>
                <w:highlight w:val="none"/>
              </w:rPr>
            </w:pPr>
            <w:r>
              <w:rPr>
                <w:rFonts w:hint="eastAsia" w:ascii="宋体" w:hAnsi="宋体" w:eastAsia="宋体" w:cs="宋体"/>
                <w:sz w:val="24"/>
                <w:szCs w:val="24"/>
                <w:highlight w:val="none"/>
              </w:rPr>
              <w:t>4.芯片托盘3个。</w:t>
            </w:r>
          </w:p>
          <w:p w14:paraId="69BAEA5D">
            <w:pPr>
              <w:wordWrap w:val="0"/>
              <w:rPr>
                <w:rFonts w:hint="eastAsia" w:ascii="宋体" w:hAnsi="宋体" w:eastAsia="宋体" w:cs="宋体"/>
                <w:sz w:val="24"/>
                <w:szCs w:val="24"/>
                <w:highlight w:val="none"/>
              </w:rPr>
            </w:pPr>
            <w:r>
              <w:rPr>
                <w:rFonts w:hint="eastAsia" w:ascii="宋体" w:hAnsi="宋体" w:eastAsia="宋体" w:cs="宋体"/>
                <w:sz w:val="24"/>
                <w:szCs w:val="24"/>
                <w:highlight w:val="none"/>
              </w:rPr>
              <w:t>5.芯片吸嘴10个。</w:t>
            </w:r>
          </w:p>
          <w:p w14:paraId="42BDE7B9">
            <w:pPr>
              <w:wordWrap w:val="0"/>
              <w:rPr>
                <w:rFonts w:hint="eastAsia" w:ascii="宋体" w:hAnsi="宋体" w:eastAsia="宋体" w:cs="宋体"/>
                <w:sz w:val="24"/>
                <w:szCs w:val="24"/>
                <w:highlight w:val="none"/>
              </w:rPr>
            </w:pPr>
            <w:r>
              <w:rPr>
                <w:rFonts w:hint="eastAsia" w:ascii="宋体" w:hAnsi="宋体" w:eastAsia="宋体" w:cs="宋体"/>
                <w:sz w:val="24"/>
                <w:szCs w:val="24"/>
                <w:highlight w:val="none"/>
              </w:rPr>
              <w:t>6.兼容C2C键合的工装1套。</w:t>
            </w:r>
          </w:p>
          <w:p w14:paraId="0A6F7A4E">
            <w:pPr>
              <w:wordWrap w:val="0"/>
              <w:rPr>
                <w:rFonts w:hint="eastAsia" w:ascii="宋体" w:hAnsi="宋体" w:eastAsia="宋体" w:cs="宋体"/>
                <w:sz w:val="24"/>
                <w:szCs w:val="24"/>
                <w:highlight w:val="none"/>
                <w:shd w:val="clear" w:color="auto" w:fill="000000"/>
              </w:rPr>
            </w:pPr>
            <w:r>
              <w:rPr>
                <w:rFonts w:hint="eastAsia" w:ascii="宋体" w:hAnsi="宋体" w:eastAsia="宋体" w:cs="宋体"/>
                <w:sz w:val="24"/>
                <w:szCs w:val="24"/>
                <w:highlight w:val="none"/>
              </w:rPr>
              <w:t>7.O圈、中心环、卡箍等备品备件1套。</w:t>
            </w:r>
          </w:p>
          <w:p w14:paraId="71B3AA7F">
            <w:pPr>
              <w:wordWrap w:val="0"/>
              <w:spacing w:line="312"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8.点胶模块耗材一套；</w:t>
            </w:r>
          </w:p>
          <w:p w14:paraId="14A0B1C4">
            <w:pPr>
              <w:wordWrap w:val="0"/>
              <w:spacing w:line="312" w:lineRule="auto"/>
              <w:rPr>
                <w:rFonts w:hint="eastAsia" w:ascii="宋体" w:hAnsi="宋体" w:eastAsia="宋体" w:cs="宋体"/>
                <w:bCs/>
                <w:sz w:val="24"/>
                <w:szCs w:val="24"/>
                <w:highlight w:val="none"/>
              </w:rPr>
            </w:pPr>
            <w:r>
              <w:rPr>
                <w:rFonts w:hint="eastAsia" w:ascii="宋体" w:hAnsi="宋体" w:eastAsia="宋体" w:cs="宋体"/>
                <w:sz w:val="24"/>
                <w:szCs w:val="24"/>
                <w:highlight w:val="none"/>
              </w:rPr>
              <w:t>9.设备配套调试用耗材一套，包含玻璃校准片：2颗；压力纸：一卷。</w:t>
            </w:r>
          </w:p>
        </w:tc>
        <w:tc>
          <w:tcPr>
            <w:tcW w:w="649" w:type="dxa"/>
            <w:vAlign w:val="center"/>
          </w:tcPr>
          <w:p w14:paraId="73D067C5">
            <w:pPr>
              <w:wordWrap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1</w:t>
            </w:r>
          </w:p>
        </w:tc>
        <w:tc>
          <w:tcPr>
            <w:tcW w:w="601" w:type="dxa"/>
            <w:vAlign w:val="center"/>
          </w:tcPr>
          <w:p w14:paraId="1D29D9EB">
            <w:pPr>
              <w:wordWrap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工业</w:t>
            </w:r>
          </w:p>
        </w:tc>
        <w:tc>
          <w:tcPr>
            <w:tcW w:w="638" w:type="dxa"/>
            <w:vAlign w:val="center"/>
          </w:tcPr>
          <w:p w14:paraId="6999CED5">
            <w:pPr>
              <w:wordWrap w:val="0"/>
              <w:spacing w:line="312" w:lineRule="auto"/>
              <w:jc w:val="center"/>
              <w:rPr>
                <w:rFonts w:hint="eastAsia" w:asciiTheme="majorEastAsia" w:hAnsiTheme="majorEastAsia" w:eastAsiaTheme="majorEastAsia"/>
                <w:bCs/>
                <w:sz w:val="24"/>
                <w:szCs w:val="24"/>
                <w:highlight w:val="none"/>
              </w:rPr>
            </w:pPr>
            <w:r>
              <w:rPr>
                <w:rFonts w:hint="eastAsia" w:asciiTheme="majorEastAsia" w:hAnsiTheme="majorEastAsia" w:eastAsiaTheme="majorEastAsia"/>
                <w:bCs/>
                <w:sz w:val="24"/>
                <w:szCs w:val="24"/>
                <w:highlight w:val="none"/>
              </w:rPr>
              <w:t>/</w:t>
            </w:r>
          </w:p>
        </w:tc>
      </w:tr>
    </w:tbl>
    <w:p w14:paraId="49191D63">
      <w:pPr>
        <w:autoSpaceDE w:val="0"/>
        <w:autoSpaceDN w:val="0"/>
        <w:adjustRightInd w:val="0"/>
        <w:spacing w:line="276" w:lineRule="auto"/>
        <w:jc w:val="left"/>
        <w:rPr>
          <w:rFonts w:hint="eastAsia" w:asciiTheme="majorEastAsia" w:hAnsiTheme="majorEastAsia" w:eastAsiaTheme="majorEastAsia"/>
          <w:b/>
          <w:sz w:val="24"/>
          <w:szCs w:val="24"/>
          <w:highlight w:val="none"/>
        </w:rPr>
      </w:pPr>
    </w:p>
    <w:p w14:paraId="63892B64">
      <w:pPr>
        <w:autoSpaceDE w:val="0"/>
        <w:autoSpaceDN w:val="0"/>
        <w:adjustRightInd w:val="0"/>
        <w:spacing w:line="336" w:lineRule="auto"/>
        <w:jc w:val="left"/>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三、安装调试、培训</w:t>
      </w:r>
      <w:r>
        <w:rPr>
          <w:rFonts w:asciiTheme="majorEastAsia" w:hAnsiTheme="majorEastAsia" w:eastAsiaTheme="majorEastAsia"/>
          <w:b/>
          <w:sz w:val="24"/>
          <w:szCs w:val="24"/>
          <w:highlight w:val="none"/>
        </w:rPr>
        <w:t>、</w:t>
      </w:r>
      <w:r>
        <w:rPr>
          <w:rFonts w:hint="eastAsia" w:asciiTheme="majorEastAsia" w:hAnsiTheme="majorEastAsia" w:eastAsiaTheme="majorEastAsia"/>
          <w:b/>
          <w:sz w:val="24"/>
          <w:szCs w:val="24"/>
          <w:highlight w:val="none"/>
        </w:rPr>
        <w:t>质保及售后服务要求</w:t>
      </w:r>
    </w:p>
    <w:p w14:paraId="20527FA9">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1.安装调试</w:t>
      </w:r>
    </w:p>
    <w:p w14:paraId="17F83231">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1.1中标人需协助采购人做好安装前的准备工作，合同签订后15个工作日内提供详细的厂务需求（含水、电、气、废排、微振要求等）、LAYOUT图、安装布置图。发货前中标人需提供详细的安装、调试方案和计划。</w:t>
      </w:r>
    </w:p>
    <w:p w14:paraId="27AA3355">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1.2设备到达采购人现场后，由中标人派出工程师与采购人共同开箱清点验收并负责安装、调试、试运行等，相关费用含在本次投标报价中。机台搬入洁净间和定位由中标人负责。中标人所提供的设备所有零部件必须是全新产品，外观无划伤损伤等各种缺陷。</w:t>
      </w:r>
    </w:p>
    <w:p w14:paraId="477FF9D4">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1.3设备到达采购人所在地后,在接到采购人通知后执行安装调试直至达到验收指标。设备须依据双方签订的合同进行验收，中标人应及时更换在调试、试运行验收中指标未达到要求的部件。</w:t>
      </w:r>
    </w:p>
    <w:p w14:paraId="13A00B77">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2.技术文件</w:t>
      </w:r>
    </w:p>
    <w:p w14:paraId="7DE498B6">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2.1设备交付时，中标人需向采购人提供全套技术资料，资料语言至少包含中文，至少包括设备操作手册（含管理员用户名、密码）、设备维护（服务）手册、安全手册、各主要部件手册、原理图、电路图、备件和耗材清单等。随机文件采用光盘/U盘的形式提供PDF格式的电子版。</w:t>
      </w:r>
    </w:p>
    <w:p w14:paraId="45C37F12">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2.2产品在出厂前，进行全面的系统测试并随设备出具产品测试报告。</w:t>
      </w:r>
    </w:p>
    <w:p w14:paraId="77EEA03D">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2.3中标人需提供设备最新信息及应用资料，</w:t>
      </w:r>
      <w:r>
        <w:rPr>
          <w:rFonts w:ascii="宋体" w:hAnsi="宋体" w:eastAsia="宋体" w:cs="宋体"/>
          <w:sz w:val="24"/>
          <w:szCs w:val="24"/>
          <w:highlight w:val="none"/>
        </w:rPr>
        <w:t>自项目验收合格之日起</w:t>
      </w:r>
      <w:r>
        <w:rPr>
          <w:rFonts w:hint="eastAsia" w:ascii="宋体" w:hAnsi="宋体" w:eastAsia="宋体" w:cs="宋体"/>
          <w:sz w:val="24"/>
          <w:szCs w:val="24"/>
          <w:highlight w:val="none"/>
        </w:rPr>
        <w:t>提供</w:t>
      </w:r>
      <w:r>
        <w:rPr>
          <w:rFonts w:ascii="宋体" w:hAnsi="宋体" w:eastAsia="宋体" w:cs="宋体"/>
          <w:sz w:val="24"/>
          <w:szCs w:val="24"/>
          <w:highlight w:val="none"/>
        </w:rPr>
        <w:t>不少于</w:t>
      </w:r>
      <w:r>
        <w:rPr>
          <w:rFonts w:hint="eastAsia" w:ascii="宋体" w:hAnsi="宋体" w:eastAsia="宋体" w:cs="宋体"/>
          <w:sz w:val="24"/>
          <w:szCs w:val="24"/>
          <w:highlight w:val="none"/>
        </w:rPr>
        <w:t>10年的技术资料和技术支持，协助采购人做好设备的开发应用工作。</w:t>
      </w:r>
    </w:p>
    <w:p w14:paraId="18864809">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3.技术培训</w:t>
      </w:r>
    </w:p>
    <w:p w14:paraId="72864F1E">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3.1中标人需提供采购人现场培训的资料，至少含设备操作指导书（SOP）、保养维护指导等；</w:t>
      </w:r>
    </w:p>
    <w:p w14:paraId="2596278A">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3.2设备厂家应在设备安装调试合格后对采购人操作维护人员（不少于5人）进行培训，包括软件、硬件的操作和日常维护、典型应用工艺，培训时间不少于5天。验收后根据采购人需求再提供至少一次应用培训，具体培训时间由双方协商。</w:t>
      </w:r>
    </w:p>
    <w:p w14:paraId="0C779381">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4.质保及售后</w:t>
      </w:r>
    </w:p>
    <w:p w14:paraId="62628272">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4.1免费质保期自验收合格之日起计算，更换后的零部件免费质保期从更换之日起计算。</w:t>
      </w:r>
    </w:p>
    <w:p w14:paraId="78332D4C">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4.2免费质保期内由中标人提供保修服务，包括设备的正常检修、维护和调试等（所需费用包含在本项目投标报价中，包含人工、维修及零配件等费用，耗材除外）。质保期内因质量问题而导致的设备停用时间应相应延长质保截止时间。中标人应保证设备及服务的质量，针对故障或损坏的产品，提供上门维修和更换服务（人为故意损毁或不可抗力因素导致的损坏除外）。当产品在质保期内发生质量问题，中标人还应承担由此导致的其他经济损失。</w:t>
      </w:r>
    </w:p>
    <w:p w14:paraId="5E5DAD4D">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4.3免费质保期满后，</w:t>
      </w:r>
      <w:r>
        <w:rPr>
          <w:rFonts w:ascii="宋体" w:hAnsi="宋体" w:eastAsia="宋体" w:cs="宋体"/>
          <w:sz w:val="24"/>
          <w:szCs w:val="24"/>
          <w:highlight w:val="none"/>
        </w:rPr>
        <w:t>中标人提供备件及技术服务的价格，不得高于其同期国内终端客户最低实际成交价。采购人有权要求中标人提供同期销售资料予以核实。</w:t>
      </w:r>
    </w:p>
    <w:p w14:paraId="4ACE4401">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4.4维修响应时间：中标人应在4小时内对采购人的服务要求做出响应，如有必要在48小时内派工程师到达现场、检查和排除故障。一般故障应在3天内解决或提出明确的解决方案，经采购人认可后，在预定期限内解决问题。重大故障或其它无法迅速解决的问题应在一周内解决或提出明确解决方案。否则，中标人应赔偿由此造成的损失。</w:t>
      </w:r>
    </w:p>
    <w:p w14:paraId="6613BCD1">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4.5软、硬件升级：中标人应向采购人提供同版本软件的终身升级服务（所需费用包含在本项目投标报价中），</w:t>
      </w:r>
      <w:r>
        <w:rPr>
          <w:rFonts w:ascii="宋体" w:hAnsi="宋体" w:eastAsia="宋体" w:cs="宋体"/>
          <w:sz w:val="24"/>
          <w:szCs w:val="24"/>
          <w:highlight w:val="none"/>
        </w:rPr>
        <w:t>因适配新版软件强制要求实施的配套硬件升级，仅收取硬件含税进货成本，免收所有实施、调试、人工服务费；采购人有权核验硬件上游采购价格。采购人主动扩容、新增功能所需硬件升级不适用本条款。</w:t>
      </w:r>
    </w:p>
    <w:p w14:paraId="1E3F91B1">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4.6</w:t>
      </w:r>
      <w:r>
        <w:rPr>
          <w:rFonts w:ascii="宋体" w:hAnsi="宋体" w:eastAsia="宋体" w:cs="宋体"/>
          <w:sz w:val="24"/>
          <w:szCs w:val="24"/>
          <w:highlight w:val="none"/>
        </w:rPr>
        <w:t>质保期满后，中标人</w:t>
      </w:r>
      <w:r>
        <w:rPr>
          <w:rFonts w:hint="eastAsia" w:ascii="宋体" w:hAnsi="宋体" w:eastAsia="宋体" w:cs="宋体"/>
          <w:sz w:val="24"/>
          <w:szCs w:val="24"/>
          <w:highlight w:val="none"/>
        </w:rPr>
        <w:t>需</w:t>
      </w:r>
      <w:r>
        <w:rPr>
          <w:rFonts w:ascii="宋体" w:hAnsi="宋体" w:eastAsia="宋体" w:cs="宋体"/>
          <w:sz w:val="24"/>
          <w:szCs w:val="24"/>
          <w:highlight w:val="none"/>
        </w:rPr>
        <w:t>提供终身维修技术服务。自设备终验合格之日起中标人</w:t>
      </w:r>
      <w:r>
        <w:rPr>
          <w:rFonts w:hint="eastAsia" w:ascii="宋体" w:hAnsi="宋体" w:eastAsia="宋体" w:cs="宋体"/>
          <w:sz w:val="24"/>
          <w:szCs w:val="24"/>
          <w:highlight w:val="none"/>
        </w:rPr>
        <w:t>需</w:t>
      </w:r>
      <w:r>
        <w:rPr>
          <w:rFonts w:ascii="宋体" w:hAnsi="宋体" w:eastAsia="宋体" w:cs="宋体"/>
          <w:sz w:val="24"/>
          <w:szCs w:val="24"/>
          <w:highlight w:val="none"/>
        </w:rPr>
        <w:t>提供不少于10年保障原厂零备件供应。零部件拟停产时，中标人提前12个月书面通知采购人；原厂备件停产的，中标人应提供功能等效替代方案，或应采购人要求无偿提供备件技术图纸、参数资料。因企业关停、原厂永久停产等客观不可控因素造成无法供货的，中标人仍</w:t>
      </w:r>
      <w:r>
        <w:rPr>
          <w:rFonts w:hint="eastAsia" w:ascii="宋体" w:hAnsi="宋体" w:eastAsia="宋体" w:cs="宋体"/>
          <w:sz w:val="24"/>
          <w:szCs w:val="24"/>
          <w:highlight w:val="none"/>
        </w:rPr>
        <w:t>需</w:t>
      </w:r>
      <w:r>
        <w:rPr>
          <w:rFonts w:ascii="宋体" w:hAnsi="宋体" w:eastAsia="宋体" w:cs="宋体"/>
          <w:sz w:val="24"/>
          <w:szCs w:val="24"/>
          <w:highlight w:val="none"/>
        </w:rPr>
        <w:t>持续提供技术指导。</w:t>
      </w:r>
    </w:p>
    <w:p w14:paraId="07C4FF22">
      <w:pPr>
        <w:autoSpaceDE w:val="0"/>
        <w:autoSpaceDN w:val="0"/>
        <w:adjustRightInd w:val="0"/>
        <w:spacing w:line="336" w:lineRule="auto"/>
        <w:jc w:val="left"/>
        <w:rPr>
          <w:rFonts w:hint="eastAsia" w:asciiTheme="majorEastAsia" w:hAnsiTheme="majorEastAsia" w:eastAsiaTheme="majorEastAsia"/>
          <w:b/>
          <w:sz w:val="24"/>
          <w:szCs w:val="24"/>
          <w:highlight w:val="none"/>
        </w:rPr>
      </w:pPr>
    </w:p>
    <w:p w14:paraId="2B7C67EF">
      <w:pPr>
        <w:autoSpaceDE w:val="0"/>
        <w:autoSpaceDN w:val="0"/>
        <w:adjustRightInd w:val="0"/>
        <w:spacing w:line="336" w:lineRule="auto"/>
        <w:jc w:val="left"/>
        <w:rPr>
          <w:rFonts w:hint="eastAsia" w:asciiTheme="majorEastAsia" w:hAnsiTheme="majorEastAsia" w:eastAsiaTheme="majorEastAsia"/>
          <w:b/>
          <w:sz w:val="24"/>
          <w:szCs w:val="24"/>
          <w:highlight w:val="none"/>
        </w:rPr>
      </w:pPr>
      <w:r>
        <w:rPr>
          <w:rFonts w:hint="eastAsia" w:asciiTheme="majorEastAsia" w:hAnsiTheme="majorEastAsia" w:eastAsiaTheme="majorEastAsia"/>
          <w:b/>
          <w:sz w:val="24"/>
          <w:szCs w:val="24"/>
          <w:highlight w:val="none"/>
        </w:rPr>
        <w:t>四、报价要求</w:t>
      </w:r>
    </w:p>
    <w:p w14:paraId="5EAC1895">
      <w:pPr>
        <w:spacing w:line="336" w:lineRule="auto"/>
        <w:ind w:firstLine="437"/>
        <w:rPr>
          <w:rFonts w:hint="eastAsia" w:ascii="宋体" w:hAnsi="宋体" w:eastAsia="宋体" w:cs="宋体"/>
          <w:sz w:val="24"/>
          <w:szCs w:val="18"/>
          <w:highlight w:val="none"/>
        </w:rPr>
      </w:pPr>
      <w:r>
        <w:rPr>
          <w:rFonts w:hint="eastAsia" w:ascii="宋体" w:hAnsi="宋体" w:eastAsia="宋体" w:cs="宋体"/>
          <w:sz w:val="24"/>
          <w:szCs w:val="18"/>
          <w:highlight w:val="none"/>
        </w:rPr>
        <w:t>1.本项目报投标总价，投标总价包含货物从设计、采购、制造、交货（包括运输至采购人指定地点卸车就位）至售后服务的一切费用、管理费、利润和税金，以及采购合同中明示或暗示的所有责任、义务和风险，履约期间采购人不再追加任何费用，投标人自行考虑报价风险。</w:t>
      </w:r>
    </w:p>
    <w:p w14:paraId="0B380764">
      <w:pPr>
        <w:spacing w:line="336" w:lineRule="auto"/>
        <w:ind w:firstLine="437"/>
        <w:rPr>
          <w:rFonts w:hint="eastAsia" w:ascii="宋体" w:hAnsi="宋体" w:eastAsia="宋体" w:cs="宋体"/>
          <w:sz w:val="24"/>
          <w:szCs w:val="18"/>
          <w:highlight w:val="none"/>
        </w:rPr>
      </w:pPr>
      <w:r>
        <w:rPr>
          <w:rFonts w:hint="eastAsia" w:ascii="宋体" w:hAnsi="宋体" w:eastAsia="宋体" w:cs="宋体"/>
          <w:sz w:val="24"/>
          <w:szCs w:val="24"/>
          <w:highlight w:val="none"/>
        </w:rPr>
        <w:t>2.本项目按照人民币报价，投标人在报价时，应主动、充分调研中美及各类贸易战背景下进口关税的现行适用政策及未来潜在波动风险，并将贸易战相关关税成本纳入投标报价中，自行承担相关风险。（供应商如若中标，不得在履约阶段以关税政策变化、成本超支为由，向采购人主张价款调增、额外费用索赔或履约责任减免。）</w:t>
      </w:r>
    </w:p>
    <w:p w14:paraId="7F803315">
      <w:pPr>
        <w:autoSpaceDE w:val="0"/>
        <w:autoSpaceDN w:val="0"/>
        <w:adjustRightInd w:val="0"/>
        <w:spacing w:line="336" w:lineRule="auto"/>
        <w:jc w:val="left"/>
        <w:rPr>
          <w:rFonts w:hint="eastAsia" w:asciiTheme="majorEastAsia" w:hAnsiTheme="majorEastAsia" w:eastAsiaTheme="majorEastAsia"/>
          <w:b/>
          <w:sz w:val="24"/>
          <w:szCs w:val="24"/>
          <w:highlight w:val="none"/>
        </w:rPr>
      </w:pPr>
    </w:p>
    <w:p w14:paraId="7434AFD3">
      <w:pPr>
        <w:autoSpaceDE w:val="0"/>
        <w:autoSpaceDN w:val="0"/>
        <w:adjustRightInd w:val="0"/>
        <w:spacing w:line="336" w:lineRule="auto"/>
        <w:jc w:val="left"/>
        <w:rPr>
          <w:rFonts w:hint="eastAsia" w:asciiTheme="majorEastAsia" w:hAnsiTheme="majorEastAsia" w:eastAsiaTheme="majorEastAsia"/>
          <w:sz w:val="24"/>
          <w:szCs w:val="24"/>
          <w:highlight w:val="none"/>
        </w:rPr>
      </w:pPr>
      <w:r>
        <w:rPr>
          <w:rFonts w:hint="eastAsia" w:asciiTheme="majorEastAsia" w:hAnsiTheme="majorEastAsia" w:eastAsiaTheme="majorEastAsia"/>
          <w:b/>
          <w:sz w:val="24"/>
          <w:szCs w:val="24"/>
          <w:highlight w:val="none"/>
        </w:rPr>
        <w:t>五、其他要求</w:t>
      </w:r>
    </w:p>
    <w:p w14:paraId="244A33F4">
      <w:pPr>
        <w:spacing w:line="336"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1.包装和运输：中标人应提供设备包装、运输等服务。中标人需采用标准承载式工业托盘和木箱进行包装，因为运输造成的设备损失由中标人提出有效更换或维修措施。零件要固定在箱体内，避免内部晃动。在包装箱上四个侧面的两个较大面上分别标记向上、怕湿、禁止翻转和吊装位置等符号，应清晰、可长期保持。需清晰注明收货地址、收货人和发货地址、重量、包装箱的承重点等。</w:t>
      </w:r>
    </w:p>
    <w:p w14:paraId="5A580A8A">
      <w:pPr>
        <w:spacing w:line="336"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ascii="宋体" w:hAnsi="宋体" w:eastAsia="宋体" w:cs="宋体"/>
          <w:b/>
          <w:bCs/>
          <w:color w:val="auto"/>
          <w:sz w:val="24"/>
          <w:szCs w:val="24"/>
          <w:highlight w:val="none"/>
        </w:rPr>
        <w:t>投标人所投全部产品须为全新</w:t>
      </w:r>
      <w:r>
        <w:rPr>
          <w:rFonts w:hint="eastAsia" w:ascii="宋体" w:hAnsi="宋体" w:eastAsia="宋体" w:cs="宋体"/>
          <w:b/>
          <w:bCs/>
          <w:color w:val="auto"/>
          <w:sz w:val="24"/>
          <w:szCs w:val="24"/>
          <w:highlight w:val="none"/>
        </w:rPr>
        <w:t>产品</w:t>
      </w:r>
      <w:r>
        <w:rPr>
          <w:rFonts w:ascii="宋体" w:hAnsi="宋体" w:eastAsia="宋体" w:cs="宋体"/>
          <w:b/>
          <w:bCs/>
          <w:color w:val="auto"/>
          <w:sz w:val="24"/>
          <w:szCs w:val="24"/>
          <w:highlight w:val="none"/>
        </w:rPr>
        <w:t>，整机及所有零部件、元器件均为原厂全新正品，不接受二手设备、翻新设备、旧件拼装设备，拒绝试制产品、试验样机，严禁以二手设备改造、旧零部件重组拼装形式供货。</w:t>
      </w:r>
    </w:p>
    <w:p w14:paraId="1F82EBE3">
      <w:pPr>
        <w:spacing w:line="336" w:lineRule="auto"/>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3.合同生效后、正式供货前，采购人有权对中标人拟供应设备开展指标性测试，并对设备的配置、结构、整机功能开展符合性核查，测试及核查依据为合同、采购文件及中标人投标文件响应的全部实质性要求。测试核查可由采购人实施或委托具备相应资质的第三方机构实施，测试核查方案提前告知中标人，中标人应到场配合并见证全过程。经测试或核查，设备不满足合同约定要求的，给予中标人合理期限进行整改；整改后仍达不到合同约定要求的，采购人有权单方解除本合同。合同解除后，如查实中标人存在违法违规情形的，采购人可将相关情况报送政府采购监督管理部门。中标人应承担因其违约给采购人造成的全部直接损失，并按合同约定承担相应违约责任。测试、核查产生的相关费用及样品损耗由过错方承担。</w:t>
      </w:r>
      <w:bookmarkStart w:id="38" w:name="_GoBack"/>
      <w:bookmarkEnd w:id="38"/>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方正黑体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FC2287"/>
    <w:multiLevelType w:val="singleLevel"/>
    <w:tmpl w:val="95FC2287"/>
    <w:lvl w:ilvl="0" w:tentative="0">
      <w:start w:val="1"/>
      <w:numFmt w:val="decimal"/>
      <w:lvlText w:val="(%1)"/>
      <w:lvlJc w:val="left"/>
      <w:pPr>
        <w:ind w:left="0" w:firstLine="0"/>
      </w:pPr>
      <w:rPr>
        <w:rFonts w:hint="default"/>
      </w:rPr>
    </w:lvl>
  </w:abstractNum>
  <w:abstractNum w:abstractNumId="1">
    <w:nsid w:val="3E046214"/>
    <w:multiLevelType w:val="singleLevel"/>
    <w:tmpl w:val="3E046214"/>
    <w:lvl w:ilvl="0" w:tentative="0">
      <w:start w:val="1"/>
      <w:numFmt w:val="chineseCounting"/>
      <w:suff w:val="nothing"/>
      <w:lvlText w:val="%1、"/>
      <w:lvlJc w:val="left"/>
      <w:pPr>
        <w:ind w:left="1260"/>
      </w:pPr>
      <w:rPr>
        <w:rFonts w:hint="eastAsia"/>
      </w:rPr>
    </w:lvl>
  </w:abstractNum>
  <w:abstractNum w:abstractNumId="2">
    <w:nsid w:val="55B0ED11"/>
    <w:multiLevelType w:val="singleLevel"/>
    <w:tmpl w:val="55B0ED11"/>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D44067"/>
    <w:rsid w:val="01D44067"/>
    <w:rsid w:val="3796606A"/>
    <w:rsid w:val="56BF4071"/>
    <w:rsid w:val="79EA1711"/>
    <w:rsid w:val="7B713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21"/>
      <w:lang w:val="en-US" w:eastAsia="zh-CN" w:bidi="ar-SA"/>
    </w:rPr>
  </w:style>
  <w:style w:type="paragraph" w:styleId="5">
    <w:name w:val="heading 1"/>
    <w:basedOn w:val="1"/>
    <w:next w:val="1"/>
    <w:qFormat/>
    <w:uiPriority w:val="9"/>
    <w:pPr>
      <w:keepNext/>
      <w:keepLines/>
      <w:spacing w:line="360" w:lineRule="auto"/>
      <w:jc w:val="center"/>
      <w:outlineLvl w:val="0"/>
    </w:pPr>
    <w:rPr>
      <w:rFonts w:ascii="Times New Roman" w:hAnsi="Times New Roman" w:eastAsia="方正小标宋_GBK" w:cs="Times New Roman"/>
      <w:bCs/>
      <w:kern w:val="44"/>
      <w:sz w:val="44"/>
      <w:szCs w:val="44"/>
    </w:rPr>
  </w:style>
  <w:style w:type="paragraph" w:styleId="6">
    <w:name w:val="heading 2"/>
    <w:basedOn w:val="1"/>
    <w:next w:val="1"/>
    <w:qFormat/>
    <w:uiPriority w:val="0"/>
    <w:pPr>
      <w:keepNext/>
      <w:keepLines/>
      <w:spacing w:before="240" w:line="360" w:lineRule="auto"/>
      <w:ind w:firstLine="640" w:firstLineChars="200"/>
      <w:jc w:val="left"/>
      <w:outlineLvl w:val="1"/>
    </w:pPr>
    <w:rPr>
      <w:rFonts w:ascii="Arial" w:hAnsi="Arial" w:eastAsia="方正黑体_GBK" w:cs="Times New Roman"/>
      <w:bCs/>
      <w:kern w:val="0"/>
      <w:sz w:val="28"/>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left="420" w:firstLine="420" w:firstLineChars="200"/>
    </w:pPr>
    <w:rPr>
      <w:rFonts w:ascii="Times New Roman" w:cs="Times New Roman"/>
    </w:rPr>
  </w:style>
  <w:style w:type="paragraph" w:styleId="3">
    <w:name w:val="Body Text Indent"/>
    <w:basedOn w:val="1"/>
    <w:next w:val="4"/>
    <w:unhideWhenUsed/>
    <w:qFormat/>
    <w:uiPriority w:val="99"/>
    <w:pPr>
      <w:ind w:firstLine="645"/>
    </w:pPr>
    <w:rPr>
      <w:rFonts w:ascii="楷体_GB2312" w:eastAsia="楷体_GB2312"/>
      <w:sz w:val="32"/>
    </w:rPr>
  </w:style>
  <w:style w:type="paragraph" w:styleId="4">
    <w:name w:val="envelope return"/>
    <w:basedOn w:val="1"/>
    <w:qFormat/>
    <w:uiPriority w:val="99"/>
    <w:pPr>
      <w:snapToGrid w:val="0"/>
    </w:pPr>
    <w:rPr>
      <w:rFonts w:ascii="Arial" w:hAnsi="Arial" w:cs="Arial"/>
    </w:rPr>
  </w:style>
  <w:style w:type="paragraph" w:styleId="7">
    <w:name w:val="annotation text"/>
    <w:basedOn w:val="8"/>
    <w:next w:val="9"/>
    <w:qFormat/>
    <w:uiPriority w:val="0"/>
    <w:pPr>
      <w:jc w:val="left"/>
    </w:pPr>
    <w:rPr>
      <w:rFonts w:ascii="@仿宋_GB2312" w:hAnsi="@仿宋_GB2312" w:eastAsia="仿宋" w:cs="@仿宋_GB2312"/>
    </w:rPr>
  </w:style>
  <w:style w:type="paragraph" w:styleId="8">
    <w:name w:val="Block Text"/>
    <w:basedOn w:val="1"/>
    <w:qFormat/>
    <w:uiPriority w:val="0"/>
    <w:pPr>
      <w:spacing w:after="120" w:afterLines="0" w:afterAutospacing="0"/>
      <w:ind w:left="1440" w:leftChars="700" w:rightChars="700"/>
    </w:pPr>
  </w:style>
  <w:style w:type="paragraph" w:styleId="9">
    <w:name w:val="annotation subject"/>
    <w:basedOn w:val="7"/>
    <w:next w:val="7"/>
    <w:qFormat/>
    <w:uiPriority w:val="0"/>
    <w:rPr>
      <w:b/>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3">
    <w:name w:val="D&amp;L"/>
    <w:basedOn w:val="10"/>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14">
    <w:name w:val="xl31"/>
    <w:basedOn w:val="1"/>
    <w:qFormat/>
    <w:uiPriority w:val="0"/>
    <w:pPr>
      <w:widowControl/>
      <w:spacing w:before="100" w:beforeAutospacing="1" w:after="100" w:afterAutospacing="1"/>
      <w:jc w:val="center"/>
    </w:pPr>
    <w:rPr>
      <w:b/>
      <w:bCs/>
      <w:kern w:val="0"/>
      <w:sz w:val="28"/>
      <w:szCs w:val="28"/>
    </w:rPr>
  </w:style>
  <w:style w:type="paragraph" w:styleId="15">
    <w:name w:val="List Paragraph"/>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9065</Words>
  <Characters>11920</Characters>
  <Lines>0</Lines>
  <Paragraphs>0</Paragraphs>
  <TotalTime>1</TotalTime>
  <ScaleCrop>false</ScaleCrop>
  <LinksUpToDate>false</LinksUpToDate>
  <CharactersWithSpaces>12030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2026-08-19T11:19:00Z</dcterms:created>
  <dc:creator>省招</dc:creator>
  <cp:lastModifiedBy>省招</cp:lastModifiedBy>
  <dcterms:modified xsi:type="dcterms:W3CDTF">2026-08-19T11:22:13Z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94AB349E93E14F8B910A9DF7B4DAF291_11</vt:lpwstr>
  </property>
  <property fmtid="{D5CDD505-2E9C-101B-9397-08002B2CF9AE}" pid="4" name="KSOTemplateDocerSaveRecord">
    <vt:lpwstr>eyJoZGlkIjoiNjQ4Y2ExNzI3NTAxYWY2Njk0NmNhOWFlOWQ3ZmYzYTQiLCJ1c2VySWQiOiI4ODgyMDUxMzUifQ==</vt:lpwstr>
  </property>
</Properties>
</file>