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E17B">
      <w:pPr>
        <w:pStyle w:val="2"/>
        <w:widowControl/>
        <w:numPr>
          <w:ilvl w:val="0"/>
          <w:numId w:val="1"/>
        </w:numPr>
        <w:snapToGrid w:val="0"/>
        <w:spacing w:before="0" w:after="0" w:line="360" w:lineRule="auto"/>
        <w:jc w:val="center"/>
        <w:rPr>
          <w:rFonts w:hint="eastAsia" w:ascii="宋体" w:hAnsi="宋体" w:eastAsia="仿宋"/>
          <w:color w:val="auto"/>
          <w:highlight w:val="none"/>
        </w:rPr>
      </w:pPr>
      <w:r>
        <w:rPr>
          <w:rFonts w:hint="eastAsia" w:ascii="宋体" w:hAnsi="宋体" w:eastAsia="仿宋"/>
          <w:color w:val="auto"/>
          <w:highlight w:val="none"/>
        </w:rPr>
        <w:t>采购需求</w:t>
      </w:r>
    </w:p>
    <w:p w14:paraId="1E135216">
      <w:pPr>
        <w:spacing w:line="360" w:lineRule="auto"/>
        <w:ind w:firstLine="437"/>
        <w:outlineLvl w:val="1"/>
        <w:rPr>
          <w:rFonts w:ascii="宋体" w:hAnsi="宋体"/>
          <w:b/>
          <w:color w:val="auto"/>
          <w:sz w:val="24"/>
          <w:szCs w:val="18"/>
          <w:highlight w:val="none"/>
        </w:rPr>
      </w:pPr>
      <w:bookmarkStart w:id="0" w:name="_Toc32151"/>
      <w:bookmarkStart w:id="1" w:name="_Toc2554"/>
      <w:r>
        <w:rPr>
          <w:rFonts w:hint="eastAsia" w:ascii="宋体" w:hAnsi="宋体"/>
          <w:b/>
          <w:color w:val="auto"/>
          <w:sz w:val="24"/>
          <w:szCs w:val="18"/>
          <w:highlight w:val="none"/>
        </w:rPr>
        <w:t>一、采购需求前附表</w:t>
      </w:r>
      <w:bookmarkEnd w:id="0"/>
      <w:bookmarkEnd w:id="1"/>
    </w:p>
    <w:tbl>
      <w:tblPr>
        <w:tblStyle w:val="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37"/>
        <w:gridCol w:w="6248"/>
      </w:tblGrid>
      <w:tr w14:paraId="5B37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6" w:type="pct"/>
            <w:noWrap w:val="0"/>
            <w:vAlign w:val="center"/>
          </w:tcPr>
          <w:p w14:paraId="3B59EBBF">
            <w:pPr>
              <w:pStyle w:val="7"/>
              <w:rPr>
                <w:rFonts w:hint="eastAsia" w:cs="宋体"/>
                <w:color w:val="auto"/>
                <w:sz w:val="21"/>
                <w:szCs w:val="21"/>
                <w:highlight w:val="none"/>
              </w:rPr>
            </w:pPr>
            <w:r>
              <w:rPr>
                <w:rFonts w:hint="eastAsia" w:cs="宋体"/>
                <w:color w:val="auto"/>
                <w:sz w:val="21"/>
                <w:szCs w:val="21"/>
                <w:highlight w:val="none"/>
              </w:rPr>
              <w:t>序号</w:t>
            </w:r>
          </w:p>
        </w:tc>
        <w:tc>
          <w:tcPr>
            <w:tcW w:w="933" w:type="pct"/>
            <w:noWrap w:val="0"/>
            <w:vAlign w:val="center"/>
          </w:tcPr>
          <w:p w14:paraId="24F99A9D">
            <w:pPr>
              <w:pStyle w:val="8"/>
              <w:rPr>
                <w:rFonts w:hint="eastAsia" w:cs="宋体"/>
                <w:color w:val="auto"/>
                <w:sz w:val="21"/>
                <w:szCs w:val="21"/>
                <w:highlight w:val="none"/>
              </w:rPr>
            </w:pPr>
            <w:r>
              <w:rPr>
                <w:rFonts w:hint="eastAsia" w:cs="宋体"/>
                <w:color w:val="auto"/>
                <w:sz w:val="21"/>
                <w:szCs w:val="21"/>
                <w:highlight w:val="none"/>
              </w:rPr>
              <w:t>条款名称</w:t>
            </w:r>
          </w:p>
        </w:tc>
        <w:tc>
          <w:tcPr>
            <w:tcW w:w="3560" w:type="pct"/>
            <w:noWrap w:val="0"/>
            <w:vAlign w:val="center"/>
          </w:tcPr>
          <w:p w14:paraId="4EF1D200">
            <w:pPr>
              <w:pStyle w:val="8"/>
              <w:rPr>
                <w:rFonts w:hint="eastAsia" w:cs="宋体"/>
                <w:color w:val="auto"/>
                <w:sz w:val="21"/>
                <w:szCs w:val="21"/>
                <w:highlight w:val="none"/>
              </w:rPr>
            </w:pPr>
            <w:r>
              <w:rPr>
                <w:rFonts w:hint="eastAsia" w:cs="宋体"/>
                <w:color w:val="auto"/>
                <w:sz w:val="21"/>
                <w:szCs w:val="21"/>
                <w:highlight w:val="none"/>
              </w:rPr>
              <w:t>内容、说明与要求</w:t>
            </w:r>
          </w:p>
        </w:tc>
      </w:tr>
      <w:tr w14:paraId="130D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06" w:type="pct"/>
            <w:noWrap w:val="0"/>
            <w:vAlign w:val="center"/>
          </w:tcPr>
          <w:p w14:paraId="02676BAE">
            <w:pPr>
              <w:pStyle w:val="7"/>
              <w:rPr>
                <w:rFonts w:hint="eastAsia" w:cs="宋体"/>
                <w:color w:val="auto"/>
                <w:sz w:val="21"/>
                <w:szCs w:val="21"/>
                <w:highlight w:val="none"/>
              </w:rPr>
            </w:pPr>
            <w:r>
              <w:rPr>
                <w:rFonts w:hint="eastAsia" w:cs="宋体"/>
                <w:color w:val="auto"/>
                <w:sz w:val="21"/>
                <w:szCs w:val="21"/>
                <w:highlight w:val="none"/>
              </w:rPr>
              <w:t>1</w:t>
            </w:r>
          </w:p>
        </w:tc>
        <w:tc>
          <w:tcPr>
            <w:tcW w:w="933" w:type="pct"/>
            <w:noWrap w:val="0"/>
            <w:vAlign w:val="center"/>
          </w:tcPr>
          <w:p w14:paraId="7BFF8F24">
            <w:pPr>
              <w:pStyle w:val="8"/>
              <w:rPr>
                <w:rFonts w:hint="eastAsia" w:cs="宋体"/>
                <w:color w:val="auto"/>
                <w:sz w:val="21"/>
                <w:szCs w:val="21"/>
                <w:highlight w:val="none"/>
              </w:rPr>
            </w:pPr>
            <w:r>
              <w:rPr>
                <w:rFonts w:hint="eastAsia" w:cs="宋体"/>
                <w:color w:val="auto"/>
                <w:sz w:val="21"/>
                <w:szCs w:val="21"/>
                <w:highlight w:val="none"/>
              </w:rPr>
              <w:t>付款方式</w:t>
            </w:r>
          </w:p>
        </w:tc>
        <w:tc>
          <w:tcPr>
            <w:tcW w:w="3560" w:type="pct"/>
            <w:noWrap w:val="0"/>
            <w:vAlign w:val="center"/>
          </w:tcPr>
          <w:p w14:paraId="28B4F0DF">
            <w:pPr>
              <w:pStyle w:val="7"/>
              <w:jc w:val="both"/>
              <w:rPr>
                <w:rFonts w:hint="eastAsia" w:cs="宋体"/>
                <w:color w:val="auto"/>
                <w:sz w:val="21"/>
                <w:szCs w:val="21"/>
                <w:highlight w:val="none"/>
              </w:rPr>
            </w:pPr>
            <w:r>
              <w:rPr>
                <w:rFonts w:hint="eastAsia" w:cs="宋体"/>
                <w:color w:val="auto"/>
                <w:sz w:val="21"/>
                <w:szCs w:val="21"/>
                <w:highlight w:val="none"/>
              </w:rPr>
              <w:t>采购人在产品货到安装调试初验合格后，且供应商向采购人提供全额正规发票后，付合同总价款的100%；免费质保期以产品试运行30个日历天后，采购人、供应商双方签订书面验收合格书之日起计算。</w:t>
            </w:r>
          </w:p>
        </w:tc>
      </w:tr>
      <w:tr w14:paraId="4F8E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41A1A054">
            <w:pPr>
              <w:pStyle w:val="7"/>
              <w:rPr>
                <w:rFonts w:hint="eastAsia" w:cs="宋体"/>
                <w:color w:val="auto"/>
                <w:sz w:val="21"/>
                <w:szCs w:val="21"/>
                <w:highlight w:val="none"/>
              </w:rPr>
            </w:pPr>
            <w:r>
              <w:rPr>
                <w:rFonts w:hint="eastAsia" w:cs="宋体"/>
                <w:color w:val="auto"/>
                <w:sz w:val="21"/>
                <w:szCs w:val="21"/>
                <w:highlight w:val="none"/>
              </w:rPr>
              <w:t>2</w:t>
            </w:r>
          </w:p>
        </w:tc>
        <w:tc>
          <w:tcPr>
            <w:tcW w:w="933" w:type="pct"/>
            <w:noWrap w:val="0"/>
            <w:vAlign w:val="center"/>
          </w:tcPr>
          <w:p w14:paraId="1C0B3FA4">
            <w:pPr>
              <w:pStyle w:val="8"/>
              <w:rPr>
                <w:rFonts w:hint="eastAsia" w:cs="宋体"/>
                <w:color w:val="auto"/>
                <w:sz w:val="21"/>
                <w:szCs w:val="21"/>
                <w:highlight w:val="none"/>
              </w:rPr>
            </w:pPr>
            <w:r>
              <w:rPr>
                <w:rFonts w:hint="eastAsia" w:cs="宋体"/>
                <w:color w:val="auto"/>
                <w:sz w:val="21"/>
                <w:szCs w:val="21"/>
                <w:highlight w:val="none"/>
              </w:rPr>
              <w:t>交货地点</w:t>
            </w:r>
          </w:p>
        </w:tc>
        <w:tc>
          <w:tcPr>
            <w:tcW w:w="3560" w:type="pct"/>
            <w:noWrap w:val="0"/>
            <w:vAlign w:val="center"/>
          </w:tcPr>
          <w:p w14:paraId="735456B4">
            <w:pPr>
              <w:pStyle w:val="7"/>
              <w:rPr>
                <w:rFonts w:hint="eastAsia" w:cs="宋体"/>
                <w:color w:val="auto"/>
                <w:sz w:val="21"/>
                <w:szCs w:val="21"/>
                <w:highlight w:val="none"/>
              </w:rPr>
            </w:pPr>
            <w:r>
              <w:rPr>
                <w:rFonts w:hint="eastAsia" w:cs="宋体"/>
                <w:color w:val="auto"/>
                <w:sz w:val="21"/>
                <w:szCs w:val="21"/>
                <w:highlight w:val="none"/>
              </w:rPr>
              <w:t>安徽省公共卫生临床中心（安徽省传染病医院）</w:t>
            </w:r>
          </w:p>
        </w:tc>
      </w:tr>
      <w:tr w14:paraId="1741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6" w:type="pct"/>
            <w:noWrap w:val="0"/>
            <w:vAlign w:val="center"/>
          </w:tcPr>
          <w:p w14:paraId="60A487A1">
            <w:pPr>
              <w:pStyle w:val="7"/>
              <w:rPr>
                <w:rFonts w:hint="eastAsia" w:cs="宋体"/>
                <w:color w:val="auto"/>
                <w:sz w:val="21"/>
                <w:szCs w:val="21"/>
                <w:highlight w:val="none"/>
              </w:rPr>
            </w:pPr>
            <w:r>
              <w:rPr>
                <w:rFonts w:hint="eastAsia" w:cs="宋体"/>
                <w:color w:val="auto"/>
                <w:sz w:val="21"/>
                <w:szCs w:val="21"/>
                <w:highlight w:val="none"/>
              </w:rPr>
              <w:t>3</w:t>
            </w:r>
          </w:p>
        </w:tc>
        <w:tc>
          <w:tcPr>
            <w:tcW w:w="933" w:type="pct"/>
            <w:noWrap w:val="0"/>
            <w:vAlign w:val="center"/>
          </w:tcPr>
          <w:p w14:paraId="34383356">
            <w:pPr>
              <w:pStyle w:val="8"/>
              <w:rPr>
                <w:rFonts w:hint="eastAsia" w:cs="宋体"/>
                <w:color w:val="auto"/>
                <w:sz w:val="21"/>
                <w:szCs w:val="21"/>
                <w:highlight w:val="none"/>
              </w:rPr>
            </w:pPr>
            <w:r>
              <w:rPr>
                <w:rFonts w:hint="eastAsia" w:cs="宋体"/>
                <w:color w:val="auto"/>
                <w:sz w:val="21"/>
                <w:szCs w:val="21"/>
                <w:highlight w:val="none"/>
              </w:rPr>
              <w:t>交货期</w:t>
            </w:r>
          </w:p>
        </w:tc>
        <w:tc>
          <w:tcPr>
            <w:tcW w:w="3560" w:type="pct"/>
            <w:noWrap w:val="0"/>
            <w:vAlign w:val="center"/>
          </w:tcPr>
          <w:p w14:paraId="78950708">
            <w:pPr>
              <w:pStyle w:val="7"/>
              <w:jc w:val="both"/>
              <w:rPr>
                <w:rFonts w:hint="eastAsia" w:cs="宋体"/>
                <w:color w:val="auto"/>
                <w:sz w:val="21"/>
                <w:szCs w:val="21"/>
                <w:highlight w:val="none"/>
              </w:rPr>
            </w:pPr>
            <w:r>
              <w:rPr>
                <w:rFonts w:hint="eastAsia" w:cs="宋体"/>
                <w:color w:val="auto"/>
                <w:sz w:val="21"/>
                <w:szCs w:val="21"/>
                <w:highlight w:val="none"/>
              </w:rPr>
              <w:t>合同签订后，自接到采购人通知（通知方式为书面、电子邮件、传真、短信、微信、QQ、电话等方式之中的一种）之日起，供应商在15个日历日内将产品送到采购人指定地点，并安装完毕。若交货地点或收货人或交货期变更，采购人须于原交货期截止日前3个工作日通知供应商</w:t>
            </w:r>
          </w:p>
        </w:tc>
      </w:tr>
      <w:tr w14:paraId="2DFB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4BEA8137">
            <w:pPr>
              <w:pStyle w:val="7"/>
              <w:rPr>
                <w:rFonts w:hint="eastAsia" w:cs="宋体"/>
                <w:color w:val="auto"/>
                <w:sz w:val="21"/>
                <w:szCs w:val="21"/>
                <w:highlight w:val="none"/>
              </w:rPr>
            </w:pPr>
            <w:r>
              <w:rPr>
                <w:rFonts w:hint="eastAsia" w:cs="宋体"/>
                <w:color w:val="auto"/>
                <w:sz w:val="21"/>
                <w:szCs w:val="21"/>
                <w:highlight w:val="none"/>
              </w:rPr>
              <w:t>4</w:t>
            </w:r>
          </w:p>
        </w:tc>
        <w:tc>
          <w:tcPr>
            <w:tcW w:w="933" w:type="pct"/>
            <w:noWrap w:val="0"/>
            <w:vAlign w:val="center"/>
          </w:tcPr>
          <w:p w14:paraId="17585FFD">
            <w:pPr>
              <w:pStyle w:val="8"/>
              <w:rPr>
                <w:rFonts w:hint="eastAsia" w:cs="宋体"/>
                <w:color w:val="auto"/>
                <w:sz w:val="21"/>
                <w:szCs w:val="21"/>
                <w:highlight w:val="none"/>
              </w:rPr>
            </w:pPr>
            <w:r>
              <w:rPr>
                <w:rFonts w:hint="eastAsia" w:cs="宋体"/>
                <w:color w:val="auto"/>
                <w:sz w:val="21"/>
                <w:szCs w:val="21"/>
                <w:highlight w:val="none"/>
              </w:rPr>
              <w:t>免费质保期</w:t>
            </w:r>
          </w:p>
        </w:tc>
        <w:tc>
          <w:tcPr>
            <w:tcW w:w="3560" w:type="pct"/>
            <w:noWrap w:val="0"/>
            <w:vAlign w:val="center"/>
          </w:tcPr>
          <w:p w14:paraId="2D0B84D5">
            <w:pPr>
              <w:pStyle w:val="7"/>
              <w:rPr>
                <w:rFonts w:hint="eastAsia" w:cs="宋体"/>
                <w:color w:val="auto"/>
                <w:sz w:val="21"/>
                <w:szCs w:val="21"/>
                <w:highlight w:val="none"/>
              </w:rPr>
            </w:pPr>
            <w:r>
              <w:rPr>
                <w:rFonts w:hint="eastAsia" w:cs="宋体"/>
                <w:color w:val="auto"/>
                <w:sz w:val="21"/>
                <w:szCs w:val="21"/>
                <w:highlight w:val="none"/>
              </w:rPr>
              <w:t>验收合格之日起整体质保3年</w:t>
            </w:r>
          </w:p>
        </w:tc>
      </w:tr>
      <w:tr w14:paraId="2836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0CD4386A">
            <w:pPr>
              <w:pStyle w:val="7"/>
              <w:rPr>
                <w:rFonts w:hint="eastAsia" w:cs="宋体"/>
                <w:color w:val="auto"/>
                <w:sz w:val="21"/>
                <w:szCs w:val="21"/>
                <w:highlight w:val="none"/>
              </w:rPr>
            </w:pPr>
            <w:r>
              <w:rPr>
                <w:rFonts w:hint="eastAsia" w:cs="宋体"/>
                <w:color w:val="auto"/>
                <w:sz w:val="21"/>
                <w:szCs w:val="21"/>
                <w:highlight w:val="none"/>
              </w:rPr>
              <w:t>5</w:t>
            </w:r>
          </w:p>
        </w:tc>
        <w:tc>
          <w:tcPr>
            <w:tcW w:w="933" w:type="pct"/>
            <w:noWrap w:val="0"/>
            <w:vAlign w:val="center"/>
          </w:tcPr>
          <w:p w14:paraId="0C9E3233">
            <w:pPr>
              <w:pStyle w:val="8"/>
              <w:rPr>
                <w:rFonts w:hint="eastAsia" w:cs="宋体"/>
                <w:color w:val="auto"/>
                <w:sz w:val="21"/>
                <w:szCs w:val="21"/>
                <w:highlight w:val="none"/>
              </w:rPr>
            </w:pPr>
            <w:r>
              <w:rPr>
                <w:rFonts w:hint="eastAsia" w:cs="宋体"/>
                <w:color w:val="auto"/>
                <w:sz w:val="21"/>
                <w:szCs w:val="21"/>
                <w:highlight w:val="none"/>
              </w:rPr>
              <w:t>所属行业</w:t>
            </w:r>
          </w:p>
        </w:tc>
        <w:tc>
          <w:tcPr>
            <w:tcW w:w="3560" w:type="pct"/>
            <w:noWrap w:val="0"/>
            <w:vAlign w:val="center"/>
          </w:tcPr>
          <w:p w14:paraId="3EC0BA32">
            <w:pPr>
              <w:pStyle w:val="7"/>
              <w:rPr>
                <w:rFonts w:cs="宋体"/>
                <w:color w:val="auto"/>
                <w:sz w:val="21"/>
                <w:szCs w:val="21"/>
                <w:highlight w:val="none"/>
              </w:rPr>
            </w:pPr>
            <w:r>
              <w:rPr>
                <w:rFonts w:hint="eastAsia" w:cs="宋体"/>
                <w:color w:val="auto"/>
                <w:sz w:val="21"/>
                <w:szCs w:val="21"/>
                <w:highlight w:val="none"/>
              </w:rPr>
              <w:t>软件和信息技术服务业</w:t>
            </w:r>
          </w:p>
        </w:tc>
      </w:tr>
      <w:tr w14:paraId="1184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569D292A">
            <w:pPr>
              <w:pStyle w:val="7"/>
              <w:rPr>
                <w:rFonts w:hint="eastAsia" w:cs="宋体"/>
                <w:color w:val="auto"/>
                <w:sz w:val="21"/>
                <w:szCs w:val="21"/>
                <w:highlight w:val="none"/>
              </w:rPr>
            </w:pPr>
            <w:r>
              <w:rPr>
                <w:rFonts w:hint="eastAsia" w:cs="宋体"/>
                <w:b/>
                <w:bCs w:val="0"/>
                <w:color w:val="auto"/>
                <w:sz w:val="21"/>
                <w:szCs w:val="21"/>
                <w:highlight w:val="none"/>
              </w:rPr>
              <w:t>备注</w:t>
            </w:r>
          </w:p>
        </w:tc>
        <w:tc>
          <w:tcPr>
            <w:tcW w:w="4493" w:type="pct"/>
            <w:gridSpan w:val="2"/>
            <w:noWrap w:val="0"/>
            <w:vAlign w:val="center"/>
          </w:tcPr>
          <w:p w14:paraId="5ACA5DA8">
            <w:pPr>
              <w:pStyle w:val="7"/>
              <w:rPr>
                <w:rFonts w:hint="eastAsia" w:cs="宋体"/>
                <w:color w:val="auto"/>
                <w:sz w:val="21"/>
                <w:szCs w:val="21"/>
                <w:highlight w:val="none"/>
              </w:rPr>
            </w:pPr>
            <w:r>
              <w:rPr>
                <w:rFonts w:hint="eastAsia" w:cs="宋体"/>
                <w:color w:val="auto"/>
                <w:sz w:val="21"/>
                <w:szCs w:val="21"/>
                <w:highlight w:val="none"/>
              </w:rPr>
              <w:t>以上内容不允许负偏离，须实质性响应。</w:t>
            </w:r>
          </w:p>
        </w:tc>
      </w:tr>
    </w:tbl>
    <w:p w14:paraId="0CBB7276">
      <w:pPr>
        <w:rPr>
          <w:rFonts w:ascii="宋体" w:hAnsi="宋体"/>
          <w:b/>
          <w:bCs/>
          <w:color w:val="auto"/>
          <w:sz w:val="30"/>
          <w:szCs w:val="30"/>
          <w:highlight w:val="none"/>
        </w:rPr>
      </w:pPr>
    </w:p>
    <w:p w14:paraId="04600DA4">
      <w:pPr>
        <w:pStyle w:val="3"/>
        <w:adjustRightInd w:val="0"/>
        <w:snapToGrid w:val="0"/>
        <w:spacing w:before="0" w:after="0" w:line="240" w:lineRule="auto"/>
        <w:jc w:val="center"/>
        <w:rPr>
          <w:rFonts w:hint="eastAsia" w:ascii="宋体" w:hAnsi="宋体"/>
          <w:bCs w:val="0"/>
          <w:color w:val="auto"/>
          <w:sz w:val="24"/>
          <w:szCs w:val="18"/>
          <w:highlight w:val="none"/>
        </w:rPr>
      </w:pPr>
    </w:p>
    <w:p w14:paraId="415F3D64">
      <w:pPr>
        <w:pStyle w:val="9"/>
        <w:spacing w:line="360" w:lineRule="auto"/>
        <w:ind w:firstLine="0" w:firstLineChars="0"/>
        <w:rPr>
          <w:rFonts w:ascii="宋体" w:hAnsi="宋体" w:cs="Arial"/>
          <w:color w:val="auto"/>
          <w:sz w:val="24"/>
          <w:highlight w:val="none"/>
        </w:rPr>
      </w:pPr>
      <w:r>
        <w:rPr>
          <w:rFonts w:hint="eastAsia" w:ascii="宋体" w:hAnsi="宋体"/>
          <w:b/>
          <w:color w:val="auto"/>
          <w:sz w:val="24"/>
          <w:szCs w:val="18"/>
          <w:highlight w:val="none"/>
        </w:rPr>
        <w:t>二、具体技术参数及要求</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929"/>
        <w:gridCol w:w="2177"/>
      </w:tblGrid>
      <w:tr w14:paraId="6F91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2" w:type="dxa"/>
            <w:noWrap w:val="0"/>
            <w:vAlign w:val="center"/>
          </w:tcPr>
          <w:p w14:paraId="518677B3">
            <w:pPr>
              <w:pStyle w:val="8"/>
              <w:rPr>
                <w:rFonts w:hint="eastAsia" w:cs="宋体"/>
                <w:color w:val="auto"/>
                <w:sz w:val="21"/>
                <w:szCs w:val="21"/>
                <w:highlight w:val="none"/>
              </w:rPr>
            </w:pPr>
            <w:r>
              <w:rPr>
                <w:rFonts w:hint="eastAsia" w:cs="宋体"/>
                <w:color w:val="auto"/>
                <w:sz w:val="21"/>
                <w:szCs w:val="21"/>
                <w:highlight w:val="none"/>
              </w:rPr>
              <w:t>包号</w:t>
            </w:r>
          </w:p>
        </w:tc>
        <w:tc>
          <w:tcPr>
            <w:tcW w:w="4929" w:type="dxa"/>
            <w:noWrap w:val="0"/>
            <w:vAlign w:val="center"/>
          </w:tcPr>
          <w:p w14:paraId="1532D3E5">
            <w:pPr>
              <w:pStyle w:val="8"/>
              <w:rPr>
                <w:rFonts w:hint="eastAsia" w:cs="宋体"/>
                <w:color w:val="auto"/>
                <w:sz w:val="21"/>
                <w:szCs w:val="21"/>
                <w:highlight w:val="none"/>
              </w:rPr>
            </w:pPr>
            <w:r>
              <w:rPr>
                <w:rFonts w:hint="eastAsia" w:cs="宋体"/>
                <w:color w:val="auto"/>
                <w:sz w:val="21"/>
                <w:szCs w:val="21"/>
                <w:highlight w:val="none"/>
              </w:rPr>
              <w:t>产品名称</w:t>
            </w:r>
          </w:p>
        </w:tc>
        <w:tc>
          <w:tcPr>
            <w:tcW w:w="2177" w:type="dxa"/>
            <w:noWrap w:val="0"/>
            <w:vAlign w:val="center"/>
          </w:tcPr>
          <w:p w14:paraId="42461CD7">
            <w:pPr>
              <w:pStyle w:val="8"/>
              <w:rPr>
                <w:rFonts w:hint="eastAsia" w:cs="宋体"/>
                <w:color w:val="auto"/>
                <w:sz w:val="21"/>
                <w:szCs w:val="21"/>
                <w:highlight w:val="none"/>
              </w:rPr>
            </w:pPr>
            <w:r>
              <w:rPr>
                <w:rFonts w:hint="eastAsia" w:cs="宋体"/>
                <w:color w:val="auto"/>
                <w:sz w:val="21"/>
                <w:szCs w:val="21"/>
                <w:highlight w:val="none"/>
              </w:rPr>
              <w:t>数量(套)</w:t>
            </w:r>
          </w:p>
        </w:tc>
      </w:tr>
      <w:tr w14:paraId="15B7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2" w:type="dxa"/>
            <w:noWrap w:val="0"/>
            <w:vAlign w:val="center"/>
          </w:tcPr>
          <w:p w14:paraId="3B3FED81">
            <w:pPr>
              <w:pStyle w:val="8"/>
              <w:rPr>
                <w:rFonts w:hint="eastAsia" w:cs="宋体"/>
                <w:color w:val="auto"/>
                <w:sz w:val="21"/>
                <w:szCs w:val="21"/>
                <w:highlight w:val="none"/>
              </w:rPr>
            </w:pPr>
            <w:r>
              <w:rPr>
                <w:rFonts w:hint="eastAsia" w:cs="宋体"/>
                <w:color w:val="auto"/>
                <w:sz w:val="21"/>
                <w:szCs w:val="21"/>
                <w:highlight w:val="none"/>
              </w:rPr>
              <w:t>01包</w:t>
            </w:r>
          </w:p>
        </w:tc>
        <w:tc>
          <w:tcPr>
            <w:tcW w:w="4929" w:type="dxa"/>
            <w:noWrap w:val="0"/>
            <w:vAlign w:val="center"/>
          </w:tcPr>
          <w:p w14:paraId="755ECC99">
            <w:pPr>
              <w:pStyle w:val="8"/>
              <w:rPr>
                <w:rFonts w:hint="eastAsia" w:cs="宋体"/>
                <w:color w:val="auto"/>
                <w:sz w:val="21"/>
                <w:szCs w:val="21"/>
                <w:highlight w:val="none"/>
              </w:rPr>
            </w:pPr>
            <w:r>
              <w:rPr>
                <w:rFonts w:hint="eastAsia" w:cs="宋体"/>
                <w:color w:val="auto"/>
                <w:sz w:val="21"/>
                <w:szCs w:val="21"/>
                <w:highlight w:val="none"/>
              </w:rPr>
              <w:t>▲数字慢病管理系统</w:t>
            </w:r>
          </w:p>
        </w:tc>
        <w:tc>
          <w:tcPr>
            <w:tcW w:w="2177" w:type="dxa"/>
            <w:noWrap w:val="0"/>
            <w:vAlign w:val="center"/>
          </w:tcPr>
          <w:p w14:paraId="02DE8949">
            <w:pPr>
              <w:pStyle w:val="8"/>
              <w:rPr>
                <w:rFonts w:hint="eastAsia" w:cs="宋体"/>
                <w:color w:val="auto"/>
                <w:sz w:val="21"/>
                <w:szCs w:val="21"/>
                <w:highlight w:val="none"/>
              </w:rPr>
            </w:pPr>
            <w:r>
              <w:rPr>
                <w:rFonts w:hint="eastAsia" w:cs="宋体"/>
                <w:color w:val="auto"/>
                <w:sz w:val="21"/>
                <w:szCs w:val="21"/>
                <w:highlight w:val="none"/>
              </w:rPr>
              <w:t>1</w:t>
            </w:r>
          </w:p>
        </w:tc>
      </w:tr>
    </w:tbl>
    <w:p w14:paraId="7E9F80A9">
      <w:pPr>
        <w:pStyle w:val="10"/>
        <w:spacing w:line="360" w:lineRule="auto"/>
        <w:ind w:left="720" w:hanging="720" w:hangingChars="300"/>
        <w:rPr>
          <w:rFonts w:hint="eastAsia"/>
          <w:color w:val="auto"/>
          <w:sz w:val="24"/>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8147"/>
      </w:tblGrid>
      <w:tr w14:paraId="17D0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86CD85C">
            <w:pPr>
              <w:spacing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48CB4C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技术参数及要求</w:t>
            </w:r>
          </w:p>
        </w:tc>
      </w:tr>
      <w:tr w14:paraId="46C9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D9770DF">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6C52C7F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医院PC端</w:t>
            </w:r>
          </w:p>
        </w:tc>
      </w:tr>
      <w:tr w14:paraId="6E63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40D0581">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FEBCDD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数据采集模块</w:t>
            </w:r>
          </w:p>
        </w:tc>
      </w:tr>
      <w:tr w14:paraId="565B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664107F">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2375B122">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支持相关数据信息录入和列表展现</w:t>
            </w:r>
          </w:p>
        </w:tc>
      </w:tr>
      <w:tr w14:paraId="4F0D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65BC0EEB">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A3B356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具备检查对象信息收集及管理模块：可录入检查对象用药史、患者病史、基本信息、生命体征、功能检查、实验室检查、转诊管理和访视信息等数据</w:t>
            </w:r>
          </w:p>
        </w:tc>
      </w:tr>
      <w:tr w14:paraId="2417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DAFBA8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1.2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6FD4870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专病数据库及科研模块</w:t>
            </w:r>
          </w:p>
        </w:tc>
      </w:tr>
      <w:tr w14:paraId="6111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AC15B1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1331B19B">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数据管理</w:t>
            </w:r>
          </w:p>
        </w:tc>
      </w:tr>
      <w:tr w14:paraId="25D7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7738B48">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1.2.1.1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1C4A12B9">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支持自定义问卷内容，≥1500多维度题型</w:t>
            </w:r>
          </w:p>
        </w:tc>
      </w:tr>
      <w:tr w14:paraId="3462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6700B98">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1.2.1.2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9BE3EE0">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问卷可后台拖拽式快速配置</w:t>
            </w:r>
          </w:p>
        </w:tc>
      </w:tr>
      <w:tr w14:paraId="797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B5E25EE">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1.2.1.3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268CDFC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支持按条件检索患者数据</w:t>
            </w:r>
          </w:p>
        </w:tc>
      </w:tr>
      <w:tr w14:paraId="2F28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17B4AF35">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9FD141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科研</w:t>
            </w:r>
          </w:p>
        </w:tc>
      </w:tr>
      <w:tr w14:paraId="3B90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F7DD0DE">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1.2.2.1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75D6CEC">
            <w:pPr>
              <w:adjustRightInd w:val="0"/>
              <w:snapToGrid w:val="0"/>
              <w:spacing w:before="60" w:beforeLines="25" w:after="60" w:afterLines="25"/>
              <w:jc w:val="left"/>
              <w:outlineLvl w:val="0"/>
              <w:rPr>
                <w:rFonts w:hint="eastAsia" w:ascii="宋体" w:hAnsi="宋体" w:cs="宋体"/>
                <w:bCs/>
                <w:color w:val="auto"/>
                <w:kern w:val="0"/>
                <w:szCs w:val="21"/>
                <w:highlight w:val="none"/>
                <w:lang w:val="en-GB"/>
              </w:rPr>
            </w:pPr>
            <w:r>
              <w:rPr>
                <w:rFonts w:hint="eastAsia" w:ascii="宋体" w:hAnsi="宋体" w:cs="宋体"/>
                <w:bCs/>
                <w:color w:val="auto"/>
                <w:kern w:val="0"/>
                <w:szCs w:val="21"/>
                <w:highlight w:val="none"/>
              </w:rPr>
              <w:t>免费对接医院HIS系统、EMR系统</w:t>
            </w:r>
          </w:p>
        </w:tc>
      </w:tr>
      <w:tr w14:paraId="5F3E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E5A443F">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1.2.2.2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6A2CB93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支持提供规范的数据整理</w:t>
            </w:r>
          </w:p>
        </w:tc>
      </w:tr>
      <w:tr w14:paraId="578F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19BC776D">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1.2.2.3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165085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支持系统数据一键导出excel文档</w:t>
            </w:r>
          </w:p>
        </w:tc>
      </w:tr>
      <w:tr w14:paraId="715A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AF130E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78F42E10">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医联体管理模块</w:t>
            </w:r>
          </w:p>
        </w:tc>
      </w:tr>
      <w:tr w14:paraId="61E3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6BB6BB92">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1.3.1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2957F466">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可支持上下级1+X医联体管理，包括基础信息，汇总信息，随访内容设置，项目参与单位等，具备数据管理、账号管理等功能</w:t>
            </w:r>
          </w:p>
        </w:tc>
      </w:tr>
      <w:tr w14:paraId="2F0F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414936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1.3.2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3E861C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支持主中心查阅与管理数据，患者总人数查询、异常患者人数查询</w:t>
            </w:r>
          </w:p>
        </w:tc>
      </w:tr>
      <w:tr w14:paraId="0F3F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5161FB9">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1.3.3</w:t>
            </w:r>
          </w:p>
        </w:tc>
        <w:tc>
          <w:tcPr>
            <w:tcW w:w="8147" w:type="dxa"/>
            <w:tcBorders>
              <w:top w:val="single" w:color="auto" w:sz="4" w:space="0"/>
              <w:left w:val="single" w:color="auto" w:sz="4" w:space="0"/>
              <w:bottom w:val="single" w:color="auto" w:sz="4" w:space="0"/>
              <w:right w:val="single" w:color="auto" w:sz="4" w:space="0"/>
            </w:tcBorders>
            <w:noWrap w:val="0"/>
            <w:vAlign w:val="bottom"/>
          </w:tcPr>
          <w:p w14:paraId="2A32921B">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转诊管理</w:t>
            </w:r>
          </w:p>
        </w:tc>
      </w:tr>
      <w:tr w14:paraId="640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F022B32">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1.3.3.1</w:t>
            </w:r>
          </w:p>
        </w:tc>
        <w:tc>
          <w:tcPr>
            <w:tcW w:w="8147" w:type="dxa"/>
            <w:tcBorders>
              <w:top w:val="single" w:color="auto" w:sz="4" w:space="0"/>
              <w:left w:val="single" w:color="auto" w:sz="4" w:space="0"/>
              <w:bottom w:val="single" w:color="auto" w:sz="4" w:space="0"/>
              <w:right w:val="single" w:color="auto" w:sz="4" w:space="0"/>
            </w:tcBorders>
            <w:noWrap w:val="0"/>
            <w:vAlign w:val="bottom"/>
          </w:tcPr>
          <w:p w14:paraId="7937B37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支持发起医联体转诊，支持一键转诊</w:t>
            </w:r>
          </w:p>
        </w:tc>
      </w:tr>
      <w:tr w14:paraId="1ECA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07E83929">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1.3.3.2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B77F3D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支持记录当前科室或项目下所有转诊的患者清单</w:t>
            </w:r>
          </w:p>
        </w:tc>
      </w:tr>
      <w:tr w14:paraId="5FE2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2F2B1E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1.3.3.3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7B2B3A0">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支持查看患者医联体转诊状态</w:t>
            </w:r>
          </w:p>
        </w:tc>
      </w:tr>
      <w:tr w14:paraId="6F51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42F0D5D">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1.3.4</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76EAC622">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支持医联体数据互通，远程指导</w:t>
            </w:r>
          </w:p>
        </w:tc>
      </w:tr>
      <w:tr w14:paraId="0C1E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BA8C83D">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2B451D7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患者管理模块</w:t>
            </w:r>
          </w:p>
        </w:tc>
      </w:tr>
      <w:tr w14:paraId="6A80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A5B971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614D55F">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管理工具</w:t>
            </w:r>
          </w:p>
        </w:tc>
      </w:tr>
      <w:tr w14:paraId="5E2A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461D961">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1.4.1.1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D4B51CB">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拥有≥10种随访方案自动配置</w:t>
            </w:r>
          </w:p>
        </w:tc>
      </w:tr>
      <w:tr w14:paraId="4119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1834F8B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1.4.1.2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7E4A37F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拥有≥4种途径快速召回患者，包括AI电话、短信、APP、公众号等</w:t>
            </w:r>
          </w:p>
        </w:tc>
      </w:tr>
      <w:tr w14:paraId="66D1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E7C4A43">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1.4.1.3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8A8C9E9">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支持运营团队助力患教内容</w:t>
            </w:r>
          </w:p>
        </w:tc>
      </w:tr>
      <w:tr w14:paraId="658F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1659985">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1.4.1.4</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01D1D4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支持网上社区，患者统一规范管理</w:t>
            </w:r>
          </w:p>
        </w:tc>
      </w:tr>
      <w:tr w14:paraId="559D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7F509B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3C4A64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电子病历</w:t>
            </w:r>
          </w:p>
        </w:tc>
      </w:tr>
      <w:tr w14:paraId="1439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BB6780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1.4.2.1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2400AD80">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列表式展示患者，支持快速查询患者信息</w:t>
            </w:r>
          </w:p>
        </w:tc>
      </w:tr>
      <w:tr w14:paraId="6CCD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C808DBC">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1.4.2.2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24242A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患者电子病历包含：基本信息、诊断信息、实验室检查信息、功能检查信息、随访信息、管理方案等</w:t>
            </w:r>
          </w:p>
        </w:tc>
      </w:tr>
      <w:tr w14:paraId="2872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2293E3C">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1C8BCE1B">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标签管理</w:t>
            </w:r>
          </w:p>
        </w:tc>
      </w:tr>
      <w:tr w14:paraId="36EA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B7C7BB5">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1.4.3.1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757C4D9D">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支持自定义标签新增、删除</w:t>
            </w:r>
          </w:p>
        </w:tc>
      </w:tr>
      <w:tr w14:paraId="4D1C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7A1E7F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1.4.3.2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73127903">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可根据患者个体化情况以标签形式进行管理</w:t>
            </w:r>
          </w:p>
        </w:tc>
      </w:tr>
      <w:tr w14:paraId="3949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7C6E3A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A09BCF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随访管理模块</w:t>
            </w:r>
          </w:p>
        </w:tc>
      </w:tr>
      <w:tr w14:paraId="3ED4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A889DB1">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AEA744B">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患者随访</w:t>
            </w:r>
          </w:p>
        </w:tc>
      </w:tr>
      <w:tr w14:paraId="6A5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0DF03A5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1.5.1.1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2E1461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支持患者搜索，包含全部患者、今日随访、我的关注患者、随访逾期、无随访计划患者</w:t>
            </w:r>
          </w:p>
        </w:tc>
      </w:tr>
      <w:tr w14:paraId="0738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375E759">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1.5.1.2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D3F1B1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支持记录患者随访信息，包含随访日期、下次随访日期</w:t>
            </w:r>
          </w:p>
        </w:tc>
      </w:tr>
      <w:tr w14:paraId="4844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67B3F5C">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1.5.1.3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92C280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支持随访管理方案分配功能</w:t>
            </w:r>
          </w:p>
        </w:tc>
      </w:tr>
      <w:tr w14:paraId="373D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6EE3A0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1.5.1.4</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9F08726">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支持应访/漏访患者列表展示</w:t>
            </w:r>
          </w:p>
        </w:tc>
      </w:tr>
      <w:tr w14:paraId="4A23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6903DB12">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1.5.1.5</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DA8112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支持AI电话随访，快速召回患者</w:t>
            </w:r>
          </w:p>
        </w:tc>
      </w:tr>
      <w:tr w14:paraId="65DE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4645171">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F68CCE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随访模板</w:t>
            </w:r>
          </w:p>
        </w:tc>
      </w:tr>
      <w:tr w14:paraId="74B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C226671">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1.5.2.1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D8DCB0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支持根据病患类型的个体化设定随访计划模板，模板可根据间隔时间匹配随访日期，支持编辑随访提醒内容</w:t>
            </w:r>
          </w:p>
        </w:tc>
      </w:tr>
      <w:tr w14:paraId="1C67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1327435B">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1.5.2.2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2E1644D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支持单个随访模板可批量使用至多个患者</w:t>
            </w:r>
          </w:p>
        </w:tc>
      </w:tr>
      <w:tr w14:paraId="5380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C90541E">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21B3CC5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随访提醒</w:t>
            </w:r>
          </w:p>
        </w:tc>
      </w:tr>
      <w:tr w14:paraId="0A3F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6C3FCE9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1.5.3.1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186EB679">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根据患者配置的随访方案，支持自动触发一条提醒信息</w:t>
            </w:r>
          </w:p>
        </w:tc>
      </w:tr>
      <w:tr w14:paraId="3BBC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CBC60DC">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1.5.3.2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187A49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支持手动触发患者提醒信息</w:t>
            </w:r>
          </w:p>
        </w:tc>
      </w:tr>
      <w:tr w14:paraId="679B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739888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1.5.4</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782D0196">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具备随访问卷模块：CAT、mMRC、COPD-SQ 等问卷配置</w:t>
            </w:r>
          </w:p>
        </w:tc>
      </w:tr>
      <w:tr w14:paraId="49BB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C55FAA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62B4209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科室管理模块</w:t>
            </w:r>
          </w:p>
        </w:tc>
      </w:tr>
      <w:tr w14:paraId="11EE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0C740CE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6DC79F10">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拥有科室管理面板，可实时掌握科室疾病管理情况</w:t>
            </w:r>
          </w:p>
        </w:tc>
      </w:tr>
      <w:tr w14:paraId="1DB9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17D7B85B">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C4BF4BD">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绩效管理</w:t>
            </w:r>
          </w:p>
        </w:tc>
      </w:tr>
      <w:tr w14:paraId="212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1726DB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1.6.2.1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1E127060">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支持可视化的管理报告</w:t>
            </w:r>
          </w:p>
        </w:tc>
      </w:tr>
      <w:tr w14:paraId="5EE6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6F8EEBA2">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1.6.2.2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5C38C2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自动记录医护人员工作量</w:t>
            </w:r>
          </w:p>
        </w:tc>
      </w:tr>
      <w:tr w14:paraId="766E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3BC9B4E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A6EE6B2">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多中心管理</w:t>
            </w:r>
          </w:p>
        </w:tc>
      </w:tr>
      <w:tr w14:paraId="7CFF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8C747E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1.6.3.1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429A91F">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多中心联动，可支持上下转诊管理</w:t>
            </w:r>
          </w:p>
        </w:tc>
      </w:tr>
      <w:tr w14:paraId="146C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9E44633">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1.6.3.2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5CDFA38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转诊数据上下互通</w:t>
            </w:r>
          </w:p>
        </w:tc>
      </w:tr>
      <w:tr w14:paraId="2270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851ADF8">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1.6.3.3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61D97318">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统一的标准问卷数据</w:t>
            </w:r>
          </w:p>
        </w:tc>
      </w:tr>
      <w:tr w14:paraId="0353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ABAE78B">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1.6.3.4</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BDEF88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记录患者随访全过程</w:t>
            </w:r>
          </w:p>
        </w:tc>
      </w:tr>
      <w:tr w14:paraId="54E2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0DC6E33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74902512">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患者沟通模块</w:t>
            </w:r>
          </w:p>
        </w:tc>
      </w:tr>
      <w:tr w14:paraId="79D8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FFEE21A">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41606CC2">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患者沟通方式</w:t>
            </w:r>
          </w:p>
        </w:tc>
      </w:tr>
      <w:tr w14:paraId="6631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CFA7A75">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1.7.1.1</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D23F0C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支持≥4种召回方式：AI电话、短信、APP、公众号等触达患者来院内随访</w:t>
            </w:r>
          </w:p>
        </w:tc>
      </w:tr>
      <w:tr w14:paraId="6DAC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D8D74BD">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1.7.1.2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08060923">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支持实时与院外患者进行沟通交流及未读消息提示</w:t>
            </w:r>
          </w:p>
        </w:tc>
      </w:tr>
      <w:tr w14:paraId="1C11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15BF6C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1.7.1.3</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31DF8543">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在线沟通支持文字、图片方式发送，在沟通同时可查询患者院内、外电子病历信息</w:t>
            </w:r>
          </w:p>
        </w:tc>
      </w:tr>
      <w:tr w14:paraId="3D2F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6F66A9BA">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1.7.1.4</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1A10C83A">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支持历史消息查询</w:t>
            </w:r>
          </w:p>
        </w:tc>
      </w:tr>
      <w:tr w14:paraId="7843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3456168">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1.7.2</w:t>
            </w:r>
          </w:p>
        </w:tc>
        <w:tc>
          <w:tcPr>
            <w:tcW w:w="8147" w:type="dxa"/>
            <w:tcBorders>
              <w:top w:val="single" w:color="auto" w:sz="4" w:space="0"/>
              <w:left w:val="single" w:color="auto" w:sz="4" w:space="0"/>
              <w:bottom w:val="single" w:color="auto" w:sz="4" w:space="0"/>
              <w:right w:val="single" w:color="auto" w:sz="4" w:space="0"/>
            </w:tcBorders>
            <w:noWrap w:val="0"/>
            <w:vAlign w:val="center"/>
          </w:tcPr>
          <w:p w14:paraId="1E7D7954">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支持患者通讯录</w:t>
            </w:r>
          </w:p>
        </w:tc>
      </w:tr>
      <w:tr w14:paraId="519F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2C6E872D">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8147" w:type="dxa"/>
            <w:noWrap w:val="0"/>
            <w:vAlign w:val="center"/>
          </w:tcPr>
          <w:p w14:paraId="6E48584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医护端</w:t>
            </w:r>
          </w:p>
        </w:tc>
      </w:tr>
      <w:tr w14:paraId="4E16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2F94A76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8147" w:type="dxa"/>
            <w:noWrap w:val="0"/>
            <w:vAlign w:val="center"/>
          </w:tcPr>
          <w:p w14:paraId="19D75496">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患者管理模块</w:t>
            </w:r>
          </w:p>
        </w:tc>
      </w:tr>
      <w:tr w14:paraId="3709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7D10DF89">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2.1.1</w:t>
            </w:r>
          </w:p>
        </w:tc>
        <w:tc>
          <w:tcPr>
            <w:tcW w:w="8147" w:type="dxa"/>
            <w:noWrap w:val="0"/>
            <w:vAlign w:val="center"/>
          </w:tcPr>
          <w:p w14:paraId="23C33A09">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支持患者分类显示、患者总数、新增患者数、已随访患者数、计划随访人数、 转归患者数</w:t>
            </w:r>
          </w:p>
        </w:tc>
      </w:tr>
      <w:tr w14:paraId="345E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B7AD049">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2.1.2</w:t>
            </w:r>
          </w:p>
        </w:tc>
        <w:tc>
          <w:tcPr>
            <w:tcW w:w="8147" w:type="dxa"/>
            <w:noWrap w:val="0"/>
            <w:vAlign w:val="center"/>
          </w:tcPr>
          <w:p w14:paraId="3BE877FA">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支持查看患者基本信息、院内就诊记录及家庭端数据</w:t>
            </w:r>
          </w:p>
        </w:tc>
      </w:tr>
      <w:tr w14:paraId="4674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3984D3A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2.1.3</w:t>
            </w:r>
          </w:p>
        </w:tc>
        <w:tc>
          <w:tcPr>
            <w:tcW w:w="8147" w:type="dxa"/>
            <w:noWrap w:val="0"/>
            <w:vAlign w:val="center"/>
          </w:tcPr>
          <w:p w14:paraId="70133BD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支持多种方式添加患者</w:t>
            </w:r>
          </w:p>
        </w:tc>
      </w:tr>
      <w:tr w14:paraId="4E3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534A67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8147" w:type="dxa"/>
            <w:noWrap w:val="0"/>
            <w:vAlign w:val="center"/>
          </w:tcPr>
          <w:p w14:paraId="066AF75D">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会话模块</w:t>
            </w:r>
          </w:p>
        </w:tc>
      </w:tr>
      <w:tr w14:paraId="56B1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258C509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2.2.1</w:t>
            </w:r>
          </w:p>
        </w:tc>
        <w:tc>
          <w:tcPr>
            <w:tcW w:w="8147" w:type="dxa"/>
            <w:noWrap w:val="0"/>
            <w:vAlign w:val="center"/>
          </w:tcPr>
          <w:p w14:paraId="5C5B078F">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会话详情</w:t>
            </w:r>
          </w:p>
        </w:tc>
      </w:tr>
      <w:tr w14:paraId="4ACC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5975DFB">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2.2.1.1</w:t>
            </w:r>
          </w:p>
        </w:tc>
        <w:tc>
          <w:tcPr>
            <w:tcW w:w="8147" w:type="dxa"/>
            <w:noWrap w:val="0"/>
            <w:vAlign w:val="center"/>
          </w:tcPr>
          <w:p w14:paraId="62917EA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支持查看沟通消息列表及沟通记录</w:t>
            </w:r>
          </w:p>
        </w:tc>
      </w:tr>
      <w:tr w14:paraId="431F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122849DB">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2.2.1.2</w:t>
            </w:r>
          </w:p>
        </w:tc>
        <w:tc>
          <w:tcPr>
            <w:tcW w:w="8147" w:type="dxa"/>
            <w:noWrap w:val="0"/>
            <w:vAlign w:val="center"/>
          </w:tcPr>
          <w:p w14:paraId="43D4E93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支持在线沟通支持语音、文字、图片形式消息发送</w:t>
            </w:r>
          </w:p>
        </w:tc>
      </w:tr>
      <w:tr w14:paraId="2E81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1C436C9F">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2.2.1.3</w:t>
            </w:r>
          </w:p>
        </w:tc>
        <w:tc>
          <w:tcPr>
            <w:tcW w:w="8147" w:type="dxa"/>
            <w:noWrap w:val="0"/>
            <w:vAlign w:val="center"/>
          </w:tcPr>
          <w:p w14:paraId="67497403">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支持按姓名搜索</w:t>
            </w:r>
          </w:p>
        </w:tc>
      </w:tr>
      <w:tr w14:paraId="6A6C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1449F6BD">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2.2.1.4</w:t>
            </w:r>
          </w:p>
        </w:tc>
        <w:tc>
          <w:tcPr>
            <w:tcW w:w="8147" w:type="dxa"/>
            <w:noWrap w:val="0"/>
            <w:vAlign w:val="center"/>
          </w:tcPr>
          <w:p w14:paraId="78E127D8">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支持与患者在线沟通</w:t>
            </w:r>
          </w:p>
        </w:tc>
      </w:tr>
      <w:tr w14:paraId="0D43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145CBD33">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2.2.2</w:t>
            </w:r>
          </w:p>
        </w:tc>
        <w:tc>
          <w:tcPr>
            <w:tcW w:w="8147" w:type="dxa"/>
            <w:noWrap w:val="0"/>
            <w:vAlign w:val="center"/>
          </w:tcPr>
          <w:p w14:paraId="49CCF94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患者档案</w:t>
            </w:r>
          </w:p>
        </w:tc>
      </w:tr>
      <w:tr w14:paraId="21EE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24461508">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2.2.2.1</w:t>
            </w:r>
          </w:p>
        </w:tc>
        <w:tc>
          <w:tcPr>
            <w:tcW w:w="8147" w:type="dxa"/>
            <w:noWrap w:val="0"/>
            <w:vAlign w:val="center"/>
          </w:tcPr>
          <w:p w14:paraId="481ACFB7">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支持院内外端数据展示查看：基本信息、实验室检查、辅助检查、体征数据以及随访方案等</w:t>
            </w:r>
          </w:p>
        </w:tc>
      </w:tr>
      <w:tr w14:paraId="703F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3CC1EF5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2.2.2.2</w:t>
            </w:r>
          </w:p>
        </w:tc>
        <w:tc>
          <w:tcPr>
            <w:tcW w:w="8147" w:type="dxa"/>
            <w:noWrap w:val="0"/>
            <w:vAlign w:val="center"/>
          </w:tcPr>
          <w:p w14:paraId="193C6268">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可以给患者添加个人标签，如哮喘、慢阻肺、慢咳等</w:t>
            </w:r>
          </w:p>
        </w:tc>
      </w:tr>
      <w:tr w14:paraId="6669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EA82C8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2.2.2.3</w:t>
            </w:r>
          </w:p>
        </w:tc>
        <w:tc>
          <w:tcPr>
            <w:tcW w:w="8147" w:type="dxa"/>
            <w:noWrap w:val="0"/>
            <w:vAlign w:val="center"/>
          </w:tcPr>
          <w:p w14:paraId="45F159C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支持家庭数据上传、展示、统计</w:t>
            </w:r>
          </w:p>
        </w:tc>
      </w:tr>
      <w:tr w14:paraId="4F46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5889192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2.2.2.4</w:t>
            </w:r>
          </w:p>
        </w:tc>
        <w:tc>
          <w:tcPr>
            <w:tcW w:w="8147" w:type="dxa"/>
            <w:noWrap w:val="0"/>
            <w:vAlign w:val="center"/>
          </w:tcPr>
          <w:p w14:paraId="4B2FB982">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支持一键联系患者</w:t>
            </w:r>
          </w:p>
        </w:tc>
      </w:tr>
      <w:tr w14:paraId="5089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7547CF1D">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2.2.3</w:t>
            </w:r>
          </w:p>
        </w:tc>
        <w:tc>
          <w:tcPr>
            <w:tcW w:w="8147" w:type="dxa"/>
            <w:noWrap w:val="0"/>
            <w:vAlign w:val="center"/>
          </w:tcPr>
          <w:p w14:paraId="51A3F33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工作室</w:t>
            </w:r>
          </w:p>
        </w:tc>
      </w:tr>
      <w:tr w14:paraId="650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62463A4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2.2.3.1</w:t>
            </w:r>
          </w:p>
        </w:tc>
        <w:tc>
          <w:tcPr>
            <w:tcW w:w="8147" w:type="dxa"/>
            <w:noWrap w:val="0"/>
            <w:vAlign w:val="center"/>
          </w:tcPr>
          <w:p w14:paraId="3475C34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支持科室或个人动态发布、科普动态发布等</w:t>
            </w:r>
          </w:p>
        </w:tc>
      </w:tr>
      <w:tr w14:paraId="0CC0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7E54A0A6">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2.2.3.2</w:t>
            </w:r>
          </w:p>
        </w:tc>
        <w:tc>
          <w:tcPr>
            <w:tcW w:w="8147" w:type="dxa"/>
            <w:noWrap w:val="0"/>
            <w:vAlign w:val="center"/>
          </w:tcPr>
          <w:p w14:paraId="102A687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支持互联网在线问诊</w:t>
            </w:r>
          </w:p>
        </w:tc>
      </w:tr>
      <w:tr w14:paraId="3C85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1CE4635F">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2.2.3.3</w:t>
            </w:r>
          </w:p>
        </w:tc>
        <w:tc>
          <w:tcPr>
            <w:tcW w:w="8147" w:type="dxa"/>
            <w:noWrap w:val="0"/>
            <w:vAlign w:val="center"/>
          </w:tcPr>
          <w:p w14:paraId="06B078C3">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支持个人主页查询，包含医生简介、擅长疾病简介、在线咨询、门诊排班情况</w:t>
            </w:r>
          </w:p>
        </w:tc>
      </w:tr>
      <w:tr w14:paraId="0292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9EE82C2">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8147" w:type="dxa"/>
            <w:noWrap w:val="0"/>
            <w:vAlign w:val="center"/>
          </w:tcPr>
          <w:p w14:paraId="6376195E">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患者端</w:t>
            </w:r>
          </w:p>
        </w:tc>
      </w:tr>
      <w:tr w14:paraId="1873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7BF583BA">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w:t>
            </w:r>
          </w:p>
        </w:tc>
        <w:tc>
          <w:tcPr>
            <w:tcW w:w="8147" w:type="dxa"/>
            <w:noWrap w:val="0"/>
            <w:vAlign w:val="center"/>
          </w:tcPr>
          <w:p w14:paraId="3EDE779D">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健康档案模块</w:t>
            </w:r>
          </w:p>
        </w:tc>
      </w:tr>
      <w:tr w14:paraId="519B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355F25F0">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3.1.1</w:t>
            </w:r>
          </w:p>
        </w:tc>
        <w:tc>
          <w:tcPr>
            <w:tcW w:w="8147" w:type="dxa"/>
            <w:noWrap w:val="0"/>
            <w:vAlign w:val="center"/>
          </w:tcPr>
          <w:p w14:paraId="7AE14C46">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支持院内实验室检查结果查询，支持异常数据标识显示</w:t>
            </w:r>
          </w:p>
        </w:tc>
      </w:tr>
      <w:tr w14:paraId="216D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B526CA2">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3.1.2</w:t>
            </w:r>
          </w:p>
        </w:tc>
        <w:tc>
          <w:tcPr>
            <w:tcW w:w="8147" w:type="dxa"/>
            <w:noWrap w:val="0"/>
            <w:vAlign w:val="center"/>
          </w:tcPr>
          <w:p w14:paraId="29FFF745">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支持就诊报告查询</w:t>
            </w:r>
          </w:p>
        </w:tc>
      </w:tr>
      <w:tr w14:paraId="202B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247912D4">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3.1.3</w:t>
            </w:r>
          </w:p>
        </w:tc>
        <w:tc>
          <w:tcPr>
            <w:tcW w:w="8147" w:type="dxa"/>
            <w:noWrap w:val="0"/>
            <w:vAlign w:val="center"/>
          </w:tcPr>
          <w:p w14:paraId="6CE49728">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支持宣教信息查询</w:t>
            </w:r>
          </w:p>
        </w:tc>
      </w:tr>
      <w:tr w14:paraId="40CD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39013663">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3.2</w:t>
            </w:r>
          </w:p>
        </w:tc>
        <w:tc>
          <w:tcPr>
            <w:tcW w:w="8147" w:type="dxa"/>
            <w:noWrap w:val="0"/>
            <w:vAlign w:val="center"/>
          </w:tcPr>
          <w:p w14:paraId="5D70416B">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测量模块</w:t>
            </w:r>
          </w:p>
        </w:tc>
      </w:tr>
      <w:tr w14:paraId="408E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EF1338E">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3.2.1</w:t>
            </w:r>
          </w:p>
        </w:tc>
        <w:tc>
          <w:tcPr>
            <w:tcW w:w="8147" w:type="dxa"/>
            <w:noWrap w:val="0"/>
            <w:vAlign w:val="center"/>
          </w:tcPr>
          <w:p w14:paraId="58AD8DA1">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支持身高体重、峰流速仪、雾化器、血压、血糖、血脂等数据回传</w:t>
            </w:r>
          </w:p>
        </w:tc>
      </w:tr>
      <w:tr w14:paraId="1093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50C8CD5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3.3</w:t>
            </w:r>
          </w:p>
        </w:tc>
        <w:tc>
          <w:tcPr>
            <w:tcW w:w="8147" w:type="dxa"/>
            <w:noWrap w:val="0"/>
            <w:vAlign w:val="center"/>
          </w:tcPr>
          <w:p w14:paraId="24DEE926">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消息模块</w:t>
            </w:r>
          </w:p>
        </w:tc>
      </w:tr>
      <w:tr w14:paraId="3D1F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67CB0FC">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3.3.1</w:t>
            </w:r>
          </w:p>
        </w:tc>
        <w:tc>
          <w:tcPr>
            <w:tcW w:w="8147" w:type="dxa"/>
            <w:noWrap w:val="0"/>
            <w:vAlign w:val="bottom"/>
          </w:tcPr>
          <w:p w14:paraId="0A0A867C">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支持查询沟通消息列表及沟通记录</w:t>
            </w:r>
          </w:p>
        </w:tc>
      </w:tr>
      <w:tr w14:paraId="46F7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39F1C232">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3.3.2</w:t>
            </w:r>
          </w:p>
        </w:tc>
        <w:tc>
          <w:tcPr>
            <w:tcW w:w="8147" w:type="dxa"/>
            <w:noWrap w:val="0"/>
            <w:vAlign w:val="bottom"/>
          </w:tcPr>
          <w:p w14:paraId="39A2B3F3">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在线沟通支持语音、文字、图片形式</w:t>
            </w:r>
          </w:p>
        </w:tc>
      </w:tr>
      <w:tr w14:paraId="516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33E548F5">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3.3.3</w:t>
            </w:r>
          </w:p>
        </w:tc>
        <w:tc>
          <w:tcPr>
            <w:tcW w:w="8147" w:type="dxa"/>
            <w:noWrap w:val="0"/>
            <w:vAlign w:val="center"/>
          </w:tcPr>
          <w:p w14:paraId="61A07A64">
            <w:pPr>
              <w:adjustRightInd w:val="0"/>
              <w:snapToGrid w:val="0"/>
              <w:spacing w:before="60" w:beforeLines="25" w:after="60" w:afterLines="25"/>
              <w:jc w:val="left"/>
              <w:outlineLvl w:val="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支持未读消息提示</w:t>
            </w:r>
          </w:p>
        </w:tc>
      </w:tr>
      <w:tr w14:paraId="4858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042BD71A">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4</w:t>
            </w:r>
          </w:p>
        </w:tc>
        <w:tc>
          <w:tcPr>
            <w:tcW w:w="8147" w:type="dxa"/>
            <w:noWrap w:val="0"/>
            <w:vAlign w:val="center"/>
          </w:tcPr>
          <w:p w14:paraId="6427225C">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标配</w:t>
            </w:r>
            <w:r>
              <w:rPr>
                <w:rFonts w:hint="eastAsia" w:ascii="宋体" w:hAnsi="宋体" w:cs="宋体"/>
                <w:color w:val="auto"/>
                <w:kern w:val="0"/>
                <w:szCs w:val="21"/>
                <w:highlight w:val="none"/>
                <w:lang w:bidi="ar"/>
              </w:rPr>
              <w:t>咳喘软件系统一套、呼出气一氧化氮分析仪（FeNO）一台、医用全自动身高体重秤一台、医用血压计一台、100寸数字大屏一台、工作站一套（显示屏≥21寸；内存≥8g；硬盘≥1T）</w:t>
            </w:r>
          </w:p>
        </w:tc>
      </w:tr>
      <w:tr w14:paraId="14D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noWrap w:val="0"/>
            <w:vAlign w:val="center"/>
          </w:tcPr>
          <w:p w14:paraId="5D61D7D7">
            <w:pPr>
              <w:adjustRightInd w:val="0"/>
              <w:snapToGrid w:val="0"/>
              <w:spacing w:before="60" w:beforeLines="25" w:after="60" w:afterLines="25"/>
              <w:jc w:val="center"/>
              <w:outlineLvl w:val="0"/>
              <w:rPr>
                <w:rFonts w:hint="eastAsia" w:ascii="宋体" w:hAnsi="宋体" w:cs="宋体"/>
                <w:bCs/>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kern w:val="0"/>
                <w:szCs w:val="21"/>
                <w:highlight w:val="none"/>
              </w:rPr>
              <w:t>5</w:t>
            </w:r>
          </w:p>
        </w:tc>
        <w:tc>
          <w:tcPr>
            <w:tcW w:w="8147" w:type="dxa"/>
            <w:noWrap w:val="0"/>
            <w:vAlign w:val="center"/>
          </w:tcPr>
          <w:p w14:paraId="118457F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提供质保期满后整个系统的年运行维护报价</w:t>
            </w:r>
            <w:r>
              <w:rPr>
                <w:rFonts w:hint="eastAsia" w:ascii="宋体" w:hAnsi="宋体" w:cs="宋体"/>
                <w:b/>
                <w:bCs/>
                <w:color w:val="auto"/>
                <w:kern w:val="0"/>
                <w:szCs w:val="21"/>
                <w:highlight w:val="none"/>
              </w:rPr>
              <w:t>（不含在本次投标总价内）</w:t>
            </w:r>
            <w:r>
              <w:rPr>
                <w:rFonts w:hint="eastAsia" w:ascii="宋体" w:hAnsi="宋体" w:cs="宋体"/>
                <w:color w:val="auto"/>
                <w:kern w:val="0"/>
                <w:szCs w:val="21"/>
                <w:highlight w:val="none"/>
              </w:rPr>
              <w:t>，年运行维护报价≤投标总价的8%</w:t>
            </w:r>
          </w:p>
        </w:tc>
      </w:tr>
    </w:tbl>
    <w:p w14:paraId="4A87AA86">
      <w:pPr>
        <w:spacing w:line="276"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544AD70">
      <w:pPr>
        <w:adjustRightInd w:val="0"/>
        <w:snapToGrid w:val="0"/>
        <w:spacing w:line="360" w:lineRule="auto"/>
        <w:ind w:firstLine="480" w:firstLineChars="200"/>
        <w:rPr>
          <w:rFonts w:hint="eastAsia" w:ascii="宋体" w:hAnsi="宋体" w:cs="宋体"/>
          <w:color w:val="auto"/>
          <w:sz w:val="24"/>
          <w:highlight w:val="none"/>
        </w:rPr>
      </w:pPr>
    </w:p>
    <w:p w14:paraId="3B0E2401">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b/>
          <w:color w:val="auto"/>
          <w:sz w:val="24"/>
          <w:szCs w:val="18"/>
          <w:highlight w:val="none"/>
        </w:rPr>
        <w:t>三、</w:t>
      </w:r>
      <w:r>
        <w:rPr>
          <w:rFonts w:hint="eastAsia" w:ascii="宋体" w:hAnsi="宋体" w:cs="宋体"/>
          <w:b/>
          <w:bCs/>
          <w:color w:val="auto"/>
          <w:sz w:val="24"/>
          <w:highlight w:val="none"/>
        </w:rPr>
        <w:t>其它要求：</w:t>
      </w:r>
    </w:p>
    <w:p w14:paraId="6453D9C9">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（一）备品备件及专用工具</w:t>
      </w:r>
    </w:p>
    <w:p w14:paraId="1833255D">
      <w:pPr>
        <w:adjustRightInd w:val="0"/>
        <w:snapToGrid w:val="0"/>
        <w:spacing w:line="360" w:lineRule="auto"/>
        <w:ind w:firstLine="480" w:firstLineChars="200"/>
        <w:rPr>
          <w:rFonts w:ascii="宋体" w:hAnsi="宋体" w:cs="宋体"/>
          <w:color w:val="auto"/>
          <w:sz w:val="24"/>
          <w:highlight w:val="none"/>
        </w:rPr>
      </w:pPr>
      <w:bookmarkStart w:id="2" w:name="_Toc455587277"/>
      <w:bookmarkStart w:id="3" w:name="_Toc445554752"/>
      <w:bookmarkStart w:id="4" w:name="_Toc455587093"/>
      <w:r>
        <w:rPr>
          <w:rFonts w:hint="eastAsia" w:ascii="宋体" w:hAnsi="宋体" w:cs="宋体"/>
          <w:color w:val="auto"/>
          <w:sz w:val="24"/>
          <w:highlight w:val="none"/>
        </w:rPr>
        <w:t>1、备品备件：中标人提供能够满足质量保证期内的产品维修要求的备品备件，备品备件应是新品。</w:t>
      </w:r>
    </w:p>
    <w:p w14:paraId="0B0FEC1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2、专用工具：中标人提供产品安装、调试、验收、维修、保养所必要的专用工具、仪器、仪表等工具。</w:t>
      </w:r>
    </w:p>
    <w:bookmarkEnd w:id="2"/>
    <w:bookmarkEnd w:id="3"/>
    <w:bookmarkEnd w:id="4"/>
    <w:p w14:paraId="303BF7B0">
      <w:pPr>
        <w:adjustRightInd w:val="0"/>
        <w:snapToGrid w:val="0"/>
        <w:spacing w:line="360" w:lineRule="auto"/>
        <w:ind w:firstLine="482" w:firstLineChars="200"/>
        <w:rPr>
          <w:rFonts w:ascii="宋体" w:hAnsi="宋体" w:cs="宋体"/>
          <w:b/>
          <w:bCs/>
          <w:color w:val="auto"/>
          <w:sz w:val="24"/>
          <w:highlight w:val="none"/>
        </w:rPr>
      </w:pPr>
      <w:bookmarkStart w:id="5" w:name="_Toc532199625"/>
      <w:bookmarkStart w:id="6" w:name="_Toc455587278"/>
      <w:bookmarkStart w:id="7" w:name="_Toc455587094"/>
      <w:bookmarkStart w:id="8" w:name="_Toc445554753"/>
      <w:r>
        <w:rPr>
          <w:rFonts w:hint="eastAsia" w:ascii="宋体" w:hAnsi="宋体" w:cs="宋体"/>
          <w:b/>
          <w:bCs/>
          <w:color w:val="auto"/>
          <w:sz w:val="24"/>
          <w:highlight w:val="none"/>
        </w:rPr>
        <w:t>（二）安装调试、验收试验及质量保证</w:t>
      </w:r>
      <w:bookmarkEnd w:id="5"/>
    </w:p>
    <w:p w14:paraId="48E4D58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1、中标人在产品安装地点负责安装、调试。</w:t>
      </w:r>
    </w:p>
    <w:p w14:paraId="4417B0A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2、具体产品验收标准和程序按采购人要求执行，下列验收程序可参照执行：</w:t>
      </w:r>
    </w:p>
    <w:p w14:paraId="2016487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验收分为预验收和最终验收。</w:t>
      </w:r>
    </w:p>
    <w:p w14:paraId="4F23824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产品，投标报价中必须包含首次检测费用。</w:t>
      </w:r>
    </w:p>
    <w:p w14:paraId="3F168D9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产品在验收时，中标人应提供发票、制造厂家出具的产品合格证书、装箱清单等,涉及进口的部件须提供中国海关进口产品报关单、完税证明及商检证明等材料；提供有关产品的保养修理所需的各种随机工具及全部有关技术文件（外文应提供中文翻译资料，下同）、操作使用说明书、质保书、保修证明、维护手册及技术性指导资料以及根据中国相关法律规定制造、销售报价产品（包括主要部件和材料）所必备的各种证书 (如产品质量检验报告、国家相关检测机构出具的检验报告等）等文件汇集成册交付采购人和应由中标人提供的必要文件。</w:t>
      </w:r>
    </w:p>
    <w:p w14:paraId="678379D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中标人应根据采购人使用单位的技术要求提供相应的产品。由中标人所提供的产品部件间的连线和插接件均应视为产品内部器件，包含在相应的产品之中。</w:t>
      </w:r>
    </w:p>
    <w:p w14:paraId="1ED5883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运行测试及最终验收。在系统安装、调试结束后，采购人对其进行全面的测试，对测试中暴露出来的问题，中标人应及时进行整改，系统最终测试完毕经验收合格后，采购人应向中标人签发最终验收证明。</w:t>
      </w:r>
    </w:p>
    <w:p w14:paraId="5FA83E5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中标人应向采购人提供安装调试过程中的各种文档资料,以便采购人今后能掌握操作和维护方法。依据合同与合同有关条件、本招标文件的技术规范、系统配置要求、产品技术文件和系统说明书，以及国家和省部级等要求进行验收。</w:t>
      </w:r>
    </w:p>
    <w:p w14:paraId="281B6CE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3、如产品在验收时有一个或多个指标未能达到要求而属于中标人责任时，则中标人自费采取有效措施，在规定时间内使之达到保证指标。如在规定的时间内仍达不到合格标准时，则中标人应向采购人赔偿。</w:t>
      </w:r>
    </w:p>
    <w:bookmarkEnd w:id="6"/>
    <w:bookmarkEnd w:id="7"/>
    <w:bookmarkEnd w:id="8"/>
    <w:p w14:paraId="66857F3A">
      <w:pPr>
        <w:adjustRightInd w:val="0"/>
        <w:snapToGrid w:val="0"/>
        <w:spacing w:line="360" w:lineRule="auto"/>
        <w:ind w:firstLine="482" w:firstLineChars="200"/>
        <w:rPr>
          <w:rFonts w:ascii="宋体" w:hAnsi="宋体" w:cs="宋体"/>
          <w:b/>
          <w:bCs/>
          <w:color w:val="auto"/>
          <w:sz w:val="24"/>
          <w:highlight w:val="none"/>
        </w:rPr>
      </w:pPr>
      <w:bookmarkStart w:id="9" w:name="_Toc532199626"/>
      <w:r>
        <w:rPr>
          <w:rFonts w:hint="eastAsia" w:ascii="宋体" w:hAnsi="宋体" w:cs="宋体"/>
          <w:b/>
          <w:bCs/>
          <w:color w:val="auto"/>
          <w:sz w:val="24"/>
          <w:highlight w:val="none"/>
        </w:rPr>
        <w:t>（三）包装运输</w:t>
      </w:r>
      <w:bookmarkEnd w:id="9"/>
    </w:p>
    <w:p w14:paraId="11B3EA26">
      <w:pPr>
        <w:adjustRightInd w:val="0"/>
        <w:snapToGrid w:val="0"/>
        <w:spacing w:line="360" w:lineRule="auto"/>
        <w:ind w:firstLine="480" w:firstLineChars="200"/>
        <w:rPr>
          <w:rFonts w:ascii="宋体" w:hAnsi="宋体" w:cs="宋体"/>
          <w:color w:val="auto"/>
          <w:sz w:val="24"/>
          <w:highlight w:val="none"/>
        </w:rPr>
      </w:pPr>
      <w:bookmarkStart w:id="10" w:name="_Toc455587095"/>
      <w:bookmarkStart w:id="11" w:name="_Toc455587279"/>
      <w:bookmarkStart w:id="12" w:name="_Toc445554754"/>
      <w:r>
        <w:rPr>
          <w:rFonts w:hint="eastAsia" w:ascii="宋体" w:hAnsi="宋体" w:cs="宋体"/>
          <w:color w:val="auto"/>
          <w:sz w:val="24"/>
          <w:highlight w:val="none"/>
        </w:rPr>
        <w:t>1、中标人负责产品包装、办理运输和保险，将产品安全运抵交货地点。</w:t>
      </w:r>
    </w:p>
    <w:p w14:paraId="0EA9F6B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2、产品制造完成并通过试验后应及时包装，否则应得到切实的保护，确保其不受污损。</w:t>
      </w:r>
    </w:p>
    <w:p w14:paraId="0B36466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3、在包装箱外应标明采购人的订货号、发货号。</w:t>
      </w:r>
    </w:p>
    <w:p w14:paraId="602F547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4、各种包装应能确保各零部件在运输过程中不致遭到损坏、丢失、变形、受潮和腐蚀。</w:t>
      </w:r>
    </w:p>
    <w:p w14:paraId="3D1274B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5、包装箱上应有明显的包装储运图示标志。</w:t>
      </w:r>
    </w:p>
    <w:p w14:paraId="47DDC88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6、整体产品或分别运输的部件都要适应运输和装载的要求。</w:t>
      </w:r>
    </w:p>
    <w:p w14:paraId="6562C81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7、随产品提供的技术资料应完整无缺。</w:t>
      </w:r>
    </w:p>
    <w:p w14:paraId="327E617B">
      <w:pPr>
        <w:adjustRightInd w:val="0"/>
        <w:snapToGrid w:val="0"/>
        <w:spacing w:line="360" w:lineRule="auto"/>
        <w:ind w:firstLine="482" w:firstLineChars="200"/>
        <w:rPr>
          <w:rFonts w:ascii="宋体" w:hAnsi="宋体" w:cs="宋体"/>
          <w:b/>
          <w:bCs/>
          <w:color w:val="auto"/>
          <w:sz w:val="24"/>
          <w:highlight w:val="none"/>
        </w:rPr>
      </w:pPr>
      <w:bookmarkStart w:id="13" w:name="_Toc532199627"/>
      <w:r>
        <w:rPr>
          <w:rFonts w:hint="eastAsia" w:ascii="宋体" w:hAnsi="宋体" w:cs="宋体"/>
          <w:b/>
          <w:bCs/>
          <w:color w:val="auto"/>
          <w:sz w:val="24"/>
          <w:highlight w:val="none"/>
        </w:rPr>
        <w:t>（四）技术培训</w:t>
      </w:r>
      <w:bookmarkEnd w:id="10"/>
      <w:bookmarkEnd w:id="11"/>
      <w:bookmarkEnd w:id="12"/>
      <w:bookmarkEnd w:id="13"/>
    </w:p>
    <w:p w14:paraId="1CA4258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1、为使合同产品能正常安装和运行，由中标人提供相应的技术培训，并免收采购人培训费用。培训内容应与工程进度相一致。</w:t>
      </w:r>
    </w:p>
    <w:p w14:paraId="1CF0BC9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2、培训的时间、人数、地点等具体内容由买卖双方商定，内容至少包括：产品原理、使用、维护、运行操作、常见故障处理等。</w:t>
      </w:r>
    </w:p>
    <w:p w14:paraId="7B550CB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3、采购清单里有特别规定的，以采购清单中的需求为准。</w:t>
      </w:r>
    </w:p>
    <w:p w14:paraId="1D742836">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（五）质保及售后服务</w:t>
      </w:r>
    </w:p>
    <w:p w14:paraId="630702F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1、自双方签订《验收报告》起进入免费质保期。</w:t>
      </w:r>
    </w:p>
    <w:p w14:paraId="139A90A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在质保期间内，非采购人过失和故意并且在正常使用的情况下发现商品有缺陷，中标人将免费修理或替换该产品；在质保期间内，非采购人过失和故意并且在正常使用的情况下产品发生故障，中标人应及时提供免费服务。</w:t>
      </w:r>
    </w:p>
    <w:p w14:paraId="6314A22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、质保期内，中标人（供应商）免费提供硬件保修服务和软件升级服务。普通国产</w:t>
      </w:r>
      <w:r>
        <w:rPr>
          <w:rFonts w:hint="eastAsia" w:ascii="宋体" w:hAnsi="宋体" w:cs="宋体"/>
          <w:color w:val="auto"/>
          <w:sz w:val="24"/>
          <w:highlight w:val="none"/>
        </w:rPr>
        <w:t>产品</w:t>
      </w:r>
      <w:r>
        <w:rPr>
          <w:rFonts w:ascii="宋体" w:hAnsi="宋体" w:cs="宋体"/>
          <w:color w:val="auto"/>
          <w:sz w:val="24"/>
          <w:highlight w:val="none"/>
        </w:rPr>
        <w:t>，</w:t>
      </w:r>
      <w:r>
        <w:rPr>
          <w:rFonts w:hint="eastAsia" w:ascii="宋体" w:hAnsi="宋体" w:cs="宋体"/>
          <w:color w:val="auto"/>
          <w:sz w:val="24"/>
          <w:highlight w:val="none"/>
        </w:rPr>
        <w:t>质保期限</w:t>
      </w:r>
      <w:r>
        <w:rPr>
          <w:rFonts w:ascii="宋体" w:hAnsi="宋体" w:cs="宋体"/>
          <w:color w:val="auto"/>
          <w:sz w:val="24"/>
          <w:highlight w:val="none"/>
        </w:rPr>
        <w:t>内，原生产厂提供全机免费保修。</w:t>
      </w:r>
    </w:p>
    <w:p w14:paraId="3F4C1203">
      <w:pPr>
        <w:rPr>
          <w:rFonts w:hint="eastAsia"/>
          <w:color w:val="auto"/>
          <w:highlight w:val="none"/>
        </w:rPr>
      </w:pPr>
    </w:p>
    <w:p w14:paraId="635A1A81">
      <w:r>
        <w:rPr>
          <w:rFonts w:hint="eastAsia" w:ascii="宋体" w:hAnsi="宋体" w:cs="宋体"/>
          <w:color w:val="auto"/>
          <w:sz w:val="24"/>
          <w:szCs w:val="24"/>
          <w:highlight w:val="none"/>
        </w:rPr>
        <w:t>注：本章中标注“▲”的产品为核心产品；标注★参数为重要技术</w:t>
      </w:r>
      <w:r>
        <w:rPr>
          <w:rFonts w:hint="eastAsia" w:ascii="宋体" w:hAnsi="宋体" w:cs="宋体"/>
          <w:color w:val="auto"/>
          <w:sz w:val="24"/>
          <w:szCs w:val="24"/>
          <w:highlight w:val="none"/>
          <w:lang w:eastAsia="zh-Hans"/>
        </w:rPr>
        <w:t>参数</w:t>
      </w:r>
      <w:r>
        <w:rPr>
          <w:rFonts w:hint="eastAsia" w:ascii="宋体" w:hAnsi="宋体" w:cs="宋体"/>
          <w:color w:val="auto"/>
          <w:sz w:val="24"/>
          <w:szCs w:val="24"/>
          <w:highlight w:val="none"/>
        </w:rPr>
        <w:t>评分项，</w:t>
      </w:r>
      <w:r>
        <w:rPr>
          <w:rFonts w:hint="eastAsia" w:ascii="宋体" w:hAnsi="宋体" w:cs="宋体"/>
          <w:color w:val="auto"/>
          <w:kern w:val="2"/>
          <w:sz w:val="24"/>
          <w:szCs w:val="24"/>
          <w:highlight w:val="none"/>
        </w:rPr>
        <w:t>本采购需求中的“三、其它要求”不作为技术参数，不作为“技术参数或要求的响应性（40分）”的评分因素。</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C7BC"/>
    <w:multiLevelType w:val="singleLevel"/>
    <w:tmpl w:val="E030C7B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6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D&amp;L"/>
    <w:basedOn w:val="4"/>
    <w:qFormat/>
    <w:uiPriority w:val="0"/>
    <w:pPr>
      <w:widowControl w:val="0"/>
      <w:pBdr>
        <w:bottom w:val="none" w:color="auto" w:sz="0" w:space="0"/>
      </w:pBdr>
      <w:snapToGrid/>
      <w:jc w:val="center"/>
    </w:pPr>
    <w:rPr>
      <w:rFonts w:ascii="宋体" w:hAnsi="宋体" w:cs="@仿宋_GB2312"/>
      <w:bCs/>
      <w:kern w:val="2"/>
      <w:sz w:val="24"/>
      <w:szCs w:val="20"/>
    </w:rPr>
  </w:style>
  <w:style w:type="paragraph" w:customStyle="1" w:styleId="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9">
    <w:name w:val="List Paragraph1"/>
    <w:basedOn w:val="1"/>
    <w:qFormat/>
    <w:uiPriority w:val="0"/>
    <w:pPr>
      <w:spacing w:before="0" w:after="0" w:line="240" w:lineRule="auto"/>
      <w:ind w:firstLine="420" w:firstLineChars="200"/>
    </w:pPr>
    <w:rPr>
      <w:rFonts w:ascii="Calibri" w:hAnsi="Calibri" w:eastAsia="宋体" w:cs="Times New Roman"/>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2025-07-17T09:22:00Z</dcterms:created>
  <dc:creator>pc</dc:creator>
  <cp:lastModifiedBy>Archer</cp:lastModifiedBy>
  <dcterms:modified xsi:type="dcterms:W3CDTF">2025-07-17T09:23:42Z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B0AC86FB600142A595B7A51610DDEFAD_12</vt:lpwstr>
  </property>
</Properties>
</file>