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3C72">
      <w:pPr>
        <w:pStyle w:val="2"/>
        <w:rPr>
          <w:rFonts w:hint="eastAsia" w:ascii="方正小标宋_GBK" w:hAnsi="方正小标宋_GBK" w:eastAsia="华文中宋" w:cs="方正小标宋_GBK"/>
          <w:color w:val="auto"/>
          <w:highlight w:val="none"/>
        </w:rPr>
      </w:pPr>
      <w:r>
        <w:rPr>
          <w:rFonts w:hint="eastAsia" w:ascii="方正小标宋_GBK" w:hAnsi="方正小标宋_GBK" w:eastAsia="华文中宋" w:cs="方正小标宋_GBK"/>
          <w:color w:val="auto"/>
          <w:highlight w:val="none"/>
        </w:rPr>
        <w:t>采购需求</w:t>
      </w:r>
    </w:p>
    <w:p w14:paraId="19296D83">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7775481A">
      <w:pPr>
        <w:spacing w:line="360" w:lineRule="auto"/>
        <w:ind w:firstLine="480" w:firstLineChars="200"/>
        <w:rPr>
          <w:rFonts w:hint="eastAsia" w:ascii="宋体" w:hAnsi="宋体" w:eastAsia="宋体" w:cs="宋体"/>
          <w:color w:val="auto"/>
          <w:sz w:val="24"/>
          <w:szCs w:val="18"/>
          <w:highlight w:val="none"/>
        </w:rPr>
      </w:pPr>
      <w:bookmarkStart w:id="0" w:name="_Hlk16461016"/>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711E095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6DB12F2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3BFD6C1">
      <w:pPr>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B9CBAC">
      <w:pPr>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7B10788B">
      <w:pPr>
        <w:pStyle w:val="3"/>
        <w:ind w:firstLine="0" w:firstLineChars="0"/>
        <w:rPr>
          <w:rFonts w:eastAsia="黑体"/>
          <w:color w:val="auto"/>
          <w:highlight w:val="none"/>
        </w:rPr>
      </w:pPr>
      <w:bookmarkStart w:id="1" w:name="_Toc382548620"/>
      <w:bookmarkStart w:id="2" w:name="_Toc292361325"/>
      <w:bookmarkStart w:id="3" w:name="_Toc2025078090"/>
      <w:bookmarkStart w:id="4" w:name="_Toc1064185329"/>
      <w:bookmarkStart w:id="5" w:name="_Toc337877615"/>
      <w:bookmarkStart w:id="6" w:name="_Toc1452677390"/>
      <w:bookmarkStart w:id="7" w:name="_Toc1437377518_WPSOffice_Level2"/>
      <w:bookmarkStart w:id="8" w:name="_Toc1899401549"/>
      <w:r>
        <w:rPr>
          <w:rFonts w:hint="eastAsia" w:eastAsia="黑体"/>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6A98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E9FADE3">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054" w:type="dxa"/>
            <w:noWrap w:val="0"/>
            <w:vAlign w:val="center"/>
          </w:tcPr>
          <w:p w14:paraId="3991F531">
            <w:pPr>
              <w:pStyle w:val="13"/>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544" w:type="dxa"/>
            <w:noWrap w:val="0"/>
            <w:vAlign w:val="center"/>
          </w:tcPr>
          <w:p w14:paraId="22B51261">
            <w:pPr>
              <w:pStyle w:val="13"/>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3D0C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3E1C1522">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054" w:type="dxa"/>
            <w:noWrap w:val="0"/>
            <w:vAlign w:val="center"/>
          </w:tcPr>
          <w:p w14:paraId="1808A350">
            <w:pPr>
              <w:pStyle w:val="13"/>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544" w:type="dxa"/>
            <w:noWrap w:val="0"/>
            <w:vAlign w:val="center"/>
          </w:tcPr>
          <w:p w14:paraId="04E44205">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（1）合同签订并收到中标人提供的等额预付款保函或其他担保措施后，采购人支付合同价款的40%；</w:t>
            </w:r>
          </w:p>
          <w:p w14:paraId="094B560F">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（2）货物运送到学校后，采购人支付合同价款的30%；</w:t>
            </w:r>
          </w:p>
          <w:p w14:paraId="33780A5D">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（3）所有设备安装调试完毕且经过验收合格正常使用后一次性付清剩余合同价款。</w:t>
            </w:r>
          </w:p>
          <w:p w14:paraId="7B8A06B1">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w:t>
            </w:r>
          </w:p>
          <w:p w14:paraId="1904DBB7">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（1）本项目要求中标人提供预付款保函或其他担保措施。</w:t>
            </w:r>
          </w:p>
          <w:p w14:paraId="0C0F14D6">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（2）付款前中标人须按要求开具有效的发票。</w:t>
            </w:r>
          </w:p>
          <w:p w14:paraId="6D053ABA">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（3）预付款保函形式：银行保函、担保机构担保。</w:t>
            </w:r>
          </w:p>
          <w:p w14:paraId="7CE4EDFD">
            <w:pPr>
              <w:pStyle w:val="13"/>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45AF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3A7D49A6">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054" w:type="dxa"/>
            <w:noWrap w:val="0"/>
            <w:vAlign w:val="center"/>
          </w:tcPr>
          <w:p w14:paraId="2D8B3284">
            <w:pPr>
              <w:pStyle w:val="13"/>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5544" w:type="dxa"/>
            <w:noWrap w:val="0"/>
            <w:vAlign w:val="center"/>
          </w:tcPr>
          <w:p w14:paraId="053E0B7A">
            <w:pPr>
              <w:pStyle w:val="13"/>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安徽农业大学，具体按采购人指定。</w:t>
            </w:r>
          </w:p>
        </w:tc>
      </w:tr>
      <w:tr w14:paraId="417E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1DC48BC4">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054" w:type="dxa"/>
            <w:noWrap w:val="0"/>
            <w:vAlign w:val="center"/>
          </w:tcPr>
          <w:p w14:paraId="3C91CD59">
            <w:pPr>
              <w:pStyle w:val="13"/>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5544" w:type="dxa"/>
            <w:noWrap w:val="0"/>
            <w:vAlign w:val="center"/>
          </w:tcPr>
          <w:p w14:paraId="44DFC027">
            <w:pPr>
              <w:pStyle w:val="13"/>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合同生效后，国产设备45个日历日内完成供货、安装、调试、培训等所有工作内容，进口设备120个日历日内完成供货、安装、调试、培训等所有工作内容，采购需求中另有规定的，按采购需求执行。</w:t>
            </w:r>
          </w:p>
        </w:tc>
      </w:tr>
      <w:tr w14:paraId="36B6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3442D39B">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054" w:type="dxa"/>
            <w:noWrap w:val="0"/>
            <w:vAlign w:val="center"/>
          </w:tcPr>
          <w:p w14:paraId="4200655E">
            <w:pPr>
              <w:pStyle w:val="13"/>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5544" w:type="dxa"/>
            <w:noWrap w:val="0"/>
            <w:vAlign w:val="center"/>
          </w:tcPr>
          <w:p w14:paraId="70CF8389">
            <w:pPr>
              <w:pStyle w:val="13"/>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自</w:t>
            </w:r>
            <w:r>
              <w:rPr>
                <w:rFonts w:hint="eastAsia" w:ascii="宋体" w:hAnsi="宋体" w:eastAsia="宋体" w:cs="宋体"/>
                <w:b w:val="0"/>
                <w:color w:val="auto"/>
                <w:sz w:val="24"/>
                <w:highlight w:val="none"/>
              </w:rPr>
              <w:t>验收合格后</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年。</w:t>
            </w:r>
          </w:p>
          <w:p w14:paraId="5C96B6FF">
            <w:pPr>
              <w:pStyle w:val="13"/>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5230D317">
      <w:pPr>
        <w:pStyle w:val="3"/>
        <w:ind w:firstLine="0" w:firstLineChars="0"/>
        <w:rPr>
          <w:rFonts w:hint="eastAsia" w:eastAsia="黑体"/>
          <w:color w:val="auto"/>
          <w:highlight w:val="none"/>
        </w:rPr>
      </w:pPr>
      <w:bookmarkStart w:id="9" w:name="_Toc1693477008"/>
      <w:bookmarkStart w:id="10" w:name="_Toc1715351726"/>
      <w:bookmarkStart w:id="11" w:name="_Toc626387511"/>
      <w:bookmarkStart w:id="12" w:name="_Toc369119811"/>
      <w:bookmarkStart w:id="13" w:name="_Toc302804901"/>
      <w:bookmarkStart w:id="14" w:name="_Toc1191965283_WPSOffice_Level2"/>
      <w:bookmarkStart w:id="15" w:name="_Toc58935147"/>
      <w:bookmarkStart w:id="16" w:name="_Toc717369146"/>
      <w:r>
        <w:rPr>
          <w:rFonts w:hint="eastAsia" w:eastAsia="黑体"/>
          <w:color w:val="auto"/>
          <w:highlight w:val="none"/>
          <w:lang w:eastAsia="zh-CN"/>
        </w:rPr>
        <w:t>二、</w:t>
      </w:r>
      <w:r>
        <w:rPr>
          <w:rFonts w:hint="eastAsia" w:eastAsia="黑体"/>
          <w:color w:val="auto"/>
          <w:highlight w:val="none"/>
        </w:rPr>
        <w:t>货物需求</w:t>
      </w:r>
      <w:bookmarkEnd w:id="9"/>
      <w:bookmarkEnd w:id="10"/>
      <w:bookmarkEnd w:id="11"/>
      <w:bookmarkEnd w:id="12"/>
      <w:bookmarkEnd w:id="13"/>
      <w:bookmarkEnd w:id="14"/>
      <w:bookmarkEnd w:id="15"/>
      <w:bookmarkEnd w:id="16"/>
    </w:p>
    <w:p w14:paraId="02A58D41">
      <w:pPr>
        <w:pStyle w:val="8"/>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4227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3780C1E6">
            <w:pPr>
              <w:pStyle w:val="8"/>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需求内容类别</w:t>
            </w:r>
          </w:p>
        </w:tc>
        <w:tc>
          <w:tcPr>
            <w:tcW w:w="1277" w:type="dxa"/>
            <w:noWrap w:val="0"/>
            <w:vAlign w:val="top"/>
          </w:tcPr>
          <w:p w14:paraId="4A1A29F8">
            <w:pPr>
              <w:pStyle w:val="8"/>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标识符号</w:t>
            </w:r>
          </w:p>
        </w:tc>
        <w:tc>
          <w:tcPr>
            <w:tcW w:w="5692" w:type="dxa"/>
            <w:noWrap w:val="0"/>
            <w:vAlign w:val="top"/>
          </w:tcPr>
          <w:p w14:paraId="4EA94752">
            <w:pPr>
              <w:pStyle w:val="8"/>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投标要求</w:t>
            </w:r>
          </w:p>
        </w:tc>
      </w:tr>
      <w:tr w14:paraId="0CEC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4A7FFB7E">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277" w:type="dxa"/>
            <w:noWrap w:val="0"/>
            <w:vAlign w:val="center"/>
          </w:tcPr>
          <w:p w14:paraId="39B2AF04">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92" w:type="dxa"/>
            <w:noWrap w:val="0"/>
            <w:vAlign w:val="center"/>
          </w:tcPr>
          <w:p w14:paraId="41FB832E">
            <w:pPr>
              <w:pStyle w:val="8"/>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评分项，详见“第四章评标方法和标准”中评分细则。</w:t>
            </w:r>
          </w:p>
        </w:tc>
      </w:tr>
      <w:tr w14:paraId="134A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73693C33">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277" w:type="dxa"/>
            <w:noWrap w:val="0"/>
            <w:vAlign w:val="center"/>
          </w:tcPr>
          <w:p w14:paraId="239B2124">
            <w:pPr>
              <w:pStyle w:val="8"/>
              <w:spacing w:line="500" w:lineRule="exact"/>
              <w:ind w:left="0" w:firstLine="0" w:firstLineChars="0"/>
              <w:jc w:val="center"/>
              <w:rPr>
                <w:rFonts w:ascii="宋体" w:hAnsi="宋体" w:eastAsia="宋体" w:cs="宋体"/>
                <w:color w:val="auto"/>
                <w:sz w:val="24"/>
                <w:szCs w:val="24"/>
                <w:highlight w:val="none"/>
              </w:rPr>
            </w:pPr>
          </w:p>
        </w:tc>
        <w:tc>
          <w:tcPr>
            <w:tcW w:w="5692" w:type="dxa"/>
            <w:noWrap w:val="0"/>
            <w:vAlign w:val="center"/>
          </w:tcPr>
          <w:p w14:paraId="7BF8E9DE">
            <w:pPr>
              <w:pStyle w:val="8"/>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符合性审查项，5项以上（不含5项）负偏离或未响应，将导致</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tc>
      </w:tr>
      <w:tr w14:paraId="21A6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0FE5EF7F">
            <w:pPr>
              <w:pStyle w:val="8"/>
              <w:spacing w:line="500" w:lineRule="exact"/>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87802FE">
            <w:pPr>
              <w:pStyle w:val="8"/>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.如某项标识中包含多条技术参数或要求，则该项标识所含内容均需满足或优于招标文件要求，否则不予认可。</w:t>
            </w:r>
          </w:p>
          <w:p w14:paraId="41AEA597">
            <w:pPr>
              <w:pStyle w:val="8"/>
              <w:spacing w:line="500" w:lineRule="exact"/>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.“所属行业”栏标注为“/”的项为所投产品配套的工程或服务，无需在《中小企业声明函》中列明。</w:t>
            </w:r>
          </w:p>
        </w:tc>
      </w:tr>
    </w:tbl>
    <w:p w14:paraId="6E2FD26E">
      <w:pPr>
        <w:pStyle w:val="8"/>
        <w:ind w:left="0" w:firstLine="0" w:firstLineChars="0"/>
        <w:rPr>
          <w:rFonts w:hint="eastAsia" w:ascii="宋体" w:hAnsi="宋体" w:eastAsia="宋体" w:cs="宋体"/>
          <w:b/>
          <w:bCs/>
          <w:color w:val="auto"/>
          <w:sz w:val="24"/>
          <w:szCs w:val="24"/>
          <w:highlight w:val="none"/>
        </w:rPr>
      </w:pPr>
    </w:p>
    <w:p w14:paraId="5614A034">
      <w:pPr>
        <w:pStyle w:val="8"/>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（二）货物需求清单</w:t>
      </w:r>
    </w:p>
    <w:p w14:paraId="051A3CF5">
      <w:pPr>
        <w:pStyle w:val="8"/>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10"/>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193"/>
        <w:gridCol w:w="4868"/>
        <w:gridCol w:w="1057"/>
        <w:gridCol w:w="778"/>
        <w:gridCol w:w="793"/>
      </w:tblGrid>
      <w:tr w14:paraId="64EC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14:paraId="3208795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B8991F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货物名称</w:t>
            </w:r>
          </w:p>
        </w:tc>
        <w:tc>
          <w:tcPr>
            <w:tcW w:w="2616" w:type="pct"/>
            <w:tcBorders>
              <w:top w:val="single" w:color="auto" w:sz="4" w:space="0"/>
              <w:left w:val="single" w:color="auto" w:sz="4" w:space="0"/>
              <w:bottom w:val="single" w:color="auto" w:sz="4" w:space="0"/>
              <w:right w:val="single" w:color="auto" w:sz="4" w:space="0"/>
            </w:tcBorders>
            <w:noWrap w:val="0"/>
            <w:vAlign w:val="center"/>
          </w:tcPr>
          <w:p w14:paraId="3986871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技术参数及要求</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71B3B7B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p w14:paraId="1CBFBD5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0E86820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所属</w:t>
            </w:r>
          </w:p>
          <w:p w14:paraId="2B0B5EA9">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行业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6519B8A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备注（进口或强制节能）</w:t>
            </w:r>
          </w:p>
        </w:tc>
      </w:tr>
      <w:tr w14:paraId="6C3B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14:paraId="10A7756D">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F975C49">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▲氨基酸分析仪</w:t>
            </w:r>
          </w:p>
        </w:tc>
        <w:tc>
          <w:tcPr>
            <w:tcW w:w="2616" w:type="pct"/>
            <w:tcBorders>
              <w:top w:val="single" w:color="auto" w:sz="4" w:space="0"/>
              <w:left w:val="single" w:color="auto" w:sz="4" w:space="0"/>
              <w:bottom w:val="single" w:color="auto" w:sz="4" w:space="0"/>
              <w:right w:val="single" w:color="auto" w:sz="4" w:space="0"/>
            </w:tcBorders>
            <w:noWrap w:val="0"/>
            <w:vAlign w:val="center"/>
          </w:tcPr>
          <w:p w14:paraId="7178C5C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1.工作环境</w:t>
            </w:r>
          </w:p>
          <w:p w14:paraId="7051E9D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电源电压：220V，50Hz；</w:t>
            </w:r>
          </w:p>
          <w:p w14:paraId="2A878AB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温度：15-35℃；</w:t>
            </w:r>
          </w:p>
          <w:p w14:paraId="28CF9C12">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相对湿度：45-80%；</w:t>
            </w:r>
          </w:p>
          <w:p w14:paraId="508DB9E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2.技术参数</w:t>
            </w:r>
          </w:p>
          <w:p w14:paraId="6DC606C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蛋白水解 18 种氨基酸净分析时间：≤30min；</w:t>
            </w:r>
            <w:r>
              <w:rPr>
                <w:rFonts w:hint="eastAsia" w:ascii="宋体" w:hAnsi="宋体" w:eastAsia="宋体" w:cs="宋体"/>
                <w:b/>
                <w:bCs/>
                <w:color w:val="auto"/>
                <w:sz w:val="24"/>
                <w:szCs w:val="24"/>
                <w:highlight w:val="none"/>
              </w:rPr>
              <w:t>（投标文件中提供证明材料）</w:t>
            </w:r>
          </w:p>
          <w:p w14:paraId="40A15FC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进样量2nmol时保留时间重现性：≤0.3%(精氨酸)；</w:t>
            </w:r>
          </w:p>
          <w:p w14:paraId="1D93A27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进样量 2nmol 时峰面积重现性：≤1.0%（甘氨酸，组氨酸）；</w:t>
            </w:r>
          </w:p>
          <w:p w14:paraId="3B084FF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检出限≤2.5pmol；</w:t>
            </w:r>
            <w:r>
              <w:rPr>
                <w:rFonts w:hint="eastAsia" w:ascii="宋体" w:hAnsi="宋体" w:eastAsia="宋体" w:cs="宋体"/>
                <w:b/>
                <w:bCs/>
                <w:color w:val="auto"/>
                <w:sz w:val="24"/>
                <w:szCs w:val="24"/>
                <w:highlight w:val="none"/>
              </w:rPr>
              <w:t>（投标文件中提供证明材料）</w:t>
            </w:r>
          </w:p>
          <w:p w14:paraId="5EC9B845">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 配置柱后衍生单元衍生技术，内置高效热传导膜；</w:t>
            </w:r>
            <w:r>
              <w:rPr>
                <w:rFonts w:hint="eastAsia" w:ascii="宋体" w:hAnsi="宋体" w:eastAsia="宋体" w:cs="宋体"/>
                <w:b/>
                <w:bCs/>
                <w:color w:val="auto"/>
                <w:sz w:val="24"/>
                <w:szCs w:val="24"/>
                <w:highlight w:val="none"/>
              </w:rPr>
              <w:t>（投标文件中提供证明材料）</w:t>
            </w:r>
          </w:p>
          <w:p w14:paraId="40EF78C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分离柱树脂填料粒径≤3μm，；无需更换任何设备硬件，仅使用蛋白水解氨基酸分离柱可分析</w:t>
            </w:r>
            <w:r>
              <w:rPr>
                <w:rFonts w:hint="eastAsia" w:eastAsia="宋体"/>
                <w:color w:val="auto"/>
                <w:highlight w:val="none"/>
              </w:rPr>
              <w:t>≥</w:t>
            </w:r>
            <w:r>
              <w:rPr>
                <w:rFonts w:hint="eastAsia" w:ascii="宋体" w:hAnsi="宋体" w:eastAsia="宋体" w:cs="宋体"/>
                <w:color w:val="auto"/>
                <w:sz w:val="24"/>
                <w:szCs w:val="24"/>
                <w:highlight w:val="none"/>
              </w:rPr>
              <w:t>18种水解氨基酸，且可同时分离</w:t>
            </w:r>
            <w:r>
              <w:rPr>
                <w:rFonts w:hint="eastAsia" w:eastAsia="宋体"/>
                <w:color w:val="auto"/>
                <w:highlight w:val="none"/>
              </w:rPr>
              <w:t>≥</w:t>
            </w:r>
            <w:r>
              <w:rPr>
                <w:rFonts w:hint="eastAsia" w:ascii="宋体" w:hAnsi="宋体" w:eastAsia="宋体" w:cs="宋体"/>
                <w:color w:val="auto"/>
                <w:sz w:val="24"/>
                <w:szCs w:val="24"/>
                <w:highlight w:val="none"/>
              </w:rPr>
              <w:t>10种生物胺；</w:t>
            </w:r>
            <w:r>
              <w:rPr>
                <w:rFonts w:hint="eastAsia" w:ascii="宋体" w:hAnsi="宋体" w:eastAsia="宋体" w:cs="宋体"/>
                <w:b/>
                <w:bCs/>
                <w:color w:val="auto"/>
                <w:sz w:val="24"/>
                <w:szCs w:val="24"/>
                <w:highlight w:val="none"/>
              </w:rPr>
              <w:t>（投标文件中提供证明材料）</w:t>
            </w:r>
          </w:p>
          <w:p w14:paraId="1A30519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泵 1（输送缓冲液）：双柱塞串联往复半微量泵；</w:t>
            </w:r>
          </w:p>
          <w:p w14:paraId="00863E8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最大耐压≥30Mpa；</w:t>
            </w:r>
          </w:p>
          <w:p w14:paraId="6A7A9BCD">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★3.7.2 最大输液速度≤1mL/min；</w:t>
            </w:r>
            <w:r>
              <w:rPr>
                <w:rFonts w:hint="eastAsia" w:ascii="宋体" w:hAnsi="宋体" w:eastAsia="宋体" w:cs="宋体"/>
                <w:b/>
                <w:bCs/>
                <w:color w:val="auto"/>
                <w:sz w:val="24"/>
                <w:szCs w:val="24"/>
                <w:highlight w:val="none"/>
              </w:rPr>
              <w:t>（投标文件中提供证明材料）</w:t>
            </w:r>
          </w:p>
          <w:p w14:paraId="5BDAE63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 材质：SUS专用合金内衬或钛合金内衬；</w:t>
            </w:r>
          </w:p>
          <w:p w14:paraId="4C17F89D">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泵 2（输送衍生试剂）：双柱塞串联往复半微量泵；</w:t>
            </w:r>
          </w:p>
          <w:p w14:paraId="1B8A21D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最大耐压≥30Mpa；</w:t>
            </w:r>
          </w:p>
          <w:p w14:paraId="3D7EDF0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★3.8.2 最大输液速度≤1mL/min；</w:t>
            </w:r>
            <w:r>
              <w:rPr>
                <w:rFonts w:hint="eastAsia" w:ascii="宋体" w:hAnsi="宋体" w:eastAsia="宋体" w:cs="宋体"/>
                <w:b/>
                <w:bCs/>
                <w:color w:val="auto"/>
                <w:sz w:val="24"/>
                <w:szCs w:val="24"/>
                <w:highlight w:val="none"/>
              </w:rPr>
              <w:t>（投标文件中提供证明材料）</w:t>
            </w:r>
          </w:p>
          <w:p w14:paraId="18D5C1B2">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材质：SUS专用合金内衬或钛合金内衬；</w:t>
            </w:r>
          </w:p>
          <w:p w14:paraId="1E70730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 自动进样器</w:t>
            </w:r>
          </w:p>
          <w:p w14:paraId="355EA91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★3.9.1 进样方式：高压（全体积）可变量直接进样；</w:t>
            </w:r>
            <w:r>
              <w:rPr>
                <w:rFonts w:hint="eastAsia" w:ascii="宋体" w:hAnsi="宋体" w:eastAsia="宋体" w:cs="宋体"/>
                <w:b/>
                <w:bCs/>
                <w:color w:val="auto"/>
                <w:sz w:val="24"/>
                <w:szCs w:val="24"/>
                <w:highlight w:val="none"/>
              </w:rPr>
              <w:t>（投标文件中提供证明材料）</w:t>
            </w:r>
          </w:p>
          <w:p w14:paraId="2176C2E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可实现0-100μl任意体积直接进样，无需更换任何部件；</w:t>
            </w:r>
          </w:p>
          <w:p w14:paraId="605AB3B1">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 样品盘位数≥90位；</w:t>
            </w:r>
          </w:p>
          <w:p w14:paraId="107FFE42">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 柱温箱：半导体制冷加热,10-90℃（精度±0.1℃）；</w:t>
            </w:r>
          </w:p>
          <w:p w14:paraId="2823EDA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反应单元</w:t>
            </w:r>
          </w:p>
          <w:p w14:paraId="630A99B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3.11.1 温度范围：50-140℃（增量：1℃，精度±0.1℃）；</w:t>
            </w:r>
          </w:p>
          <w:p w14:paraId="52C973B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3.11.2 有断电和散热器过热保护装置；</w:t>
            </w:r>
          </w:p>
          <w:p w14:paraId="33621DB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检测器</w:t>
            </w:r>
          </w:p>
          <w:p w14:paraId="6942BDE8">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★3.12.1 分光系统：消相差凹面衍射光栅；</w:t>
            </w:r>
            <w:r>
              <w:rPr>
                <w:rFonts w:hint="eastAsia" w:ascii="宋体" w:hAnsi="宋体" w:eastAsia="宋体" w:cs="宋体"/>
                <w:b/>
                <w:bCs/>
                <w:color w:val="auto"/>
                <w:sz w:val="24"/>
                <w:szCs w:val="24"/>
                <w:highlight w:val="none"/>
              </w:rPr>
              <w:t>（投标文件中提供证明材料）</w:t>
            </w:r>
          </w:p>
          <w:p w14:paraId="045FD29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3.12.2 检测波长：固定双波长570nm和440nm（标配700nm参比波长）；</w:t>
            </w:r>
          </w:p>
          <w:p w14:paraId="16DB63D4">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3.12.3 具有参比通道，时时校对检测长；</w:t>
            </w:r>
          </w:p>
          <w:p w14:paraId="021BABB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3.12.4 检测器通道1噪声：≤150次（1μV=4次）；</w:t>
            </w:r>
          </w:p>
          <w:p w14:paraId="6A47908D">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3.12.5 检测器通道2噪声：≤600次（1μV=4次）；</w:t>
            </w:r>
          </w:p>
          <w:p w14:paraId="7FF95A8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★3.13 茚三酮和其缓冲液需采用独立试剂瓶常温放置保存，保存时间≥1年，使用时无需人工预先混合；</w:t>
            </w:r>
            <w:r>
              <w:rPr>
                <w:rFonts w:hint="eastAsia" w:ascii="宋体" w:hAnsi="宋体" w:eastAsia="宋体" w:cs="宋体"/>
                <w:b/>
                <w:bCs/>
                <w:color w:val="auto"/>
                <w:sz w:val="24"/>
                <w:szCs w:val="24"/>
                <w:highlight w:val="none"/>
              </w:rPr>
              <w:t>（投标文件中提供证明材料）</w:t>
            </w:r>
          </w:p>
          <w:p w14:paraId="5E4D6FFD">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内置≥9个通道的真空脱气机；</w:t>
            </w:r>
          </w:p>
          <w:p w14:paraId="057F101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所有反应液、缓冲液用氮气预通气除氧，并用正压氮气保护；</w:t>
            </w:r>
          </w:p>
          <w:p w14:paraId="31D5961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 管理系统</w:t>
            </w:r>
          </w:p>
          <w:p w14:paraId="6A87A78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3.16.1 配置色谱工作站，能够实现仪器的控制、数据的采集和处理，能够实现系统的自动清洗和自动装柱过程；</w:t>
            </w:r>
          </w:p>
          <w:p w14:paraId="02665D9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3.16.2 具有可根据所测样品个数自动计算每种试剂所需量功能；</w:t>
            </w:r>
          </w:p>
          <w:p w14:paraId="2C3A02C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3.16.3 色谱工作站可设置不同级别的用户，用户密码格式可自定义设置，具备审计追踪和电子签名功能，且不可修改；</w:t>
            </w:r>
          </w:p>
          <w:p w14:paraId="0DF6C11F">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3.16.4 配置一键式分离柱全自动再装填程序；</w:t>
            </w:r>
            <w:r>
              <w:rPr>
                <w:rFonts w:hint="eastAsia" w:ascii="宋体" w:hAnsi="宋体" w:eastAsia="宋体" w:cs="宋体"/>
                <w:b/>
                <w:bCs/>
                <w:color w:val="auto"/>
                <w:sz w:val="24"/>
                <w:szCs w:val="24"/>
                <w:highlight w:val="none"/>
              </w:rPr>
              <w:t xml:space="preserve"> </w:t>
            </w:r>
          </w:p>
          <w:p w14:paraId="14F7843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 数据处理终端：≥8G内存，≥1T硬盘，屏幕≥22英寸。</w:t>
            </w:r>
          </w:p>
          <w:p w14:paraId="77C2DEF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4.设备配置</w:t>
            </w:r>
          </w:p>
          <w:p w14:paraId="417188E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超高速全自动氨基酸分析仪主机 1 套；</w:t>
            </w:r>
          </w:p>
          <w:p w14:paraId="6286DE5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全自动进样器 1 套；</w:t>
            </w:r>
          </w:p>
          <w:p w14:paraId="58C18F42">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控制软件 1 套；</w:t>
            </w:r>
          </w:p>
          <w:p w14:paraId="3F77839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九通道脱气机 1 套；</w:t>
            </w:r>
          </w:p>
          <w:p w14:paraId="6D29C62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蛋白水解系统分离柱（填充树脂粒径3µm）1 根；</w:t>
            </w:r>
          </w:p>
          <w:p w14:paraId="61F23F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4.6通用型除氨柱 1根；</w:t>
            </w:r>
          </w:p>
          <w:p w14:paraId="23D787B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 反应柱 1根；</w:t>
            </w:r>
          </w:p>
          <w:p w14:paraId="02B29F6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 蛋白水解缓冲液 1 套；</w:t>
            </w:r>
          </w:p>
          <w:p w14:paraId="246E6A0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 蛋白水解系统标样 1 瓶；</w:t>
            </w:r>
          </w:p>
          <w:p w14:paraId="004C0E4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 茚三酮衍生试剂 1 套；</w:t>
            </w:r>
          </w:p>
          <w:p w14:paraId="7F9EACE0">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分离柱装填3µm树脂（0.5g）  1包；</w:t>
            </w:r>
          </w:p>
          <w:p w14:paraId="321778A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装柱工具 1 套；</w:t>
            </w:r>
          </w:p>
          <w:p w14:paraId="471BCCE7">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消耗品配件包 1 套；</w:t>
            </w:r>
          </w:p>
          <w:p w14:paraId="6A1526F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维护品配件包 1 套；</w:t>
            </w:r>
          </w:p>
          <w:p w14:paraId="343B54F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4.15进样瓶、盖（各100个） 4套；</w:t>
            </w:r>
          </w:p>
          <w:p w14:paraId="2D726C7B">
            <w:pPr>
              <w:adjustRightInd w:val="0"/>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4.16 数据处理终端  1套。</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5F4012B0">
            <w:pPr>
              <w:keepNext w:val="0"/>
              <w:keepLines w:val="0"/>
              <w:pageBreakBefore w:val="0"/>
              <w:widowControl/>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13524CB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52665AEC">
            <w:pPr>
              <w:keepNext w:val="0"/>
              <w:keepLines w:val="0"/>
              <w:pageBreakBefore w:val="0"/>
              <w:widowControl/>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进口</w:t>
            </w:r>
          </w:p>
        </w:tc>
      </w:tr>
      <w:tr w14:paraId="5934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14:paraId="4191874C">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5ACAF07">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全能型成像系统</w:t>
            </w:r>
          </w:p>
        </w:tc>
        <w:tc>
          <w:tcPr>
            <w:tcW w:w="2616" w:type="pct"/>
            <w:tcBorders>
              <w:top w:val="single" w:color="auto" w:sz="4" w:space="0"/>
              <w:left w:val="single" w:color="auto" w:sz="4" w:space="0"/>
              <w:bottom w:val="single" w:color="auto" w:sz="4" w:space="0"/>
              <w:right w:val="single" w:color="auto" w:sz="4" w:space="0"/>
            </w:tcBorders>
            <w:noWrap w:val="0"/>
            <w:vAlign w:val="center"/>
          </w:tcPr>
          <w:p w14:paraId="6686D179">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工作环境</w:t>
            </w:r>
          </w:p>
          <w:p w14:paraId="49603055">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1.1工作温度：10-28℃；</w:t>
            </w:r>
          </w:p>
          <w:p w14:paraId="5A3ECDF7">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1.2工作和存储湿度：10-85%；</w:t>
            </w:r>
          </w:p>
          <w:p w14:paraId="64111BB1">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1.3工作电源：100-250V；</w:t>
            </w:r>
          </w:p>
          <w:p w14:paraId="52F27AF0">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用途</w:t>
            </w:r>
          </w:p>
          <w:p w14:paraId="41FDD4F5">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采集多色荧光（multiple-fluorescence）、红外荧光（NIR-fluorescence）化学发光（chemiluminescence）、比色（colorimetric）及Stain-Free免染成像等核酸凝胶、蛋白凝胶、印迹膜等的数字图像，并对获得的图像进行数据分析。</w:t>
            </w:r>
          </w:p>
          <w:p w14:paraId="02735856">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性能与技术要求</w:t>
            </w:r>
          </w:p>
          <w:p w14:paraId="7FE815D4">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硬件性能</w:t>
            </w:r>
          </w:p>
          <w:p w14:paraId="0DD5EB4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功能涵盖：化学发光，光密度成像，多色荧光成像，Stain-Free免染成像等，应用范围包括但不仅限为：</w:t>
            </w:r>
          </w:p>
          <w:p w14:paraId="2F0F066E">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核酸凝胶：Ethidium bromide、SYBR Green、SYBR Safe、SYBR Gold、GelGreen、GelRed、Fast Blast、Texas Red、Fluorescein、Oligreen、Picogreen、GelStar；</w:t>
            </w:r>
          </w:p>
          <w:p w14:paraId="3A51E9BE">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蛋白凝胶：Coomassie Blue、Copper stain、Zinc stain、Flamingo、Oriole、Silver stain、Coomassie Fluor Orange、SYPRO Ruby、Krypton；</w:t>
            </w:r>
          </w:p>
          <w:p w14:paraId="0334760C">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印迹膜：Chemiluminescent、Colorimetric、SYPRO Ruby、Coomassie Fluor Orange、Alexa Fluor 488、DyLight 488、Qdot 525、Qdot 565、Qdot 625、IRDye 800、Cy7、Alexa Fluor 790、DyLight 800、IRDye 680、StarBright、DyLight 680；</w:t>
            </w:r>
          </w:p>
          <w:p w14:paraId="54907F71">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CCD检测器：增强型超冷CCD检测器，分辨率</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6.1Mpixel（2758×2208）；</w:t>
            </w:r>
            <w:r>
              <w:rPr>
                <w:rFonts w:hint="eastAsia" w:ascii="宋体" w:hAnsi="宋体" w:eastAsia="宋体" w:cs="宋体"/>
                <w:b/>
                <w:bCs/>
                <w:color w:val="auto"/>
                <w:sz w:val="24"/>
                <w:szCs w:val="24"/>
                <w:highlight w:val="none"/>
              </w:rPr>
              <w:t>（投标文件中提供证明材料）</w:t>
            </w:r>
          </w:p>
          <w:p w14:paraId="3A944569">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≥12.1英寸触摸屏控制，支持多点触控功能（≥2点）；</w:t>
            </w:r>
            <w:r>
              <w:rPr>
                <w:rFonts w:hint="eastAsia" w:ascii="宋体" w:hAnsi="宋体" w:eastAsia="宋体" w:cs="宋体"/>
                <w:b/>
                <w:bCs/>
                <w:color w:val="auto"/>
                <w:sz w:val="24"/>
                <w:szCs w:val="24"/>
                <w:highlight w:val="none"/>
              </w:rPr>
              <w:t>（投标文件中提供证明材料）</w:t>
            </w:r>
          </w:p>
          <w:p w14:paraId="7A923D7B">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★3.1.4 425nm处绝对Q/E（光电转化率）值：</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70％，绝对Q/E峰值：</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75%@525nm；</w:t>
            </w:r>
            <w:r>
              <w:rPr>
                <w:rFonts w:hint="eastAsia" w:ascii="宋体" w:hAnsi="宋体" w:eastAsia="宋体" w:cs="宋体"/>
                <w:b/>
                <w:bCs/>
                <w:color w:val="auto"/>
                <w:sz w:val="24"/>
                <w:szCs w:val="24"/>
                <w:highlight w:val="none"/>
              </w:rPr>
              <w:t>（投标文件中提供证明材料）</w:t>
            </w:r>
          </w:p>
          <w:p w14:paraId="129DC36C">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CCD暗电流：</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0.002 e/p/s；CCD读出噪音：</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6 e-rms，提供弱光成像所需；</w:t>
            </w:r>
            <w:r>
              <w:rPr>
                <w:rFonts w:hint="eastAsia" w:ascii="宋体" w:hAnsi="宋体" w:eastAsia="宋体" w:cs="宋体"/>
                <w:b/>
                <w:bCs/>
                <w:color w:val="auto"/>
                <w:sz w:val="24"/>
                <w:szCs w:val="24"/>
                <w:highlight w:val="none"/>
              </w:rPr>
              <w:t>（投标文件中提供证明材料）</w:t>
            </w:r>
          </w:p>
          <w:p w14:paraId="042A121C">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  使用f/0.95快速对焦镜头，提高进光量的同时完成自动聚焦；</w:t>
            </w:r>
          </w:p>
          <w:p w14:paraId="76ACE97D">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  自动优化曝光功能，所有成像过程均保持自动对焦；</w:t>
            </w:r>
          </w:p>
          <w:p w14:paraId="5BB64ABB">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3.1.8 </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16bit数据采集（65536灰度级，4.8OD），所有样品动力学范围＞4个数量级；</w:t>
            </w:r>
          </w:p>
          <w:p w14:paraId="2E5DF1E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  智能样品托盘技术，自动识别插入的样品盘类型，选择成像功能；</w:t>
            </w:r>
          </w:p>
          <w:p w14:paraId="73EC828B">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★3.1.10 多样品托盘设计：Chemi/UV/Stain-Free样品盘（化学发光、紫外和免染样品成像）；白光样品盘（将透射紫外转换为透射白光，考染、银染及其他蛋白成像）；蓝光样品盘（SYBR等荧光染料）；</w:t>
            </w:r>
            <w:r>
              <w:rPr>
                <w:rFonts w:hint="eastAsia" w:ascii="宋体" w:hAnsi="宋体" w:eastAsia="宋体" w:cs="宋体"/>
                <w:b/>
                <w:bCs/>
                <w:color w:val="auto"/>
                <w:sz w:val="24"/>
                <w:szCs w:val="24"/>
                <w:highlight w:val="none"/>
              </w:rPr>
              <w:t>（投标文件中提供证明材料）</w:t>
            </w:r>
          </w:p>
          <w:p w14:paraId="3B8EE3E7">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3.1.11 光源：反射白光，透射紫外； </w:t>
            </w:r>
          </w:p>
          <w:p w14:paraId="2DF8F333">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★3.1.12 多色荧光通道：RGB+2IR，</w:t>
            </w:r>
            <w:r>
              <w:rPr>
                <w:rFonts w:hint="eastAsia"/>
                <w:color w:val="auto"/>
                <w:highlight w:val="none"/>
              </w:rPr>
              <w:t>≥</w:t>
            </w:r>
            <w:r>
              <w:rPr>
                <w:rFonts w:hint="eastAsia" w:ascii="宋体" w:hAnsi="宋体" w:eastAsia="宋体" w:cs="宋体"/>
                <w:color w:val="auto"/>
                <w:sz w:val="24"/>
                <w:szCs w:val="24"/>
                <w:highlight w:val="none"/>
              </w:rPr>
              <w:t>5个荧光通道；</w:t>
            </w:r>
            <w:r>
              <w:rPr>
                <w:rFonts w:hint="eastAsia" w:ascii="宋体" w:hAnsi="宋体" w:eastAsia="宋体" w:cs="宋体"/>
                <w:b/>
                <w:bCs/>
                <w:color w:val="auto"/>
                <w:sz w:val="24"/>
                <w:szCs w:val="24"/>
                <w:highlight w:val="none"/>
              </w:rPr>
              <w:t>（投标文件中提供证明材料）</w:t>
            </w:r>
          </w:p>
          <w:p w14:paraId="7C402607">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★3.1.13  多色荧光激发光源</w:t>
            </w:r>
            <w:r>
              <w:rPr>
                <w:rFonts w:hint="eastAsia" w:ascii="宋体" w:hAnsi="宋体" w:eastAsia="宋体" w:cs="宋体"/>
                <w:b/>
                <w:bCs/>
                <w:color w:val="auto"/>
                <w:sz w:val="24"/>
                <w:szCs w:val="24"/>
                <w:highlight w:val="none"/>
              </w:rPr>
              <w:t>（投标文件中提供证明材料）</w:t>
            </w:r>
            <w:r>
              <w:rPr>
                <w:rFonts w:hint="eastAsia" w:ascii="宋体" w:hAnsi="宋体" w:eastAsia="宋体" w:cs="宋体"/>
                <w:color w:val="auto"/>
                <w:sz w:val="24"/>
                <w:szCs w:val="24"/>
                <w:highlight w:val="none"/>
              </w:rPr>
              <w:t xml:space="preserve">： </w:t>
            </w:r>
          </w:p>
          <w:p w14:paraId="60D77771">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侧蓝光，460–490 nm 激发，</w:t>
            </w:r>
          </w:p>
          <w:p w14:paraId="6D1354EB">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侧绿光，520–545 nm 激发，</w:t>
            </w:r>
          </w:p>
          <w:p w14:paraId="2043812D">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侧红光，625–650 nm 激发，</w:t>
            </w:r>
          </w:p>
          <w:p w14:paraId="100B48E3">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侧远红光，650–675 nm 激发，</w:t>
            </w:r>
          </w:p>
          <w:p w14:paraId="684083CB">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侧近红外，755–777 nm 激发；</w:t>
            </w:r>
          </w:p>
          <w:p w14:paraId="28D5F7DA">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★3.1.14  多色荧光检测通道</w:t>
            </w:r>
            <w:r>
              <w:rPr>
                <w:rFonts w:hint="eastAsia" w:ascii="宋体" w:hAnsi="宋体" w:eastAsia="宋体" w:cs="宋体"/>
                <w:b/>
                <w:bCs/>
                <w:color w:val="auto"/>
                <w:sz w:val="24"/>
                <w:szCs w:val="24"/>
                <w:highlight w:val="none"/>
              </w:rPr>
              <w:t>（投标文件中提供证明材料）</w:t>
            </w:r>
            <w:r>
              <w:rPr>
                <w:rFonts w:hint="eastAsia" w:ascii="宋体" w:hAnsi="宋体" w:eastAsia="宋体" w:cs="宋体"/>
                <w:color w:val="auto"/>
                <w:sz w:val="24"/>
                <w:szCs w:val="24"/>
                <w:highlight w:val="none"/>
              </w:rPr>
              <w:t xml:space="preserve">： </w:t>
            </w:r>
          </w:p>
          <w:p w14:paraId="1C28A01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518–546 nm滤光片，用于蓝光激发染料检测，</w:t>
            </w:r>
          </w:p>
          <w:p w14:paraId="057B48D4">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577–613 nm滤光片，用于绿光激发染料检测，</w:t>
            </w:r>
          </w:p>
          <w:p w14:paraId="5E8F40CA">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675–725 nm滤光片，用于红光激发染料检测，</w:t>
            </w:r>
          </w:p>
          <w:p w14:paraId="10DC52DE">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700–730 nm滤光片，用于远红光激发染料检测，</w:t>
            </w:r>
          </w:p>
          <w:p w14:paraId="2EB31CA4">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813–860 nm滤光片，用于近红外激发染料检测；</w:t>
            </w:r>
          </w:p>
          <w:p w14:paraId="5244DB2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3.1.15  紫外光源：302nm；</w:t>
            </w:r>
          </w:p>
          <w:p w14:paraId="45E0CC26">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★3.1.16 最大成像面积</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16.8×21cm；</w:t>
            </w:r>
            <w:r>
              <w:rPr>
                <w:rFonts w:hint="eastAsia" w:ascii="宋体" w:hAnsi="宋体" w:eastAsia="宋体" w:cs="宋体"/>
                <w:b/>
                <w:bCs/>
                <w:color w:val="auto"/>
                <w:sz w:val="24"/>
                <w:szCs w:val="24"/>
                <w:highlight w:val="none"/>
              </w:rPr>
              <w:t>（投标文件中提供证明材料）</w:t>
            </w:r>
          </w:p>
          <w:p w14:paraId="35B594E6">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3.1.17  UV防护板：方便直接用紫外平台进行样品肉眼观察或切胶；</w:t>
            </w:r>
          </w:p>
          <w:p w14:paraId="17DCCBFA">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3.1.18  具备自动模式、手动模式、累积曝光模式、化学发光预览模式；</w:t>
            </w:r>
          </w:p>
          <w:p w14:paraId="56478E9B">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3.1.19  数据传输：USB及局域网；</w:t>
            </w:r>
          </w:p>
          <w:p w14:paraId="061FA57D">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3.1.20  累积曝光多次成像：可以在很长曝光时间内多次成像，且每次成像的曝光时间可以累积，从而避免反复曝光，而且用户可以挑选最中意的图像保存；</w:t>
            </w:r>
          </w:p>
          <w:p w14:paraId="78A379C7">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3.1.21  Stain-Free成像功能：可以实现样品蛋白质条带电泳结束之后直接成像，无需固定、染色和脱色；</w:t>
            </w:r>
          </w:p>
          <w:p w14:paraId="2CB35DBC">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软件功能</w:t>
            </w:r>
          </w:p>
          <w:p w14:paraId="743410F2">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触屏软件控制系统；</w:t>
            </w:r>
            <w:r>
              <w:rPr>
                <w:rFonts w:hint="eastAsia" w:ascii="宋体" w:hAnsi="宋体" w:eastAsia="宋体" w:cs="宋体"/>
                <w:b/>
                <w:bCs/>
                <w:color w:val="auto"/>
                <w:sz w:val="24"/>
                <w:szCs w:val="24"/>
                <w:highlight w:val="none"/>
              </w:rPr>
              <w:t>（投标文件中提供证明材料）</w:t>
            </w:r>
          </w:p>
          <w:p w14:paraId="767036C8">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支持多用户操作，各用户可分别设置用户名及密码，以保护数据安全；</w:t>
            </w:r>
            <w:r>
              <w:rPr>
                <w:rFonts w:hint="eastAsia" w:ascii="宋体" w:hAnsi="宋体" w:eastAsia="宋体" w:cs="宋体"/>
                <w:b/>
                <w:bCs/>
                <w:color w:val="auto"/>
                <w:sz w:val="24"/>
                <w:szCs w:val="24"/>
                <w:highlight w:val="none"/>
              </w:rPr>
              <w:t>（投标文件中提供证明材料）</w:t>
            </w:r>
          </w:p>
          <w:p w14:paraId="051EE4FE">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系统管理员功能，可定义其他用户操作权限；</w:t>
            </w:r>
          </w:p>
          <w:p w14:paraId="6A308D73">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可通过USB输出原始格式数据，及TIF、JPEG格式图片；</w:t>
            </w:r>
          </w:p>
          <w:p w14:paraId="40745922">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显示过饱和像素保证精确定量；</w:t>
            </w:r>
          </w:p>
          <w:p w14:paraId="57572273">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  电脑分析软件可对数据进行优化、定量、分析图像及报告输出；</w:t>
            </w:r>
          </w:p>
          <w:p w14:paraId="4EF787B5">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  软件可自由安装于多台电脑，同时分析；</w:t>
            </w:r>
          </w:p>
          <w:p w14:paraId="2EE90EF0">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  支持添加各种格式的文字注释；</w:t>
            </w:r>
          </w:p>
          <w:p w14:paraId="3A2E9D38">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  支持自动条带检测，自动分子量测算，自动条带浓度测算；</w:t>
            </w:r>
          </w:p>
          <w:p w14:paraId="75B39C67">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3.2.10  支持相对含量百分数分析；</w:t>
            </w:r>
          </w:p>
          <w:p w14:paraId="36450288">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3.2.11  支持绝对浓度、密度计算；</w:t>
            </w:r>
          </w:p>
          <w:p w14:paraId="4C7A31A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3.2.12  具备≥12种预设染料颜色标记显示及输出；</w:t>
            </w:r>
          </w:p>
          <w:p w14:paraId="31C9245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3.2.13  支持多幅图像合并显示并分析功能；</w:t>
            </w:r>
          </w:p>
          <w:p w14:paraId="1BDD081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3.2.14  支持报告输出：包括图像仪名称、仪器序列号、使用者姓名、成像时间、光源名称、滤光片名称、泳道图示、条带标注等；</w:t>
            </w:r>
          </w:p>
          <w:p w14:paraId="60398B68">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3.2.15  支持图像输出格式：.tif、.bmp、.png、.jpg、.mscn；</w:t>
            </w:r>
          </w:p>
          <w:p w14:paraId="1999471F">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3.2.16  支持数据输出方式：剪贴板输出、数据库输出、Excel表格式输出、PDF输出；</w:t>
            </w:r>
          </w:p>
          <w:p w14:paraId="1CBF6E16">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3.2.17  配有软件操作指南flash；</w:t>
            </w:r>
          </w:p>
          <w:p w14:paraId="3CF712B5">
            <w:pPr>
              <w:wordWrap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3.2.18  软件免费升级；</w:t>
            </w:r>
          </w:p>
          <w:p w14:paraId="490C4768">
            <w:pPr>
              <w:wordWrap w:val="0"/>
              <w:adjustRightInd w:val="0"/>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3.2.19  中文版、英文版软件自由切换。</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6087ACB8">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7DC3618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35F144F7">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进口</w:t>
            </w:r>
          </w:p>
        </w:tc>
      </w:tr>
    </w:tbl>
    <w:p w14:paraId="780291B0">
      <w:pPr>
        <w:rPr>
          <w:rFonts w:ascii="Calibri" w:hAnsi="Calibri" w:eastAsia="宋体" w:cs="Times New Roman"/>
          <w:color w:val="auto"/>
          <w:szCs w:val="24"/>
          <w:highlight w:val="none"/>
        </w:rPr>
      </w:pPr>
    </w:p>
    <w:p w14:paraId="2AC5271C">
      <w:pPr>
        <w:pStyle w:val="8"/>
        <w:spacing w:before="156" w:beforeLines="50" w:after="156" w:afterLines="50"/>
        <w:ind w:left="0" w:firstLine="640"/>
        <w:rPr>
          <w:rFonts w:hint="eastAsia" w:eastAsia="黑体"/>
          <w:color w:val="auto"/>
          <w:highlight w:val="none"/>
        </w:rPr>
      </w:pPr>
      <w:bookmarkStart w:id="17" w:name="_Toc902728931"/>
      <w:bookmarkStart w:id="18" w:name="_Toc49042126"/>
      <w:bookmarkStart w:id="19" w:name="_Toc1101062245"/>
      <w:bookmarkStart w:id="20" w:name="_Toc13384869"/>
      <w:bookmarkStart w:id="21" w:name="_Toc1520309192"/>
      <w:bookmarkStart w:id="22" w:name="_Toc1061105159_WPSOffice_Level2"/>
      <w:bookmarkStart w:id="23" w:name="_Toc1900587714"/>
      <w:bookmarkStart w:id="24" w:name="_Toc1814319857"/>
      <w:r>
        <w:rPr>
          <w:rFonts w:hint="eastAsia" w:eastAsia="黑体"/>
          <w:color w:val="auto"/>
          <w:highlight w:val="none"/>
        </w:rPr>
        <w:t>三、报价要求</w:t>
      </w:r>
      <w:bookmarkEnd w:id="17"/>
      <w:bookmarkEnd w:id="18"/>
      <w:bookmarkEnd w:id="19"/>
      <w:bookmarkEnd w:id="20"/>
      <w:bookmarkEnd w:id="21"/>
      <w:bookmarkEnd w:id="22"/>
      <w:bookmarkEnd w:id="23"/>
      <w:bookmarkEnd w:id="24"/>
    </w:p>
    <w:p w14:paraId="0D96B386">
      <w:pPr>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72955BDD">
      <w:pPr>
        <w:pStyle w:val="3"/>
        <w:ind w:firstLine="560"/>
        <w:rPr>
          <w:rFonts w:eastAsia="黑体"/>
          <w:color w:val="auto"/>
          <w:highlight w:val="none"/>
        </w:rPr>
      </w:pPr>
      <w:r>
        <w:rPr>
          <w:rFonts w:eastAsia="黑体"/>
          <w:color w:val="auto"/>
          <w:highlight w:val="none"/>
        </w:rPr>
        <w:t>四、备品备件及专用工具</w:t>
      </w:r>
    </w:p>
    <w:p w14:paraId="46DD1715">
      <w:pPr>
        <w:spacing w:line="360" w:lineRule="auto"/>
        <w:ind w:firstLine="480" w:firstLineChars="200"/>
        <w:jc w:val="left"/>
        <w:rPr>
          <w:rFonts w:ascii="宋体" w:hAnsi="宋体" w:eastAsia="宋体" w:cs="宋体"/>
          <w:color w:val="auto"/>
          <w:sz w:val="24"/>
          <w:szCs w:val="18"/>
          <w:highlight w:val="none"/>
        </w:rPr>
      </w:pPr>
      <w:bookmarkStart w:id="25" w:name="_Toc445554752"/>
      <w:bookmarkStart w:id="26" w:name="_Toc455587277"/>
      <w:bookmarkStart w:id="27" w:name="_Toc455587093"/>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6418A764">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25"/>
    <w:bookmarkEnd w:id="26"/>
    <w:bookmarkEnd w:id="27"/>
    <w:p w14:paraId="6CE57078">
      <w:pPr>
        <w:pStyle w:val="3"/>
        <w:ind w:firstLine="560"/>
        <w:rPr>
          <w:rFonts w:eastAsia="黑体"/>
          <w:color w:val="auto"/>
          <w:highlight w:val="none"/>
        </w:rPr>
      </w:pPr>
      <w:bookmarkStart w:id="28" w:name="_Toc532199625"/>
      <w:bookmarkStart w:id="29" w:name="_Toc455587278"/>
      <w:bookmarkStart w:id="30" w:name="_Toc455587094"/>
      <w:bookmarkStart w:id="31" w:name="_Toc445554753"/>
      <w:r>
        <w:rPr>
          <w:rFonts w:hint="eastAsia" w:eastAsia="黑体"/>
          <w:color w:val="auto"/>
          <w:highlight w:val="none"/>
          <w:lang w:eastAsia="zh-CN"/>
        </w:rPr>
        <w:t>五</w:t>
      </w:r>
      <w:r>
        <w:rPr>
          <w:rFonts w:eastAsia="黑体"/>
          <w:color w:val="auto"/>
          <w:highlight w:val="none"/>
        </w:rPr>
        <w:t>、安装调试、验收试验及质量保证</w:t>
      </w:r>
      <w:bookmarkEnd w:id="28"/>
    </w:p>
    <w:p w14:paraId="6BA590B5">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2987AEA4">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64D0F6AE">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4AA8E857">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1894337">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1D9BFE19">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6CEE07E8">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079078D0">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187AE24">
      <w:pPr>
        <w:pStyle w:val="3"/>
        <w:ind w:firstLine="560"/>
        <w:rPr>
          <w:rFonts w:eastAsia="黑体"/>
          <w:color w:val="auto"/>
          <w:highlight w:val="none"/>
        </w:rPr>
      </w:pPr>
      <w:bookmarkStart w:id="32" w:name="_Toc532199626"/>
      <w:r>
        <w:rPr>
          <w:rFonts w:eastAsia="黑体"/>
          <w:color w:val="auto"/>
          <w:highlight w:val="none"/>
        </w:rPr>
        <w:t>六、包装运输</w:t>
      </w:r>
      <w:bookmarkEnd w:id="29"/>
      <w:bookmarkEnd w:id="30"/>
      <w:bookmarkEnd w:id="31"/>
      <w:bookmarkEnd w:id="32"/>
    </w:p>
    <w:p w14:paraId="522E2F6D">
      <w:pPr>
        <w:spacing w:line="360" w:lineRule="auto"/>
        <w:ind w:firstLine="480" w:firstLineChars="200"/>
        <w:jc w:val="left"/>
        <w:rPr>
          <w:rFonts w:ascii="宋体" w:hAnsi="宋体" w:eastAsia="宋体" w:cs="宋体"/>
          <w:color w:val="auto"/>
          <w:sz w:val="24"/>
          <w:szCs w:val="18"/>
          <w:highlight w:val="none"/>
        </w:rPr>
      </w:pPr>
      <w:bookmarkStart w:id="33" w:name="_Toc455587279"/>
      <w:bookmarkStart w:id="34" w:name="_Toc455587095"/>
      <w:bookmarkStart w:id="35" w:name="_Toc445554754"/>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3886492C">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5C601AEA">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489C94B1">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66F22240">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320268EB">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2C360A24">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20C19FD4">
      <w:pPr>
        <w:pStyle w:val="3"/>
        <w:ind w:firstLine="560"/>
        <w:rPr>
          <w:rFonts w:eastAsia="黑体"/>
          <w:color w:val="auto"/>
          <w:highlight w:val="none"/>
        </w:rPr>
      </w:pPr>
      <w:bookmarkStart w:id="36" w:name="_Toc532199627"/>
      <w:r>
        <w:rPr>
          <w:rFonts w:hint="eastAsia" w:eastAsia="黑体"/>
          <w:color w:val="auto"/>
          <w:highlight w:val="none"/>
          <w:lang w:eastAsia="zh-CN"/>
        </w:rPr>
        <w:t>七</w:t>
      </w:r>
      <w:r>
        <w:rPr>
          <w:rFonts w:eastAsia="黑体"/>
          <w:color w:val="auto"/>
          <w:highlight w:val="none"/>
        </w:rPr>
        <w:t>、技术培训</w:t>
      </w:r>
      <w:bookmarkEnd w:id="33"/>
      <w:bookmarkEnd w:id="34"/>
      <w:bookmarkEnd w:id="35"/>
      <w:bookmarkEnd w:id="36"/>
    </w:p>
    <w:p w14:paraId="61D2ECDB">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6290762C">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653E2802">
      <w:pPr>
        <w:pStyle w:val="3"/>
        <w:ind w:firstLine="560"/>
        <w:rPr>
          <w:rFonts w:eastAsia="黑体"/>
          <w:color w:val="auto"/>
          <w:highlight w:val="none"/>
        </w:rPr>
      </w:pPr>
      <w:bookmarkStart w:id="37" w:name="_Toc532199628"/>
      <w:r>
        <w:rPr>
          <w:rFonts w:hint="eastAsia" w:eastAsia="黑体"/>
          <w:color w:val="auto"/>
          <w:highlight w:val="none"/>
          <w:lang w:eastAsia="zh-CN"/>
        </w:rPr>
        <w:t>八</w:t>
      </w:r>
      <w:r>
        <w:rPr>
          <w:rFonts w:eastAsia="黑体"/>
          <w:color w:val="auto"/>
          <w:highlight w:val="none"/>
        </w:rPr>
        <w:t>、质保及售后服务</w:t>
      </w:r>
      <w:bookmarkStart w:id="38" w:name="_GoBack"/>
      <w:bookmarkEnd w:id="38"/>
    </w:p>
    <w:p w14:paraId="21E084F0">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2429035C">
      <w:pPr>
        <w:spacing w:line="360" w:lineRule="auto"/>
        <w:ind w:firstLine="480" w:firstLineChars="200"/>
        <w:jc w:val="left"/>
        <w:rPr>
          <w:rFonts w:ascii="宋体" w:hAnsi="宋体" w:eastAsia="宋体"/>
          <w:b/>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72A07241">
      <w:pPr>
        <w:spacing w:line="360" w:lineRule="auto"/>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353798-2788-453E-B3C8-09B702377C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8AC819-F981-4C6B-BF21-E7AFF1D87E4E}"/>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782629EC-B6DB-4F22-8064-17A7A08A8604}"/>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91AD8F89-30E6-4C8B-850C-FFADCBD25F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14752"/>
    <w:rsid w:val="114526F4"/>
    <w:rsid w:val="2A11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Body Text First Indent 2"/>
    <w:basedOn w:val="4"/>
    <w:next w:val="7"/>
    <w:unhideWhenUsed/>
    <w:uiPriority w:val="99"/>
    <w:pPr>
      <w:ind w:left="420" w:firstLine="420" w:firstLineChars="200"/>
    </w:pPr>
    <w:rPr>
      <w:rFonts w:ascii="Times New Roman" w:cs="Times New Roman"/>
    </w:rPr>
  </w:style>
  <w:style w:type="table" w:styleId="10">
    <w:name w:val="Table Grid"/>
    <w:basedOn w:val="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2512</Words>
  <Characters>2843</Characters>
  <Lines>0</Lines>
  <Paragraphs>0</Paragraphs>
  <TotalTime>0</TotalTime>
  <ScaleCrop>false</ScaleCrop>
  <LinksUpToDate>false</LinksUpToDate>
  <CharactersWithSpaces>2932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2025-10-14T08:19:00Z</dcterms:created>
  <dc:creator>xmy</dc:creator>
  <cp:lastModifiedBy>xmy</cp:lastModifiedBy>
  <dcterms:modified xsi:type="dcterms:W3CDTF">2025-10-14T09:28:35Z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01DDCE971D184AA0BA0D48AECC3D275B_11</vt:lpwstr>
  </property>
  <property fmtid="{D5CDD505-2E9C-101B-9397-08002B2CF9AE}" pid="4" name="KSOTemplateDocerSaveRecord">
    <vt:lpwstr>eyJoZGlkIjoiZWJjNjZmNTVkZTA2MzRiMTE5NTEwNzk1MzVhYWVkYTQiLCJ1c2VySWQiOiIzMjQ4MTEwODkifQ==</vt:lpwstr>
  </property>
</Properties>
</file>