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D8F10">
      <w:pPr>
        <w:pStyle w:val="2"/>
        <w:widowControl/>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1A2CD4E5">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2536F24C">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0B1007B6">
      <w:pPr>
        <w:pStyle w:val="10"/>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364CB7C7">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40B5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4FF81E07">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3AC3E35C">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3AE8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60FF23A1">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73CD5B3B">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2DC3BE1C">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651C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2C896B1E">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66083D7A">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028AEA02">
            <w:pPr>
              <w:pStyle w:val="11"/>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7832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2C119F0">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670A3BF2">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78675CF7">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5ADA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9015F38">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48F7C1DE">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6EDF2B5B">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143CDC27">
      <w:pPr>
        <w:spacing w:line="360" w:lineRule="auto"/>
        <w:rPr>
          <w:rFonts w:hint="eastAsia" w:ascii="仿宋" w:hAnsi="仿宋" w:eastAsia="仿宋" w:cs="仿宋"/>
          <w:b/>
          <w:color w:val="000000"/>
          <w:sz w:val="24"/>
          <w:highlight w:val="none"/>
        </w:rPr>
      </w:pPr>
    </w:p>
    <w:p w14:paraId="7B53C38D">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240CB156">
      <w:pPr>
        <w:pStyle w:val="5"/>
        <w:rPr>
          <w:rFonts w:hint="eastAsia" w:ascii="仿宋" w:hAnsi="仿宋" w:eastAsia="仿宋" w:cs="仿宋"/>
          <w:b/>
          <w:sz w:val="24"/>
          <w:highlight w:val="none"/>
        </w:rPr>
      </w:pPr>
    </w:p>
    <w:p w14:paraId="48076F69">
      <w:pPr>
        <w:pStyle w:val="5"/>
        <w:rPr>
          <w:rFonts w:hint="eastAsia" w:ascii="仿宋" w:hAnsi="仿宋" w:eastAsia="仿宋" w:cs="仿宋"/>
          <w:b/>
          <w:sz w:val="24"/>
          <w:highlight w:val="none"/>
        </w:rPr>
      </w:pPr>
    </w:p>
    <w:p w14:paraId="23D367F2">
      <w:pPr>
        <w:pStyle w:val="5"/>
        <w:rPr>
          <w:rFonts w:hint="eastAsia" w:ascii="仿宋" w:hAnsi="仿宋" w:eastAsia="仿宋" w:cs="仿宋"/>
          <w:b/>
          <w:sz w:val="24"/>
          <w:highlight w:val="none"/>
        </w:rPr>
      </w:pPr>
    </w:p>
    <w:p w14:paraId="1A7DA835">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376610EA">
      <w:pPr>
        <w:pStyle w:val="4"/>
        <w:ind w:firstLine="0" w:firstLineChars="0"/>
        <w:rPr>
          <w:b/>
          <w:bCs/>
          <w:highlight w:val="none"/>
          <w:lang w:val="zh-CN"/>
        </w:rPr>
      </w:pPr>
    </w:p>
    <w:p w14:paraId="6C00C9DB">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4498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2211" w:type="dxa"/>
            <w:noWrap w:val="0"/>
            <w:vAlign w:val="center"/>
          </w:tcPr>
          <w:p w14:paraId="64C90022">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7FCC8B82">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10BAED42">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2BEE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258F0063">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1F8843F2">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58F3F5FE">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241D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49A9175">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0B06D38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21E15012">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480D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03774EA5">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07B273C6">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4E493C1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设备用途：用于神经外科开颅手术</w:t>
      </w:r>
    </w:p>
    <w:p w14:paraId="1D928D6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1、动力主机：</w:t>
      </w:r>
    </w:p>
    <w:p w14:paraId="4BB205F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 彩色液晶屏显示；触摸屏控制；双马达接口；马达自动识别功能；术前可设定不同参数；实时显示马达钻速、转动方向</w:t>
      </w:r>
    </w:p>
    <w:p w14:paraId="72F1B74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 多语言选择，图形化操作界面</w:t>
      </w:r>
    </w:p>
    <w:p w14:paraId="10E83E4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 可调节转速控制，满足不同入路需求</w:t>
      </w:r>
    </w:p>
    <w:p w14:paraId="6F228C2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 安全保护型冲洗泵功能，马达停止后冲洗泵可自动停止</w:t>
      </w:r>
    </w:p>
    <w:p w14:paraId="256C380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 常用使用参数可储存</w:t>
      </w:r>
    </w:p>
    <w:p w14:paraId="455AF61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1.6 一键式恢复出厂设置</w:t>
      </w:r>
    </w:p>
    <w:p w14:paraId="0EFFA18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1.7 单一主机兼容≥12种手柄</w:t>
      </w:r>
    </w:p>
    <w:p w14:paraId="06952B1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1.8 整机提供动力手柄马达数量≥3个</w:t>
      </w:r>
    </w:p>
    <w:p w14:paraId="01466F5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2、脚踏开关：</w:t>
      </w:r>
    </w:p>
    <w:p w14:paraId="06FE0B8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 单脚踏开关</w:t>
      </w:r>
    </w:p>
    <w:p w14:paraId="39FFDFB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 防水设计</w:t>
      </w:r>
    </w:p>
    <w:p w14:paraId="6569D70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 可调节马达转动方向</w:t>
      </w:r>
    </w:p>
    <w:p w14:paraId="4B04061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3、主机－马达连接电缆：</w:t>
      </w:r>
    </w:p>
    <w:p w14:paraId="4E92621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3.1 全不锈钢接口</w:t>
      </w:r>
    </w:p>
    <w:p w14:paraId="7D19076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w:t>
      </w: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 xml:space="preserve"> 具备“开启/停止”的安全开关，可防止马达手柄误启动</w:t>
      </w:r>
    </w:p>
    <w:p w14:paraId="5E3EC09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w:t>
      </w: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允许使用清洁剂清洁表面；可高温高压灭菌。</w:t>
      </w:r>
    </w:p>
    <w:p w14:paraId="568E7B9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4、磨钻手柄：</w:t>
      </w:r>
    </w:p>
    <w:p w14:paraId="6C96952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★4.1 最高转速≥60000转/分钟</w:t>
      </w:r>
    </w:p>
    <w:p w14:paraId="01CB601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4.2手柄与马达一体式设计</w:t>
      </w:r>
    </w:p>
    <w:p w14:paraId="49C797C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4.3 最轻的手柄与马达总计重量≤80克</w:t>
      </w:r>
    </w:p>
    <w:p w14:paraId="173E258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4.4 可高温高压灭菌</w:t>
      </w:r>
    </w:p>
    <w:p w14:paraId="52EA886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4.5 同一根电缆可兼容所有一体式设计磨钻手柄，手术时无需更换</w:t>
      </w:r>
    </w:p>
    <w:p w14:paraId="0F9EE06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5、多功能手柄（铣刀直型二合一手柄）：</w:t>
      </w:r>
    </w:p>
    <w:p w14:paraId="277798E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★5.1 最高转速≥60000转/分钟</w:t>
      </w:r>
    </w:p>
    <w:p w14:paraId="26F73C5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5.2 可高温高压灭菌</w:t>
      </w:r>
    </w:p>
    <w:p w14:paraId="15D2A52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6、显微手柄：</w:t>
      </w:r>
    </w:p>
    <w:p w14:paraId="1614151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★6.1最高转速≥60000转/分钟</w:t>
      </w:r>
    </w:p>
    <w:p w14:paraId="104AE79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6.2 可搭配≥3种弧度连接套管供临床选择</w:t>
      </w:r>
    </w:p>
    <w:p w14:paraId="3E1EA99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6.3 可高温高压灭菌</w:t>
      </w:r>
    </w:p>
    <w:p w14:paraId="57D9DE8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7、铣刀片：</w:t>
      </w:r>
    </w:p>
    <w:p w14:paraId="5EAD289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7.1 具备明显标识，方便迅速识别并找到配套附件</w:t>
      </w:r>
    </w:p>
    <w:p w14:paraId="0C650D6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7.2 不锈钢材质</w:t>
      </w:r>
    </w:p>
    <w:p w14:paraId="18E0196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7.3 可高温高压灭菌</w:t>
      </w:r>
    </w:p>
    <w:p w14:paraId="03CF31F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★7.4 具备可重复性使用设计或一次性使用设计磨头供临床选择</w:t>
      </w:r>
    </w:p>
    <w:p w14:paraId="2B43621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8、磨钻头：</w:t>
      </w:r>
    </w:p>
    <w:p w14:paraId="74D1453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8.1 可选西瓜磨头、金刚砂磨头、粗糙金刚砂磨头、特粗糙金刚砂磨头、桶状磨头、锥形磨头等</w:t>
      </w:r>
    </w:p>
    <w:p w14:paraId="3212A5D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★8.2 具备可重复性使用设计或一次性使用设计磨头供临床选择</w:t>
      </w:r>
    </w:p>
    <w:p w14:paraId="4425B3E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8.3 可高温高压灭菌。</w:t>
      </w:r>
    </w:p>
    <w:p w14:paraId="0054B04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9、磨钻头及铣刀片等易损件清单须单独报价</w:t>
      </w:r>
    </w:p>
    <w:p w14:paraId="021EEE2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 </w:t>
      </w:r>
    </w:p>
    <w:p w14:paraId="60D72021">
      <w:pPr>
        <w:wordWrap w:val="0"/>
        <w:spacing w:line="360" w:lineRule="auto"/>
        <w:rPr>
          <w:rFonts w:hint="eastAsia" w:ascii="仿宋" w:hAnsi="仿宋" w:eastAsia="仿宋" w:cs="仿宋"/>
          <w:b/>
          <w:bCs/>
          <w:sz w:val="24"/>
          <w:highlight w:val="none"/>
        </w:rPr>
      </w:pPr>
    </w:p>
    <w:p w14:paraId="3F91E185">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仿宋" w:hAnsi="仿宋" w:eastAsia="仿宋" w:cs="仿宋"/>
          <w:b/>
          <w:bCs/>
          <w:kern w:val="44"/>
          <w:sz w:val="24"/>
          <w:szCs w:val="24"/>
          <w:highlight w:val="none"/>
          <w:lang w:val="en-US" w:eastAsia="zh-CN" w:bidi="ar-SA"/>
        </w:rPr>
        <w:t>其他配套要求：</w:t>
      </w:r>
    </w:p>
    <w:p w14:paraId="23A1562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3688A34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w:t>
      </w: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年以上零部件供应期，并对设备故障等突发状况及时响应。</w:t>
      </w:r>
    </w:p>
    <w:p w14:paraId="381EC72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51D1E9B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5E0C7A1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3C942AA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622241C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6730A95C">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35E63659">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713922D3">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7FBD46F7">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33B1621B">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25786D24">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20D5AAE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2ECA3D0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48A786D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35D9824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17861AD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599F5F4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509C4A5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6C2032C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2ADD617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0485F595">
      <w:pPr>
        <w:pStyle w:val="2"/>
        <w:widowControl/>
        <w:spacing w:before="0" w:after="0" w:line="360" w:lineRule="auto"/>
        <w:jc w:val="both"/>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1.</w:t>
      </w:r>
      <w:r>
        <w:rPr>
          <w:rFonts w:hint="eastAsia" w:ascii="仿宋" w:hAnsi="仿宋" w:eastAsia="仿宋" w:cs="仿宋"/>
          <w:b w:val="0"/>
          <w:bCs w:val="0"/>
          <w:color w:val="000000"/>
          <w:kern w:val="0"/>
          <w:sz w:val="24"/>
          <w:szCs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2BC09F0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4B7137F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6CFA9EA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4BCBA57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F480B8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27979925">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4574A"/>
    <w:rsid w:val="1BF94621"/>
    <w:rsid w:val="27AB20EC"/>
    <w:rsid w:val="2F1C44AE"/>
    <w:rsid w:val="3049057C"/>
    <w:rsid w:val="35834B83"/>
    <w:rsid w:val="45E32D76"/>
    <w:rsid w:val="4907037C"/>
    <w:rsid w:val="54F00FAF"/>
    <w:rsid w:val="7BF50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3525</Words>
  <Characters>3837</Characters>
  <Lines>0</Lines>
  <Paragraphs>0</Paragraphs>
  <TotalTime>0</TotalTime>
  <ScaleCrop>false</ScaleCrop>
  <LinksUpToDate>false</LinksUpToDate>
  <CharactersWithSpaces>3901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2025-11-26T09:02:15Z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