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25645">
      <w:pPr>
        <w:pStyle w:val="2"/>
        <w:widowControl/>
        <w:snapToGrid w:val="0"/>
        <w:spacing w:before="0" w:after="0" w:line="360" w:lineRule="auto"/>
        <w:jc w:val="center"/>
        <w:rPr>
          <w:rFonts w:hint="eastAsia" w:ascii="宋体" w:hAnsi="宋体"/>
          <w:color w:val="000000"/>
        </w:rPr>
      </w:pPr>
      <w:bookmarkStart w:id="0" w:name="_Toc23330"/>
      <w:r>
        <w:rPr>
          <w:rFonts w:hint="eastAsia" w:ascii="宋体" w:hAnsi="宋体"/>
          <w:color w:val="000000"/>
        </w:rPr>
        <w:t>第三章  采购需求及技术规格要求</w:t>
      </w:r>
      <w:bookmarkEnd w:id="0"/>
    </w:p>
    <w:p w14:paraId="75F3DE33">
      <w:pPr>
        <w:pStyle w:val="3"/>
        <w:spacing w:before="0" w:after="0" w:line="360" w:lineRule="auto"/>
        <w:rPr>
          <w:rStyle w:val="11"/>
          <w:rFonts w:ascii="宋体" w:hAnsi="宋体" w:eastAsia="仿宋"/>
          <w:b/>
          <w:bCs/>
          <w:sz w:val="24"/>
          <w:szCs w:val="24"/>
        </w:rPr>
      </w:pPr>
      <w:bookmarkStart w:id="1" w:name="_Toc466024556"/>
      <w:bookmarkStart w:id="2" w:name="_Toc455587089"/>
      <w:bookmarkStart w:id="3" w:name="_Toc455587273"/>
      <w:r>
        <w:rPr>
          <w:rStyle w:val="11"/>
          <w:rFonts w:hint="eastAsia" w:ascii="仿宋" w:hAnsi="仿宋" w:eastAsia="仿宋" w:cs="仿宋"/>
          <w:b/>
          <w:bCs/>
          <w:sz w:val="24"/>
          <w:szCs w:val="24"/>
        </w:rPr>
        <w:t xml:space="preserve">1. </w:t>
      </w:r>
      <w:bookmarkEnd w:id="1"/>
      <w:bookmarkEnd w:id="2"/>
      <w:bookmarkEnd w:id="3"/>
      <w:r>
        <w:rPr>
          <w:rStyle w:val="11"/>
          <w:rFonts w:hint="eastAsia" w:ascii="仿宋" w:hAnsi="仿宋" w:eastAsia="仿宋" w:cs="仿宋"/>
          <w:b/>
          <w:bCs/>
          <w:sz w:val="24"/>
          <w:szCs w:val="24"/>
        </w:rPr>
        <w:t>总</w:t>
      </w:r>
      <w:r>
        <w:rPr>
          <w:rStyle w:val="11"/>
          <w:rFonts w:hint="eastAsia" w:ascii="宋体" w:hAnsi="宋体" w:eastAsia="仿宋"/>
          <w:b/>
          <w:bCs/>
          <w:sz w:val="24"/>
          <w:szCs w:val="24"/>
        </w:rPr>
        <w:t>体说明</w:t>
      </w:r>
    </w:p>
    <w:p w14:paraId="06C7E3D1">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1A78CC10">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1.2 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仿宋" w:hAnsi="仿宋" w:eastAsia="仿宋" w:cs="仿宋"/>
          <w:color w:val="000000"/>
          <w:sz w:val="24"/>
        </w:rPr>
        <w:cr/>
      </w:r>
      <w:r>
        <w:rPr>
          <w:rFonts w:hint="eastAsia" w:ascii="仿宋" w:hAnsi="仿宋" w:eastAsia="仿宋" w:cs="仿宋"/>
          <w:color w:val="000000"/>
          <w:sz w:val="24"/>
        </w:rPr>
        <w:t xml:space="preserve">   1.3 投标供应商应当在投标文件中列出完成本项目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45F53A13">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1.4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2A031DD8">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1.6 除非有特别说明，本章中所列的具体参数或参数范围，均理解为采购人可接受的最低要求。</w:t>
      </w:r>
    </w:p>
    <w:p w14:paraId="66CD0F3F">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1.7采购需求如包含属于《节能产品政府采购品目清单》中政府强制采购的节能产品， 则投标人所投产品须具有市场监管总局公布的《参与实施政府采购节能产品认证机构目录》中的认证机构出具的、处于有效期内的节能（节水）产品认证证书。</w:t>
      </w:r>
    </w:p>
    <w:p w14:paraId="357900BE">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1.8 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B1E0F38">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1.9标注“▲”的产品为主要标的（包括核心产品），核心产品的名称、品牌、规格型号、数量、单价等将予以公布。</w:t>
      </w:r>
    </w:p>
    <w:p w14:paraId="1AB87EDF">
      <w:pPr>
        <w:widowControl/>
        <w:tabs>
          <w:tab w:val="left" w:pos="1406"/>
        </w:tabs>
        <w:snapToGrid w:val="0"/>
        <w:spacing w:line="360" w:lineRule="auto"/>
        <w:rPr>
          <w:rFonts w:hint="eastAsia" w:ascii="仿宋" w:hAnsi="仿宋" w:eastAsia="仿宋" w:cs="仿宋"/>
          <w:color w:val="000000"/>
          <w:sz w:val="24"/>
        </w:rPr>
      </w:pPr>
    </w:p>
    <w:p w14:paraId="6526DB2A">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2. 采购内容及范围</w:t>
      </w:r>
    </w:p>
    <w:p w14:paraId="46F4FC50">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2.1 采购内容</w:t>
      </w:r>
    </w:p>
    <w:tbl>
      <w:tblPr>
        <w:tblStyle w:val="9"/>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4579"/>
        <w:gridCol w:w="981"/>
        <w:gridCol w:w="1060"/>
        <w:gridCol w:w="1173"/>
        <w:gridCol w:w="1218"/>
      </w:tblGrid>
      <w:tr w14:paraId="390B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1" w:type="dxa"/>
            <w:noWrap w:val="0"/>
            <w:vAlign w:val="center"/>
          </w:tcPr>
          <w:p w14:paraId="48F0E37F">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包号</w:t>
            </w:r>
          </w:p>
        </w:tc>
        <w:tc>
          <w:tcPr>
            <w:tcW w:w="4579" w:type="dxa"/>
            <w:noWrap w:val="0"/>
            <w:vAlign w:val="center"/>
          </w:tcPr>
          <w:p w14:paraId="4F32FA19">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标的名称</w:t>
            </w:r>
          </w:p>
        </w:tc>
        <w:tc>
          <w:tcPr>
            <w:tcW w:w="981" w:type="dxa"/>
            <w:noWrap w:val="0"/>
            <w:vAlign w:val="center"/>
          </w:tcPr>
          <w:p w14:paraId="2FB01F45">
            <w:pPr>
              <w:widowControl/>
              <w:jc w:val="center"/>
              <w:rPr>
                <w:rFonts w:hint="eastAsia" w:ascii="仿宋" w:hAnsi="仿宋" w:eastAsia="仿宋" w:cs="仿宋"/>
                <w:color w:val="000000"/>
                <w:sz w:val="24"/>
              </w:rPr>
            </w:pPr>
            <w:r>
              <w:rPr>
                <w:rFonts w:ascii="仿宋" w:hAnsi="仿宋" w:eastAsia="仿宋" w:cs="仿宋"/>
                <w:color w:val="000000"/>
                <w:kern w:val="0"/>
                <w:sz w:val="24"/>
                <w:lang w:bidi="ar"/>
              </w:rPr>
              <w:t>单位</w:t>
            </w:r>
          </w:p>
        </w:tc>
        <w:tc>
          <w:tcPr>
            <w:tcW w:w="1060" w:type="dxa"/>
            <w:noWrap w:val="0"/>
            <w:vAlign w:val="center"/>
          </w:tcPr>
          <w:p w14:paraId="489D6672">
            <w:pPr>
              <w:widowControl/>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kern w:val="0"/>
                <w:sz w:val="24"/>
                <w:lang w:bidi="ar"/>
              </w:rPr>
              <w:t>数量</w:t>
            </w:r>
          </w:p>
        </w:tc>
        <w:tc>
          <w:tcPr>
            <w:tcW w:w="1173" w:type="dxa"/>
            <w:noWrap w:val="0"/>
            <w:vAlign w:val="center"/>
          </w:tcPr>
          <w:p w14:paraId="549151D6">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所属行业</w:t>
            </w:r>
          </w:p>
        </w:tc>
        <w:tc>
          <w:tcPr>
            <w:tcW w:w="1218" w:type="dxa"/>
            <w:noWrap w:val="0"/>
            <w:vAlign w:val="center"/>
          </w:tcPr>
          <w:p w14:paraId="6CCFF850">
            <w:pPr>
              <w:widowControl/>
              <w:spacing w:line="360" w:lineRule="auto"/>
              <w:jc w:val="center"/>
              <w:outlineLvl w:val="1"/>
              <w:rPr>
                <w:rFonts w:ascii="仿宋" w:hAnsi="仿宋" w:eastAsia="仿宋" w:cs="仿宋"/>
                <w:color w:val="000000"/>
                <w:kern w:val="0"/>
                <w:sz w:val="24"/>
                <w:lang w:bidi="ar"/>
              </w:rPr>
            </w:pPr>
            <w:r>
              <w:rPr>
                <w:rFonts w:ascii="仿宋" w:hAnsi="仿宋" w:eastAsia="仿宋" w:cs="仿宋"/>
                <w:color w:val="000000"/>
                <w:kern w:val="0"/>
                <w:sz w:val="24"/>
                <w:lang w:bidi="ar"/>
              </w:rPr>
              <w:t>是否接受进口</w:t>
            </w:r>
          </w:p>
        </w:tc>
      </w:tr>
      <w:tr w14:paraId="2889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1" w:type="dxa"/>
            <w:noWrap w:val="0"/>
            <w:vAlign w:val="center"/>
          </w:tcPr>
          <w:p w14:paraId="5694B2FD">
            <w:pPr>
              <w:keepNext/>
              <w:keepLines/>
              <w:spacing w:line="360" w:lineRule="auto"/>
              <w:jc w:val="center"/>
              <w:outlineLvl w:val="1"/>
              <w:rPr>
                <w:rFonts w:ascii="仿宋" w:hAnsi="仿宋" w:eastAsia="仿宋" w:cs="仿宋"/>
                <w:color w:val="000000"/>
                <w:sz w:val="24"/>
              </w:rPr>
            </w:pPr>
            <w:r>
              <w:rPr>
                <w:rFonts w:hint="eastAsia" w:ascii="仿宋" w:hAnsi="仿宋" w:eastAsia="仿宋" w:cs="仿宋"/>
                <w:color w:val="000000"/>
                <w:sz w:val="24"/>
              </w:rPr>
              <w:t>6</w:t>
            </w:r>
          </w:p>
        </w:tc>
        <w:tc>
          <w:tcPr>
            <w:tcW w:w="4579" w:type="dxa"/>
            <w:noWrap w:val="0"/>
            <w:vAlign w:val="center"/>
          </w:tcPr>
          <w:p w14:paraId="52FB5FA8">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kern w:val="0"/>
                <w:sz w:val="24"/>
                <w:lang w:bidi="ar"/>
              </w:rPr>
              <w:t>高端心脏彩色多普勒超声诊断仪</w:t>
            </w:r>
          </w:p>
        </w:tc>
        <w:tc>
          <w:tcPr>
            <w:tcW w:w="981" w:type="dxa"/>
            <w:noWrap w:val="0"/>
            <w:vAlign w:val="center"/>
          </w:tcPr>
          <w:p w14:paraId="04750F9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台</w:t>
            </w:r>
          </w:p>
        </w:tc>
        <w:tc>
          <w:tcPr>
            <w:tcW w:w="1060" w:type="dxa"/>
            <w:noWrap w:val="0"/>
            <w:vAlign w:val="center"/>
          </w:tcPr>
          <w:p w14:paraId="4918C53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173" w:type="dxa"/>
            <w:noWrap w:val="0"/>
            <w:vAlign w:val="center"/>
          </w:tcPr>
          <w:p w14:paraId="70CC290B">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工业</w:t>
            </w:r>
          </w:p>
        </w:tc>
        <w:tc>
          <w:tcPr>
            <w:tcW w:w="1218" w:type="dxa"/>
            <w:noWrap w:val="0"/>
            <w:vAlign w:val="center"/>
          </w:tcPr>
          <w:p w14:paraId="6D6E5A8A">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否</w:t>
            </w:r>
          </w:p>
        </w:tc>
      </w:tr>
    </w:tbl>
    <w:p w14:paraId="6EF08321">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2.2 采购范围</w:t>
      </w:r>
    </w:p>
    <w:p w14:paraId="0CC70137">
      <w:pPr>
        <w:keepNext/>
        <w:keepLines/>
        <w:spacing w:line="360" w:lineRule="auto"/>
        <w:ind w:firstLine="480" w:firstLineChars="200"/>
        <w:outlineLvl w:val="1"/>
        <w:rPr>
          <w:rFonts w:hint="eastAsia" w:ascii="仿宋" w:hAnsi="仿宋" w:eastAsia="仿宋"/>
          <w:sz w:val="24"/>
        </w:rPr>
      </w:pPr>
      <w:r>
        <w:rPr>
          <w:rFonts w:hint="eastAsia" w:ascii="仿宋" w:hAnsi="仿宋" w:eastAsia="仿宋"/>
          <w:sz w:val="24"/>
        </w:rPr>
        <w:t>包括所有货物的供货、包装运输（包括卸车及就位至采购人指定的安装地点）、安装、调试、技术服务、培训、售后服务等所有内容。</w:t>
      </w:r>
    </w:p>
    <w:p w14:paraId="48119EC9">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3.商务条款</w:t>
      </w:r>
    </w:p>
    <w:p w14:paraId="761465B3">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除非有特别说明，本条为实质性要求。</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20"/>
        <w:gridCol w:w="8480"/>
      </w:tblGrid>
      <w:tr w14:paraId="6CF6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57" w:type="dxa"/>
            <w:noWrap w:val="0"/>
            <w:vAlign w:val="center"/>
          </w:tcPr>
          <w:p w14:paraId="74153D52">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9300" w:type="dxa"/>
            <w:gridSpan w:val="2"/>
            <w:noWrap w:val="0"/>
            <w:vAlign w:val="center"/>
          </w:tcPr>
          <w:p w14:paraId="1155A2A1">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19C6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03630A62">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820" w:type="dxa"/>
            <w:noWrap w:val="0"/>
            <w:vAlign w:val="center"/>
          </w:tcPr>
          <w:p w14:paraId="1AE9044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交付（实施）的时间（期限）</w:t>
            </w:r>
          </w:p>
        </w:tc>
        <w:tc>
          <w:tcPr>
            <w:tcW w:w="8480" w:type="dxa"/>
            <w:noWrap w:val="0"/>
            <w:vAlign w:val="center"/>
          </w:tcPr>
          <w:p w14:paraId="74AD3C7F">
            <w:pPr>
              <w:widowControl/>
              <w:adjustRightInd w:val="0"/>
              <w:snapToGrid w:val="0"/>
              <w:spacing w:line="288" w:lineRule="auto"/>
              <w:rPr>
                <w:rFonts w:ascii="仿宋" w:hAnsi="仿宋" w:eastAsia="仿宋" w:cs="仿宋"/>
                <w:bCs/>
                <w:color w:val="000000"/>
                <w:sz w:val="24"/>
              </w:rPr>
            </w:pPr>
            <w:r>
              <w:rPr>
                <w:rFonts w:hint="eastAsia" w:ascii="仿宋" w:hAnsi="仿宋" w:eastAsia="仿宋" w:cs="仿宋"/>
                <w:bCs/>
                <w:color w:val="000000"/>
                <w:sz w:val="24"/>
              </w:rPr>
              <w:t>合同签订生效后，接采购人通知后60个日历天内完成供货安装调试。</w:t>
            </w:r>
          </w:p>
          <w:p w14:paraId="47820748">
            <w:pPr>
              <w:widowControl/>
              <w:adjustRightInd w:val="0"/>
              <w:snapToGrid w:val="0"/>
              <w:spacing w:line="288" w:lineRule="auto"/>
              <w:rPr>
                <w:rFonts w:hint="eastAsia" w:ascii="仿宋" w:hAnsi="仿宋" w:eastAsia="仿宋" w:cs="仿宋"/>
                <w:bCs/>
                <w:color w:val="000000"/>
                <w:sz w:val="24"/>
              </w:rPr>
            </w:pPr>
            <w:r>
              <w:rPr>
                <w:rFonts w:hint="eastAsia" w:ascii="仿宋" w:hAnsi="仿宋" w:eastAsia="仿宋" w:cs="仿宋"/>
                <w:bCs/>
                <w:color w:val="000000"/>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514E1C01">
            <w:pPr>
              <w:pStyle w:val="12"/>
              <w:ind w:firstLine="480"/>
              <w:rPr>
                <w:rFonts w:hint="eastAsia" w:ascii="仿宋" w:hAnsi="仿宋" w:eastAsia="仿宋" w:cs="仿宋"/>
                <w:bCs/>
                <w:color w:val="000000"/>
                <w:sz w:val="24"/>
              </w:rPr>
            </w:pPr>
            <w:r>
              <w:rPr>
                <w:rFonts w:hint="eastAsia" w:ascii="仿宋" w:hAnsi="仿宋" w:eastAsia="仿宋" w:cs="仿宋"/>
                <w:bCs/>
                <w:color w:val="000000"/>
                <w:sz w:val="24"/>
              </w:rPr>
              <w:t>□接受：</w:t>
            </w:r>
          </w:p>
          <w:p w14:paraId="0E4E7B40">
            <w:pPr>
              <w:wordWrap w:val="0"/>
              <w:spacing w:line="360" w:lineRule="auto"/>
              <w:rPr>
                <w:rFonts w:hint="eastAsia" w:ascii="仿宋" w:hAnsi="仿宋" w:eastAsia="仿宋" w:cs="仿宋"/>
                <w:bCs/>
                <w:color w:val="000000"/>
                <w:sz w:val="24"/>
              </w:rPr>
            </w:pPr>
            <w:r>
              <w:rPr>
                <w:rFonts w:hint="eastAsia" w:ascii="仿宋" w:hAnsi="仿宋" w:eastAsia="仿宋" w:cs="仿宋"/>
                <w:bCs/>
                <w:color w:val="000000"/>
                <w:sz w:val="24"/>
              </w:rPr>
              <w:t>允许偏离的幅度：/</w:t>
            </w:r>
          </w:p>
        </w:tc>
      </w:tr>
      <w:tr w14:paraId="2B19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6BFB9BB0">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820" w:type="dxa"/>
            <w:noWrap w:val="0"/>
            <w:vAlign w:val="center"/>
          </w:tcPr>
          <w:p w14:paraId="4D55D56D">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交付（实施）的地点（范围）</w:t>
            </w:r>
          </w:p>
        </w:tc>
        <w:tc>
          <w:tcPr>
            <w:tcW w:w="8480" w:type="dxa"/>
            <w:noWrap w:val="0"/>
            <w:vAlign w:val="center"/>
          </w:tcPr>
          <w:p w14:paraId="1CCF09E0">
            <w:pPr>
              <w:wordWrap w:val="0"/>
              <w:spacing w:line="360" w:lineRule="auto"/>
              <w:jc w:val="center"/>
              <w:rPr>
                <w:rFonts w:hint="eastAsia" w:ascii="仿宋" w:hAnsi="仿宋" w:eastAsia="仿宋" w:cs="仿宋"/>
                <w:b/>
                <w:bCs w:val="0"/>
                <w:color w:val="000000"/>
                <w:sz w:val="24"/>
                <w:lang w:val="en-US" w:eastAsia="zh-CN"/>
              </w:rPr>
            </w:pPr>
            <w:r>
              <w:rPr>
                <w:rFonts w:hint="eastAsia" w:ascii="仿宋" w:hAnsi="仿宋" w:eastAsia="仿宋" w:cs="仿宋"/>
                <w:b/>
                <w:bCs w:val="0"/>
                <w:color w:val="000000"/>
                <w:sz w:val="24"/>
                <w:lang w:val="en-US" w:eastAsia="zh-CN"/>
              </w:rPr>
              <w:t>06包：上海市第六人民医院安徽医院</w:t>
            </w:r>
          </w:p>
          <w:p w14:paraId="272983FB">
            <w:pPr>
              <w:wordWrap w:val="0"/>
              <w:spacing w:line="360" w:lineRule="auto"/>
              <w:rPr>
                <w:rFonts w:hint="default" w:ascii="仿宋" w:hAnsi="仿宋" w:eastAsia="仿宋" w:cs="仿宋"/>
                <w:bCs/>
                <w:color w:val="000000"/>
                <w:sz w:val="24"/>
                <w:lang w:val="en-US" w:eastAsia="zh-CN"/>
              </w:rPr>
            </w:pPr>
          </w:p>
        </w:tc>
      </w:tr>
      <w:tr w14:paraId="518B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21377942">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820" w:type="dxa"/>
            <w:noWrap w:val="0"/>
            <w:vAlign w:val="center"/>
          </w:tcPr>
          <w:p w14:paraId="0C91F8A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付款方式</w:t>
            </w:r>
          </w:p>
        </w:tc>
        <w:tc>
          <w:tcPr>
            <w:tcW w:w="8480" w:type="dxa"/>
            <w:noWrap w:val="0"/>
            <w:vAlign w:val="center"/>
          </w:tcPr>
          <w:p w14:paraId="3EF83042">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本项目货到安装验收合格，提供产品的使用、操作及维修人员的培训， 并能独立操作且使用部门签字确认后，采购人支付全部货款。 </w:t>
            </w:r>
          </w:p>
          <w:p w14:paraId="631EE31C">
            <w:pPr>
              <w:wordWrap w:val="0"/>
              <w:spacing w:line="360" w:lineRule="auto"/>
              <w:rPr>
                <w:rFonts w:hint="eastAsia" w:ascii="仿宋" w:hAnsi="仿宋" w:eastAsia="仿宋" w:cs="仿宋"/>
                <w:b/>
                <w:color w:val="000000"/>
                <w:sz w:val="24"/>
              </w:rPr>
            </w:pPr>
            <w:r>
              <w:rPr>
                <w:rFonts w:hint="eastAsia" w:ascii="仿宋" w:hAnsi="仿宋" w:eastAsia="仿宋" w:cs="仿宋"/>
                <w:color w:val="000000"/>
                <w:sz w:val="24"/>
              </w:rPr>
              <w:t>是否接受负偏离：</w:t>
            </w:r>
            <w:r>
              <w:rPr>
                <w:rFonts w:hint="eastAsia" w:ascii="仿宋" w:hAnsi="仿宋" w:eastAsia="仿宋" w:cs="仿宋"/>
                <w:color w:val="000000"/>
                <w:sz w:val="24"/>
              </w:rPr>
              <w:sym w:font="Wingdings 2" w:char="0052"/>
            </w:r>
            <w:r>
              <w:rPr>
                <w:rFonts w:hint="eastAsia" w:ascii="仿宋" w:hAnsi="仿宋" w:eastAsia="仿宋" w:cs="仿宋"/>
                <w:color w:val="000000"/>
                <w:sz w:val="24"/>
              </w:rPr>
              <w:t xml:space="preserve">不接受  </w:t>
            </w:r>
          </w:p>
        </w:tc>
      </w:tr>
      <w:tr w14:paraId="2E4B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7D18C30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20" w:type="dxa"/>
            <w:noWrap w:val="0"/>
            <w:vAlign w:val="center"/>
          </w:tcPr>
          <w:p w14:paraId="1D0A3678">
            <w:pPr>
              <w:wordWrap w:val="0"/>
              <w:spacing w:line="360" w:lineRule="auto"/>
              <w:jc w:val="center"/>
              <w:rPr>
                <w:rFonts w:hint="eastAsia" w:ascii="仿宋" w:hAnsi="仿宋" w:eastAsia="仿宋" w:cs="仿宋"/>
                <w:b/>
                <w:bCs/>
                <w:color w:val="000000"/>
                <w:sz w:val="24"/>
              </w:rPr>
            </w:pPr>
            <w:r>
              <w:rPr>
                <w:rFonts w:hint="eastAsia" w:ascii="宋体" w:hAnsi="宋体" w:eastAsia="仿宋" w:cs="Calibri"/>
                <w:b/>
                <w:bCs/>
                <w:sz w:val="24"/>
              </w:rPr>
              <w:t>质量保证期</w:t>
            </w:r>
          </w:p>
        </w:tc>
        <w:tc>
          <w:tcPr>
            <w:tcW w:w="8480" w:type="dxa"/>
            <w:noWrap w:val="0"/>
            <w:vAlign w:val="top"/>
          </w:tcPr>
          <w:p w14:paraId="7196BD80">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自验收合格之日起整体（主机+配套产品）原厂质保不少于60个月。</w:t>
            </w:r>
          </w:p>
          <w:p w14:paraId="484C7E75">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5A469BD3">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3F5A97BE">
            <w:pPr>
              <w:wordWrap w:val="0"/>
              <w:spacing w:line="360" w:lineRule="auto"/>
              <w:jc w:val="left"/>
              <w:rPr>
                <w:rFonts w:hint="eastAsia" w:ascii="仿宋" w:hAnsi="仿宋" w:eastAsia="仿宋" w:cs="仿宋"/>
                <w:b/>
                <w:color w:val="000000"/>
                <w:sz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431B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175D444A">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6</w:t>
            </w:r>
          </w:p>
        </w:tc>
        <w:tc>
          <w:tcPr>
            <w:tcW w:w="820" w:type="dxa"/>
            <w:noWrap w:val="0"/>
            <w:vAlign w:val="center"/>
          </w:tcPr>
          <w:p w14:paraId="67E1DA4A">
            <w:pPr>
              <w:wordWrap w:val="0"/>
              <w:spacing w:line="360" w:lineRule="auto"/>
              <w:jc w:val="center"/>
              <w:rPr>
                <w:rFonts w:ascii="仿宋" w:hAnsi="仿宋" w:eastAsia="仿宋" w:cs="仿宋"/>
                <w:b/>
                <w:color w:val="000000"/>
                <w:sz w:val="24"/>
              </w:rPr>
            </w:pPr>
            <w:r>
              <w:rPr>
                <w:rFonts w:hint="eastAsia" w:ascii="仿宋" w:hAnsi="仿宋" w:eastAsia="仿宋" w:cs="仿宋"/>
                <w:b/>
                <w:color w:val="000000"/>
                <w:sz w:val="24"/>
              </w:rPr>
              <w:t>信息化要求</w:t>
            </w:r>
          </w:p>
        </w:tc>
        <w:tc>
          <w:tcPr>
            <w:tcW w:w="8480" w:type="dxa"/>
            <w:noWrap w:val="0"/>
            <w:vAlign w:val="center"/>
          </w:tcPr>
          <w:p w14:paraId="0DADA94F">
            <w:pPr>
              <w:pStyle w:val="8"/>
              <w:spacing w:before="0" w:beforeAutospacing="0" w:after="0" w:afterAutospacing="0" w:line="360" w:lineRule="auto"/>
              <w:rPr>
                <w:rFonts w:hint="eastAsia" w:ascii="仿宋" w:hAnsi="仿宋" w:eastAsia="仿宋" w:cs="仿宋"/>
                <w:color w:val="auto"/>
              </w:rPr>
            </w:pPr>
            <w:r>
              <w:rPr>
                <w:rFonts w:hint="eastAsia" w:ascii="仿宋" w:hAnsi="仿宋" w:eastAsia="仿宋" w:cs="仿宋"/>
                <w:color w:val="auto"/>
              </w:rPr>
              <w:t>投标人所投设备须与医院信息系统连接，由此产生的费用包含在投标总报价中，采购人不另行支付。</w:t>
            </w:r>
          </w:p>
          <w:p w14:paraId="12695F5C">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6024C803">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3455A3C8">
            <w:pPr>
              <w:pStyle w:val="8"/>
              <w:spacing w:before="0" w:beforeAutospacing="0" w:after="0" w:afterAutospacing="0" w:line="360" w:lineRule="auto"/>
              <w:rPr>
                <w:rFonts w:hint="eastAsia" w:ascii="仿宋" w:hAnsi="仿宋" w:eastAsia="仿宋" w:cs="仿宋"/>
                <w:color w:val="auto"/>
              </w:rPr>
            </w:pPr>
            <w:r>
              <w:rPr>
                <w:rFonts w:hint="eastAsia" w:ascii="楷体" w:hAnsi="楷体" w:eastAsia="仿宋" w:cs="Calibri"/>
              </w:rPr>
              <w:t>允许偏离的幅度：</w:t>
            </w:r>
            <w:r>
              <w:rPr>
                <w:rFonts w:hint="eastAsia" w:eastAsia="仿宋" w:cs="Calibri"/>
              </w:rPr>
              <w:t>/</w:t>
            </w:r>
          </w:p>
        </w:tc>
      </w:tr>
      <w:tr w14:paraId="5EAC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457" w:type="dxa"/>
            <w:noWrap w:val="0"/>
            <w:vAlign w:val="center"/>
          </w:tcPr>
          <w:p w14:paraId="43FFCAA9">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7</w:t>
            </w:r>
          </w:p>
        </w:tc>
        <w:tc>
          <w:tcPr>
            <w:tcW w:w="820" w:type="dxa"/>
            <w:noWrap w:val="0"/>
            <w:vAlign w:val="center"/>
          </w:tcPr>
          <w:p w14:paraId="2A2BB783">
            <w:pPr>
              <w:wordWrap w:val="0"/>
              <w:spacing w:line="360" w:lineRule="auto"/>
              <w:jc w:val="center"/>
              <w:rPr>
                <w:rFonts w:ascii="仿宋" w:hAnsi="仿宋" w:eastAsia="仿宋" w:cs="仿宋"/>
                <w:b/>
                <w:bCs/>
                <w:kern w:val="0"/>
                <w:sz w:val="24"/>
              </w:rPr>
            </w:pPr>
            <w:r>
              <w:rPr>
                <w:rFonts w:hint="eastAsia" w:ascii="仿宋" w:hAnsi="仿宋" w:eastAsia="仿宋" w:cs="仿宋"/>
                <w:b/>
                <w:bCs/>
                <w:kern w:val="0"/>
                <w:sz w:val="24"/>
              </w:rPr>
              <w:t>售后要求</w:t>
            </w:r>
          </w:p>
        </w:tc>
        <w:tc>
          <w:tcPr>
            <w:tcW w:w="8480" w:type="dxa"/>
            <w:noWrap w:val="0"/>
            <w:vAlign w:val="top"/>
          </w:tcPr>
          <w:p w14:paraId="48FCDAB7">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中标人须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p w14:paraId="45514E4D">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5E29AF15">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0967D9D0">
            <w:pPr>
              <w:pStyle w:val="13"/>
              <w:spacing w:line="360" w:lineRule="auto"/>
              <w:jc w:val="left"/>
              <w:rPr>
                <w:rFonts w:hint="eastAsia" w:ascii="仿宋" w:hAnsi="仿宋" w:eastAsia="仿宋" w:cs="仿宋"/>
                <w:sz w:val="24"/>
                <w:szCs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5C00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noWrap w:val="0"/>
            <w:vAlign w:val="center"/>
          </w:tcPr>
          <w:p w14:paraId="0534F3C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8</w:t>
            </w:r>
          </w:p>
        </w:tc>
        <w:tc>
          <w:tcPr>
            <w:tcW w:w="820" w:type="dxa"/>
            <w:noWrap w:val="0"/>
            <w:vAlign w:val="center"/>
          </w:tcPr>
          <w:p w14:paraId="041F116A">
            <w:pPr>
              <w:wordWrap w:val="0"/>
              <w:spacing w:line="360" w:lineRule="auto"/>
              <w:jc w:val="center"/>
              <w:rPr>
                <w:rFonts w:hint="eastAsia" w:ascii="仿宋" w:hAnsi="仿宋" w:eastAsia="仿宋" w:cs="仿宋"/>
                <w:b/>
                <w:bCs/>
                <w:kern w:val="0"/>
                <w:sz w:val="24"/>
              </w:rPr>
            </w:pPr>
            <w:r>
              <w:rPr>
                <w:rFonts w:hint="eastAsia" w:ascii="仿宋" w:hAnsi="仿宋" w:eastAsia="仿宋" w:cs="仿宋"/>
                <w:b/>
                <w:color w:val="000000"/>
                <w:sz w:val="24"/>
              </w:rPr>
              <w:t>如是依法纳入医疗器械管理的须具有：</w:t>
            </w:r>
          </w:p>
        </w:tc>
        <w:tc>
          <w:tcPr>
            <w:tcW w:w="8480" w:type="dxa"/>
            <w:noWrap w:val="0"/>
            <w:vAlign w:val="center"/>
          </w:tcPr>
          <w:p w14:paraId="777EDC2E">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lang w:val="en-US" w:eastAsia="zh-CN"/>
              </w:rPr>
              <w:t>8.1</w:t>
            </w:r>
            <w:r>
              <w:rPr>
                <w:rFonts w:hint="eastAsia" w:ascii="仿宋" w:hAnsi="仿宋" w:eastAsia="仿宋" w:cs="仿宋"/>
                <w:b/>
                <w:color w:val="000000"/>
                <w:sz w:val="24"/>
              </w:rPr>
              <w:t>投标人为制造商的，须具有相应的医疗器械生产备案获取的备案编号（属于一类时）。</w:t>
            </w:r>
          </w:p>
          <w:p w14:paraId="45D28CBE">
            <w:pPr>
              <w:pStyle w:val="13"/>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lang w:val="en-US" w:eastAsia="zh-CN"/>
              </w:rPr>
              <w:t>8.2</w:t>
            </w: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p w14:paraId="07544E64">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lang w:val="en-US" w:eastAsia="zh-CN"/>
              </w:rPr>
              <w:t>8.3</w:t>
            </w: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54EA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noWrap w:val="0"/>
            <w:vAlign w:val="top"/>
          </w:tcPr>
          <w:p w14:paraId="753ED53D">
            <w:pPr>
              <w:wordWrap w:val="0"/>
              <w:spacing w:line="360" w:lineRule="auto"/>
              <w:jc w:val="cente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9</w:t>
            </w:r>
          </w:p>
        </w:tc>
        <w:tc>
          <w:tcPr>
            <w:tcW w:w="820" w:type="dxa"/>
            <w:noWrap w:val="0"/>
            <w:vAlign w:val="top"/>
          </w:tcPr>
          <w:p w14:paraId="285F81C9">
            <w:pPr>
              <w:wordWrap w:val="0"/>
              <w:spacing w:line="360" w:lineRule="auto"/>
              <w:jc w:val="center"/>
              <w:rPr>
                <w:rFonts w:ascii="仿宋" w:hAnsi="仿宋" w:eastAsia="仿宋" w:cs="仿宋"/>
                <w:b/>
                <w:color w:val="000000"/>
                <w:sz w:val="24"/>
              </w:rPr>
            </w:pPr>
            <w:r>
              <w:rPr>
                <w:rFonts w:hint="eastAsia" w:ascii="仿宋" w:hAnsi="仿宋" w:eastAsia="仿宋" w:cs="仿宋"/>
                <w:b/>
                <w:color w:val="000000"/>
                <w:sz w:val="24"/>
              </w:rPr>
              <w:t>06包其他要求</w:t>
            </w:r>
          </w:p>
        </w:tc>
        <w:tc>
          <w:tcPr>
            <w:tcW w:w="8480" w:type="dxa"/>
            <w:noWrap w:val="0"/>
            <w:vAlign w:val="center"/>
          </w:tcPr>
          <w:p w14:paraId="132B2D35">
            <w:pPr>
              <w:widowControl/>
              <w:spacing w:line="360" w:lineRule="auto"/>
              <w:jc w:val="left"/>
              <w:rPr>
                <w:rFonts w:hint="eastAsia" w:ascii="仿宋" w:hAnsi="仿宋" w:eastAsia="仿宋" w:cs="仿宋"/>
                <w:b/>
                <w:color w:val="000000"/>
                <w:sz w:val="24"/>
                <w:lang w:bidi="ar"/>
              </w:rPr>
            </w:pPr>
            <w:r>
              <w:rPr>
                <w:rFonts w:hint="eastAsia" w:ascii="仿宋" w:hAnsi="仿宋" w:eastAsia="仿宋" w:cs="仿宋"/>
                <w:b/>
                <w:color w:val="000000"/>
                <w:sz w:val="24"/>
              </w:rPr>
              <w:t>1、投标人承诺所提供的产品为2025年7月份后生产的机型，同时所投产品未停产，否则作为无效标处理。</w:t>
            </w:r>
          </w:p>
        </w:tc>
      </w:tr>
    </w:tbl>
    <w:p w14:paraId="00131464">
      <w:pPr>
        <w:spacing w:line="360" w:lineRule="auto"/>
        <w:rPr>
          <w:rFonts w:hint="eastAsia" w:ascii="仿宋" w:hAnsi="仿宋" w:eastAsia="仿宋" w:cs="仿宋"/>
          <w:b/>
          <w:bCs/>
          <w:sz w:val="24"/>
          <w:szCs w:val="32"/>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商务条款必须全部满足，否则做无效投标处理。</w:t>
      </w:r>
    </w:p>
    <w:p w14:paraId="2B53BAA3">
      <w:pPr>
        <w:pStyle w:val="2"/>
        <w:widowControl/>
        <w:spacing w:line="360" w:lineRule="auto"/>
        <w:rPr>
          <w:rFonts w:hint="eastAsia" w:ascii="仿宋" w:hAnsi="仿宋" w:eastAsia="仿宋" w:cs="仿宋"/>
          <w:sz w:val="24"/>
          <w:szCs w:val="24"/>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56D3FB20">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（一）第6包：技术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5C0B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11" w:type="dxa"/>
            <w:noWrap w:val="0"/>
            <w:vAlign w:val="center"/>
          </w:tcPr>
          <w:p w14:paraId="387DE776">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5BFDB1A1">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50533494">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56BD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89ED5C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重点指标项</w:t>
            </w:r>
          </w:p>
        </w:tc>
        <w:tc>
          <w:tcPr>
            <w:tcW w:w="2180" w:type="dxa"/>
            <w:noWrap w:val="0"/>
            <w:vAlign w:val="center"/>
          </w:tcPr>
          <w:p w14:paraId="07501A57">
            <w:pPr>
              <w:widowControl/>
              <w:spacing w:line="360" w:lineRule="auto"/>
              <w:jc w:val="center"/>
              <w:rPr>
                <w:rFonts w:hint="eastAsia" w:ascii="宋体" w:hAnsi="宋体" w:cs="宋体"/>
              </w:rPr>
            </w:pPr>
            <w:bookmarkStart w:id="4" w:name="_Hlk226039374"/>
            <w:r>
              <w:rPr>
                <w:rFonts w:hint="eastAsia" w:ascii="宋体" w:hAnsi="宋体" w:cs="宋体"/>
                <w:b/>
                <w:szCs w:val="21"/>
              </w:rPr>
              <w:t>■</w:t>
            </w:r>
            <w:bookmarkEnd w:id="4"/>
          </w:p>
        </w:tc>
        <w:tc>
          <w:tcPr>
            <w:tcW w:w="5463" w:type="dxa"/>
            <w:noWrap w:val="0"/>
            <w:vAlign w:val="center"/>
          </w:tcPr>
          <w:p w14:paraId="56D49D8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未响应或负偏离，作为无效标处理</w:t>
            </w:r>
          </w:p>
        </w:tc>
      </w:tr>
      <w:tr w14:paraId="6398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0744294B">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757F79E2">
            <w:pPr>
              <w:widowControl/>
              <w:spacing w:line="360" w:lineRule="auto"/>
              <w:jc w:val="center"/>
              <w:rPr>
                <w:rFonts w:hint="eastAsia" w:ascii="仿宋" w:hAnsi="仿宋" w:eastAsia="仿宋" w:cs="仿宋"/>
                <w:b/>
                <w:bCs/>
                <w:color w:val="000000"/>
                <w:sz w:val="24"/>
              </w:rPr>
            </w:pPr>
            <w:r>
              <w:rPr>
                <w:rFonts w:hint="eastAsia" w:ascii="宋体" w:hAnsi="宋体" w:cs="宋体"/>
              </w:rPr>
              <w:t>★</w:t>
            </w:r>
          </w:p>
        </w:tc>
        <w:tc>
          <w:tcPr>
            <w:tcW w:w="5463" w:type="dxa"/>
            <w:noWrap w:val="0"/>
            <w:vAlign w:val="center"/>
          </w:tcPr>
          <w:p w14:paraId="3019E10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1A6A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2085B4D">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029694B9">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2522AF1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145D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760024DD">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158EB452">
      <w:pPr>
        <w:widowControl/>
        <w:spacing w:line="360" w:lineRule="auto"/>
        <w:jc w:val="left"/>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（二）技术要求</w:t>
      </w:r>
    </w:p>
    <w:tbl>
      <w:tblPr>
        <w:tblStyle w:val="9"/>
        <w:tblW w:w="9761" w:type="dxa"/>
        <w:tblInd w:w="91" w:type="dxa"/>
        <w:tblLayout w:type="fixed"/>
        <w:tblCellMar>
          <w:top w:w="0" w:type="dxa"/>
          <w:left w:w="108" w:type="dxa"/>
          <w:bottom w:w="0" w:type="dxa"/>
          <w:right w:w="108" w:type="dxa"/>
        </w:tblCellMar>
      </w:tblPr>
      <w:tblGrid>
        <w:gridCol w:w="837"/>
        <w:gridCol w:w="8924"/>
      </w:tblGrid>
      <w:tr w14:paraId="38B96D1C">
        <w:tblPrEx>
          <w:tblCellMar>
            <w:top w:w="0" w:type="dxa"/>
            <w:left w:w="108" w:type="dxa"/>
            <w:bottom w:w="0" w:type="dxa"/>
            <w:right w:w="108" w:type="dxa"/>
          </w:tblCellMar>
        </w:tblPrEx>
        <w:trPr>
          <w:trHeight w:val="283" w:hRule="atLeast"/>
        </w:trPr>
        <w:tc>
          <w:tcPr>
            <w:tcW w:w="9761" w:type="dxa"/>
            <w:gridSpan w:val="2"/>
            <w:tcBorders>
              <w:top w:val="single" w:color="000000" w:sz="4" w:space="0"/>
              <w:left w:val="single" w:color="000000" w:sz="4" w:space="0"/>
              <w:bottom w:val="single" w:color="000000" w:sz="4" w:space="0"/>
              <w:right w:val="single" w:color="000000" w:sz="4" w:space="0"/>
            </w:tcBorders>
            <w:noWrap/>
            <w:vAlign w:val="center"/>
          </w:tcPr>
          <w:p w14:paraId="311737E3">
            <w:pPr>
              <w:widowControl/>
              <w:spacing w:line="360" w:lineRule="auto"/>
              <w:jc w:val="center"/>
              <w:rPr>
                <w:rFonts w:hint="eastAsia" w:ascii="仿宋" w:hAnsi="仿宋" w:eastAsia="仿宋" w:cs="仿宋"/>
                <w:color w:val="000000"/>
                <w:kern w:val="0"/>
                <w:sz w:val="24"/>
                <w:lang w:bidi="ar"/>
              </w:rPr>
            </w:pPr>
            <w:r>
              <w:rPr>
                <w:rFonts w:hint="eastAsia" w:ascii="仿宋_GB2312" w:hAnsi="仿宋_GB2312" w:eastAsia="仿宋_GB2312" w:cs="仿宋_GB2312"/>
                <w:b/>
                <w:bCs/>
                <w:sz w:val="24"/>
              </w:rPr>
              <w:t>■</w:t>
            </w:r>
            <w:r>
              <w:rPr>
                <w:rFonts w:hint="eastAsia" w:ascii="仿宋" w:hAnsi="仿宋" w:eastAsia="仿宋" w:cs="仿宋"/>
                <w:b/>
                <w:bCs/>
                <w:color w:val="000000"/>
                <w:kern w:val="0"/>
                <w:sz w:val="24"/>
                <w:lang w:bidi="ar"/>
              </w:rPr>
              <w:t>实质性响应条款：要求所投机型不得低于E95、Acuson origin I、CVX等,其它品牌性能不低于以上机型。</w:t>
            </w:r>
          </w:p>
        </w:tc>
      </w:tr>
      <w:tr w14:paraId="26528B7E">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498A595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8924" w:type="dxa"/>
            <w:tcBorders>
              <w:top w:val="single" w:color="000000" w:sz="4" w:space="0"/>
              <w:left w:val="nil"/>
              <w:bottom w:val="single" w:color="000000" w:sz="4" w:space="0"/>
              <w:right w:val="single" w:color="000000" w:sz="4" w:space="0"/>
            </w:tcBorders>
            <w:noWrap/>
            <w:vAlign w:val="center"/>
          </w:tcPr>
          <w:p w14:paraId="4589971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设备用途及主要要求：主要用于腹部、心脏、血管、小器官肌肉骨骼、妇科、神经、术中、弹性、造影及介入等全方面的临床诊断和科研教学工作。</w:t>
            </w:r>
          </w:p>
        </w:tc>
      </w:tr>
      <w:tr w14:paraId="75B5C1CB">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01A58DE0">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w:t>
            </w:r>
          </w:p>
        </w:tc>
        <w:tc>
          <w:tcPr>
            <w:tcW w:w="8924" w:type="dxa"/>
            <w:tcBorders>
              <w:top w:val="single" w:color="000000" w:sz="4" w:space="0"/>
              <w:left w:val="nil"/>
              <w:bottom w:val="single" w:color="000000" w:sz="4" w:space="0"/>
              <w:right w:val="single" w:color="000000" w:sz="4" w:space="0"/>
            </w:tcBorders>
            <w:noWrap/>
            <w:vAlign w:val="center"/>
          </w:tcPr>
          <w:p w14:paraId="1C2500A7">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全域聚焦成像技术或类似技术：二维灰阶图像和彩色多普勒图像模式下均支持全聚焦模式成像模式，全场无焦点成像。</w:t>
            </w:r>
          </w:p>
        </w:tc>
      </w:tr>
      <w:tr w14:paraId="35EC17A8">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5828F8D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w:t>
            </w:r>
          </w:p>
        </w:tc>
        <w:tc>
          <w:tcPr>
            <w:tcW w:w="8924" w:type="dxa"/>
            <w:tcBorders>
              <w:top w:val="single" w:color="000000" w:sz="4" w:space="0"/>
              <w:left w:val="nil"/>
              <w:bottom w:val="single" w:color="000000" w:sz="4" w:space="0"/>
              <w:right w:val="single" w:color="000000" w:sz="4" w:space="0"/>
            </w:tcBorders>
            <w:noWrap/>
            <w:vAlign w:val="center"/>
          </w:tcPr>
          <w:p w14:paraId="090E833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自动频谱多普勒优化技术</w:t>
            </w:r>
          </w:p>
        </w:tc>
      </w:tr>
      <w:tr w14:paraId="3FD427FE">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53C0CC3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w:t>
            </w:r>
          </w:p>
        </w:tc>
        <w:tc>
          <w:tcPr>
            <w:tcW w:w="8924" w:type="dxa"/>
            <w:tcBorders>
              <w:top w:val="single" w:color="000000" w:sz="4" w:space="0"/>
              <w:left w:val="nil"/>
              <w:bottom w:val="single" w:color="000000" w:sz="4" w:space="0"/>
              <w:right w:val="single" w:color="000000" w:sz="4" w:space="0"/>
            </w:tcBorders>
            <w:noWrap/>
            <w:vAlign w:val="center"/>
          </w:tcPr>
          <w:p w14:paraId="1C0F659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具备彩色多普勒成像技术。</w:t>
            </w:r>
          </w:p>
        </w:tc>
      </w:tr>
      <w:tr w14:paraId="6565C9DF">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2B76423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w:t>
            </w:r>
          </w:p>
        </w:tc>
        <w:tc>
          <w:tcPr>
            <w:tcW w:w="8924" w:type="dxa"/>
            <w:tcBorders>
              <w:top w:val="single" w:color="000000" w:sz="4" w:space="0"/>
              <w:left w:val="nil"/>
              <w:bottom w:val="single" w:color="000000" w:sz="4" w:space="0"/>
              <w:right w:val="single" w:color="000000" w:sz="4" w:space="0"/>
            </w:tcBorders>
            <w:noWrap/>
            <w:vAlign w:val="center"/>
          </w:tcPr>
          <w:p w14:paraId="2BEE1F1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具备高清放大功能。</w:t>
            </w:r>
          </w:p>
        </w:tc>
      </w:tr>
      <w:tr w14:paraId="56AB6268">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62CB39F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w:t>
            </w:r>
          </w:p>
        </w:tc>
        <w:tc>
          <w:tcPr>
            <w:tcW w:w="8924" w:type="dxa"/>
            <w:tcBorders>
              <w:top w:val="single" w:color="000000" w:sz="4" w:space="0"/>
              <w:left w:val="nil"/>
              <w:bottom w:val="single" w:color="000000" w:sz="4" w:space="0"/>
              <w:right w:val="single" w:color="000000" w:sz="4" w:space="0"/>
            </w:tcBorders>
            <w:noWrap/>
            <w:vAlign w:val="center"/>
          </w:tcPr>
          <w:p w14:paraId="166D7CD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具备高级空间复合成像技术。</w:t>
            </w:r>
          </w:p>
        </w:tc>
      </w:tr>
      <w:tr w14:paraId="4402B4AC">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90B5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w:t>
            </w:r>
          </w:p>
        </w:tc>
        <w:tc>
          <w:tcPr>
            <w:tcW w:w="8924" w:type="dxa"/>
            <w:tcBorders>
              <w:top w:val="single" w:color="000000" w:sz="4" w:space="0"/>
              <w:left w:val="nil"/>
              <w:bottom w:val="single" w:color="000000" w:sz="4" w:space="0"/>
              <w:right w:val="single" w:color="000000" w:sz="4" w:space="0"/>
            </w:tcBorders>
            <w:noWrap/>
            <w:vAlign w:val="center"/>
          </w:tcPr>
          <w:p w14:paraId="145C59F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具备智能化组织均衡技术。或类似技术</w:t>
            </w:r>
          </w:p>
        </w:tc>
      </w:tr>
      <w:tr w14:paraId="1AC27B58">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A8B3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w:t>
            </w:r>
          </w:p>
        </w:tc>
        <w:tc>
          <w:tcPr>
            <w:tcW w:w="8924" w:type="dxa"/>
            <w:tcBorders>
              <w:top w:val="single" w:color="000000" w:sz="4" w:space="0"/>
              <w:left w:val="nil"/>
              <w:bottom w:val="single" w:color="000000" w:sz="4" w:space="0"/>
              <w:right w:val="single" w:color="000000" w:sz="4" w:space="0"/>
            </w:tcBorders>
            <w:noWrap/>
            <w:vAlign w:val="center"/>
          </w:tcPr>
          <w:p w14:paraId="1C0ED23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主机内置或外置耦合剂加热装置</w:t>
            </w:r>
          </w:p>
        </w:tc>
      </w:tr>
      <w:tr w14:paraId="5C267EA0">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11A6">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★9</w:t>
            </w:r>
          </w:p>
        </w:tc>
        <w:tc>
          <w:tcPr>
            <w:tcW w:w="8924" w:type="dxa"/>
            <w:tcBorders>
              <w:top w:val="single" w:color="000000" w:sz="4" w:space="0"/>
              <w:left w:val="nil"/>
              <w:bottom w:val="single" w:color="000000" w:sz="4" w:space="0"/>
              <w:right w:val="single" w:color="000000" w:sz="4" w:space="0"/>
            </w:tcBorders>
            <w:shd w:val="clear" w:color="auto" w:fill="FFFFFF"/>
            <w:noWrap w:val="0"/>
            <w:vAlign w:val="center"/>
          </w:tcPr>
          <w:p w14:paraId="5639C7F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具备手势感应探头技术，双击探头前端任何部位，即可激活探头进入扫查，无需在触摸屏上切换；或具备经食道电子矩阵探头技术，最大阵元数≥2000。</w:t>
            </w:r>
          </w:p>
        </w:tc>
      </w:tr>
      <w:tr w14:paraId="1239FCBF">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4270EF7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A39C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主机系统数字化通道数≥1100万。</w:t>
            </w:r>
          </w:p>
        </w:tc>
      </w:tr>
      <w:tr w14:paraId="29277932">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6858C18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1FC9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动态范围≥380dB。</w:t>
            </w:r>
          </w:p>
        </w:tc>
      </w:tr>
      <w:tr w14:paraId="49DF93A9">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573B6E3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107D8F9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智能动态变频技术（AI）或类似技术：基于ROI的深度可以改变彩色的频率，浅部频率较高，深度越深，频率越低，具备自动和手动两种模式，触摸屏按键可调。</w:t>
            </w:r>
          </w:p>
        </w:tc>
      </w:tr>
      <w:tr w14:paraId="29069AF6">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1D5A4C9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0FE948A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逐微血流成像技术或微细血流成像技术或非多普勒血流成像技术。</w:t>
            </w:r>
          </w:p>
        </w:tc>
      </w:tr>
      <w:tr w14:paraId="0B031238">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5075211F">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★14.</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101D5CA1">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智能工作流程软件包或先进软件</w:t>
            </w:r>
          </w:p>
        </w:tc>
      </w:tr>
      <w:tr w14:paraId="3A8F6612">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21C67565">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xml:space="preserve">★15. </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2C6B1">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AI（人工智能）实时智能扫查助手，可自动进行切面识别，自动定位放置彩色取样框取样框和多普勒取样框，有效改善工作流程，减少按键次数和检查时间，减少重复运动，提高检查标准化和可重复性，支持经胸探头，≥12个标准切面；</w:t>
            </w:r>
            <w:r>
              <w:rPr>
                <w:rFonts w:hint="eastAsia" w:ascii="仿宋" w:hAnsi="仿宋" w:eastAsia="仿宋" w:cs="仿宋"/>
                <w:b/>
                <w:bCs/>
                <w:color w:val="000000"/>
                <w:kern w:val="0"/>
                <w:sz w:val="24"/>
                <w:lang w:bidi="ar"/>
              </w:rPr>
              <w:br w:type="textWrapping"/>
            </w:r>
            <w:r>
              <w:rPr>
                <w:rFonts w:hint="eastAsia" w:ascii="仿宋" w:hAnsi="仿宋" w:eastAsia="仿宋" w:cs="仿宋"/>
                <w:b/>
                <w:bCs/>
                <w:color w:val="000000"/>
                <w:kern w:val="0"/>
                <w:sz w:val="24"/>
                <w:lang w:bidi="ar"/>
              </w:rPr>
              <w:t>或术者模式或智能预设置模式：触摸屏可自动呈现≥4种不同风格优化后的图像，在实时状态下快速切换，且预设联动，医生可自定义选择其中一个作为最优检查条件，减少操作。</w:t>
            </w:r>
            <w:r>
              <w:rPr>
                <w:rFonts w:hint="eastAsia" w:ascii="仿宋" w:hAnsi="仿宋" w:eastAsia="仿宋" w:cs="仿宋"/>
                <w:b/>
                <w:bCs/>
                <w:color w:val="000000"/>
                <w:kern w:val="0"/>
                <w:sz w:val="24"/>
                <w:lang w:bidi="ar"/>
              </w:rPr>
              <w:br w:type="textWrapping"/>
            </w:r>
            <w:r>
              <w:rPr>
                <w:rFonts w:hint="eastAsia" w:ascii="仿宋" w:hAnsi="仿宋" w:eastAsia="仿宋" w:cs="仿宋"/>
                <w:b/>
                <w:bCs/>
                <w:color w:val="000000"/>
                <w:kern w:val="0"/>
                <w:sz w:val="24"/>
                <w:lang w:bidi="ar"/>
              </w:rPr>
              <w:t>或基于人工智能（AI），自动识别标准切面并选择图像质量最佳的心动周期进行心内膜运动轨迹的追踪，进行二维心功能测量，支持单平面和双平面计算。</w:t>
            </w:r>
          </w:p>
        </w:tc>
      </w:tr>
      <w:tr w14:paraId="355F0DD4">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4F607C5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A07A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自动左心测量功能：基于先进的人工智能技术，全自动探测左心室和左心房的边界，自动测量得到收缩末和舒张末容积的测量值以及射血分数。</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或基于人工智能（AI）的二维图像模式下的心脏腔室自动测量：智能识别心室收缩末和舒张末时间点，自动测量左室内径、室间隔及左室后壁厚度、EF值等信息，提高心脏腔室测量的准确率和重复性。</w:t>
            </w:r>
          </w:p>
        </w:tc>
      </w:tr>
      <w:tr w14:paraId="013FCA7D">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43C8D99D">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★17.</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FC29C">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xml:space="preserve">支持一键测量二维状态下四个心腔的心肌AI （人工智能）应变定量，支持一键四心腔同步应变分析； </w:t>
            </w:r>
            <w:r>
              <w:rPr>
                <w:rFonts w:hint="eastAsia" w:ascii="仿宋" w:hAnsi="仿宋" w:eastAsia="仿宋" w:cs="仿宋"/>
                <w:b/>
                <w:bCs/>
                <w:color w:val="000000"/>
                <w:kern w:val="0"/>
                <w:sz w:val="24"/>
                <w:lang w:bidi="ar"/>
              </w:rPr>
              <w:br w:type="textWrapping"/>
            </w:r>
            <w:r>
              <w:rPr>
                <w:rFonts w:hint="eastAsia" w:ascii="仿宋" w:hAnsi="仿宋" w:eastAsia="仿宋" w:cs="仿宋"/>
                <w:b/>
                <w:bCs/>
                <w:color w:val="000000"/>
                <w:kern w:val="0"/>
                <w:sz w:val="24"/>
                <w:lang w:bidi="ar"/>
              </w:rPr>
              <w:t>或具备具备形变函数预测左室功能不全：通过左心的形变不同，提前预测潜在心功能不全，提高对潜在性心功能不全的诊断。</w:t>
            </w:r>
            <w:r>
              <w:rPr>
                <w:rFonts w:hint="eastAsia" w:ascii="仿宋" w:hAnsi="仿宋" w:eastAsia="仿宋" w:cs="仿宋"/>
                <w:b/>
                <w:bCs/>
                <w:color w:val="000000"/>
                <w:kern w:val="0"/>
                <w:sz w:val="24"/>
                <w:lang w:bidi="ar"/>
              </w:rPr>
              <w:br w:type="textWrapping"/>
            </w:r>
            <w:r>
              <w:rPr>
                <w:rFonts w:hint="eastAsia" w:ascii="仿宋" w:hAnsi="仿宋" w:eastAsia="仿宋" w:cs="仿宋"/>
                <w:b/>
                <w:bCs/>
                <w:color w:val="000000"/>
                <w:kern w:val="0"/>
                <w:sz w:val="24"/>
                <w:lang w:bidi="ar"/>
              </w:rPr>
              <w:t>或基于人工智能（AI），可自动识别切面并选择三个质量最佳的心动周期进行心肌斑点信号的追踪，分析心肌收缩期长轴峰值应变、收缩后收缩指数、提供17和18节段牛眼图、曲线显示模式、曲线解剖M型显示模式等。并可同步显示双平面辛普森法EF值。（技术不同）</w:t>
            </w:r>
          </w:p>
        </w:tc>
      </w:tr>
      <w:tr w14:paraId="36954131">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2448955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DA8F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具有测量和分析 ( B-型、M-型、频谱多普勒、彩色多普勒模式)</w:t>
            </w:r>
          </w:p>
        </w:tc>
      </w:tr>
      <w:tr w14:paraId="71DA7FA7">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0A5454F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18.1</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0A5F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具有一般测量：距离、面积、周长等；</w:t>
            </w:r>
          </w:p>
        </w:tc>
      </w:tr>
      <w:tr w14:paraId="11E94817">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0B9A840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18.2</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0F98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妇科测量和计算；</w:t>
            </w:r>
          </w:p>
        </w:tc>
      </w:tr>
      <w:tr w14:paraId="139748AD">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20917AA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18.3</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F8EB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自动产科测量；</w:t>
            </w:r>
          </w:p>
        </w:tc>
      </w:tr>
      <w:tr w14:paraId="6C3EEE17">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748A957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18.4</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105B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外周血管测量和计算；</w:t>
            </w:r>
          </w:p>
        </w:tc>
      </w:tr>
      <w:tr w14:paraId="0DC0821A">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05CA695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18.5</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79FE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心脏功能测量和计算：</w:t>
            </w:r>
          </w:p>
        </w:tc>
      </w:tr>
      <w:tr w14:paraId="58811601">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2A043A0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18.6</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DBB4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多普勒血流测量与分析；</w:t>
            </w:r>
          </w:p>
        </w:tc>
      </w:tr>
      <w:tr w14:paraId="7FAE64B4">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3E89729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0D2A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具有自动描记功能。</w:t>
            </w:r>
          </w:p>
        </w:tc>
      </w:tr>
      <w:tr w14:paraId="19505DE5">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73632C1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1E8FD50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内置固态硬盘容量≥1TB 。</w:t>
            </w:r>
          </w:p>
        </w:tc>
      </w:tr>
      <w:tr w14:paraId="38222230">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572545A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43BD258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USB接口≥4个。</w:t>
            </w:r>
          </w:p>
        </w:tc>
      </w:tr>
      <w:tr w14:paraId="1484610A">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48A5E82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2FDA89B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显示器：高分辨率彩色液晶显示器≥22英寸，可上下左右任意旋转，可前后折叠。</w:t>
            </w:r>
          </w:p>
        </w:tc>
      </w:tr>
      <w:tr w14:paraId="3EF90D60">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4EE2A077">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★23.</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601FE8FD">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操作面板具备液晶触摸屏≥12英寸（不含边框）</w:t>
            </w:r>
          </w:p>
        </w:tc>
      </w:tr>
      <w:tr w14:paraId="1BDA6046">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60B433C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1A1724B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≥4个探头接口</w:t>
            </w:r>
          </w:p>
        </w:tc>
      </w:tr>
      <w:tr w14:paraId="670A4F74">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3A227EC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1B8D5DD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探头技术：具备单晶体或冰晶或透镜或纯净波或多排阵列探头技术。</w:t>
            </w:r>
          </w:p>
        </w:tc>
      </w:tr>
      <w:tr w14:paraId="264E4D9E">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3E35856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0AF6080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最大扫描深度：腹部凸阵探头有效最大探测深度≥40cm，线阵探头有效最大探测深度≥12cm，相控阵探头有效最大探测深度≥30cm。</w:t>
            </w:r>
          </w:p>
        </w:tc>
      </w:tr>
      <w:tr w14:paraId="07FBAD33">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0B072141">
            <w:pPr>
              <w:widowControl/>
              <w:spacing w:line="360" w:lineRule="auto"/>
              <w:jc w:val="center"/>
              <w:rPr>
                <w:rFonts w:hint="eastAsia" w:ascii="仿宋" w:hAnsi="仿宋" w:eastAsia="仿宋" w:cs="仿宋"/>
                <w:b/>
                <w:bCs w:val="0"/>
                <w:color w:val="000000"/>
                <w:kern w:val="0"/>
                <w:sz w:val="24"/>
                <w:lang w:bidi="ar"/>
              </w:rPr>
            </w:pPr>
            <w:r>
              <w:rPr>
                <w:rFonts w:hint="eastAsia" w:ascii="宋体" w:hAnsi="宋体" w:cs="宋体"/>
                <w:b/>
                <w:bCs w:val="0"/>
                <w:szCs w:val="21"/>
              </w:rPr>
              <w:t>■</w:t>
            </w:r>
            <w:r>
              <w:rPr>
                <w:rFonts w:hint="eastAsia" w:ascii="仿宋" w:hAnsi="仿宋" w:eastAsia="仿宋" w:cs="仿宋"/>
                <w:b/>
                <w:bCs w:val="0"/>
                <w:color w:val="000000"/>
                <w:kern w:val="0"/>
                <w:sz w:val="24"/>
                <w:lang w:bidi="ar"/>
              </w:rPr>
              <w:t>27.</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6EF68BA0">
            <w:pPr>
              <w:widowControl/>
              <w:spacing w:line="360" w:lineRule="auto"/>
              <w:jc w:val="center"/>
              <w:rPr>
                <w:rFonts w:hint="eastAsia" w:ascii="仿宋" w:hAnsi="仿宋" w:eastAsia="仿宋" w:cs="仿宋"/>
                <w:b/>
                <w:bCs w:val="0"/>
                <w:color w:val="000000"/>
                <w:kern w:val="0"/>
                <w:sz w:val="24"/>
                <w:lang w:bidi="ar"/>
              </w:rPr>
            </w:pPr>
            <w:r>
              <w:rPr>
                <w:rFonts w:hint="eastAsia" w:ascii="仿宋" w:hAnsi="仿宋" w:eastAsia="仿宋" w:cs="仿宋"/>
                <w:b/>
                <w:bCs w:val="0"/>
                <w:color w:val="000000"/>
                <w:kern w:val="0"/>
                <w:sz w:val="24"/>
                <w:lang w:bidi="ar"/>
              </w:rPr>
              <w:t>标配探头1个，探头频率：单晶体或冰晶或透镜或纯净波相控阵心脏探头 1.0-5.0 MHz。</w:t>
            </w:r>
          </w:p>
        </w:tc>
      </w:tr>
      <w:tr w14:paraId="000B25C5">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4DD6716A">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★28.</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495A71FD">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标配相控阵心脏探头具备扇扩成像技术，可完整显示心尖部图像，有助于心尖病变诊断或具备矩阵探头技术</w:t>
            </w:r>
          </w:p>
        </w:tc>
      </w:tr>
      <w:tr w14:paraId="371727C8">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45793B5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47F0879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声束发射聚焦：发射≥8段。</w:t>
            </w:r>
          </w:p>
        </w:tc>
      </w:tr>
      <w:tr w14:paraId="1BD35A12">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5B5800D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7500964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回放重现：灰阶图像回放≥4000帧，回放时间≥350秒，并能进行测量和计算。</w:t>
            </w:r>
          </w:p>
        </w:tc>
      </w:tr>
      <w:tr w14:paraId="567103C4">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74DB6FE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4E6B820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显示模式：脉冲多普勒 PWD、连续多普勒 CWD和高脉冲重复频率 HPRF。</w:t>
            </w:r>
          </w:p>
        </w:tc>
      </w:tr>
      <w:tr w14:paraId="400B071D">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0BE22C99">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★32.</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3E7DE4A4">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频谱多普勒取样容积 0.05mm- 30mm。</w:t>
            </w:r>
          </w:p>
        </w:tc>
      </w:tr>
      <w:tr w14:paraId="2FB141D1">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095B7E0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6C2651E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连通性 医学数字图像和通信DICOM3.0版接口部件。</w:t>
            </w:r>
          </w:p>
        </w:tc>
      </w:tr>
      <w:tr w14:paraId="6F4698CD">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09DD893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34.</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6BA32C6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中文操作手册。</w:t>
            </w:r>
          </w:p>
        </w:tc>
      </w:tr>
      <w:tr w14:paraId="58D3A738">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4B3A9">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★35</w:t>
            </w:r>
          </w:p>
        </w:tc>
        <w:tc>
          <w:tcPr>
            <w:tcW w:w="8924" w:type="dxa"/>
            <w:tcBorders>
              <w:top w:val="single" w:color="000000" w:sz="4" w:space="0"/>
              <w:left w:val="nil"/>
              <w:bottom w:val="single" w:color="000000" w:sz="4" w:space="0"/>
              <w:right w:val="single" w:color="000000" w:sz="4" w:space="0"/>
            </w:tcBorders>
            <w:noWrap/>
            <w:vAlign w:val="center"/>
          </w:tcPr>
          <w:p w14:paraId="2C59FCA1">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5年内升级到最新版本</w:t>
            </w:r>
          </w:p>
        </w:tc>
      </w:tr>
    </w:tbl>
    <w:p w14:paraId="31BBC1D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i w:val="0"/>
          <w:iCs w:val="0"/>
          <w:caps w:val="0"/>
          <w:color w:val="auto"/>
          <w:spacing w:val="0"/>
          <w:sz w:val="24"/>
          <w:szCs w:val="24"/>
          <w:lang w:val="en-US" w:eastAsia="zh-CN" w:bidi="ar"/>
        </w:rPr>
        <w:t>注：《第三章 采购需求及技术规格要求》技术要求中标“</w:t>
      </w:r>
      <w:r>
        <w:rPr>
          <w:rFonts w:hint="eastAsia" w:ascii="宋体" w:hAnsi="宋体" w:cs="宋体"/>
          <w:b/>
          <w:bCs/>
          <w:szCs w:val="21"/>
        </w:rPr>
        <w:t>■</w:t>
      </w:r>
      <w:r>
        <w:rPr>
          <w:rFonts w:hint="eastAsia" w:ascii="仿宋" w:hAnsi="仿宋" w:eastAsia="仿宋" w:cs="仿宋"/>
          <w:b/>
          <w:bCs/>
          <w:i w:val="0"/>
          <w:iCs w:val="0"/>
          <w:caps w:val="0"/>
          <w:color w:val="auto"/>
          <w:spacing w:val="0"/>
          <w:sz w:val="24"/>
          <w:szCs w:val="24"/>
          <w:lang w:val="en-US" w:eastAsia="zh-CN" w:bidi="ar"/>
        </w:rPr>
        <w:t>”条款的为重点指标项，不允许未响应或负偏离，招标文件要求提供证明材料的按照要求提供，未明确要求提供证明材料，须在投标文件中自行提供相关证明材料（包括不</w:t>
      </w:r>
      <w:r>
        <w:rPr>
          <w:rFonts w:hint="eastAsia" w:ascii="仿宋" w:hAnsi="仿宋" w:eastAsia="仿宋" w:cs="仿宋"/>
          <w:b/>
          <w:bCs/>
          <w:i w:val="0"/>
          <w:iCs w:val="0"/>
          <w:caps w:val="0"/>
          <w:color w:val="auto"/>
          <w:spacing w:val="0"/>
          <w:sz w:val="24"/>
          <w:szCs w:val="24"/>
          <w:shd w:val="clear" w:color="auto" w:fill="auto"/>
          <w:lang w:val="en-US" w:eastAsia="zh-CN" w:bidi="ar"/>
        </w:rPr>
        <w:t>限于产品彩页或操作界面截图或产品技术白皮书或产品检测报告等）</w:t>
      </w:r>
      <w:r>
        <w:rPr>
          <w:rFonts w:hint="eastAsia" w:ascii="仿宋" w:hAnsi="仿宋" w:eastAsia="仿宋" w:cs="仿宋"/>
          <w:b/>
          <w:bCs/>
          <w:i w:val="0"/>
          <w:iCs w:val="0"/>
          <w:caps w:val="0"/>
          <w:color w:val="auto"/>
          <w:spacing w:val="0"/>
          <w:sz w:val="24"/>
          <w:szCs w:val="24"/>
          <w:lang w:val="en-US" w:eastAsia="zh-CN" w:bidi="ar"/>
        </w:rPr>
        <w:t>；未提供或提供的不符要求的视为不响应招标文件要求，其投标将被否决。</w:t>
      </w:r>
    </w:p>
    <w:p w14:paraId="1C1A915C">
      <w:pPr>
        <w:pStyle w:val="4"/>
        <w:numPr>
          <w:ilvl w:val="0"/>
          <w:numId w:val="1"/>
        </w:numPr>
        <w:spacing w:line="360" w:lineRule="auto"/>
        <w:ind w:firstLine="0" w:firstLineChars="0"/>
        <w:rPr>
          <w:rFonts w:hint="eastAsia" w:ascii="仿宋" w:hAnsi="仿宋" w:eastAsia="仿宋" w:cs="仿宋"/>
          <w:b/>
          <w:color w:val="000000"/>
          <w:sz w:val="24"/>
        </w:rPr>
      </w:pPr>
      <w:r>
        <w:rPr>
          <w:rFonts w:hint="eastAsia" w:ascii="仿宋" w:hAnsi="仿宋" w:eastAsia="仿宋" w:cs="仿宋"/>
          <w:b/>
          <w:color w:val="000000"/>
          <w:sz w:val="24"/>
        </w:rPr>
        <w:t>其他配套要求：</w:t>
      </w:r>
    </w:p>
    <w:p w14:paraId="084E489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70A4101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2489ADC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05B4087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7B3D8FE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3DAC9AA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158674C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1082648B">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32F0CF1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4D232CE3">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3A79985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1B367C86">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593654DB">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5745143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564D79B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1F1E0D0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1FFA6FD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00EF4D2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372BA94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579DDB7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2F3DCD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33C63EB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376C257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包含在投标报价中。设备使用培训：不少于2-4人，直至完全掌握设备应用技术，并获厂方资质许可；交通、食宿、资料、工具材料等所有与培训相关的费用包含在投标报价中。</w:t>
      </w:r>
    </w:p>
    <w:p w14:paraId="0D455E3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3BB909D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3554031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734AC29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23414C5F">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r>
        <w:rPr>
          <w:rFonts w:hint="eastAsia" w:ascii="宋体" w:hAnsi="宋体"/>
          <w:color w:val="000000"/>
        </w:rPr>
        <w:br w:type="page"/>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AB2AC"/>
    <w:multiLevelType w:val="singleLevel"/>
    <w:tmpl w:val="FE1AB2AC"/>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546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customStyle="1" w:styleId="11">
    <w:name w:val="标题 2 Char Char"/>
    <w:qFormat/>
    <w:uiPriority w:val="0"/>
    <w:rPr>
      <w:rFonts w:ascii="Arial" w:hAnsi="Arial" w:eastAsia="黑体" w:cs="Times New Roman"/>
      <w:b/>
      <w:bCs/>
      <w:kern w:val="2"/>
      <w:sz w:val="32"/>
      <w:szCs w:val="32"/>
      <w:lang w:val="en-US" w:eastAsia="zh-CN" w:bidi="ar-SA"/>
    </w:rPr>
  </w:style>
  <w:style w:type="paragraph" w:customStyle="1" w:styleId="12">
    <w:name w:val="列出段落1"/>
    <w:basedOn w:val="1"/>
    <w:qFormat/>
    <w:uiPriority w:val="0"/>
    <w:pPr>
      <w:ind w:firstLine="420" w:firstLineChars="200"/>
    </w:p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2026-05-19T08:53:40Z</dcterms:created>
  <dc:creator>admin</dc:creator>
  <cp:lastModifiedBy>豆奶是个小胖子</cp:lastModifiedBy>
  <dcterms:modified xsi:type="dcterms:W3CDTF">2026-05-19T08:54:02Z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AA8623A3A51D4EA6AA36822D35570182_12</vt:lpwstr>
  </property>
</Properties>
</file>