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5AE7CF">
      <w:pPr>
        <w:pStyle w:val="2"/>
        <w:widowControl/>
        <w:numPr>
          <w:numId w:val="0"/>
        </w:numPr>
        <w:snapToGrid w:val="0"/>
        <w:spacing w:line="360" w:lineRule="auto"/>
        <w:ind w:leftChars="0"/>
        <w:jc w:val="center"/>
        <w:rPr>
          <w:rFonts w:hint="eastAsia" w:ascii="仿宋" w:hAnsi="仿宋" w:eastAsia="仿宋" w:cs="仿宋"/>
          <w:highlight w:val="none"/>
        </w:rPr>
      </w:pPr>
      <w:bookmarkStart w:id="0" w:name="_GoBack"/>
      <w:r>
        <w:rPr>
          <w:rFonts w:hint="eastAsia" w:ascii="仿宋" w:hAnsi="仿宋" w:eastAsia="仿宋" w:cs="仿宋"/>
          <w:highlight w:val="none"/>
        </w:rPr>
        <w:t>采购需求</w:t>
      </w:r>
    </w:p>
    <w:bookmarkEnd w:id="0"/>
    <w:p w14:paraId="2B29732A">
      <w:pPr>
        <w:spacing w:line="360" w:lineRule="auto"/>
        <w:rPr>
          <w:rFonts w:hint="eastAsia" w:ascii="仿宋" w:hAnsi="仿宋" w:eastAsia="仿宋" w:cs="仿宋"/>
          <w:sz w:val="24"/>
          <w:highlight w:val="none"/>
        </w:rPr>
      </w:pPr>
      <w:r>
        <w:rPr>
          <w:rFonts w:hint="eastAsia" w:ascii="仿宋" w:hAnsi="仿宋" w:eastAsia="仿宋" w:cs="仿宋"/>
          <w:sz w:val="24"/>
          <w:highlight w:val="none"/>
        </w:rPr>
        <w:t>前注：</w:t>
      </w:r>
    </w:p>
    <w:p w14:paraId="4F536074">
      <w:pPr>
        <w:spacing w:line="360" w:lineRule="auto"/>
        <w:ind w:firstLine="435"/>
        <w:rPr>
          <w:rFonts w:hint="eastAsia" w:ascii="仿宋" w:hAnsi="仿宋" w:eastAsia="仿宋" w:cs="仿宋"/>
          <w:sz w:val="24"/>
          <w:highlight w:val="none"/>
        </w:rPr>
      </w:pPr>
      <w:r>
        <w:rPr>
          <w:rFonts w:hint="eastAsia" w:ascii="仿宋" w:hAnsi="仿宋" w:eastAsia="仿宋" w:cs="仿宋"/>
          <w:sz w:val="24"/>
          <w:highlight w:val="none"/>
        </w:rPr>
        <w:t>1、本采购需求中未充分引用有关标准，但供应商必须提供符合国家、地方、行业标准和本采购需求的优质服务。本采购需求中提出的服务内容如无明确限制，供应商可以进行优化，提供满足采购人实际需要的更优（或者性能实质上不低于的）服务方案，且此方案须经磋商小组评审认可。本采购需求为供应商提供本项目服务的最低标准，供应商可在此基础上提供更高的服务或增值服务，但不得实质性违反。</w:t>
      </w:r>
    </w:p>
    <w:p w14:paraId="1731DD51">
      <w:pPr>
        <w:spacing w:line="360" w:lineRule="auto"/>
        <w:ind w:firstLine="435"/>
        <w:rPr>
          <w:rFonts w:hint="eastAsia" w:ascii="仿宋" w:hAnsi="仿宋" w:eastAsia="仿宋" w:cs="仿宋"/>
          <w:sz w:val="24"/>
          <w:highlight w:val="none"/>
        </w:rPr>
      </w:pPr>
      <w:r>
        <w:rPr>
          <w:rFonts w:hint="eastAsia" w:ascii="仿宋" w:hAnsi="仿宋" w:eastAsia="仿宋" w:cs="仿宋"/>
          <w:sz w:val="24"/>
          <w:highlight w:val="none"/>
        </w:rPr>
        <w:t>2、参加磋商的供应商应当在响应文件中列出完成本项目并符合采购人、主管部门要求所需的所有各项服务的全部费用。成交供应商必须确保整体通过采购人及有关主管部门审查，所发生的费用由成交供应商承担；供应商应自行踏勘项目现场，如供应商因未及时踏勘现场而导致的报价缺项漏项造成磋商失败</w:t>
      </w:r>
      <w:r>
        <w:rPr>
          <w:rFonts w:hint="eastAsia" w:ascii="仿宋" w:hAnsi="仿宋" w:eastAsia="仿宋" w:cs="仿宋"/>
          <w:sz w:val="24"/>
          <w:highlight w:val="none"/>
          <w:lang w:eastAsia="zh-CN"/>
        </w:rPr>
        <w:t>或</w:t>
      </w:r>
      <w:r>
        <w:rPr>
          <w:rFonts w:hint="eastAsia" w:ascii="仿宋" w:hAnsi="仿宋" w:eastAsia="仿宋" w:cs="仿宋"/>
          <w:sz w:val="24"/>
          <w:highlight w:val="none"/>
        </w:rPr>
        <w:t xml:space="preserve">确定成交后无法完工，供应商自行承担一切后果。 </w:t>
      </w:r>
    </w:p>
    <w:p w14:paraId="044E330E">
      <w:pPr>
        <w:spacing w:line="360" w:lineRule="auto"/>
        <w:ind w:firstLine="435"/>
        <w:rPr>
          <w:rFonts w:hint="eastAsia" w:ascii="仿宋" w:hAnsi="仿宋" w:eastAsia="仿宋" w:cs="仿宋"/>
          <w:b/>
          <w:bCs/>
          <w:sz w:val="24"/>
          <w:highlight w:val="none"/>
        </w:rPr>
      </w:pPr>
      <w:r>
        <w:rPr>
          <w:rFonts w:hint="eastAsia" w:ascii="仿宋" w:hAnsi="仿宋" w:eastAsia="仿宋" w:cs="仿宋"/>
          <w:b/>
          <w:bCs/>
          <w:sz w:val="24"/>
          <w:highlight w:val="none"/>
        </w:rPr>
        <w:t>3、本采购需求未对本项目全部设计施工要求、标准、服务内容进行描述，供应商成交后需提供满足采购人实质需求的设计、施工、设备、服务。未尽事宜，合同签订时另行约定。</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
        <w:gridCol w:w="1277"/>
        <w:gridCol w:w="6287"/>
      </w:tblGrid>
      <w:tr w14:paraId="7ACD3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noWrap w:val="0"/>
            <w:vAlign w:val="center"/>
          </w:tcPr>
          <w:p w14:paraId="66EF3443">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749" w:type="pct"/>
            <w:noWrap w:val="0"/>
            <w:vAlign w:val="center"/>
          </w:tcPr>
          <w:p w14:paraId="1D8268C8">
            <w:pPr>
              <w:spacing w:line="360" w:lineRule="auto"/>
              <w:ind w:firstLine="435"/>
              <w:jc w:val="center"/>
              <w:rPr>
                <w:rFonts w:hint="eastAsia" w:ascii="仿宋" w:hAnsi="仿宋" w:eastAsia="仿宋" w:cs="仿宋"/>
                <w:b/>
                <w:sz w:val="24"/>
                <w:highlight w:val="none"/>
              </w:rPr>
            </w:pPr>
            <w:r>
              <w:rPr>
                <w:rFonts w:hint="eastAsia" w:ascii="仿宋" w:hAnsi="仿宋" w:eastAsia="仿宋" w:cs="仿宋"/>
                <w:b/>
                <w:sz w:val="24"/>
                <w:highlight w:val="none"/>
              </w:rPr>
              <w:t>内容</w:t>
            </w:r>
          </w:p>
        </w:tc>
        <w:tc>
          <w:tcPr>
            <w:tcW w:w="3688" w:type="pct"/>
            <w:noWrap w:val="0"/>
            <w:vAlign w:val="center"/>
          </w:tcPr>
          <w:p w14:paraId="11A6B510">
            <w:pPr>
              <w:spacing w:line="360" w:lineRule="auto"/>
              <w:ind w:firstLine="435"/>
              <w:jc w:val="center"/>
              <w:rPr>
                <w:rFonts w:hint="eastAsia" w:ascii="仿宋" w:hAnsi="仿宋" w:eastAsia="仿宋" w:cs="仿宋"/>
                <w:b/>
                <w:sz w:val="24"/>
                <w:highlight w:val="none"/>
              </w:rPr>
            </w:pPr>
            <w:r>
              <w:rPr>
                <w:rFonts w:hint="eastAsia" w:ascii="仿宋" w:hAnsi="仿宋" w:eastAsia="仿宋" w:cs="仿宋"/>
                <w:b/>
                <w:sz w:val="24"/>
                <w:highlight w:val="none"/>
              </w:rPr>
              <w:t>说明和要求</w:t>
            </w:r>
          </w:p>
        </w:tc>
      </w:tr>
      <w:tr w14:paraId="3F94E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noWrap w:val="0"/>
            <w:vAlign w:val="center"/>
          </w:tcPr>
          <w:p w14:paraId="37B55AA8">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749" w:type="pct"/>
            <w:noWrap w:val="0"/>
            <w:vAlign w:val="center"/>
          </w:tcPr>
          <w:p w14:paraId="307CFF84">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人员到岗及履约要求</w:t>
            </w:r>
          </w:p>
        </w:tc>
        <w:tc>
          <w:tcPr>
            <w:tcW w:w="3688" w:type="pct"/>
            <w:noWrap w:val="0"/>
            <w:vAlign w:val="center"/>
          </w:tcPr>
          <w:p w14:paraId="64881175">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供应商一旦成交，磋商时所报的本项目的项目经理、施工现场技术负责人、各专业负责工程师及施工机械等在整个项目施工期内必须在位，否则采购人有权终止合同。由此造成的损失，成交供应商自行承担并赔偿可能给采购人造成的损失。</w:t>
            </w:r>
          </w:p>
          <w:p w14:paraId="6F9AB5BF">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成交供应商不得擅自更换磋商时所报项目经理及项目部主要管理人员。确需更换时，须报采购人同意，更换后人员不得低于成交供应商磋商时所报人员资质和技术水平。采购人如认为有必要，可要求对上述人员中的部分人员</w:t>
            </w:r>
            <w:r>
              <w:rPr>
                <w:rFonts w:hint="eastAsia" w:ascii="仿宋" w:hAnsi="仿宋" w:eastAsia="仿宋" w:cs="仿宋"/>
                <w:sz w:val="24"/>
                <w:highlight w:val="none"/>
                <w:lang w:eastAsia="zh-CN"/>
              </w:rPr>
              <w:t>做出</w:t>
            </w:r>
            <w:r>
              <w:rPr>
                <w:rFonts w:hint="eastAsia" w:ascii="仿宋" w:hAnsi="仿宋" w:eastAsia="仿宋" w:cs="仿宋"/>
                <w:sz w:val="24"/>
                <w:highlight w:val="none"/>
              </w:rPr>
              <w:t>更好的调整。</w:t>
            </w:r>
          </w:p>
          <w:p w14:paraId="3BBF59E2">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（3）成交供应商未能按照承诺到岗尽职的，采购人将视情况严重程度对其作出相应处理，给予警告并发出整改通知。如仍未及时整改，采购人有权责令其停工整改</w:t>
            </w:r>
            <w:r>
              <w:rPr>
                <w:rFonts w:hint="eastAsia" w:ascii="仿宋" w:hAnsi="仿宋" w:eastAsia="仿宋" w:cs="仿宋"/>
                <w:sz w:val="24"/>
                <w:highlight w:val="none"/>
                <w:lang w:eastAsia="zh-CN"/>
              </w:rPr>
              <w:t>直至</w:t>
            </w:r>
            <w:r>
              <w:rPr>
                <w:rFonts w:hint="eastAsia" w:ascii="仿宋" w:hAnsi="仿宋" w:eastAsia="仿宋" w:cs="仿宋"/>
                <w:sz w:val="24"/>
                <w:highlight w:val="none"/>
              </w:rPr>
              <w:t>终止合同，引进新的承包人。采购人还将停止支付工程款项，扣留任何未付的工程进度款项补偿建设单位的有关损失或工期延误的损失，并就此向承包人索赔。</w:t>
            </w:r>
          </w:p>
        </w:tc>
      </w:tr>
      <w:tr w14:paraId="4295A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noWrap w:val="0"/>
            <w:vAlign w:val="center"/>
          </w:tcPr>
          <w:p w14:paraId="14F138BE">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749" w:type="pct"/>
            <w:noWrap w:val="0"/>
            <w:vAlign w:val="center"/>
          </w:tcPr>
          <w:p w14:paraId="7309B0B6">
            <w:pPr>
              <w:spacing w:line="360" w:lineRule="auto"/>
              <w:rPr>
                <w:rFonts w:hint="eastAsia" w:ascii="仿宋" w:hAnsi="仿宋" w:eastAsia="仿宋" w:cs="仿宋"/>
                <w:sz w:val="24"/>
                <w:highlight w:val="none"/>
              </w:rPr>
            </w:pPr>
            <w:r>
              <w:rPr>
                <w:rFonts w:hint="eastAsia" w:ascii="仿宋" w:hAnsi="仿宋" w:eastAsia="仿宋" w:cs="仿宋"/>
                <w:sz w:val="24"/>
                <w:highlight w:val="none"/>
              </w:rPr>
              <w:t>材料要求</w:t>
            </w:r>
          </w:p>
        </w:tc>
        <w:tc>
          <w:tcPr>
            <w:tcW w:w="3688" w:type="pct"/>
            <w:noWrap w:val="0"/>
            <w:vAlign w:val="center"/>
          </w:tcPr>
          <w:p w14:paraId="4719A954">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成交供应商自行采购的材料应满足设计和规范要求的质量等级，并须按有关技术规范要求对材料质量进行检验。成交供应商选定的材料供应厂家和价格须经采购人和监理单位认可。如采购人和监理单位对某种或某些材料的质量有异议，有权提出停止使用的要求，成交供应商必须服从该要求。若该材料经权威检验部门鉴定确有质量问题，由此而发生的一切费用由成交供应商自负。因成交供应商自行采购的材料质量引起的工程质量问题由成交供应商承担所造成的一切损失。</w:t>
            </w:r>
          </w:p>
        </w:tc>
      </w:tr>
      <w:tr w14:paraId="5F33D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noWrap w:val="0"/>
            <w:vAlign w:val="center"/>
          </w:tcPr>
          <w:p w14:paraId="4CC0FFCF">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3</w:t>
            </w:r>
          </w:p>
        </w:tc>
        <w:tc>
          <w:tcPr>
            <w:tcW w:w="749" w:type="pct"/>
            <w:noWrap w:val="0"/>
            <w:vAlign w:val="center"/>
          </w:tcPr>
          <w:p w14:paraId="0FC3ED5A">
            <w:pPr>
              <w:spacing w:line="360" w:lineRule="auto"/>
              <w:rPr>
                <w:rFonts w:hint="eastAsia" w:ascii="仿宋" w:hAnsi="仿宋" w:eastAsia="仿宋" w:cs="仿宋"/>
                <w:sz w:val="24"/>
                <w:highlight w:val="none"/>
              </w:rPr>
            </w:pPr>
            <w:r>
              <w:rPr>
                <w:rFonts w:hint="eastAsia" w:ascii="仿宋" w:hAnsi="仿宋" w:eastAsia="仿宋" w:cs="仿宋"/>
                <w:sz w:val="24"/>
                <w:highlight w:val="none"/>
              </w:rPr>
              <w:t>报价须知</w:t>
            </w:r>
          </w:p>
        </w:tc>
        <w:tc>
          <w:tcPr>
            <w:tcW w:w="3688" w:type="pct"/>
            <w:noWrap w:val="0"/>
            <w:vAlign w:val="center"/>
          </w:tcPr>
          <w:p w14:paraId="24ADE047">
            <w:pPr>
              <w:spacing w:line="360" w:lineRule="auto"/>
              <w:ind w:firstLine="480" w:firstLineChars="200"/>
              <w:rPr>
                <w:rFonts w:hint="eastAsia" w:ascii="仿宋" w:hAnsi="仿宋" w:eastAsia="仿宋" w:cs="仿宋"/>
                <w:sz w:val="24"/>
                <w:highlight w:val="none"/>
              </w:rPr>
            </w:pPr>
            <w:r>
              <w:rPr>
                <w:rFonts w:hint="eastAsia" w:ascii="仿宋" w:hAnsi="仿宋" w:eastAsia="仿宋" w:cs="仿宋"/>
                <w:bCs/>
                <w:sz w:val="24"/>
                <w:szCs w:val="28"/>
                <w:highlight w:val="none"/>
              </w:rPr>
              <w:t>供应商最后报价均不得高于磋商文件（公告）列明的项目预算、最高限价（控制价），否则其响应文件将被认定为响应无效</w:t>
            </w:r>
            <w:r>
              <w:rPr>
                <w:rFonts w:hint="eastAsia" w:ascii="仿宋" w:hAnsi="仿宋" w:eastAsia="仿宋" w:cs="仿宋"/>
                <w:sz w:val="24"/>
                <w:highlight w:val="none"/>
              </w:rPr>
              <w:t>。</w:t>
            </w:r>
          </w:p>
        </w:tc>
      </w:tr>
      <w:tr w14:paraId="4B66D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trPr>
        <w:tc>
          <w:tcPr>
            <w:tcW w:w="562" w:type="pct"/>
            <w:noWrap w:val="0"/>
            <w:vAlign w:val="center"/>
          </w:tcPr>
          <w:p w14:paraId="6646DF51">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5</w:t>
            </w:r>
          </w:p>
        </w:tc>
        <w:tc>
          <w:tcPr>
            <w:tcW w:w="749" w:type="pct"/>
            <w:noWrap w:val="0"/>
            <w:vAlign w:val="center"/>
          </w:tcPr>
          <w:p w14:paraId="607E96E1">
            <w:pPr>
              <w:spacing w:line="360" w:lineRule="auto"/>
              <w:jc w:val="center"/>
              <w:rPr>
                <w:rFonts w:hint="eastAsia" w:ascii="仿宋" w:hAnsi="仿宋" w:eastAsia="仿宋" w:cs="仿宋"/>
                <w:bCs/>
                <w:sz w:val="24"/>
                <w:szCs w:val="28"/>
                <w:highlight w:val="none"/>
              </w:rPr>
            </w:pPr>
            <w:r>
              <w:rPr>
                <w:rFonts w:hint="eastAsia" w:ascii="仿宋" w:hAnsi="仿宋" w:eastAsia="仿宋" w:cs="仿宋"/>
                <w:bCs/>
                <w:sz w:val="24"/>
                <w:szCs w:val="28"/>
                <w:highlight w:val="none"/>
              </w:rPr>
              <w:t>重要说明</w:t>
            </w:r>
          </w:p>
        </w:tc>
        <w:tc>
          <w:tcPr>
            <w:tcW w:w="3688" w:type="pct"/>
            <w:noWrap w:val="0"/>
            <w:vAlign w:val="center"/>
          </w:tcPr>
          <w:p w14:paraId="24857E16">
            <w:pPr>
              <w:spacing w:line="360" w:lineRule="auto"/>
              <w:ind w:firstLine="480" w:firstLineChars="200"/>
              <w:rPr>
                <w:rFonts w:hint="eastAsia" w:ascii="仿宋" w:hAnsi="仿宋" w:eastAsia="仿宋" w:cs="仿宋"/>
                <w:bCs/>
                <w:sz w:val="24"/>
                <w:szCs w:val="28"/>
                <w:highlight w:val="none"/>
              </w:rPr>
            </w:pPr>
            <w:r>
              <w:rPr>
                <w:rFonts w:hint="eastAsia" w:ascii="仿宋" w:hAnsi="仿宋" w:eastAsia="仿宋" w:cs="仿宋"/>
                <w:bCs/>
                <w:sz w:val="24"/>
                <w:szCs w:val="28"/>
                <w:highlight w:val="none"/>
              </w:rPr>
              <w:t>（1）承包人在工程实施过程中用工行为，必须严格执行国家及地方政府的有关规定，依法签订劳动合同，并按规定及时足额支付工资。</w:t>
            </w:r>
          </w:p>
          <w:p w14:paraId="590E92AB">
            <w:pPr>
              <w:spacing w:line="360" w:lineRule="auto"/>
              <w:ind w:firstLine="480" w:firstLineChars="200"/>
              <w:rPr>
                <w:rFonts w:hint="eastAsia" w:ascii="仿宋" w:hAnsi="仿宋" w:eastAsia="仿宋" w:cs="仿宋"/>
                <w:bCs/>
                <w:sz w:val="24"/>
                <w:szCs w:val="28"/>
                <w:highlight w:val="none"/>
                <w:lang w:val="zh-CN"/>
              </w:rPr>
            </w:pPr>
            <w:r>
              <w:rPr>
                <w:rFonts w:hint="eastAsia" w:ascii="仿宋" w:hAnsi="仿宋" w:eastAsia="仿宋" w:cs="仿宋"/>
                <w:bCs/>
                <w:sz w:val="24"/>
                <w:szCs w:val="28"/>
                <w:highlight w:val="none"/>
              </w:rPr>
              <w:t>（2）</w:t>
            </w:r>
            <w:r>
              <w:rPr>
                <w:rFonts w:hint="eastAsia" w:ascii="仿宋" w:hAnsi="仿宋" w:eastAsia="仿宋" w:cs="仿宋"/>
                <w:bCs/>
                <w:sz w:val="24"/>
                <w:szCs w:val="28"/>
                <w:highlight w:val="none"/>
                <w:lang w:val="zh-CN"/>
              </w:rPr>
              <w:t>项目团队人员配备须</w:t>
            </w:r>
            <w:r>
              <w:rPr>
                <w:rFonts w:hint="eastAsia" w:ascii="仿宋" w:hAnsi="仿宋" w:eastAsia="仿宋" w:cs="仿宋"/>
                <w:bCs/>
                <w:sz w:val="24"/>
                <w:szCs w:val="28"/>
                <w:highlight w:val="none"/>
              </w:rPr>
              <w:t>至少</w:t>
            </w:r>
            <w:r>
              <w:rPr>
                <w:rFonts w:hint="eastAsia" w:ascii="仿宋" w:hAnsi="仿宋" w:eastAsia="仿宋" w:cs="仿宋"/>
                <w:bCs/>
                <w:sz w:val="24"/>
                <w:szCs w:val="28"/>
                <w:highlight w:val="none"/>
                <w:lang w:val="zh-CN"/>
              </w:rPr>
              <w:t>满足安徽省建设工程施工现场关键岗位人员配备最低标准。</w:t>
            </w:r>
          </w:p>
          <w:p w14:paraId="0B76FEA3">
            <w:pPr>
              <w:spacing w:line="360" w:lineRule="auto"/>
              <w:ind w:firstLine="720" w:firstLineChars="300"/>
              <w:rPr>
                <w:rFonts w:hint="eastAsia" w:ascii="仿宋" w:hAnsi="仿宋" w:eastAsia="仿宋" w:cs="仿宋"/>
                <w:bCs/>
                <w:sz w:val="24"/>
                <w:szCs w:val="28"/>
                <w:highlight w:val="none"/>
              </w:rPr>
            </w:pPr>
            <w:r>
              <w:rPr>
                <w:rFonts w:hint="eastAsia" w:ascii="仿宋" w:hAnsi="仿宋" w:eastAsia="仿宋" w:cs="仿宋"/>
                <w:bCs/>
                <w:sz w:val="24"/>
                <w:szCs w:val="28"/>
                <w:highlight w:val="none"/>
              </w:rPr>
              <w:t>（3）承包人必须严格按照安徽省住房和城乡建设厅和项目所在地发布的最新关于建筑工程施工扬尘污染防治规定落实扬尘污染防治措施。</w:t>
            </w:r>
          </w:p>
          <w:p w14:paraId="54766637">
            <w:pPr>
              <w:spacing w:line="360" w:lineRule="auto"/>
              <w:ind w:firstLine="480" w:firstLineChars="200"/>
              <w:rPr>
                <w:rFonts w:hint="eastAsia" w:ascii="仿宋" w:hAnsi="仿宋" w:eastAsia="仿宋" w:cs="仿宋"/>
                <w:bCs/>
                <w:sz w:val="24"/>
                <w:szCs w:val="28"/>
                <w:highlight w:val="none"/>
              </w:rPr>
            </w:pPr>
            <w:r>
              <w:rPr>
                <w:rFonts w:hint="eastAsia" w:ascii="仿宋" w:hAnsi="仿宋" w:eastAsia="仿宋" w:cs="仿宋"/>
                <w:bCs/>
                <w:sz w:val="24"/>
                <w:szCs w:val="28"/>
                <w:highlight w:val="none"/>
              </w:rPr>
              <w:t>（4）省外建设工程企业按照《关于优化进皖建设工程企业信息登记服务和管理有关工作的通知》（建市规〔2025〕4号）进行相关信息登记。</w:t>
            </w:r>
          </w:p>
          <w:p w14:paraId="5CE90666">
            <w:pPr>
              <w:spacing w:line="360" w:lineRule="auto"/>
              <w:ind w:firstLine="480" w:firstLineChars="200"/>
              <w:rPr>
                <w:rFonts w:hint="eastAsia" w:ascii="仿宋" w:hAnsi="仿宋" w:eastAsia="仿宋" w:cs="仿宋"/>
                <w:bCs/>
                <w:sz w:val="24"/>
                <w:szCs w:val="28"/>
                <w:highlight w:val="none"/>
                <w:lang w:val="zh-CN"/>
              </w:rPr>
            </w:pPr>
            <w:r>
              <w:rPr>
                <w:rFonts w:hint="eastAsia" w:ascii="仿宋" w:hAnsi="仿宋" w:eastAsia="仿宋" w:cs="仿宋"/>
                <w:bCs/>
                <w:sz w:val="24"/>
                <w:szCs w:val="28"/>
                <w:highlight w:val="none"/>
              </w:rPr>
              <w:t>（5）保证保险产品应按《中国银保监会办公厅关于进一步加强和改进财产保险公司产品监管有关问题的通知》执行。</w:t>
            </w:r>
          </w:p>
          <w:p w14:paraId="73D850E0">
            <w:pPr>
              <w:spacing w:line="360" w:lineRule="auto"/>
              <w:ind w:firstLine="480" w:firstLineChars="200"/>
              <w:rPr>
                <w:rFonts w:hint="eastAsia" w:ascii="仿宋" w:hAnsi="仿宋" w:eastAsia="仿宋" w:cs="仿宋"/>
                <w:bCs/>
                <w:sz w:val="24"/>
                <w:szCs w:val="28"/>
                <w:highlight w:val="none"/>
                <w:lang w:val="zh-CN"/>
              </w:rPr>
            </w:pPr>
            <w:r>
              <w:rPr>
                <w:rFonts w:hint="eastAsia" w:ascii="仿宋" w:hAnsi="仿宋" w:eastAsia="仿宋" w:cs="仿宋"/>
                <w:bCs/>
                <w:sz w:val="24"/>
                <w:szCs w:val="28"/>
                <w:highlight w:val="none"/>
              </w:rPr>
              <w:t>（6）</w:t>
            </w:r>
            <w:r>
              <w:rPr>
                <w:rFonts w:hint="eastAsia" w:ascii="仿宋" w:hAnsi="仿宋" w:eastAsia="仿宋" w:cs="仿宋"/>
                <w:bCs/>
                <w:sz w:val="24"/>
                <w:szCs w:val="28"/>
                <w:highlight w:val="none"/>
                <w:lang w:val="zh-CN"/>
              </w:rPr>
              <w:t>按照《关于调整招标投标活动中有关住房城乡建设领域现场专业人员证书要求的通知》（建市函〔2019〕1112号），本项目不再要求供应商提供拟配备如施工员、质量员、安全员、资料员、材料员、劳务员、机械员、标准员及取样员、监理员、见证员岗位证书。</w:t>
            </w:r>
          </w:p>
          <w:p w14:paraId="1696ABC1">
            <w:pPr>
              <w:spacing w:line="360" w:lineRule="auto"/>
              <w:ind w:firstLine="480" w:firstLineChars="200"/>
              <w:rPr>
                <w:rFonts w:hint="eastAsia" w:ascii="仿宋" w:hAnsi="仿宋" w:eastAsia="仿宋" w:cs="仿宋"/>
                <w:bCs/>
                <w:sz w:val="24"/>
                <w:szCs w:val="28"/>
                <w:highlight w:val="none"/>
                <w:lang w:val="zh-CN"/>
              </w:rPr>
            </w:pPr>
            <w:r>
              <w:rPr>
                <w:rFonts w:hint="eastAsia" w:ascii="仿宋" w:hAnsi="仿宋" w:eastAsia="仿宋" w:cs="仿宋"/>
                <w:bCs/>
                <w:sz w:val="24"/>
                <w:szCs w:val="28"/>
                <w:highlight w:val="none"/>
              </w:rPr>
              <w:t>（7）</w:t>
            </w:r>
            <w:r>
              <w:rPr>
                <w:rFonts w:hint="eastAsia" w:ascii="仿宋" w:hAnsi="仿宋" w:eastAsia="仿宋" w:cs="仿宋"/>
                <w:bCs/>
                <w:sz w:val="24"/>
                <w:szCs w:val="28"/>
                <w:highlight w:val="none"/>
                <w:lang w:val="zh-CN"/>
              </w:rPr>
              <w:t>构成本</w:t>
            </w:r>
            <w:r>
              <w:rPr>
                <w:rFonts w:hint="eastAsia" w:ascii="仿宋" w:hAnsi="仿宋" w:eastAsia="仿宋" w:cs="仿宋"/>
                <w:bCs/>
                <w:sz w:val="24"/>
                <w:szCs w:val="28"/>
                <w:highlight w:val="none"/>
              </w:rPr>
              <w:t>磋商</w:t>
            </w:r>
            <w:r>
              <w:rPr>
                <w:rFonts w:hint="eastAsia" w:ascii="仿宋" w:hAnsi="仿宋" w:eastAsia="仿宋" w:cs="仿宋"/>
                <w:bCs/>
                <w:sz w:val="24"/>
                <w:szCs w:val="28"/>
                <w:highlight w:val="none"/>
                <w:lang w:val="zh-CN"/>
              </w:rPr>
              <w:t>文件各个组成部分的文件，未经采购人书面同意，供应商不得擅自复印和用于非本采购项目所需的其他目的。采购人全部或者部分使用未成交供应商文件中的技术成果或技术方案时，需征得其书面同意，并不得擅自复印或提供给第三人。</w:t>
            </w:r>
          </w:p>
          <w:p w14:paraId="487EC0DE">
            <w:pPr>
              <w:spacing w:line="360" w:lineRule="auto"/>
              <w:ind w:firstLine="480" w:firstLineChars="200"/>
              <w:rPr>
                <w:rFonts w:hint="eastAsia" w:ascii="仿宋" w:hAnsi="仿宋" w:eastAsia="仿宋" w:cs="仿宋"/>
                <w:bCs/>
                <w:sz w:val="24"/>
                <w:szCs w:val="28"/>
                <w:highlight w:val="none"/>
                <w:lang w:val="zh-CN"/>
              </w:rPr>
            </w:pPr>
            <w:r>
              <w:rPr>
                <w:rFonts w:hint="eastAsia" w:ascii="仿宋" w:hAnsi="仿宋" w:eastAsia="仿宋" w:cs="仿宋"/>
                <w:bCs/>
                <w:sz w:val="24"/>
                <w:szCs w:val="28"/>
                <w:highlight w:val="none"/>
              </w:rPr>
              <w:t>（8）</w:t>
            </w:r>
            <w:r>
              <w:rPr>
                <w:rFonts w:hint="eastAsia" w:ascii="仿宋" w:hAnsi="仿宋" w:eastAsia="仿宋" w:cs="仿宋"/>
                <w:bCs/>
                <w:sz w:val="24"/>
                <w:szCs w:val="28"/>
                <w:highlight w:val="none"/>
                <w:lang w:val="zh-CN"/>
              </w:rPr>
              <w:t>构成采购文件组成部分的“通用合同条款”“专用合同条款”“采购需求”等章节中出现的措辞“发包人</w:t>
            </w:r>
            <w:r>
              <w:rPr>
                <w:rFonts w:hint="eastAsia" w:ascii="仿宋" w:hAnsi="仿宋" w:eastAsia="仿宋" w:cs="仿宋"/>
                <w:bCs/>
                <w:sz w:val="24"/>
                <w:szCs w:val="28"/>
                <w:highlight w:val="none"/>
              </w:rPr>
              <w:t>/业主</w:t>
            </w:r>
            <w:r>
              <w:rPr>
                <w:rFonts w:hint="eastAsia" w:ascii="仿宋" w:hAnsi="仿宋" w:eastAsia="仿宋" w:cs="仿宋"/>
                <w:bCs/>
                <w:sz w:val="24"/>
                <w:szCs w:val="28"/>
                <w:highlight w:val="none"/>
                <w:lang w:val="zh-CN"/>
              </w:rPr>
              <w:t>”和“承包人”，在采购阶段应当分别按“采购人”和“供应商/成交供应商</w:t>
            </w:r>
            <w:r>
              <w:rPr>
                <w:rFonts w:hint="eastAsia" w:ascii="仿宋" w:hAnsi="仿宋" w:eastAsia="仿宋" w:cs="仿宋"/>
                <w:bCs/>
                <w:sz w:val="24"/>
                <w:szCs w:val="28"/>
                <w:highlight w:val="none"/>
              </w:rPr>
              <w:t>/成交单位</w:t>
            </w:r>
            <w:r>
              <w:rPr>
                <w:rFonts w:hint="eastAsia" w:ascii="仿宋" w:hAnsi="仿宋" w:eastAsia="仿宋" w:cs="仿宋"/>
                <w:bCs/>
                <w:sz w:val="24"/>
                <w:szCs w:val="28"/>
                <w:highlight w:val="none"/>
                <w:lang w:val="zh-CN"/>
              </w:rPr>
              <w:t>”或“甲方”和“乙方”进行理解。</w:t>
            </w:r>
          </w:p>
          <w:p w14:paraId="612D246D">
            <w:pPr>
              <w:spacing w:line="360" w:lineRule="auto"/>
              <w:ind w:firstLine="480" w:firstLineChars="200"/>
              <w:rPr>
                <w:rFonts w:hint="eastAsia" w:ascii="仿宋" w:hAnsi="仿宋" w:eastAsia="仿宋" w:cs="仿宋"/>
                <w:bCs/>
                <w:sz w:val="24"/>
                <w:szCs w:val="28"/>
                <w:highlight w:val="none"/>
              </w:rPr>
            </w:pPr>
            <w:r>
              <w:rPr>
                <w:rFonts w:hint="eastAsia" w:ascii="仿宋" w:hAnsi="仿宋" w:eastAsia="仿宋" w:cs="仿宋"/>
                <w:bCs/>
                <w:sz w:val="24"/>
                <w:szCs w:val="28"/>
                <w:highlight w:val="none"/>
              </w:rPr>
              <w:t>（9）本文件中的“磋商文件</w:t>
            </w:r>
            <w:r>
              <w:rPr>
                <w:rFonts w:hint="eastAsia" w:ascii="仿宋" w:hAnsi="仿宋" w:eastAsia="仿宋" w:cs="仿宋"/>
                <w:bCs/>
                <w:sz w:val="24"/>
                <w:szCs w:val="28"/>
                <w:highlight w:val="none"/>
                <w:lang w:eastAsia="zh-CN"/>
              </w:rPr>
              <w:t>”“</w:t>
            </w:r>
            <w:r>
              <w:rPr>
                <w:rFonts w:hint="eastAsia" w:ascii="仿宋" w:hAnsi="仿宋" w:eastAsia="仿宋" w:cs="仿宋"/>
                <w:bCs/>
                <w:sz w:val="24"/>
                <w:szCs w:val="28"/>
                <w:highlight w:val="none"/>
              </w:rPr>
              <w:t>采购文件</w:t>
            </w:r>
            <w:r>
              <w:rPr>
                <w:rFonts w:hint="eastAsia" w:ascii="仿宋" w:hAnsi="仿宋" w:eastAsia="仿宋" w:cs="仿宋"/>
                <w:bCs/>
                <w:sz w:val="24"/>
                <w:szCs w:val="28"/>
                <w:highlight w:val="none"/>
                <w:lang w:eastAsia="zh-CN"/>
              </w:rPr>
              <w:t>”“</w:t>
            </w:r>
            <w:r>
              <w:rPr>
                <w:rFonts w:hint="eastAsia" w:ascii="仿宋" w:hAnsi="仿宋" w:eastAsia="仿宋" w:cs="仿宋"/>
                <w:bCs/>
                <w:sz w:val="24"/>
                <w:szCs w:val="28"/>
                <w:highlight w:val="none"/>
              </w:rPr>
              <w:t>磋商采购文件”等含义等同。</w:t>
            </w:r>
          </w:p>
        </w:tc>
      </w:tr>
      <w:tr w14:paraId="7D70F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8" w:hRule="atLeast"/>
        </w:trPr>
        <w:tc>
          <w:tcPr>
            <w:tcW w:w="562" w:type="pct"/>
            <w:noWrap w:val="0"/>
            <w:vAlign w:val="center"/>
          </w:tcPr>
          <w:p w14:paraId="06B7D852">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6</w:t>
            </w:r>
          </w:p>
        </w:tc>
        <w:tc>
          <w:tcPr>
            <w:tcW w:w="1277" w:type="dxa"/>
            <w:noWrap w:val="0"/>
            <w:vAlign w:val="center"/>
          </w:tcPr>
          <w:p w14:paraId="53043EDF">
            <w:pPr>
              <w:spacing w:line="360" w:lineRule="auto"/>
              <w:jc w:val="center"/>
              <w:rPr>
                <w:rFonts w:hint="eastAsia" w:ascii="仿宋" w:hAnsi="仿宋" w:eastAsia="仿宋" w:cs="仿宋"/>
                <w:b/>
                <w:sz w:val="24"/>
                <w:szCs w:val="28"/>
                <w:highlight w:val="none"/>
              </w:rPr>
            </w:pPr>
            <w:r>
              <w:rPr>
                <w:rFonts w:hint="eastAsia" w:ascii="仿宋" w:hAnsi="仿宋" w:eastAsia="仿宋" w:cs="仿宋"/>
                <w:b/>
                <w:sz w:val="24"/>
                <w:szCs w:val="28"/>
                <w:highlight w:val="none"/>
              </w:rPr>
              <w:t>付款方式</w:t>
            </w:r>
          </w:p>
        </w:tc>
        <w:tc>
          <w:tcPr>
            <w:tcW w:w="6287" w:type="dxa"/>
            <w:noWrap w:val="0"/>
            <w:vAlign w:val="center"/>
          </w:tcPr>
          <w:p w14:paraId="3AA6F1EE">
            <w:pPr>
              <w:spacing w:line="360" w:lineRule="auto"/>
              <w:ind w:firstLine="482" w:firstLineChars="200"/>
              <w:rPr>
                <w:rFonts w:hint="eastAsia" w:ascii="仿宋" w:hAnsi="仿宋" w:eastAsia="仿宋" w:cs="仿宋"/>
                <w:b/>
                <w:sz w:val="24"/>
                <w:szCs w:val="28"/>
                <w:highlight w:val="none"/>
              </w:rPr>
            </w:pPr>
            <w:r>
              <w:rPr>
                <w:rFonts w:hint="eastAsia" w:ascii="仿宋" w:hAnsi="仿宋" w:eastAsia="仿宋" w:cs="仿宋"/>
                <w:b/>
                <w:sz w:val="24"/>
                <w:szCs w:val="28"/>
                <w:highlight w:val="none"/>
              </w:rPr>
              <w:t>合同签订后预付签订合同价款40%的预付款（成交供应商须在提交预付款发票同时提交预付款等额的银行或保险公司或担保公司等金融机构出具的预付款保函），预付款分2次等额扣回。进度款</w:t>
            </w:r>
            <w:r>
              <w:rPr>
                <w:rFonts w:hint="eastAsia" w:ascii="仿宋" w:hAnsi="仿宋" w:eastAsia="仿宋" w:cs="仿宋"/>
                <w:b/>
                <w:sz w:val="24"/>
                <w:szCs w:val="28"/>
                <w:highlight w:val="none"/>
                <w:lang w:val="en-US" w:eastAsia="zh-CN"/>
              </w:rPr>
              <w:t>=</w:t>
            </w:r>
            <w:r>
              <w:rPr>
                <w:rFonts w:hint="eastAsia" w:ascii="仿宋" w:hAnsi="仿宋" w:eastAsia="仿宋" w:cs="仿宋"/>
                <w:b/>
                <w:sz w:val="24"/>
                <w:szCs w:val="28"/>
                <w:highlight w:val="none"/>
              </w:rPr>
              <w:t>每月经监理审核后并经采购人最终审核的已完工程量价款</w:t>
            </w:r>
            <w:r>
              <w:rPr>
                <w:rFonts w:hint="eastAsia" w:ascii="仿宋" w:hAnsi="仿宋" w:eastAsia="仿宋" w:cs="仿宋"/>
                <w:b/>
                <w:bCs w:val="0"/>
                <w:sz w:val="24"/>
                <w:szCs w:val="28"/>
                <w:highlight w:val="none"/>
                <w:lang w:val="en-US" w:eastAsia="zh-CN"/>
              </w:rPr>
              <w:t>×（响应总报价/最高限价）</w:t>
            </w:r>
            <w:r>
              <w:rPr>
                <w:rFonts w:hint="eastAsia" w:ascii="仿宋" w:hAnsi="仿宋" w:eastAsia="仿宋" w:cs="仿宋"/>
                <w:b/>
                <w:sz w:val="24"/>
                <w:szCs w:val="28"/>
                <w:highlight w:val="none"/>
                <w:lang w:val="en-US" w:eastAsia="zh-CN"/>
              </w:rPr>
              <w:t>×</w:t>
            </w:r>
            <w:r>
              <w:rPr>
                <w:rFonts w:hint="eastAsia" w:ascii="仿宋" w:hAnsi="仿宋" w:eastAsia="仿宋" w:cs="仿宋"/>
                <w:b/>
                <w:sz w:val="24"/>
                <w:szCs w:val="28"/>
                <w:highlight w:val="none"/>
              </w:rPr>
              <w:t>80%；工程竣工验收合格且成交供应商提交完整的竣工结算资料后，经监理、采购人初审后付至初审价款的85%，最终结算审核完成后支付至最终审定价款的97%；余款3%作为质保金，待质量缺陷责任期（2年）满一次性付清。</w:t>
            </w:r>
          </w:p>
          <w:p w14:paraId="2B86AA94">
            <w:pPr>
              <w:spacing w:line="360" w:lineRule="auto"/>
              <w:ind w:firstLine="482" w:firstLineChars="200"/>
              <w:rPr>
                <w:rFonts w:hint="eastAsia" w:ascii="仿宋" w:hAnsi="仿宋" w:eastAsia="仿宋" w:cs="仿宋"/>
                <w:b/>
                <w:sz w:val="24"/>
                <w:szCs w:val="28"/>
                <w:highlight w:val="none"/>
              </w:rPr>
            </w:pPr>
            <w:r>
              <w:rPr>
                <w:rFonts w:hint="eastAsia" w:ascii="仿宋" w:hAnsi="仿宋" w:eastAsia="仿宋" w:cs="仿宋"/>
                <w:b/>
                <w:sz w:val="24"/>
                <w:szCs w:val="28"/>
                <w:highlight w:val="none"/>
              </w:rPr>
              <w:t>注：如成交供应商采用“银行保函或保证保险等方式”提交等额工程质量保证金，则在工程竣工结算</w:t>
            </w:r>
            <w:r>
              <w:rPr>
                <w:rFonts w:hint="eastAsia" w:ascii="仿宋" w:hAnsi="仿宋" w:eastAsia="仿宋" w:cs="仿宋"/>
                <w:b/>
                <w:sz w:val="24"/>
                <w:szCs w:val="28"/>
                <w:highlight w:val="none"/>
                <w:lang w:eastAsia="zh-CN"/>
              </w:rPr>
              <w:t>审核</w:t>
            </w:r>
            <w:r>
              <w:rPr>
                <w:rFonts w:hint="eastAsia" w:ascii="仿宋" w:hAnsi="仿宋" w:eastAsia="仿宋" w:cs="仿宋"/>
                <w:b/>
                <w:sz w:val="24"/>
                <w:szCs w:val="28"/>
                <w:highlight w:val="none"/>
              </w:rPr>
              <w:t>完成后采购人应付至最终审定价款的100%。</w:t>
            </w:r>
          </w:p>
        </w:tc>
      </w:tr>
    </w:tbl>
    <w:p w14:paraId="7C96484D">
      <w:pPr>
        <w:spacing w:line="360" w:lineRule="auto"/>
        <w:rPr>
          <w:rFonts w:hint="eastAsia" w:ascii="仿宋" w:hAnsi="仿宋" w:eastAsia="仿宋" w:cs="仿宋"/>
          <w:b/>
          <w:bCs/>
          <w:sz w:val="24"/>
          <w:highlight w:val="none"/>
        </w:rPr>
      </w:pPr>
    </w:p>
    <w:p w14:paraId="460AECAA">
      <w:pPr>
        <w:autoSpaceDE w:val="0"/>
        <w:autoSpaceDN w:val="0"/>
        <w:spacing w:line="360" w:lineRule="auto"/>
        <w:rPr>
          <w:rFonts w:hint="eastAsia" w:ascii="仿宋" w:hAnsi="仿宋" w:eastAsia="仿宋" w:cs="仿宋"/>
          <w:b/>
          <w:bCs/>
          <w:sz w:val="24"/>
          <w:highlight w:val="none"/>
        </w:rPr>
      </w:pPr>
      <w:r>
        <w:rPr>
          <w:rFonts w:hint="eastAsia" w:ascii="仿宋" w:hAnsi="仿宋" w:eastAsia="仿宋" w:cs="仿宋"/>
          <w:b/>
          <w:bCs/>
          <w:sz w:val="24"/>
          <w:highlight w:val="none"/>
        </w:rPr>
        <w:t>一、总体要求</w:t>
      </w:r>
    </w:p>
    <w:p w14:paraId="2D78D6C1">
      <w:pPr>
        <w:autoSpaceDE w:val="0"/>
        <w:autoSpaceDN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1、本项目为交钥匙工程，包括但不限于本项目的施工图设计、构件集安全性鉴定、材料设备采购、拆改、施工、验收等所有内容。</w:t>
      </w:r>
    </w:p>
    <w:p w14:paraId="4821BFE4">
      <w:pPr>
        <w:autoSpaceDE w:val="0"/>
        <w:autoSpaceDN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2、供应商应当在响应文件中列</w:t>
      </w:r>
      <w:r>
        <w:rPr>
          <w:rFonts w:hint="eastAsia" w:ascii="仿宋" w:hAnsi="仿宋" w:eastAsia="仿宋" w:cs="仿宋"/>
          <w:sz w:val="24"/>
          <w:highlight w:val="none"/>
          <w:lang w:eastAsia="zh-CN"/>
        </w:rPr>
        <w:t>出</w:t>
      </w:r>
      <w:r>
        <w:rPr>
          <w:rFonts w:hint="eastAsia" w:ascii="仿宋" w:hAnsi="仿宋" w:eastAsia="仿宋" w:cs="仿宋"/>
          <w:sz w:val="24"/>
          <w:highlight w:val="none"/>
        </w:rPr>
        <w:t>完成本项目并通过验收所需的所有各项服务等明细表及全部费用。供应商必须确保整体通过用户方及有关主管部门验收；供应商应自行踏勘施工建设现场，如供应商因未及时踏勘现场进行设计而导致的报价缺项漏项无效响应</w:t>
      </w:r>
      <w:r>
        <w:rPr>
          <w:rFonts w:hint="eastAsia" w:ascii="仿宋" w:hAnsi="仿宋" w:eastAsia="仿宋" w:cs="仿宋"/>
          <w:sz w:val="24"/>
          <w:highlight w:val="none"/>
          <w:lang w:eastAsia="zh-CN"/>
        </w:rPr>
        <w:t>或</w:t>
      </w:r>
      <w:r>
        <w:rPr>
          <w:rFonts w:hint="eastAsia" w:ascii="仿宋" w:hAnsi="仿宋" w:eastAsia="仿宋" w:cs="仿宋"/>
          <w:sz w:val="24"/>
          <w:highlight w:val="none"/>
        </w:rPr>
        <w:t>成交后无法完工，供应商自行承担一切后果。</w:t>
      </w:r>
    </w:p>
    <w:p w14:paraId="24C6B1CD">
      <w:pPr>
        <w:autoSpaceDE w:val="0"/>
        <w:autoSpaceDN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3、供应商提供的所有产品必须具有在中国境内的合法使用权和用户保护权且为全新包装产品，供应商所提供的服务应符合国家相关法律法规。</w:t>
      </w:r>
    </w:p>
    <w:p w14:paraId="4FF80802">
      <w:pPr>
        <w:autoSpaceDE w:val="0"/>
        <w:autoSpaceDN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本项目所涉及的工程费用，应根据采购范围和内容，由供应商根据市场情况并结合项目实际和企业自身的情况自行确定。设备和主要材料按规格、技术参数、质量等级等由供应商根据市场情况结合项目实际和企业自身的情况自行确定，但是不能低于</w:t>
      </w:r>
      <w:r>
        <w:rPr>
          <w:rFonts w:hint="eastAsia" w:ascii="仿宋" w:hAnsi="仿宋" w:eastAsia="仿宋" w:cs="仿宋"/>
          <w:sz w:val="24"/>
          <w:highlight w:val="none"/>
          <w:lang w:eastAsia="zh-CN"/>
        </w:rPr>
        <w:t>采购</w:t>
      </w:r>
      <w:r>
        <w:rPr>
          <w:rFonts w:hint="eastAsia" w:ascii="仿宋" w:hAnsi="仿宋" w:eastAsia="仿宋" w:cs="仿宋"/>
          <w:sz w:val="24"/>
          <w:highlight w:val="none"/>
        </w:rPr>
        <w:t>文件要求的标准。</w:t>
      </w:r>
    </w:p>
    <w:p w14:paraId="58880F74">
      <w:pPr>
        <w:autoSpaceDE w:val="0"/>
        <w:autoSpaceDN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5、为满足建设单位项目功能和使用需求等，供应商须无条件按要求进行设计、施工、材料设备选型等方案的调整，直至满足要求为止。但采购人及建设单位的审查不免除供应商的相关责任。</w:t>
      </w:r>
    </w:p>
    <w:p w14:paraId="03CC131B">
      <w:pPr>
        <w:widowControl/>
        <w:autoSpaceDE w:val="0"/>
        <w:spacing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 xml:space="preserve">二、项目概况 </w:t>
      </w:r>
    </w:p>
    <w:p w14:paraId="5F82684A">
      <w:pPr>
        <w:autoSpaceDE w:val="0"/>
        <w:autoSpaceDN w:val="0"/>
        <w:spacing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本工程对安徽省江淮大戏院屋盖钢结构补强、加固</w:t>
      </w:r>
      <w:r>
        <w:rPr>
          <w:rFonts w:hint="eastAsia" w:ascii="仿宋" w:hAnsi="仿宋" w:eastAsia="仿宋" w:cs="仿宋"/>
          <w:b/>
          <w:bCs/>
          <w:sz w:val="24"/>
          <w:highlight w:val="none"/>
          <w:lang w:eastAsia="zh-CN"/>
        </w:rPr>
        <w:t>，</w:t>
      </w:r>
      <w:r>
        <w:rPr>
          <w:rFonts w:hint="eastAsia" w:ascii="仿宋" w:hAnsi="仿宋" w:eastAsia="仿宋" w:cs="仿宋"/>
          <w:b/>
          <w:bCs/>
          <w:sz w:val="24"/>
          <w:highlight w:val="none"/>
        </w:rPr>
        <w:t>对屋面、木屋架对坡屋面进行翻修；对观众区域空间钢桁架结构布置及承载力存在隐患的区域进行结构局部补强修缮。本项目为交钥匙工程，包括但不限于本项目的施工图设计、构件集安全性鉴定、材料设备采购、拆改、施工、验收等所有内容。</w:t>
      </w:r>
    </w:p>
    <w:p w14:paraId="32BBDA23">
      <w:pPr>
        <w:autoSpaceDE w:val="0"/>
        <w:autoSpaceDN w:val="0"/>
        <w:spacing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 xml:space="preserve">三、设计要求 </w:t>
      </w:r>
    </w:p>
    <w:p w14:paraId="3A1D5694">
      <w:pPr>
        <w:autoSpaceDE w:val="0"/>
        <w:autoSpaceDN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按照国家颁布现行的有关法规、规范、标准及规定进行设计；</w:t>
      </w:r>
    </w:p>
    <w:p w14:paraId="1708E7B5">
      <w:pPr>
        <w:autoSpaceDE w:val="0"/>
        <w:autoSpaceDN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原真性保护优先：严格遵循建筑形制、构件材质与传统工艺的历史原貌，对现场木构件、钢构件进行现场勘察设计，对残损构件提出专项修复加固方案。如修复木构建筑时沿用榫卯结构与原木材质，对残损构件采用可逆性加固，避免现代材料过度干预。设计要主题明确，富有创意，空间合理，细节设计考究，注重创新与特色；</w:t>
      </w:r>
    </w:p>
    <w:p w14:paraId="5C78B7E4">
      <w:pPr>
        <w:autoSpaceDE w:val="0"/>
        <w:autoSpaceDN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2）经济性原则基于因地制宜的指导思想，根据项目所在的区域条件来推导设计内容，保证功能与效果的前提下，对材料的选择进行优化比较</w:t>
      </w:r>
      <w:r>
        <w:rPr>
          <w:rFonts w:hint="eastAsia" w:ascii="仿宋" w:hAnsi="仿宋" w:eastAsia="仿宋" w:cs="仿宋"/>
          <w:sz w:val="24"/>
          <w:highlight w:val="none"/>
          <w:lang w:eastAsia="zh-CN"/>
        </w:rPr>
        <w:t>，</w:t>
      </w:r>
      <w:r>
        <w:rPr>
          <w:rFonts w:hint="eastAsia" w:ascii="仿宋" w:hAnsi="仿宋" w:eastAsia="仿宋" w:cs="仿宋"/>
          <w:sz w:val="24"/>
          <w:highlight w:val="none"/>
        </w:rPr>
        <w:t>严格控制合理的造价。</w:t>
      </w:r>
    </w:p>
    <w:p w14:paraId="1064B681">
      <w:pPr>
        <w:autoSpaceDE w:val="0"/>
        <w:autoSpaceDN w:val="0"/>
        <w:spacing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四、设计服务质量要求</w:t>
      </w:r>
    </w:p>
    <w:p w14:paraId="35E7F328">
      <w:pPr>
        <w:autoSpaceDE w:val="0"/>
        <w:autoSpaceDN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设计人应按国家、地方、行业技术规范、标准、规程和当地有关部门的审批要求（如有）及发包人提出的设计要求进行工程设计，向发包人提交质量合格的设计资料，并对其负责。若上述相关标准、要求不统一，以较高者执行。</w:t>
      </w:r>
    </w:p>
    <w:p w14:paraId="447FA63C">
      <w:pPr>
        <w:autoSpaceDE w:val="0"/>
        <w:autoSpaceDN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（2）设计人应充分论证比选工程工艺合理性，充分考虑发包人需求与实际情况。</w:t>
      </w:r>
    </w:p>
    <w:p w14:paraId="6B0C99BD">
      <w:pPr>
        <w:autoSpaceDE w:val="0"/>
        <w:autoSpaceDN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（3）负责提供主要设备采购的技术要求，配合发包人完成主要设备采购技术规格书拟定和技术谈判工作。</w:t>
      </w:r>
    </w:p>
    <w:p w14:paraId="28A97AEA">
      <w:pPr>
        <w:autoSpaceDE w:val="0"/>
        <w:autoSpaceDN w:val="0"/>
        <w:spacing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 xml:space="preserve">五、需要提交的成果文件 </w:t>
      </w:r>
    </w:p>
    <w:p w14:paraId="40A02AD2">
      <w:pPr>
        <w:adjustRightInd w:val="0"/>
        <w:spacing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设计人应按发包人需要的份数、媒介提供设计过程中的所有纸质、非加密电子版（CAD和PDF）成果文件。</w:t>
      </w:r>
    </w:p>
    <w:p w14:paraId="3E8CEDEF">
      <w:pPr>
        <w:adjustRightInd w:val="0"/>
        <w:spacing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六、设计人义务</w:t>
      </w:r>
    </w:p>
    <w:p w14:paraId="729F4032">
      <w:pPr>
        <w:adjustRightIn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（1）在工程设计中积极使用新技术、新材料、新工艺、新设备，提升建筑质量，降低建造成本；</w:t>
      </w:r>
    </w:p>
    <w:p w14:paraId="15EFE12E">
      <w:pPr>
        <w:adjustRightIn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（2）对设计深度和质量负责，发包人、政府部门或相关单位的审查并不减少设计人责任。须根据发包人反馈的设计文件审查意见修改设计文件，并书面正式提交；</w:t>
      </w:r>
    </w:p>
    <w:p w14:paraId="4425A46B">
      <w:pPr>
        <w:adjustRightIn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（3）设计人需充分踏勘现场，收集现场周边环境资料，根据工程现场条件进行设计，否则引起的图纸的偏差、投资的追加等，应承担设计责任和相对应的赔偿责任；</w:t>
      </w:r>
    </w:p>
    <w:p w14:paraId="38AA13BC">
      <w:pPr>
        <w:adjustRightIn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（4）保证工程设计组成人员结构合理、稳定，主要技术人员工作能力应足以胜任设计任务；</w:t>
      </w:r>
    </w:p>
    <w:p w14:paraId="5C05163E">
      <w:pPr>
        <w:adjustRightIn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（5）积极做好发包人和相关管理部门的协调工作（如需）；</w:t>
      </w:r>
    </w:p>
    <w:p w14:paraId="30DF0D00">
      <w:pPr>
        <w:adjustRightIn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（6）对涉及安全或对投资影响巨大的有关计算，发包人认为有必要进行复核验算的，须提供设计计算书（包括设计输入条件、基础数据、计算方法、计算结果等），不得以专利和知识产权为借口拒绝；</w:t>
      </w:r>
    </w:p>
    <w:p w14:paraId="36E139BA">
      <w:pPr>
        <w:adjustRightIn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（7）设计人交付设计资料及文件后，按规定参加有关的设计审查，并根据审查结论负责对不超出原定范围的内容做必要调整补充。设计人按发包人规定时限交付调整后设计资料及文件；</w:t>
      </w:r>
    </w:p>
    <w:p w14:paraId="5B7B6ACB">
      <w:pPr>
        <w:adjustRightIn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（8）设计人应保护发包人的知识产权，不得向第三人泄露、转让发包人提交的产品图纸等技术经济资料。如发生以上情况并给发包人造成经济损失，发包人有权向设计人索赔；</w:t>
      </w:r>
    </w:p>
    <w:p w14:paraId="2B08AF47">
      <w:pPr>
        <w:adjustRightIn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9）设计人收到发包人提供的工程设计依据文件及设计的基础资料后，应仔细阅读，如发现任何不明晰、错误、失误或缺陷，应在3日内向发包人提出书面意见，并自行负责其对发包人提供资料的理解的准确性。设计人必须根据工程设计依据文件及有关的技术要求、国家有关的设计标准、技术规范、规程完成合同规定的任务，并按规定向发包人交付设计文件，确保设计质量。未经发包人书面同意，不得对已批准的设计作重大修改、增加或删除；</w:t>
      </w:r>
    </w:p>
    <w:p w14:paraId="2A225171">
      <w:pPr>
        <w:adjustRightIn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（10）设计人完成设计工作所应遵守的法律、法规以及技术标准，均应视为在基准日期（施工图设计工作前）适用的版本。</w:t>
      </w:r>
    </w:p>
    <w:p w14:paraId="621767A0">
      <w:pPr>
        <w:adjustRightIn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（11）项目设计过程中产生的知识产权及专利成果的著作权及专利权归发包人所有；</w:t>
      </w:r>
    </w:p>
    <w:p w14:paraId="35690BA0">
      <w:pPr>
        <w:adjustRightIn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（12）设计人自行制作汇报所用的各类演示稿、效果图、模型等。</w:t>
      </w:r>
    </w:p>
    <w:p w14:paraId="1A57AE3C">
      <w:pPr>
        <w:adjustRightIn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（13）如发包人需要进行有关宣传报道、编制画册、组织设计研讨会等，设计人应委派有关人员参加。</w:t>
      </w:r>
    </w:p>
    <w:p w14:paraId="4A9AC312">
      <w:pPr>
        <w:adjustRightInd w:val="0"/>
        <w:spacing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七、设计人员要求</w:t>
      </w:r>
    </w:p>
    <w:p w14:paraId="7FE74069">
      <w:pPr>
        <w:adjustRightIn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（1）设计负责人要求详见采购公告。</w:t>
      </w:r>
    </w:p>
    <w:p w14:paraId="7D2364FD">
      <w:pPr>
        <w:adjustRightIn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（2）项目设计团队不少于3（含3人），设计人应安排具有相应资质、经验丰富的人员组建项目团队。</w:t>
      </w:r>
    </w:p>
    <w:p w14:paraId="7B50DD09">
      <w:pPr>
        <w:adjustRightIn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设计人需要更换项目负责人的，应在规定的期限内提前书面通知发包人，并征得发包人书面同意。通知中应当载明继任项目负责人的注册执业资格、管理经验等资料。未经发包人书面同意，设计人不得擅自更换项目负责人；</w:t>
      </w:r>
    </w:p>
    <w:p w14:paraId="750995F2">
      <w:pPr>
        <w:adjustRightIn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（4）设计人应在合同签订前，向发包人提交设计人项目管理机构及人员安排的报告，其内容应包括项目负责人及各主要专业负责人、注册执业资格等；</w:t>
      </w:r>
    </w:p>
    <w:p w14:paraId="3240B868">
      <w:pPr>
        <w:adjustRightIn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（5）项目推进过程中，设计人应按发包人的需求，指派相应的设计组成员及时配合，如有要求须24小时内到场，及时协调解决相关设计问题、技术问题，提出经济合理的解决方案。</w:t>
      </w:r>
    </w:p>
    <w:p w14:paraId="1F3ED4A2">
      <w:pPr>
        <w:adjustRightInd w:val="0"/>
        <w:spacing w:line="360" w:lineRule="auto"/>
        <w:ind w:firstLine="506" w:firstLineChars="200"/>
        <w:rPr>
          <w:rFonts w:hint="eastAsia" w:ascii="仿宋" w:hAnsi="仿宋" w:eastAsia="仿宋" w:cs="仿宋"/>
          <w:b/>
          <w:spacing w:val="6"/>
          <w:kern w:val="0"/>
          <w:sz w:val="24"/>
          <w:highlight w:val="none"/>
        </w:rPr>
      </w:pPr>
      <w:r>
        <w:rPr>
          <w:rFonts w:hint="eastAsia" w:ascii="仿宋" w:hAnsi="仿宋" w:eastAsia="仿宋" w:cs="仿宋"/>
          <w:b/>
          <w:spacing w:val="6"/>
          <w:kern w:val="0"/>
          <w:sz w:val="24"/>
          <w:highlight w:val="none"/>
        </w:rPr>
        <w:t>八、现场踏勘</w:t>
      </w:r>
    </w:p>
    <w:p w14:paraId="6121665A">
      <w:pPr>
        <w:autoSpaceDE w:val="0"/>
        <w:autoSpaceDN w:val="0"/>
        <w:spacing w:line="360" w:lineRule="auto"/>
        <w:ind w:firstLine="480" w:firstLineChars="200"/>
        <w:rPr>
          <w:rFonts w:hint="eastAsia" w:ascii="仿宋" w:hAnsi="仿宋" w:eastAsia="仿宋" w:cs="仿宋"/>
          <w:b/>
          <w:spacing w:val="6"/>
          <w:kern w:val="0"/>
          <w:sz w:val="24"/>
          <w:highlight w:val="none"/>
        </w:rPr>
      </w:pPr>
      <w:r>
        <w:rPr>
          <w:rFonts w:hint="eastAsia" w:ascii="仿宋" w:hAnsi="仿宋" w:eastAsia="仿宋" w:cs="仿宋"/>
          <w:kern w:val="0"/>
          <w:sz w:val="24"/>
          <w:highlight w:val="none"/>
        </w:rPr>
        <w:t>供应商应自行组织现场踏勘，采购人在现场踏勘中介绍的现场情况和周边相关的环境情况，仅作为供应商在编制响应文件时参考，采购人不对供应商据此作出的判断和决策负责。</w:t>
      </w:r>
    </w:p>
    <w:p w14:paraId="5487A6E7">
      <w:pPr>
        <w:adjustRightInd w:val="0"/>
        <w:spacing w:line="360" w:lineRule="auto"/>
        <w:ind w:firstLine="506" w:firstLineChars="200"/>
        <w:rPr>
          <w:rFonts w:hint="eastAsia" w:ascii="仿宋" w:hAnsi="仿宋" w:eastAsia="仿宋" w:cs="仿宋"/>
          <w:b/>
          <w:sz w:val="24"/>
          <w:highlight w:val="none"/>
        </w:rPr>
      </w:pPr>
      <w:r>
        <w:rPr>
          <w:rFonts w:hint="eastAsia" w:ascii="仿宋" w:hAnsi="仿宋" w:eastAsia="仿宋" w:cs="仿宋"/>
          <w:b/>
          <w:spacing w:val="6"/>
          <w:kern w:val="0"/>
          <w:sz w:val="24"/>
          <w:highlight w:val="none"/>
        </w:rPr>
        <w:t>未尽事宜，合同签订时另行约定。</w:t>
      </w:r>
    </w:p>
    <w:p w14:paraId="1F002B86">
      <w:pPr>
        <w:autoSpaceDE w:val="0"/>
        <w:autoSpaceDN w:val="0"/>
        <w:spacing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九、报价须知</w:t>
      </w:r>
    </w:p>
    <w:p w14:paraId="347E4D22">
      <w:pPr>
        <w:autoSpaceDE w:val="0"/>
        <w:autoSpaceDN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1</w:t>
      </w:r>
      <w:r>
        <w:rPr>
          <w:rFonts w:hint="eastAsia" w:ascii="仿宋" w:hAnsi="仿宋" w:eastAsia="仿宋" w:cs="仿宋"/>
          <w:sz w:val="24"/>
          <w:highlight w:val="none"/>
        </w:rPr>
        <w:t>、工程实施前，所有的图纸须经过发包人认可（按国家有关规定或主管部门要求需要进行施工图审查的，承包人必须确保通过审查，否则造成的损失由承包人承担）。但发包人的认可并不免除承包人应承担的责任。</w:t>
      </w:r>
    </w:p>
    <w:p w14:paraId="1D00D7CE">
      <w:pPr>
        <w:autoSpaceDE w:val="0"/>
        <w:autoSpaceDN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、本项目为设计施工一体化项目，合同价格形式为总价合同。在</w:t>
      </w:r>
      <w:r>
        <w:rPr>
          <w:rFonts w:hint="eastAsia" w:ascii="仿宋" w:hAnsi="仿宋" w:eastAsia="仿宋" w:cs="仿宋"/>
          <w:sz w:val="24"/>
          <w:highlight w:val="none"/>
          <w:lang w:val="en-US" w:eastAsia="zh-CN"/>
        </w:rPr>
        <w:t>发包人</w:t>
      </w:r>
      <w:r>
        <w:rPr>
          <w:rFonts w:hint="eastAsia" w:ascii="仿宋" w:hAnsi="仿宋" w:eastAsia="仿宋" w:cs="仿宋"/>
          <w:sz w:val="24"/>
          <w:highlight w:val="none"/>
        </w:rPr>
        <w:t>确认、审查合格后的施工图范围内，因承包人设计失误（如尺寸标注不明、做法标注不明、材料设备选型价差、未执行相关设计规范、</w:t>
      </w:r>
      <w:r>
        <w:rPr>
          <w:rFonts w:hint="eastAsia" w:ascii="仿宋" w:hAnsi="仿宋" w:eastAsia="仿宋" w:cs="仿宋"/>
          <w:sz w:val="24"/>
          <w:highlight w:val="none"/>
          <w:lang w:eastAsia="zh-CN"/>
        </w:rPr>
        <w:t>成交供应商</w:t>
      </w:r>
      <w:r>
        <w:rPr>
          <w:rFonts w:hint="eastAsia" w:ascii="仿宋" w:hAnsi="仿宋" w:eastAsia="仿宋" w:cs="仿宋"/>
          <w:sz w:val="24"/>
          <w:highlight w:val="none"/>
        </w:rPr>
        <w:t>未执行</w:t>
      </w:r>
      <w:r>
        <w:rPr>
          <w:rFonts w:hint="eastAsia" w:ascii="仿宋" w:hAnsi="仿宋" w:eastAsia="仿宋" w:cs="仿宋"/>
          <w:sz w:val="24"/>
          <w:highlight w:val="none"/>
          <w:lang w:val="en-US" w:eastAsia="zh-CN"/>
        </w:rPr>
        <w:t>采购</w:t>
      </w:r>
      <w:r>
        <w:rPr>
          <w:rFonts w:hint="eastAsia" w:ascii="仿宋" w:hAnsi="仿宋" w:eastAsia="仿宋" w:cs="仿宋"/>
          <w:sz w:val="24"/>
          <w:highlight w:val="none"/>
        </w:rPr>
        <w:t>设计需求产生的漏项等）产生的一切经济损失由</w:t>
      </w:r>
      <w:r>
        <w:rPr>
          <w:rFonts w:hint="eastAsia" w:ascii="仿宋" w:hAnsi="仿宋" w:eastAsia="仿宋" w:cs="仿宋"/>
          <w:sz w:val="24"/>
          <w:highlight w:val="none"/>
          <w:lang w:eastAsia="zh-CN"/>
        </w:rPr>
        <w:t>成交供应商</w:t>
      </w:r>
      <w:r>
        <w:rPr>
          <w:rFonts w:hint="eastAsia" w:ascii="仿宋" w:hAnsi="仿宋" w:eastAsia="仿宋" w:cs="仿宋"/>
          <w:sz w:val="24"/>
          <w:highlight w:val="none"/>
        </w:rPr>
        <w:t>承担，此类设计变更不予经济签证。</w:t>
      </w:r>
    </w:p>
    <w:p w14:paraId="3EC4329F">
      <w:pPr>
        <w:autoSpaceDE w:val="0"/>
        <w:autoSpaceDN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3</w:t>
      </w:r>
      <w:r>
        <w:rPr>
          <w:rFonts w:hint="eastAsia" w:ascii="仿宋" w:hAnsi="仿宋" w:eastAsia="仿宋" w:cs="仿宋"/>
          <w:sz w:val="24"/>
          <w:highlight w:val="none"/>
        </w:rPr>
        <w:t>、供应商还应充分考虑并满足下列因素：</w:t>
      </w:r>
    </w:p>
    <w:p w14:paraId="13A79CBB">
      <w:pPr>
        <w:autoSpaceDE w:val="0"/>
        <w:autoSpaceDN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（1）包括施工用水，施工用电费用；</w:t>
      </w:r>
    </w:p>
    <w:p w14:paraId="50AADA96">
      <w:pPr>
        <w:autoSpaceDE w:val="0"/>
        <w:autoSpaceDN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（2）供应商应综合考虑所有工程成本要素、市场材料价格因素以及企业利润、税金和资金投入等一切因素，充分预估风险，确定磋商总报价；</w:t>
      </w:r>
    </w:p>
    <w:p w14:paraId="52A6BEBF">
      <w:pPr>
        <w:autoSpaceDE w:val="0"/>
        <w:autoSpaceDN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）供应商需确保每周对施工现场的各类垃圾清理，统一堆放后按采购人要求外运；</w:t>
      </w:r>
    </w:p>
    <w:p w14:paraId="3606C3E3">
      <w:pPr>
        <w:autoSpaceDE w:val="0"/>
        <w:autoSpaceDN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）施工场地平整及临时水电接入，由供应商到现场实地</w:t>
      </w:r>
      <w:r>
        <w:rPr>
          <w:rFonts w:hint="eastAsia" w:ascii="仿宋" w:hAnsi="仿宋" w:eastAsia="仿宋" w:cs="仿宋"/>
          <w:sz w:val="24"/>
          <w:highlight w:val="none"/>
          <w:lang w:val="en-US" w:eastAsia="zh-CN"/>
        </w:rPr>
        <w:t>踏勘</w:t>
      </w:r>
      <w:r>
        <w:rPr>
          <w:rFonts w:hint="eastAsia" w:ascii="仿宋" w:hAnsi="仿宋" w:eastAsia="仿宋" w:cs="仿宋"/>
          <w:sz w:val="24"/>
          <w:highlight w:val="none"/>
        </w:rPr>
        <w:t>；</w:t>
      </w:r>
    </w:p>
    <w:p w14:paraId="079819B9">
      <w:pPr>
        <w:autoSpaceDE w:val="0"/>
        <w:autoSpaceDN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）施工临时设施的办公室，办公室设施、食宿、交通、通讯等设备设施均由供应商自理；</w:t>
      </w:r>
    </w:p>
    <w:p w14:paraId="3DD3D348">
      <w:pPr>
        <w:autoSpaceDE w:val="0"/>
        <w:autoSpaceDN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6</w:t>
      </w:r>
      <w:r>
        <w:rPr>
          <w:rFonts w:hint="eastAsia" w:ascii="仿宋" w:hAnsi="仿宋" w:eastAsia="仿宋" w:cs="仿宋"/>
          <w:sz w:val="24"/>
          <w:highlight w:val="none"/>
        </w:rPr>
        <w:t>）成品保护和因工程实施改造拆除和恢复的所有费用；</w:t>
      </w:r>
    </w:p>
    <w:p w14:paraId="4AF18B3F">
      <w:pPr>
        <w:autoSpaceDE w:val="0"/>
        <w:autoSpaceDN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）本项目安全文明施工要求须符合采购人的有关要求，供应商应无条件满足并配合。</w:t>
      </w:r>
    </w:p>
    <w:p w14:paraId="292E82A1">
      <w:pPr>
        <w:autoSpaceDE w:val="0"/>
        <w:autoSpaceDN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8</w:t>
      </w:r>
      <w:r>
        <w:rPr>
          <w:rFonts w:hint="eastAsia" w:ascii="仿宋" w:hAnsi="仿宋" w:eastAsia="仿宋" w:cs="仿宋"/>
          <w:sz w:val="24"/>
          <w:highlight w:val="none"/>
        </w:rPr>
        <w:t>）具体的强、弱电点位服务时明确，但费用由供应商在报价时综合考虑，成交后不再增加费用。</w:t>
      </w:r>
    </w:p>
    <w:p w14:paraId="3D2291F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C9736F"/>
    <w:multiLevelType w:val="multilevel"/>
    <w:tmpl w:val="45C9736F"/>
    <w:lvl w:ilvl="0" w:tentative="0">
      <w:start w:val="1"/>
      <w:numFmt w:val="chineseCounting"/>
      <w:pStyle w:val="2"/>
      <w:suff w:val="nothing"/>
      <w:lvlText w:val="第%1章 "/>
      <w:lvlJc w:val="left"/>
      <w:pPr>
        <w:ind w:left="432" w:hanging="432"/>
      </w:pPr>
      <w:rPr>
        <w:rFonts w:hint="eastAsia"/>
      </w:rPr>
    </w:lvl>
    <w:lvl w:ilvl="1" w:tentative="0">
      <w:start w:val="1"/>
      <w:numFmt w:val="decimal"/>
      <w:pStyle w:val="3"/>
      <w:isLgl/>
      <w:lvlText w:val="%1.%2."/>
      <w:lvlJc w:val="left"/>
      <w:pPr>
        <w:ind w:left="575" w:hanging="575"/>
      </w:pPr>
      <w:rPr>
        <w:rFonts w:hint="eastAsia"/>
      </w:rPr>
    </w:lvl>
    <w:lvl w:ilvl="2" w:tentative="0">
      <w:start w:val="1"/>
      <w:numFmt w:val="decimal"/>
      <w:pStyle w:val="4"/>
      <w:isLgl/>
      <w:lvlText w:val="%1.%2.%3."/>
      <w:lvlJc w:val="left"/>
      <w:pPr>
        <w:ind w:left="720" w:hanging="720"/>
      </w:pPr>
      <w:rPr>
        <w:rFonts w:hint="eastAsia"/>
      </w:rPr>
    </w:lvl>
    <w:lvl w:ilvl="3" w:tentative="0">
      <w:start w:val="1"/>
      <w:numFmt w:val="decimal"/>
      <w:pStyle w:val="5"/>
      <w:isLgl/>
      <w:lvlText w:val="%1.%2.%3.%4."/>
      <w:lvlJc w:val="left"/>
      <w:pPr>
        <w:ind w:left="864" w:hanging="864"/>
      </w:pPr>
      <w:rPr>
        <w:rFonts w:hint="eastAsia"/>
      </w:rPr>
    </w:lvl>
    <w:lvl w:ilvl="4" w:tentative="0">
      <w:start w:val="1"/>
      <w:numFmt w:val="decimal"/>
      <w:pStyle w:val="6"/>
      <w:isLgl/>
      <w:lvlText w:val="%1.%2.%3.%4.%5."/>
      <w:lvlJc w:val="left"/>
      <w:pPr>
        <w:ind w:left="1008" w:hanging="1008"/>
      </w:pPr>
      <w:rPr>
        <w:rFonts w:hint="eastAsia"/>
      </w:rPr>
    </w:lvl>
    <w:lvl w:ilvl="5" w:tentative="0">
      <w:start w:val="1"/>
      <w:numFmt w:val="decimal"/>
      <w:pStyle w:val="7"/>
      <w:isLgl/>
      <w:lvlText w:val="%1.%2.%3.%4.%5.%6."/>
      <w:lvlJc w:val="left"/>
      <w:pPr>
        <w:ind w:left="1151" w:hanging="1151"/>
      </w:pPr>
      <w:rPr>
        <w:rFonts w:hint="eastAsia"/>
      </w:rPr>
    </w:lvl>
    <w:lvl w:ilvl="6" w:tentative="0">
      <w:start w:val="1"/>
      <w:numFmt w:val="decimal"/>
      <w:pStyle w:val="8"/>
      <w:isLgl/>
      <w:lvlText w:val="%1.%2.%3.%4.%5.%6.%7."/>
      <w:lvlJc w:val="left"/>
      <w:pPr>
        <w:ind w:left="1296" w:hanging="1296"/>
      </w:pPr>
      <w:rPr>
        <w:rFonts w:hint="eastAsia"/>
      </w:rPr>
    </w:lvl>
    <w:lvl w:ilvl="7" w:tentative="0">
      <w:start w:val="1"/>
      <w:numFmt w:val="decimal"/>
      <w:pStyle w:val="9"/>
      <w:isLgl/>
      <w:lvlText w:val="%1.%2.%3.%4.%5.%6.%7.%8."/>
      <w:lvlJc w:val="left"/>
      <w:pPr>
        <w:ind w:left="1440" w:hanging="1440"/>
      </w:pPr>
      <w:rPr>
        <w:rFonts w:hint="eastAsia"/>
      </w:rPr>
    </w:lvl>
    <w:lvl w:ilvl="8" w:tentative="0">
      <w:start w:val="1"/>
      <w:numFmt w:val="decimal"/>
      <w:pStyle w:val="10"/>
      <w:isLgl/>
      <w:lvlText w:val="%1.%2.%3.%4.%5.%6.%7.%8.%9."/>
      <w:lvlJc w:val="left"/>
      <w:pPr>
        <w:ind w:left="1583" w:hanging="158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5B2320"/>
    <w:rsid w:val="075B2320"/>
    <w:rsid w:val="1022456F"/>
    <w:rsid w:val="16874C3D"/>
    <w:rsid w:val="22144664"/>
    <w:rsid w:val="2C0C4C08"/>
    <w:rsid w:val="45407DD5"/>
    <w:rsid w:val="45E1078B"/>
    <w:rsid w:val="51AC698D"/>
    <w:rsid w:val="5DA472CE"/>
    <w:rsid w:val="5F6B2A93"/>
    <w:rsid w:val="625434A1"/>
    <w:rsid w:val="6B7B7A57"/>
    <w:rsid w:val="77065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576" w:lineRule="auto"/>
      <w:ind w:left="432" w:hanging="432"/>
      <w:outlineLvl w:val="0"/>
    </w:pPr>
    <w:rPr>
      <w:b/>
      <w:kern w:val="44"/>
      <w:sz w:val="44"/>
    </w:rPr>
  </w:style>
  <w:style w:type="paragraph" w:styleId="3">
    <w:name w:val="heading 2"/>
    <w:basedOn w:val="1"/>
    <w:next w:val="1"/>
    <w:link w:val="15"/>
    <w:semiHidden/>
    <w:unhideWhenUsed/>
    <w:qFormat/>
    <w:uiPriority w:val="0"/>
    <w:pPr>
      <w:keepNext/>
      <w:keepLines/>
      <w:numPr>
        <w:ilvl w:val="1"/>
        <w:numId w:val="1"/>
      </w:numPr>
      <w:spacing w:before="50" w:beforeLines="50" w:after="50" w:afterLines="50" w:line="360" w:lineRule="auto"/>
      <w:ind w:left="575" w:hanging="575"/>
      <w:outlineLvl w:val="1"/>
    </w:pPr>
    <w:rPr>
      <w:rFonts w:ascii="宋体" w:hAnsi="宋体" w:eastAsia="宋体" w:cs="Calibri"/>
      <w:b/>
      <w:sz w:val="30"/>
      <w:szCs w:val="28"/>
    </w:rPr>
  </w:style>
  <w:style w:type="paragraph" w:styleId="4">
    <w:name w:val="heading 3"/>
    <w:basedOn w:val="1"/>
    <w:next w:val="1"/>
    <w:link w:val="14"/>
    <w:semiHidden/>
    <w:unhideWhenUsed/>
    <w:qFormat/>
    <w:uiPriority w:val="0"/>
    <w:pPr>
      <w:keepNext/>
      <w:keepLines/>
      <w:numPr>
        <w:ilvl w:val="2"/>
        <w:numId w:val="1"/>
      </w:numPr>
      <w:spacing w:before="120" w:after="240"/>
      <w:ind w:left="720" w:hanging="720"/>
      <w:jc w:val="left"/>
      <w:outlineLvl w:val="2"/>
    </w:pPr>
    <w:rPr>
      <w:rFonts w:ascii="Times New Roman" w:hAnsi="Times New Roman" w:eastAsia="宋体" w:cs="Times New Roman"/>
      <w:b/>
      <w:bCs/>
      <w:sz w:val="30"/>
      <w:szCs w:val="32"/>
    </w:rPr>
  </w:style>
  <w:style w:type="paragraph" w:styleId="5">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left="864" w:hanging="864"/>
      <w:outlineLvl w:val="3"/>
    </w:pPr>
    <w:rPr>
      <w:rFonts w:ascii="Arial" w:hAnsi="Arial" w:eastAsia="黑体"/>
      <w:b/>
      <w:sz w:val="28"/>
    </w:rPr>
  </w:style>
  <w:style w:type="paragraph" w:styleId="6">
    <w:name w:val="heading 5"/>
    <w:basedOn w:val="1"/>
    <w:next w:val="1"/>
    <w:link w:val="13"/>
    <w:semiHidden/>
    <w:unhideWhenUsed/>
    <w:qFormat/>
    <w:uiPriority w:val="0"/>
    <w:pPr>
      <w:keepNext/>
      <w:numPr>
        <w:ilvl w:val="4"/>
        <w:numId w:val="1"/>
      </w:numPr>
      <w:spacing w:before="50" w:beforeLines="50" w:after="50" w:afterLines="50" w:line="360" w:lineRule="auto"/>
      <w:ind w:left="1008" w:leftChars="0" w:right="105" w:rightChars="50" w:hanging="1008"/>
      <w:outlineLvl w:val="4"/>
    </w:pPr>
    <w:rPr>
      <w:rFonts w:ascii="宋体" w:hAnsi="宋体" w:eastAsia="宋体"/>
      <w:b/>
      <w:bCs/>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character" w:customStyle="1" w:styleId="13">
    <w:name w:val="标题 5 字符"/>
    <w:link w:val="6"/>
    <w:qFormat/>
    <w:uiPriority w:val="0"/>
    <w:rPr>
      <w:rFonts w:ascii="宋体" w:hAnsi="宋体" w:eastAsia="宋体"/>
      <w:b/>
      <w:bCs/>
      <w:kern w:val="2"/>
      <w:sz w:val="28"/>
      <w:lang w:val="en-US" w:eastAsia="zh-CN" w:bidi="ar-SA"/>
    </w:rPr>
  </w:style>
  <w:style w:type="character" w:customStyle="1" w:styleId="14">
    <w:name w:val="标题 3 Char"/>
    <w:link w:val="4"/>
    <w:qFormat/>
    <w:uiPriority w:val="0"/>
    <w:rPr>
      <w:rFonts w:ascii="Times New Roman" w:hAnsi="Times New Roman" w:eastAsia="宋体" w:cs="Times New Roman"/>
      <w:kern w:val="2"/>
      <w:sz w:val="28"/>
      <w:szCs w:val="20"/>
      <w:lang w:val="en-US" w:eastAsia="zh-CN" w:bidi="ar-SA"/>
    </w:rPr>
  </w:style>
  <w:style w:type="character" w:customStyle="1" w:styleId="15">
    <w:name w:val="标题 2 字符"/>
    <w:link w:val="3"/>
    <w:qFormat/>
    <w:uiPriority w:val="0"/>
    <w:rPr>
      <w:rFonts w:ascii="宋体" w:hAnsi="宋体" w:eastAsia="宋体" w:cs="Calibri"/>
      <w:b/>
      <w:kern w:val="2"/>
      <w:sz w:val="30"/>
      <w:szCs w:val="2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2025-07-25T11:31:00Z</dcterms:created>
  <dc:creator>li</dc:creator>
  <cp:lastModifiedBy>li</cp:lastModifiedBy>
  <dcterms:modified xsi:type="dcterms:W3CDTF">2025-07-25T11:31:34Z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A27C7E1505984CECB5DCCADC07337E40_11</vt:lpwstr>
  </property>
  <property fmtid="{D5CDD505-2E9C-101B-9397-08002B2CF9AE}" pid="4" name="KSOTemplateDocerSaveRecord">
    <vt:lpwstr>eyJoZGlkIjoiMWI2ZjQ3YjUwYjEzZmEyNjg2M2Q2MGI1Y2FlZGYzMmUiLCJ1c2VySWQiOiIyNDExODYwMjUifQ==</vt:lpwstr>
  </property>
</Properties>
</file>