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3BF13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highlight w:val="none"/>
        </w:rPr>
      </w:pPr>
      <w:bookmarkStart w:id="0" w:name="_Toc8085"/>
      <w:r>
        <w:rPr>
          <w:rFonts w:hint="eastAsia" w:ascii="宋体" w:hAnsi="宋体" w:eastAsia="宋体" w:cs="宋体"/>
          <w:b/>
          <w:color w:val="auto"/>
          <w:sz w:val="28"/>
          <w:highlight w:val="none"/>
        </w:rPr>
        <w:t>采购需求</w:t>
      </w:r>
      <w:bookmarkEnd w:id="0"/>
    </w:p>
    <w:p w14:paraId="2F163012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前注：</w:t>
      </w:r>
    </w:p>
    <w:p w14:paraId="3832B2D4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1.本采购需求中提出的服务方案仅为参考，如无明确限制，供应商可以进行优化，提供满足采购人实际需要的更优（或者性能实质上不低于的）服务方案，且此方案须经磋商小组评审认可。</w:t>
      </w:r>
      <w:bookmarkStart w:id="13" w:name="_GoBack"/>
      <w:bookmarkEnd w:id="13"/>
    </w:p>
    <w:p w14:paraId="0F01696C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2.下列采购需求中（包括但不限于下列具体政策要求）：</w:t>
      </w:r>
    </w:p>
    <w:p w14:paraId="167D0F22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供应商所投产品须具有市场监管总局公布的《参与实施政府采购节能产品认证机构目录》中的认证机构出具的、处于有效期内的节能产品认证证书。</w:t>
      </w:r>
    </w:p>
    <w:p w14:paraId="7B4E827B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（2）如涉及商品包装和快递包装，供应商应当执行《关于印发〈商品包装政府采购需求标准（试行）〉、〈快递包装政府采购需求标准（试行）〉的通知》（财办库〔2020〕123 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2C0470E9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3.如采购人允许采用分包方式履行合同的，应当明确可以分包履行的相关内容。</w:t>
      </w:r>
    </w:p>
    <w:p w14:paraId="5C15FD41">
      <w:pPr>
        <w:adjustRightInd w:val="0"/>
        <w:snapToGrid w:val="0"/>
        <w:spacing w:line="360" w:lineRule="auto"/>
        <w:ind w:firstLine="437"/>
        <w:outlineLvl w:val="1"/>
        <w:rPr>
          <w:rFonts w:ascii="宋体" w:hAnsi="宋体" w:eastAsia="宋体" w:cs="宋体"/>
          <w:b/>
          <w:color w:val="auto"/>
          <w:szCs w:val="21"/>
          <w:highlight w:val="none"/>
        </w:rPr>
      </w:pPr>
      <w:bookmarkStart w:id="1" w:name="_Toc21798"/>
      <w:bookmarkStart w:id="2" w:name="_Toc4148"/>
      <w:bookmarkStart w:id="3" w:name="_Toc23116"/>
      <w:bookmarkStart w:id="4" w:name="_Hlk23621890"/>
      <w:bookmarkStart w:id="5" w:name="_Toc32349"/>
      <w:bookmarkStart w:id="6" w:name="_Toc25144"/>
      <w:bookmarkStart w:id="7" w:name="_Hlk16461016"/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一、采购需求前附表</w:t>
      </w:r>
      <w:bookmarkEnd w:id="1"/>
      <w:bookmarkEnd w:id="2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782C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27EC4CF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032" w:type="dxa"/>
            <w:noWrap w:val="0"/>
            <w:vAlign w:val="center"/>
          </w:tcPr>
          <w:p w14:paraId="731235F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条款名称</w:t>
            </w:r>
          </w:p>
        </w:tc>
        <w:tc>
          <w:tcPr>
            <w:tcW w:w="5483" w:type="dxa"/>
            <w:noWrap w:val="0"/>
            <w:vAlign w:val="center"/>
          </w:tcPr>
          <w:p w14:paraId="34F3C8B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内容、说明与要求</w:t>
            </w:r>
          </w:p>
        </w:tc>
      </w:tr>
      <w:tr w14:paraId="7846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3C69F7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032" w:type="dxa"/>
            <w:noWrap w:val="0"/>
            <w:vAlign w:val="center"/>
          </w:tcPr>
          <w:p w14:paraId="48A26FF6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付款方式</w:t>
            </w:r>
          </w:p>
        </w:tc>
        <w:tc>
          <w:tcPr>
            <w:tcW w:w="5483" w:type="dxa"/>
            <w:noWrap w:val="0"/>
            <w:vAlign w:val="center"/>
          </w:tcPr>
          <w:p w14:paraId="3F755250"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项目履约完成验收合格后一次性支付合同金额。</w:t>
            </w:r>
          </w:p>
        </w:tc>
      </w:tr>
      <w:tr w14:paraId="3D96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5CD1FCF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032" w:type="dxa"/>
            <w:noWrap w:val="0"/>
            <w:vAlign w:val="center"/>
          </w:tcPr>
          <w:p w14:paraId="6FD9FC72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服务地点</w:t>
            </w:r>
          </w:p>
        </w:tc>
        <w:tc>
          <w:tcPr>
            <w:tcW w:w="5483" w:type="dxa"/>
            <w:noWrap w:val="0"/>
            <w:vAlign w:val="center"/>
          </w:tcPr>
          <w:p w14:paraId="6C89C277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安徽农业大学，具体按采购人指定地点。</w:t>
            </w:r>
          </w:p>
        </w:tc>
      </w:tr>
      <w:tr w14:paraId="652A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6DE55CF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032" w:type="dxa"/>
            <w:noWrap w:val="0"/>
            <w:vAlign w:val="center"/>
          </w:tcPr>
          <w:p w14:paraId="5C77FB9C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服务期限</w:t>
            </w:r>
          </w:p>
        </w:tc>
        <w:tc>
          <w:tcPr>
            <w:tcW w:w="5483" w:type="dxa"/>
            <w:noWrap w:val="0"/>
            <w:vAlign w:val="center"/>
          </w:tcPr>
          <w:p w14:paraId="760E1611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bidi="zh-CN"/>
              </w:rPr>
              <w:t>自合同生效之日起45个日历日内完成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。</w:t>
            </w:r>
          </w:p>
        </w:tc>
      </w:tr>
      <w:tr w14:paraId="3202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5323752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032" w:type="dxa"/>
            <w:noWrap w:val="0"/>
            <w:vAlign w:val="center"/>
          </w:tcPr>
          <w:p w14:paraId="19C23BD5">
            <w:pPr>
              <w:adjustRightInd w:val="0"/>
              <w:snapToGrid w:val="0"/>
              <w:spacing w:line="300" w:lineRule="auto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5483" w:type="dxa"/>
            <w:noWrap w:val="0"/>
            <w:vAlign w:val="center"/>
          </w:tcPr>
          <w:p w14:paraId="26DDA483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安徽农业大学植物基因组测序分析服务采购项目（二次）</w:t>
            </w:r>
          </w:p>
          <w:p w14:paraId="1214DA51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所属行业：其他未列明行业</w:t>
            </w:r>
          </w:p>
        </w:tc>
      </w:tr>
      <w:bookmarkEnd w:id="3"/>
      <w:bookmarkEnd w:id="4"/>
      <w:bookmarkEnd w:id="5"/>
      <w:bookmarkEnd w:id="6"/>
      <w:bookmarkEnd w:id="7"/>
    </w:tbl>
    <w:p w14:paraId="7CA6BF52">
      <w:pPr>
        <w:adjustRightInd w:val="0"/>
        <w:snapToGrid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</w:p>
    <w:p w14:paraId="01841F54">
      <w:pPr>
        <w:adjustRightInd w:val="0"/>
        <w:snapToGrid w:val="0"/>
        <w:spacing w:line="360" w:lineRule="auto"/>
        <w:ind w:firstLine="437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bookmarkStart w:id="8" w:name="_Toc161131509"/>
      <w:bookmarkStart w:id="9" w:name="_Toc161131611"/>
      <w:bookmarkStart w:id="10" w:name="OLE_LINK8"/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二、</w:t>
      </w:r>
      <w:bookmarkEnd w:id="8"/>
      <w:bookmarkEnd w:id="9"/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项目概况</w:t>
      </w:r>
    </w:p>
    <w:p w14:paraId="112FC31C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/>
          <w:color w:val="auto"/>
          <w:szCs w:val="21"/>
          <w:highlight w:val="none"/>
        </w:rPr>
      </w:pPr>
      <w:bookmarkStart w:id="11" w:name="_Toc161131510"/>
      <w:bookmarkStart w:id="12" w:name="_Toc161131612"/>
      <w:r>
        <w:rPr>
          <w:rFonts w:hint="eastAsia" w:ascii="宋体" w:hAnsi="宋体" w:eastAsia="宋体"/>
          <w:color w:val="auto"/>
          <w:szCs w:val="21"/>
          <w:highlight w:val="none"/>
        </w:rPr>
        <w:t>本项目针对22个植物样本进行基因组、转录组、Hi-C测序，并对测序数据进行质量评估。</w:t>
      </w:r>
    </w:p>
    <w:p w14:paraId="035E9EB4">
      <w:pPr>
        <w:adjustRightInd w:val="0"/>
        <w:snapToGrid w:val="0"/>
        <w:spacing w:line="360" w:lineRule="auto"/>
        <w:ind w:firstLine="437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三、服务内容</w:t>
      </w:r>
    </w:p>
    <w:p w14:paraId="7E8750B4">
      <w:pPr>
        <w:adjustRightInd w:val="0"/>
        <w:snapToGrid w:val="0"/>
        <w:spacing w:line="360" w:lineRule="auto"/>
        <w:ind w:firstLine="422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3.1技术要求</w:t>
      </w:r>
    </w:p>
    <w:p w14:paraId="28E14AD5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</w:rPr>
        <w:t>1</w:t>
      </w:r>
      <w:r>
        <w:rPr>
          <w:rFonts w:ascii="宋体" w:hAnsi="宋体" w:eastAsia="宋体"/>
          <w:color w:val="auto"/>
          <w:szCs w:val="21"/>
          <w:highlight w:val="none"/>
        </w:rPr>
        <w:t>）ONT（SUP）测序</w:t>
      </w:r>
    </w:p>
    <w:p w14:paraId="6BB0BB00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ONT测序（Oxford Nanopore Technologies，简称ONT）</w:t>
      </w:r>
      <w:r>
        <w:rPr>
          <w:rFonts w:hint="eastAsia" w:ascii="宋体" w:hAnsi="宋体" w:eastAsia="宋体"/>
          <w:color w:val="auto"/>
          <w:szCs w:val="21"/>
          <w:highlight w:val="none"/>
        </w:rPr>
        <w:t>，</w:t>
      </w:r>
      <w:r>
        <w:rPr>
          <w:rFonts w:ascii="宋体" w:hAnsi="宋体" w:eastAsia="宋体"/>
          <w:color w:val="auto"/>
          <w:szCs w:val="21"/>
          <w:highlight w:val="none"/>
        </w:rPr>
        <w:t>基于纳米孔的单分子实时电信号测序技术，</w:t>
      </w:r>
      <w:r>
        <w:rPr>
          <w:rFonts w:hint="eastAsia" w:ascii="宋体" w:hAnsi="宋体" w:eastAsia="宋体"/>
          <w:color w:val="auto"/>
          <w:szCs w:val="21"/>
          <w:highlight w:val="none"/>
        </w:rPr>
        <w:t>提供</w:t>
      </w:r>
      <w:r>
        <w:rPr>
          <w:rFonts w:ascii="宋体" w:hAnsi="宋体" w:eastAsia="宋体"/>
          <w:color w:val="auto"/>
          <w:szCs w:val="21"/>
          <w:highlight w:val="none"/>
        </w:rPr>
        <w:t>ONT的sup模式（Super Accuracy Mode），提高单链读取的准确性</w:t>
      </w:r>
      <w:r>
        <w:rPr>
          <w:rFonts w:hint="eastAsia" w:ascii="宋体" w:hAnsi="宋体" w:eastAsia="宋体"/>
          <w:color w:val="auto"/>
          <w:szCs w:val="21"/>
          <w:highlight w:val="none"/>
        </w:rPr>
        <w:t>，</w:t>
      </w:r>
      <w:r>
        <w:rPr>
          <w:rFonts w:ascii="宋体" w:hAnsi="宋体" w:eastAsia="宋体"/>
          <w:color w:val="auto"/>
          <w:szCs w:val="21"/>
          <w:highlight w:val="none"/>
        </w:rPr>
        <w:t>适用于需要高精度数据的基因组组装和变异检测。</w:t>
      </w:r>
    </w:p>
    <w:p w14:paraId="432670E1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</w:rPr>
        <w:t>2</w:t>
      </w:r>
      <w:r>
        <w:rPr>
          <w:rFonts w:ascii="宋体" w:hAnsi="宋体" w:eastAsia="宋体"/>
          <w:color w:val="auto"/>
          <w:szCs w:val="21"/>
          <w:highlight w:val="none"/>
        </w:rPr>
        <w:t>）Hi-C技术</w:t>
      </w:r>
    </w:p>
    <w:p w14:paraId="313352CD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Hi-C技术是高通量染色体构象捕获技术（High-throughput chromosome conformation capture）。利用高通量测序技术，结合生物信息学分析方法，研究全基因组范围内整个染色质DNA在空间位置上的关系，构建染色体跨度单体型，同时捕获不同基因座位上之间的空间交互信息，获得高分辨率的染色质三维结构信息，辅助基因组组装挂载，并能开发调控基因的DNA元件。</w:t>
      </w:r>
    </w:p>
    <w:p w14:paraId="16181449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</w:rPr>
        <w:t>3</w:t>
      </w:r>
      <w:r>
        <w:rPr>
          <w:rFonts w:ascii="宋体" w:hAnsi="宋体" w:eastAsia="宋体"/>
          <w:color w:val="auto"/>
          <w:szCs w:val="21"/>
          <w:highlight w:val="none"/>
        </w:rPr>
        <w:t>）WGBS技术</w:t>
      </w:r>
    </w:p>
    <w:p w14:paraId="50BDF457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全基因组甲基化测序 (Whole Genome Bisulfite Sequencing, WGBS)是结合重亚硫酸盐Bisulfite处理和高通量测序，对有参考基因组进行全基因组的单碱基分辨率的甲基化检测“金标准”方案。</w:t>
      </w:r>
    </w:p>
    <w:p w14:paraId="11F0C40E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</w:rPr>
        <w:t>4</w:t>
      </w:r>
      <w:r>
        <w:rPr>
          <w:rFonts w:ascii="宋体" w:hAnsi="宋体" w:eastAsia="宋体"/>
          <w:color w:val="auto"/>
          <w:szCs w:val="21"/>
          <w:highlight w:val="none"/>
        </w:rPr>
        <w:t>）全长转录组测序技术</w:t>
      </w:r>
    </w:p>
    <w:p w14:paraId="53A000C9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对完整的mRNA直接进行从头测序，从而得到转录本的全长信息。</w:t>
      </w:r>
    </w:p>
    <w:p w14:paraId="1FA82626">
      <w:pPr>
        <w:adjustRightInd w:val="0"/>
        <w:snapToGrid w:val="0"/>
        <w:spacing w:line="360" w:lineRule="auto"/>
        <w:ind w:firstLine="422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3.2</w:t>
      </w:r>
      <w:r>
        <w:rPr>
          <w:rFonts w:ascii="宋体" w:hAnsi="宋体" w:eastAsia="宋体"/>
          <w:b/>
          <w:bCs/>
          <w:color w:val="auto"/>
          <w:szCs w:val="21"/>
          <w:highlight w:val="none"/>
        </w:rPr>
        <w:t>技术参数</w:t>
      </w:r>
    </w:p>
    <w:p w14:paraId="6A9E206A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（1）基因组测序相关技术指标</w:t>
      </w:r>
    </w:p>
    <w:p w14:paraId="455BC93A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①</w:t>
      </w:r>
      <w:r>
        <w:rPr>
          <w:rFonts w:ascii="宋体" w:hAnsi="宋体" w:eastAsia="宋体"/>
          <w:color w:val="auto"/>
          <w:szCs w:val="21"/>
          <w:highlight w:val="none"/>
        </w:rPr>
        <w:t>进行ONT（SUP）建库测序，采用DNA 超长片段测序试剂盒 V14（SQK-ULK114）进行20K文库建库，单个样品测序2个cell，获得Clean data测序数据不少于 150 Gb，保证ONT reads准确率达到99%以上，平均读长不小于15K，Reads N50长度20K以上；</w:t>
      </w:r>
    </w:p>
    <w:p w14:paraId="18A49513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②</w:t>
      </w:r>
      <w:r>
        <w:rPr>
          <w:rFonts w:ascii="宋体" w:hAnsi="宋体" w:eastAsia="宋体"/>
          <w:color w:val="auto"/>
          <w:szCs w:val="21"/>
          <w:highlight w:val="none"/>
        </w:rPr>
        <w:t>进行ONT（SUP）超长建库测序，构建100K文库，单个样品测序1个cell，获得Clean data测序数据不少于 15 Gb，保证ONT reads准确率达到99%以上，平均读长不小于80K，Reads N50长度100K以上。</w:t>
      </w:r>
    </w:p>
    <w:p w14:paraId="17D56107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（2）辅助基因组组装的具体技术指标</w:t>
      </w:r>
    </w:p>
    <w:p w14:paraId="5D812856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①</w:t>
      </w:r>
      <w:r>
        <w:rPr>
          <w:rFonts w:ascii="宋体" w:hAnsi="宋体" w:eastAsia="宋体"/>
          <w:color w:val="auto"/>
          <w:szCs w:val="21"/>
          <w:highlight w:val="none"/>
        </w:rPr>
        <w:t>利用二代测序平台进行Hi-C测序，获得测序数据不低于100 Gb Clean data，保证Q20达到99%以上，Q30达到90%以上；</w:t>
      </w:r>
    </w:p>
    <w:p w14:paraId="69CE864D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②</w:t>
      </w:r>
      <w:r>
        <w:rPr>
          <w:rFonts w:ascii="宋体" w:hAnsi="宋体" w:eastAsia="宋体"/>
          <w:color w:val="auto"/>
          <w:szCs w:val="21"/>
          <w:highlight w:val="none"/>
        </w:rPr>
        <w:t>完成</w:t>
      </w:r>
      <w:r>
        <w:rPr>
          <w:rFonts w:hint="eastAsia" w:ascii="宋体" w:hAnsi="宋体" w:eastAsia="宋体"/>
          <w:color w:val="auto"/>
          <w:szCs w:val="21"/>
          <w:highlight w:val="none"/>
        </w:rPr>
        <w:t>采购人</w:t>
      </w:r>
      <w:r>
        <w:rPr>
          <w:rFonts w:ascii="宋体" w:hAnsi="宋体" w:eastAsia="宋体"/>
          <w:color w:val="auto"/>
          <w:szCs w:val="21"/>
          <w:highlight w:val="none"/>
        </w:rPr>
        <w:t>提供的多组织材料进行PacBio全长转录组测序，单个样品不低于5M reads数据量，用于全基因组基因预测；</w:t>
      </w:r>
    </w:p>
    <w:p w14:paraId="091C1CF7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③</w:t>
      </w:r>
      <w:r>
        <w:rPr>
          <w:rFonts w:ascii="宋体" w:hAnsi="宋体" w:eastAsia="宋体"/>
          <w:color w:val="auto"/>
          <w:szCs w:val="21"/>
          <w:highlight w:val="none"/>
        </w:rPr>
        <w:t>完成采购人提供的多组织材料二代转录组测序（共66个样品），单个样品不少于 6 Gb clean reads数据量，用于基因表达分析；</w:t>
      </w:r>
    </w:p>
    <w:p w14:paraId="4C14D53A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④</w:t>
      </w:r>
      <w:r>
        <w:rPr>
          <w:rFonts w:ascii="宋体" w:hAnsi="宋体" w:eastAsia="宋体"/>
          <w:color w:val="auto"/>
          <w:szCs w:val="21"/>
          <w:highlight w:val="none"/>
        </w:rPr>
        <w:t>基于每个样本的ONT数据进行全基因组DNA甲基化检测。</w:t>
      </w:r>
    </w:p>
    <w:p w14:paraId="5188C0A2">
      <w:pPr>
        <w:adjustRightInd w:val="0"/>
        <w:snapToGrid w:val="0"/>
        <w:spacing w:line="360" w:lineRule="auto"/>
        <w:ind w:firstLine="422" w:firstLineChars="200"/>
        <w:jc w:val="left"/>
        <w:rPr>
          <w:rFonts w:ascii="宋体" w:hAnsi="宋体" w:eastAsia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四、</w:t>
      </w:r>
      <w:r>
        <w:rPr>
          <w:rFonts w:ascii="宋体" w:hAnsi="宋体" w:eastAsia="宋体"/>
          <w:b/>
          <w:bCs/>
          <w:color w:val="auto"/>
          <w:szCs w:val="21"/>
          <w:highlight w:val="none"/>
        </w:rPr>
        <w:t>测序数据评估</w:t>
      </w:r>
    </w:p>
    <w:p w14:paraId="5F2DF095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数据评估</w:t>
      </w:r>
      <w:r>
        <w:rPr>
          <w:rFonts w:ascii="宋体" w:hAnsi="宋体" w:eastAsia="宋体"/>
          <w:color w:val="auto"/>
          <w:szCs w:val="21"/>
          <w:highlight w:val="none"/>
        </w:rPr>
        <w:t>分析具体包括以下几个方面内容</w:t>
      </w:r>
      <w:r>
        <w:rPr>
          <w:rFonts w:hint="eastAsia" w:ascii="宋体" w:hAnsi="宋体" w:eastAsia="宋体"/>
          <w:color w:val="auto"/>
          <w:szCs w:val="21"/>
          <w:highlight w:val="none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811"/>
        <w:gridCol w:w="1156"/>
      </w:tblGrid>
      <w:tr w14:paraId="2B88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55" w:type="dxa"/>
            <w:noWrap w:val="0"/>
            <w:vAlign w:val="center"/>
          </w:tcPr>
          <w:p w14:paraId="3ABAEBD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811" w:type="dxa"/>
            <w:noWrap w:val="0"/>
            <w:vAlign w:val="center"/>
          </w:tcPr>
          <w:p w14:paraId="5D7C025D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具体分析内容</w:t>
            </w:r>
          </w:p>
        </w:tc>
        <w:tc>
          <w:tcPr>
            <w:tcW w:w="1156" w:type="dxa"/>
            <w:noWrap w:val="0"/>
            <w:vAlign w:val="center"/>
          </w:tcPr>
          <w:p w14:paraId="7EAB3DC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 w14:paraId="510D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 w14:paraId="406C8E28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ONT（SUP）测序结果评估</w:t>
            </w:r>
          </w:p>
        </w:tc>
        <w:tc>
          <w:tcPr>
            <w:tcW w:w="5811" w:type="dxa"/>
            <w:noWrap w:val="0"/>
            <w:vAlign w:val="center"/>
          </w:tcPr>
          <w:p w14:paraId="663FD53C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ONT测序（包括普通和超长）基因组测序数据评估：</w:t>
            </w:r>
          </w:p>
          <w:p w14:paraId="5475F409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(1)进行base calling (SUP)，过滤接头、低质量以及短片段（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&lt;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500bp）；</w:t>
            </w:r>
          </w:p>
          <w:p w14:paraId="786806F6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(2)评估测序数据量以及测序质量等；</w:t>
            </w:r>
          </w:p>
          <w:p w14:paraId="141DC89D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(3)评估读长长度、GC和N50等。</w:t>
            </w:r>
          </w:p>
        </w:tc>
        <w:tc>
          <w:tcPr>
            <w:tcW w:w="1156" w:type="dxa"/>
            <w:noWrap w:val="0"/>
            <w:vAlign w:val="top"/>
          </w:tcPr>
          <w:p w14:paraId="68960085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97B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 w14:paraId="1A6991E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转录组数据质量评估</w:t>
            </w:r>
          </w:p>
        </w:tc>
        <w:tc>
          <w:tcPr>
            <w:tcW w:w="5811" w:type="dxa"/>
            <w:noWrap w:val="0"/>
            <w:vAlign w:val="center"/>
          </w:tcPr>
          <w:p w14:paraId="628BAD54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(1) 测序数据产出统计与数据质控；</w:t>
            </w:r>
          </w:p>
          <w:p w14:paraId="400BD444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(2) 测序质量分布统计和数据质量评估。</w:t>
            </w:r>
          </w:p>
        </w:tc>
        <w:tc>
          <w:tcPr>
            <w:tcW w:w="1156" w:type="dxa"/>
            <w:noWrap w:val="0"/>
            <w:vAlign w:val="top"/>
          </w:tcPr>
          <w:p w14:paraId="547AB53D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405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 w14:paraId="14700592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HiC测序数据评估</w:t>
            </w:r>
          </w:p>
        </w:tc>
        <w:tc>
          <w:tcPr>
            <w:tcW w:w="5811" w:type="dxa"/>
            <w:noWrap w:val="0"/>
            <w:vAlign w:val="center"/>
          </w:tcPr>
          <w:p w14:paraId="4F783491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(1) 测序数据过滤和数据量等统计；</w:t>
            </w:r>
          </w:p>
          <w:p w14:paraId="31012058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(2) 有效Hi-C数据量评估（有参考基因组，小数据量评估；数据下机前需提供参考基因组）；</w:t>
            </w:r>
          </w:p>
          <w:p w14:paraId="23A5DA4E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(3) Truncter比例评估（无参考基因组）。</w:t>
            </w:r>
          </w:p>
        </w:tc>
        <w:tc>
          <w:tcPr>
            <w:tcW w:w="1156" w:type="dxa"/>
            <w:noWrap w:val="0"/>
            <w:vAlign w:val="top"/>
          </w:tcPr>
          <w:p w14:paraId="5576AB2F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337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center"/>
          </w:tcPr>
          <w:p w14:paraId="5E6E807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DNA甲基化数据分析</w:t>
            </w:r>
          </w:p>
        </w:tc>
        <w:tc>
          <w:tcPr>
            <w:tcW w:w="5811" w:type="dxa"/>
            <w:noWrap w:val="0"/>
            <w:vAlign w:val="center"/>
          </w:tcPr>
          <w:p w14:paraId="2D14D9BF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基于ONT数据进行全基因组DNA甲基化检测。</w:t>
            </w:r>
          </w:p>
        </w:tc>
        <w:tc>
          <w:tcPr>
            <w:tcW w:w="1156" w:type="dxa"/>
            <w:noWrap w:val="0"/>
            <w:vAlign w:val="top"/>
          </w:tcPr>
          <w:p w14:paraId="1E413164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114A83E3">
      <w:pPr>
        <w:adjustRightInd w:val="0"/>
        <w:snapToGrid w:val="0"/>
        <w:spacing w:line="360" w:lineRule="auto"/>
        <w:ind w:firstLine="422" w:firstLineChars="200"/>
        <w:jc w:val="left"/>
        <w:rPr>
          <w:rFonts w:ascii="宋体" w:hAnsi="宋体" w:eastAsia="宋体"/>
          <w:b/>
          <w:bCs/>
          <w:color w:val="auto"/>
          <w:szCs w:val="21"/>
          <w:highlight w:val="none"/>
        </w:rPr>
      </w:pPr>
    </w:p>
    <w:p w14:paraId="53E17ADF">
      <w:pPr>
        <w:adjustRightInd w:val="0"/>
        <w:snapToGrid w:val="0"/>
        <w:spacing w:line="360" w:lineRule="auto"/>
        <w:ind w:firstLine="422" w:firstLineChars="200"/>
        <w:jc w:val="left"/>
        <w:rPr>
          <w:rFonts w:ascii="宋体" w:hAnsi="宋体" w:eastAsia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五、</w:t>
      </w:r>
      <w:r>
        <w:rPr>
          <w:rFonts w:ascii="宋体" w:hAnsi="宋体" w:eastAsia="宋体"/>
          <w:b/>
          <w:bCs/>
          <w:color w:val="auto"/>
          <w:szCs w:val="21"/>
          <w:highlight w:val="none"/>
        </w:rPr>
        <w:t>服务标准</w:t>
      </w:r>
    </w:p>
    <w:p w14:paraId="56B0DC1A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</w:rPr>
        <w:t>1</w:t>
      </w:r>
      <w:r>
        <w:rPr>
          <w:rFonts w:ascii="宋体" w:hAnsi="宋体" w:eastAsia="宋体"/>
          <w:color w:val="auto"/>
          <w:szCs w:val="21"/>
          <w:highlight w:val="none"/>
        </w:rPr>
        <w:t>）</w:t>
      </w:r>
      <w:r>
        <w:rPr>
          <w:rFonts w:hint="eastAsia" w:ascii="宋体" w:hAnsi="宋体" w:eastAsia="宋体"/>
          <w:color w:val="auto"/>
          <w:szCs w:val="21"/>
          <w:highlight w:val="none"/>
        </w:rPr>
        <w:t>供应商</w:t>
      </w:r>
      <w:r>
        <w:rPr>
          <w:rFonts w:ascii="宋体" w:hAnsi="宋体" w:eastAsia="宋体"/>
          <w:color w:val="auto"/>
          <w:szCs w:val="21"/>
          <w:highlight w:val="none"/>
        </w:rPr>
        <w:t>完成所有测序分析内容，并提供硬盘交付完整的测序数据及项目结题报告（包括质检报告）。</w:t>
      </w:r>
    </w:p>
    <w:p w14:paraId="475B7E6B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</w:rPr>
        <w:t>2</w:t>
      </w:r>
      <w:r>
        <w:rPr>
          <w:rFonts w:ascii="宋体" w:hAnsi="宋体" w:eastAsia="宋体"/>
          <w:color w:val="auto"/>
          <w:szCs w:val="21"/>
          <w:highlight w:val="none"/>
        </w:rPr>
        <w:t>）合同周期内完成所有分析，项目开始及完成后建立该项目沟通和售后服务微信群，由负责该项目的专业技术人员进行24小时内回复。</w:t>
      </w:r>
    </w:p>
    <w:p w14:paraId="0E09F851">
      <w:pPr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ascii="宋体" w:hAnsi="宋体" w:eastAsia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/>
          <w:color w:val="auto"/>
          <w:szCs w:val="21"/>
          <w:highlight w:val="none"/>
        </w:rPr>
        <w:t>3</w:t>
      </w:r>
      <w:r>
        <w:rPr>
          <w:rFonts w:ascii="宋体" w:hAnsi="宋体" w:eastAsia="宋体"/>
          <w:color w:val="auto"/>
          <w:szCs w:val="21"/>
          <w:highlight w:val="none"/>
        </w:rPr>
        <w:t>）</w:t>
      </w:r>
      <w:r>
        <w:rPr>
          <w:rFonts w:hint="eastAsia" w:ascii="宋体" w:hAnsi="宋体" w:eastAsia="宋体"/>
          <w:color w:val="auto"/>
          <w:szCs w:val="21"/>
          <w:highlight w:val="none"/>
        </w:rPr>
        <w:t>供应商</w:t>
      </w:r>
      <w:r>
        <w:rPr>
          <w:rFonts w:ascii="宋体" w:hAnsi="宋体" w:eastAsia="宋体"/>
          <w:color w:val="auto"/>
          <w:szCs w:val="21"/>
          <w:highlight w:val="none"/>
        </w:rPr>
        <w:t>应按照项目总周期提出项目具体方案和实施周期，如出现单项测序或分析延期或不符合数据验收要求，</w:t>
      </w:r>
      <w:r>
        <w:rPr>
          <w:rFonts w:hint="eastAsia" w:ascii="宋体" w:hAnsi="宋体" w:eastAsia="宋体"/>
          <w:color w:val="auto"/>
          <w:szCs w:val="21"/>
          <w:highlight w:val="none"/>
        </w:rPr>
        <w:t>供应商应进行整改直至达到验收要求</w:t>
      </w:r>
      <w:r>
        <w:rPr>
          <w:rFonts w:ascii="宋体" w:hAnsi="宋体" w:eastAsia="宋体"/>
          <w:color w:val="auto"/>
          <w:szCs w:val="21"/>
          <w:highlight w:val="none"/>
        </w:rPr>
        <w:t>。</w:t>
      </w:r>
    </w:p>
    <w:p w14:paraId="2328C1F1">
      <w:pPr>
        <w:adjustRightInd w:val="0"/>
        <w:snapToGrid w:val="0"/>
        <w:spacing w:line="360" w:lineRule="auto"/>
        <w:ind w:firstLine="422" w:firstLineChars="200"/>
        <w:jc w:val="left"/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  <w:lang w:val="en-US" w:eastAsia="zh-CN"/>
        </w:rPr>
        <w:t>六、报价要求</w:t>
      </w:r>
    </w:p>
    <w:p w14:paraId="62DCBD4D">
      <w:pPr>
        <w:adjustRightInd w:val="0"/>
        <w:snapToGrid w:val="0"/>
        <w:spacing w:line="360" w:lineRule="auto"/>
        <w:ind w:firstLine="420" w:firstLineChars="200"/>
        <w:jc w:val="left"/>
        <w:rPr>
          <w:rFonts w:hint="default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  <w:highlight w:val="none"/>
          <w:lang w:val="en-US" w:eastAsia="zh-CN"/>
        </w:rPr>
        <w:t>本项目报总价，报价应含有服务、利润、税金、政策性文件规定及合同包含的所有风险、责任、义务等，即为完成采购文件要求的服务内容所包含的一切应有费用，采购人后期不再追加费用，供应商自行考虑报价风险。</w:t>
      </w:r>
    </w:p>
    <w:bookmarkEnd w:id="10"/>
    <w:bookmarkEnd w:id="11"/>
    <w:bookmarkEnd w:id="12"/>
    <w:p w14:paraId="77636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5543"/>
    <w:rsid w:val="0AFB5543"/>
    <w:rsid w:val="747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2025-09-24T03:46:00Z</dcterms:created>
  <dc:creator>xmy</dc:creator>
  <cp:lastModifiedBy>xmy</cp:lastModifiedBy>
  <dcterms:modified xsi:type="dcterms:W3CDTF">2025-09-24T03:47:03Z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5939BC7225B243D4AD2201A80955CCFB_11</vt:lpwstr>
  </property>
  <property fmtid="{D5CDD505-2E9C-101B-9397-08002B2CF9AE}" pid="4" name="KSOTemplateDocerSaveRecord">
    <vt:lpwstr>eyJoZGlkIjoiZjY2ZjQ0YmI5N2I0Mjk4NTAzNDM1MmQzZDViYzcwNzMiLCJ1c2VySWQiOiIzMjQ4MTEwODkifQ==</vt:lpwstr>
  </property>
</Properties>
</file>