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C20B3">
      <w:pPr>
        <w:widowControl/>
        <w:tabs>
          <w:tab w:val="center" w:pos="4153"/>
        </w:tabs>
        <w:spacing w:line="440" w:lineRule="exact"/>
        <w:jc w:val="center"/>
        <w:rPr>
          <w:rFonts w:hint="eastAsia" w:ascii="宋体" w:hAnsi="宋体" w:eastAsia="仿宋"/>
          <w:color w:val="auto"/>
          <w:sz w:val="36"/>
          <w:szCs w:val="36"/>
          <w:highlight w:val="none"/>
        </w:rPr>
      </w:pPr>
    </w:p>
    <w:p w14:paraId="5D3A4DE5">
      <w:pPr>
        <w:widowControl/>
        <w:tabs>
          <w:tab w:val="center" w:pos="4153"/>
        </w:tabs>
        <w:spacing w:line="440" w:lineRule="exact"/>
        <w:rPr>
          <w:rFonts w:hint="eastAsia" w:ascii="宋体" w:hAnsi="宋体" w:eastAsia="仿宋"/>
          <w:color w:val="auto"/>
          <w:sz w:val="36"/>
          <w:szCs w:val="36"/>
          <w:highlight w:val="none"/>
        </w:rPr>
      </w:pPr>
    </w:p>
    <w:p w14:paraId="7990D959">
      <w:pPr>
        <w:widowControl/>
        <w:tabs>
          <w:tab w:val="center" w:pos="4153"/>
        </w:tabs>
        <w:spacing w:line="440" w:lineRule="exact"/>
        <w:jc w:val="center"/>
        <w:rPr>
          <w:rFonts w:hint="eastAsia" w:ascii="宋体" w:hAnsi="宋体" w:eastAsia="仿宋"/>
          <w:color w:val="auto"/>
          <w:sz w:val="36"/>
          <w:szCs w:val="36"/>
          <w:highlight w:val="none"/>
        </w:rPr>
      </w:pPr>
    </w:p>
    <w:p w14:paraId="56269F5D">
      <w:pPr>
        <w:widowControl/>
        <w:tabs>
          <w:tab w:val="center" w:pos="4153"/>
        </w:tabs>
        <w:spacing w:line="440" w:lineRule="exact"/>
        <w:jc w:val="center"/>
        <w:rPr>
          <w:rFonts w:hint="eastAsia" w:ascii="宋体" w:hAnsi="宋体" w:eastAsia="仿宋"/>
          <w:color w:val="auto"/>
          <w:sz w:val="36"/>
          <w:szCs w:val="36"/>
          <w:highlight w:val="none"/>
        </w:rPr>
      </w:pPr>
    </w:p>
    <w:p w14:paraId="5B7A0EED">
      <w:pPr>
        <w:widowControl/>
        <w:spacing w:line="360" w:lineRule="auto"/>
        <w:jc w:val="center"/>
        <w:rPr>
          <w:rFonts w:hint="eastAsia" w:eastAsia="仿宋"/>
          <w:b/>
          <w:color w:val="auto"/>
          <w:sz w:val="44"/>
          <w:szCs w:val="44"/>
          <w:highlight w:val="none"/>
          <w:lang w:val="en-US" w:eastAsia="zh-CN"/>
        </w:rPr>
      </w:pPr>
      <w:r>
        <w:rPr>
          <w:rFonts w:hint="eastAsia" w:eastAsia="仿宋"/>
          <w:b/>
          <w:color w:val="auto"/>
          <w:sz w:val="44"/>
          <w:szCs w:val="44"/>
          <w:highlight w:val="none"/>
          <w:lang w:eastAsia="zh-CN"/>
        </w:rPr>
        <w:t>安徽医科大学第一附属医院遥测心电监护仪（1拖8）</w:t>
      </w:r>
      <w:r>
        <w:rPr>
          <w:rFonts w:hint="eastAsia" w:eastAsia="仿宋"/>
          <w:b/>
          <w:color w:val="auto"/>
          <w:sz w:val="44"/>
          <w:szCs w:val="44"/>
          <w:highlight w:val="none"/>
          <w:lang w:val="en-US" w:eastAsia="zh-CN"/>
        </w:rPr>
        <w:t>采购项目</w:t>
      </w:r>
    </w:p>
    <w:p w14:paraId="6A880D48">
      <w:pPr>
        <w:widowControl/>
        <w:jc w:val="center"/>
        <w:rPr>
          <w:rFonts w:hint="eastAsia" w:ascii="宋体" w:hAnsi="宋体" w:eastAsia="仿宋"/>
          <w:b/>
          <w:color w:val="auto"/>
          <w:sz w:val="72"/>
          <w:highlight w:val="none"/>
        </w:rPr>
      </w:pPr>
      <w:r>
        <w:rPr>
          <w:rFonts w:hint="eastAsia" w:ascii="宋体" w:hAnsi="宋体" w:eastAsia="仿宋"/>
          <w:b/>
          <w:color w:val="auto"/>
          <w:sz w:val="72"/>
          <w:highlight w:val="none"/>
        </w:rPr>
        <w:t>招标文件</w:t>
      </w:r>
    </w:p>
    <w:p w14:paraId="01B5CDAB">
      <w:pPr>
        <w:widowControl/>
        <w:jc w:val="center"/>
        <w:rPr>
          <w:rFonts w:hint="eastAsia" w:ascii="宋体" w:hAnsi="宋体" w:eastAsia="仿宋"/>
          <w:b/>
          <w:color w:val="auto"/>
          <w:sz w:val="72"/>
          <w:highlight w:val="none"/>
        </w:rPr>
      </w:pPr>
    </w:p>
    <w:p w14:paraId="0DAE104D">
      <w:pPr>
        <w:widowControl/>
        <w:jc w:val="center"/>
        <w:rPr>
          <w:rFonts w:hint="eastAsia" w:ascii="宋体" w:hAnsi="宋体" w:eastAsia="仿宋"/>
          <w:b/>
          <w:color w:val="auto"/>
          <w:sz w:val="72"/>
          <w:highlight w:val="none"/>
        </w:rPr>
      </w:pPr>
    </w:p>
    <w:p w14:paraId="21C6C82C">
      <w:pPr>
        <w:widowControl/>
        <w:spacing w:line="360" w:lineRule="auto"/>
        <w:jc w:val="center"/>
        <w:rPr>
          <w:rFonts w:hint="eastAsia" w:ascii="宋体" w:hAnsi="宋体" w:eastAsia="仿宋"/>
          <w:b/>
          <w:color w:val="auto"/>
          <w:sz w:val="28"/>
          <w:szCs w:val="28"/>
          <w:highlight w:val="none"/>
          <w:lang w:eastAsia="zh-CN"/>
        </w:rPr>
      </w:pPr>
      <w:r>
        <w:rPr>
          <w:rFonts w:hint="eastAsia" w:ascii="宋体" w:hAnsi="宋体" w:eastAsia="仿宋"/>
          <w:b/>
          <w:color w:val="auto"/>
          <w:sz w:val="28"/>
          <w:szCs w:val="28"/>
          <w:highlight w:val="none"/>
        </w:rPr>
        <w:t>项目编号：</w:t>
      </w:r>
      <w:r>
        <w:rPr>
          <w:rFonts w:hint="eastAsia" w:ascii="宋体" w:hAnsi="宋体" w:eastAsia="仿宋"/>
          <w:b/>
          <w:color w:val="auto"/>
          <w:sz w:val="28"/>
          <w:szCs w:val="28"/>
          <w:highlight w:val="none"/>
          <w:lang w:eastAsia="zh-CN"/>
        </w:rPr>
        <w:t>ZF2025-36-1529</w:t>
      </w:r>
    </w:p>
    <w:p w14:paraId="110775D2">
      <w:pPr>
        <w:widowControl/>
        <w:tabs>
          <w:tab w:val="center" w:pos="4153"/>
        </w:tabs>
        <w:spacing w:line="480" w:lineRule="auto"/>
        <w:jc w:val="center"/>
        <w:rPr>
          <w:rFonts w:hint="eastAsia" w:ascii="宋体" w:hAnsi="宋体" w:eastAsia="仿宋"/>
          <w:color w:val="auto"/>
          <w:sz w:val="36"/>
          <w:szCs w:val="36"/>
          <w:highlight w:val="none"/>
        </w:rPr>
      </w:pPr>
    </w:p>
    <w:p w14:paraId="61992570">
      <w:pPr>
        <w:widowControl/>
        <w:tabs>
          <w:tab w:val="center" w:pos="4153"/>
        </w:tabs>
        <w:spacing w:line="480" w:lineRule="auto"/>
        <w:jc w:val="center"/>
        <w:rPr>
          <w:rFonts w:hint="eastAsia" w:ascii="宋体" w:hAnsi="宋体" w:eastAsia="仿宋"/>
          <w:color w:val="auto"/>
          <w:sz w:val="36"/>
          <w:szCs w:val="36"/>
          <w:highlight w:val="none"/>
        </w:rPr>
      </w:pPr>
    </w:p>
    <w:p w14:paraId="56744738">
      <w:pPr>
        <w:widowControl/>
        <w:tabs>
          <w:tab w:val="center" w:pos="4153"/>
        </w:tabs>
        <w:spacing w:line="480" w:lineRule="auto"/>
        <w:rPr>
          <w:rFonts w:hint="eastAsia" w:ascii="宋体" w:hAnsi="宋体" w:eastAsia="仿宋"/>
          <w:color w:val="auto"/>
          <w:sz w:val="36"/>
          <w:szCs w:val="36"/>
          <w:highlight w:val="none"/>
        </w:rPr>
      </w:pPr>
    </w:p>
    <w:p w14:paraId="62E72F08">
      <w:pPr>
        <w:widowControl/>
        <w:tabs>
          <w:tab w:val="center" w:pos="4153"/>
        </w:tabs>
        <w:spacing w:line="480" w:lineRule="auto"/>
        <w:rPr>
          <w:rFonts w:hint="eastAsia" w:ascii="宋体" w:hAnsi="宋体" w:eastAsia="仿宋"/>
          <w:color w:val="auto"/>
          <w:sz w:val="36"/>
          <w:szCs w:val="36"/>
          <w:highlight w:val="none"/>
        </w:rPr>
      </w:pPr>
    </w:p>
    <w:p w14:paraId="69153081">
      <w:pPr>
        <w:widowControl/>
        <w:tabs>
          <w:tab w:val="center" w:pos="4153"/>
        </w:tabs>
        <w:spacing w:line="480" w:lineRule="auto"/>
        <w:jc w:val="center"/>
        <w:rPr>
          <w:rFonts w:hint="eastAsia" w:ascii="宋体" w:hAnsi="宋体" w:eastAsia="仿宋"/>
          <w:color w:val="auto"/>
          <w:sz w:val="36"/>
          <w:szCs w:val="36"/>
          <w:highlight w:val="none"/>
        </w:rPr>
      </w:pPr>
    </w:p>
    <w:p w14:paraId="11042BFC">
      <w:pPr>
        <w:widowControl/>
        <w:tabs>
          <w:tab w:val="center" w:pos="4153"/>
        </w:tabs>
        <w:spacing w:line="480" w:lineRule="auto"/>
        <w:ind w:firstLine="1699" w:firstLineChars="531"/>
        <w:rPr>
          <w:rFonts w:hint="eastAsia" w:ascii="宋体" w:hAnsi="宋体" w:eastAsia="仿宋"/>
          <w:color w:val="auto"/>
          <w:sz w:val="32"/>
          <w:szCs w:val="36"/>
          <w:highlight w:val="none"/>
          <w:lang w:eastAsia="zh-CN"/>
        </w:rPr>
      </w:pPr>
      <w:r>
        <w:rPr>
          <w:rFonts w:hint="eastAsia" w:ascii="宋体" w:hAnsi="宋体" w:eastAsia="仿宋"/>
          <w:color w:val="auto"/>
          <w:sz w:val="32"/>
          <w:szCs w:val="36"/>
          <w:highlight w:val="none"/>
        </w:rPr>
        <w:t>采   购   人：</w:t>
      </w:r>
      <w:r>
        <w:rPr>
          <w:rFonts w:hint="eastAsia" w:ascii="宋体" w:hAnsi="宋体" w:eastAsia="仿宋"/>
          <w:color w:val="auto"/>
          <w:sz w:val="32"/>
          <w:szCs w:val="36"/>
          <w:highlight w:val="none"/>
          <w:lang w:eastAsia="zh-CN"/>
        </w:rPr>
        <w:t>安徽医科大学第一附属医院</w:t>
      </w:r>
    </w:p>
    <w:p w14:paraId="23625578">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采购代理机构：安徽省招标集团股份有限公司</w:t>
      </w:r>
    </w:p>
    <w:p w14:paraId="3E6B9158">
      <w:pPr>
        <w:widowControl/>
        <w:tabs>
          <w:tab w:val="center" w:pos="4153"/>
        </w:tabs>
        <w:spacing w:line="480" w:lineRule="auto"/>
        <w:jc w:val="center"/>
        <w:rPr>
          <w:rFonts w:hint="eastAsia" w:ascii="宋体" w:hAnsi="宋体" w:eastAsia="仿宋"/>
          <w:color w:val="auto"/>
          <w:sz w:val="36"/>
          <w:szCs w:val="36"/>
          <w:highlight w:val="none"/>
          <w:lang w:eastAsia="zh-CN"/>
        </w:rPr>
      </w:pPr>
      <w:r>
        <w:rPr>
          <w:rFonts w:hint="eastAsia" w:ascii="宋体" w:hAnsi="宋体" w:eastAsia="仿宋"/>
          <w:color w:val="auto"/>
          <w:sz w:val="36"/>
          <w:szCs w:val="36"/>
          <w:highlight w:val="none"/>
        </w:rPr>
        <w:t>2025年</w:t>
      </w:r>
      <w:r>
        <w:rPr>
          <w:rFonts w:hint="eastAsia" w:ascii="宋体" w:hAnsi="宋体" w:eastAsia="仿宋"/>
          <w:color w:val="auto"/>
          <w:sz w:val="36"/>
          <w:szCs w:val="36"/>
          <w:highlight w:val="none"/>
          <w:lang w:eastAsia="zh-CN"/>
        </w:rPr>
        <w:t>10月</w:t>
      </w:r>
    </w:p>
    <w:p w14:paraId="0D79ADC1">
      <w:pPr>
        <w:widowControl/>
        <w:tabs>
          <w:tab w:val="center" w:pos="4153"/>
        </w:tabs>
        <w:spacing w:line="480" w:lineRule="auto"/>
        <w:ind w:firstLine="849" w:firstLineChars="236"/>
        <w:rPr>
          <w:rFonts w:ascii="宋体" w:hAnsi="宋体" w:eastAsia="仿宋"/>
          <w:color w:val="auto"/>
          <w:sz w:val="36"/>
          <w:szCs w:val="36"/>
          <w:highlight w:val="none"/>
        </w:rPr>
        <w:sectPr>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pPr>
    </w:p>
    <w:p w14:paraId="121B6CFD">
      <w:pPr>
        <w:widowControl/>
        <w:tabs>
          <w:tab w:val="center" w:pos="4153"/>
        </w:tabs>
        <w:spacing w:line="480" w:lineRule="auto"/>
        <w:jc w:val="center"/>
        <w:outlineLvl w:val="0"/>
        <w:rPr>
          <w:rFonts w:hint="eastAsia" w:ascii="宋体" w:hAnsi="宋体" w:eastAsia="仿宋"/>
          <w:color w:val="auto"/>
          <w:sz w:val="44"/>
          <w:szCs w:val="52"/>
          <w:highlight w:val="none"/>
        </w:rPr>
      </w:pPr>
      <w:r>
        <w:rPr>
          <w:rFonts w:hint="eastAsia" w:ascii="宋体" w:hAnsi="宋体" w:eastAsia="仿宋"/>
          <w:color w:val="auto"/>
          <w:sz w:val="44"/>
          <w:szCs w:val="52"/>
          <w:highlight w:val="none"/>
        </w:rPr>
        <w:t>目  录</w:t>
      </w:r>
    </w:p>
    <w:p w14:paraId="4D18042C">
      <w:pPr>
        <w:pStyle w:val="14"/>
        <w:tabs>
          <w:tab w:val="right" w:leader="dot" w:pos="9638"/>
        </w:tabs>
        <w:rPr>
          <w:rFonts w:hint="eastAsia" w:ascii="仿宋" w:hAnsi="仿宋" w:eastAsia="仿宋" w:cs="仿宋"/>
          <w:color w:val="auto"/>
          <w:sz w:val="28"/>
          <w:szCs w:val="28"/>
          <w:highlight w:val="none"/>
        </w:rPr>
      </w:pPr>
      <w:r>
        <w:rPr>
          <w:rFonts w:ascii="Times New Roman" w:hAnsi="Times New Roman" w:eastAsia="仿宋"/>
          <w:color w:val="auto"/>
          <w:sz w:val="28"/>
          <w:szCs w:val="28"/>
          <w:highlight w:val="none"/>
        </w:rPr>
        <w:fldChar w:fldCharType="begin"/>
      </w:r>
      <w:r>
        <w:rPr>
          <w:rFonts w:ascii="Times New Roman" w:hAnsi="Times New Roman" w:eastAsia="仿宋"/>
          <w:color w:val="auto"/>
          <w:sz w:val="28"/>
          <w:szCs w:val="28"/>
          <w:highlight w:val="none"/>
        </w:rPr>
        <w:instrText xml:space="preserve"> TOC \o "1-1" \h \z \u </w:instrText>
      </w:r>
      <w:r>
        <w:rPr>
          <w:rFonts w:ascii="Times New Roman" w:hAnsi="Times New Roman" w:eastAsia="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_Toc1434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_Toc1434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7D5D4BE">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_Toc26870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_Toc26870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2CF9D37">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31C16FE">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_Toc9357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  资格审查和评标办法（综合评分法）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_Toc9357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0EB2862">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A841A9F">
      <w:pPr>
        <w:pStyle w:val="14"/>
        <w:tabs>
          <w:tab w:val="right" w:leader="dot" w:pos="9638"/>
        </w:tabs>
        <w:rPr>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_Toc13236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_Toc13236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FB19C31">
      <w:pPr>
        <w:widowControl/>
        <w:spacing w:line="360" w:lineRule="auto"/>
        <w:rPr>
          <w:rFonts w:hint="eastAsia" w:ascii="宋体" w:hAnsi="宋体" w:eastAsia="仿宋"/>
          <w:color w:val="auto"/>
          <w:sz w:val="52"/>
          <w:szCs w:val="52"/>
          <w:highlight w:val="none"/>
        </w:rPr>
      </w:pPr>
      <w:r>
        <w:rPr>
          <w:rFonts w:eastAsia="仿宋"/>
          <w:color w:val="auto"/>
          <w:szCs w:val="28"/>
          <w:highlight w:val="none"/>
        </w:rPr>
        <w:fldChar w:fldCharType="end"/>
      </w:r>
    </w:p>
    <w:p w14:paraId="20CA8F2D">
      <w:pPr>
        <w:widowControl/>
        <w:tabs>
          <w:tab w:val="center" w:pos="4153"/>
        </w:tabs>
        <w:spacing w:line="480" w:lineRule="auto"/>
        <w:jc w:val="center"/>
        <w:rPr>
          <w:rFonts w:ascii="宋体" w:hAnsi="宋体" w:eastAsia="仿宋"/>
          <w:color w:val="auto"/>
          <w:sz w:val="52"/>
          <w:szCs w:val="52"/>
          <w:highlight w:val="none"/>
        </w:rPr>
        <w:sectPr>
          <w:headerReference r:id="rId5" w:type="first"/>
          <w:footerReference r:id="rId7" w:type="firs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07429215">
      <w:pPr>
        <w:pStyle w:val="2"/>
        <w:widowControl/>
        <w:spacing w:before="0" w:after="0" w:line="240" w:lineRule="auto"/>
        <w:jc w:val="center"/>
        <w:rPr>
          <w:rFonts w:hint="eastAsia" w:ascii="宋体" w:hAnsi="宋体" w:eastAsia="仿宋"/>
          <w:color w:val="auto"/>
          <w:highlight w:val="none"/>
        </w:rPr>
      </w:pPr>
      <w:bookmarkStart w:id="0" w:name="_Toc1434"/>
      <w:bookmarkStart w:id="1" w:name="_Toc466024489"/>
      <w:r>
        <w:rPr>
          <w:rFonts w:hint="eastAsia" w:ascii="宋体" w:hAnsi="宋体" w:eastAsia="仿宋"/>
          <w:color w:val="auto"/>
          <w:highlight w:val="none"/>
        </w:rPr>
        <w:t>第一章  招标公告</w:t>
      </w:r>
      <w:bookmarkEnd w:id="0"/>
      <w:bookmarkEnd w:id="1"/>
    </w:p>
    <w:p w14:paraId="4A229919">
      <w:pPr>
        <w:rPr>
          <w:rFonts w:hint="eastAsia" w:eastAsia="仿宋"/>
          <w:color w:val="auto"/>
          <w:highlight w:val="none"/>
        </w:rPr>
      </w:pPr>
    </w:p>
    <w:p w14:paraId="2FBA3178">
      <w:pPr>
        <w:pageBreakBefore w:val="0"/>
        <w:widowControl/>
        <w:kinsoku/>
        <w:overflowPunct/>
        <w:autoSpaceDE/>
        <w:autoSpaceDN/>
        <w:bidi w:val="0"/>
        <w:spacing w:line="560" w:lineRule="atLeast"/>
        <w:jc w:val="center"/>
        <w:rPr>
          <w:rFonts w:hint="eastAsia" w:ascii="宋体" w:hAnsi="宋体" w:eastAsia="宋体" w:cs="宋体"/>
          <w:b/>
          <w:bCs/>
          <w:color w:val="auto"/>
          <w:sz w:val="44"/>
          <w:szCs w:val="44"/>
          <w:highlight w:val="none"/>
          <w:shd w:val="clear" w:color="auto" w:fill="FFFFFF"/>
        </w:rPr>
      </w:pPr>
      <w:r>
        <w:rPr>
          <w:rFonts w:hint="eastAsia" w:ascii="宋体" w:hAnsi="宋体" w:cs="宋体"/>
          <w:b/>
          <w:bCs/>
          <w:color w:val="auto"/>
          <w:sz w:val="44"/>
          <w:szCs w:val="44"/>
          <w:highlight w:val="none"/>
          <w:shd w:val="clear" w:color="auto" w:fill="FFFFFF"/>
          <w:lang w:eastAsia="zh-CN"/>
        </w:rPr>
        <w:t>安徽医科大学第一附属医院遥测心电监护仪（1拖8）</w:t>
      </w:r>
      <w:r>
        <w:rPr>
          <w:rFonts w:hint="eastAsia" w:ascii="宋体" w:hAnsi="宋体" w:eastAsia="宋体" w:cs="宋体"/>
          <w:b/>
          <w:bCs/>
          <w:color w:val="auto"/>
          <w:sz w:val="44"/>
          <w:szCs w:val="44"/>
          <w:highlight w:val="none"/>
          <w:shd w:val="clear" w:color="auto" w:fill="FFFFFF"/>
          <w:lang w:eastAsia="zh-CN"/>
        </w:rPr>
        <w:t>采购项目</w:t>
      </w:r>
      <w:r>
        <w:rPr>
          <w:rFonts w:hint="eastAsia" w:ascii="宋体" w:hAnsi="宋体" w:eastAsia="宋体" w:cs="宋体"/>
          <w:b/>
          <w:bCs/>
          <w:color w:val="auto"/>
          <w:sz w:val="44"/>
          <w:szCs w:val="44"/>
          <w:highlight w:val="none"/>
          <w:shd w:val="clear" w:color="auto" w:fill="FFFFFF"/>
        </w:rPr>
        <w:t>招标公告</w:t>
      </w:r>
    </w:p>
    <w:p w14:paraId="7004AB6B">
      <w:pPr>
        <w:pageBreakBefore w:val="0"/>
        <w:kinsoku/>
        <w:overflowPunct/>
        <w:autoSpaceDE/>
        <w:autoSpaceDN/>
        <w:bidi w:val="0"/>
        <w:spacing w:line="560" w:lineRule="atLeast"/>
        <w:jc w:val="center"/>
        <w:rPr>
          <w:rFonts w:ascii="Times New Roman" w:hAnsi="Times New Roman" w:eastAsia="黑体"/>
          <w:color w:val="auto"/>
          <w:sz w:val="28"/>
          <w:szCs w:val="28"/>
          <w:highlight w:val="none"/>
          <w:u w:val="single"/>
        </w:rPr>
      </w:pPr>
    </w:p>
    <w:p w14:paraId="71A7E5D0">
      <w:pPr>
        <w:pageBreakBefore w:val="0"/>
        <w:pBdr>
          <w:top w:val="single" w:color="auto" w:sz="4" w:space="1"/>
          <w:left w:val="single" w:color="auto" w:sz="4" w:space="4"/>
          <w:bottom w:val="single" w:color="auto" w:sz="4" w:space="13"/>
          <w:right w:val="single" w:color="auto" w:sz="4" w:space="4"/>
        </w:pBdr>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CCB28BB">
      <w:pPr>
        <w:pageBreakBefore w:val="0"/>
        <w:pBdr>
          <w:top w:val="single" w:color="auto" w:sz="4" w:space="1"/>
          <w:left w:val="single" w:color="auto" w:sz="4" w:space="4"/>
          <w:bottom w:val="single" w:color="auto" w:sz="4" w:space="13"/>
          <w:right w:val="single" w:color="auto" w:sz="4" w:space="4"/>
        </w:pBdr>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安徽医科大学第一附属医院遥测心电监护仪（1拖8）采购项目</w:t>
      </w:r>
      <w:r>
        <w:rPr>
          <w:rFonts w:hint="eastAsia" w:ascii="仿宋" w:hAnsi="仿宋" w:eastAsia="仿宋" w:cs="仿宋"/>
          <w:color w:val="auto"/>
          <w:sz w:val="28"/>
          <w:szCs w:val="28"/>
          <w:highlight w:val="none"/>
        </w:rPr>
        <w:t>的潜在投标人应在优质采云采购平台（http://www.youzhicai.com/） 获取招标文件，并于</w:t>
      </w:r>
      <w:r>
        <w:rPr>
          <w:rFonts w:hint="eastAsia" w:ascii="仿宋" w:hAnsi="仿宋" w:eastAsia="仿宋" w:cs="仿宋"/>
          <w:color w:val="auto"/>
          <w:sz w:val="28"/>
          <w:szCs w:val="28"/>
          <w:highlight w:val="none"/>
          <w:lang w:val="en-US" w:eastAsia="zh-CN"/>
        </w:rPr>
        <w:t>2025</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11月04日9</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lang w:val="en-US" w:eastAsia="zh-CN"/>
        </w:rPr>
        <w:t>30</w:t>
      </w:r>
      <w:r>
        <w:rPr>
          <w:rFonts w:hint="eastAsia" w:ascii="仿宋" w:hAnsi="仿宋" w:eastAsia="仿宋" w:cs="仿宋"/>
          <w:bCs/>
          <w:color w:val="auto"/>
          <w:sz w:val="28"/>
          <w:szCs w:val="28"/>
          <w:highlight w:val="none"/>
        </w:rPr>
        <w:t>分（北京时间）前递交投标文件</w:t>
      </w:r>
      <w:r>
        <w:rPr>
          <w:rFonts w:hint="eastAsia" w:ascii="仿宋" w:hAnsi="仿宋" w:eastAsia="仿宋" w:cs="仿宋"/>
          <w:color w:val="auto"/>
          <w:sz w:val="28"/>
          <w:szCs w:val="28"/>
          <w:highlight w:val="none"/>
        </w:rPr>
        <w:t>。</w:t>
      </w:r>
    </w:p>
    <w:p w14:paraId="65D7C07C">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bookmarkStart w:id="2" w:name="_Toc35393790"/>
      <w:bookmarkStart w:id="3" w:name="_Toc28359002"/>
      <w:bookmarkStart w:id="4" w:name="_Toc28359079"/>
      <w:bookmarkStart w:id="5" w:name="_Toc35393621"/>
      <w:bookmarkStart w:id="6" w:name="_Hlk24379207"/>
      <w:r>
        <w:rPr>
          <w:rStyle w:val="23"/>
          <w:rFonts w:hint="eastAsia" w:hAnsi="宋体"/>
          <w:b w:val="0"/>
          <w:bCs w:val="0"/>
          <w:color w:val="auto"/>
          <w:sz w:val="28"/>
          <w:szCs w:val="28"/>
          <w:highlight w:val="none"/>
        </w:rPr>
        <w:t>一、项目基本情况</w:t>
      </w:r>
      <w:bookmarkEnd w:id="2"/>
      <w:bookmarkEnd w:id="3"/>
      <w:bookmarkEnd w:id="4"/>
      <w:bookmarkEnd w:id="5"/>
    </w:p>
    <w:p w14:paraId="3550093A">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ZF2025-36-1529</w:t>
      </w:r>
    </w:p>
    <w:p w14:paraId="05C8997E">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安徽医科大学第一附属医院遥测心电监护仪（1拖8）采购项目</w:t>
      </w:r>
    </w:p>
    <w:bookmarkEnd w:id="6"/>
    <w:p w14:paraId="27F3BE4D">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672</w:t>
      </w:r>
      <w:r>
        <w:rPr>
          <w:rFonts w:hint="eastAsia" w:ascii="仿宋" w:hAnsi="仿宋" w:eastAsia="仿宋" w:cs="仿宋"/>
          <w:color w:val="auto"/>
          <w:sz w:val="28"/>
          <w:szCs w:val="28"/>
          <w:highlight w:val="none"/>
        </w:rPr>
        <w:t>万元</w:t>
      </w:r>
    </w:p>
    <w:p w14:paraId="2689130C">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最高限价（如有）：</w:t>
      </w:r>
      <w:r>
        <w:rPr>
          <w:rFonts w:hint="eastAsia" w:ascii="仿宋" w:hAnsi="仿宋" w:eastAsia="仿宋" w:cs="仿宋"/>
          <w:color w:val="auto"/>
          <w:sz w:val="28"/>
          <w:szCs w:val="28"/>
          <w:highlight w:val="none"/>
          <w:lang w:val="en-US" w:eastAsia="zh-CN"/>
        </w:rPr>
        <w:t>672</w:t>
      </w:r>
      <w:r>
        <w:rPr>
          <w:rFonts w:hint="eastAsia" w:ascii="仿宋" w:hAnsi="仿宋" w:eastAsia="仿宋" w:cs="仿宋"/>
          <w:color w:val="auto"/>
          <w:sz w:val="28"/>
          <w:szCs w:val="28"/>
          <w:highlight w:val="none"/>
        </w:rPr>
        <w:t>万元</w:t>
      </w:r>
    </w:p>
    <w:p w14:paraId="4BBCF465">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062"/>
        <w:gridCol w:w="2250"/>
        <w:gridCol w:w="1000"/>
        <w:gridCol w:w="2288"/>
        <w:gridCol w:w="1459"/>
      </w:tblGrid>
      <w:tr w14:paraId="207C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14:paraId="390AD005">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包号</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A3E1C1D">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品目号</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5BE086E">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货物名称</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2B91DD8">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2288" w:type="dxa"/>
            <w:tcBorders>
              <w:top w:val="single" w:color="auto" w:sz="4" w:space="0"/>
              <w:left w:val="single" w:color="auto" w:sz="4" w:space="0"/>
              <w:bottom w:val="single" w:color="auto" w:sz="4" w:space="0"/>
              <w:right w:val="single" w:color="auto" w:sz="4" w:space="0"/>
            </w:tcBorders>
            <w:noWrap w:val="0"/>
            <w:vAlign w:val="center"/>
          </w:tcPr>
          <w:p w14:paraId="14D1650F">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最高投标限价/总预算价（万元）</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131A7DA">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164E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6" w:type="dxa"/>
            <w:tcBorders>
              <w:top w:val="single" w:color="auto" w:sz="4" w:space="0"/>
              <w:left w:val="single" w:color="auto" w:sz="4" w:space="0"/>
              <w:right w:val="single" w:color="auto" w:sz="4" w:space="0"/>
            </w:tcBorders>
            <w:noWrap w:val="0"/>
            <w:vAlign w:val="center"/>
          </w:tcPr>
          <w:p w14:paraId="407BE249">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01</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263F2EBA">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A40A27C">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遥测心电监护仪（1拖8）</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F33A581">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28套</w:t>
            </w:r>
          </w:p>
        </w:tc>
        <w:tc>
          <w:tcPr>
            <w:tcW w:w="2288" w:type="dxa"/>
            <w:tcBorders>
              <w:top w:val="single" w:color="auto" w:sz="4" w:space="0"/>
              <w:left w:val="single" w:color="auto" w:sz="4" w:space="0"/>
              <w:bottom w:val="single" w:color="auto" w:sz="4" w:space="0"/>
              <w:right w:val="single" w:color="auto" w:sz="4" w:space="0"/>
            </w:tcBorders>
            <w:noWrap w:val="0"/>
            <w:vAlign w:val="center"/>
          </w:tcPr>
          <w:p w14:paraId="46523D8C">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672</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A069B0C">
            <w:pPr>
              <w:pageBreakBefore w:val="0"/>
              <w:widowControl/>
              <w:kinsoku/>
              <w:overflowPunct/>
              <w:autoSpaceDE/>
              <w:autoSpaceDN/>
              <w:bidi w:val="0"/>
              <w:spacing w:line="560" w:lineRule="atLeast"/>
              <w:jc w:val="center"/>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医疗器械</w:t>
            </w:r>
          </w:p>
        </w:tc>
      </w:tr>
    </w:tbl>
    <w:p w14:paraId="2AEFF76A">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合同履行期限：交货期为合同签订后接院方供货通知后30天内。</w:t>
      </w:r>
    </w:p>
    <w:p w14:paraId="6BFCE871">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本项目不接受联合体投标。</w:t>
      </w:r>
      <w:bookmarkStart w:id="7" w:name="_Toc28359080"/>
      <w:bookmarkStart w:id="8" w:name="_Toc35393791"/>
      <w:bookmarkStart w:id="9" w:name="_Toc35393622"/>
      <w:bookmarkStart w:id="10" w:name="_Toc28359003"/>
    </w:p>
    <w:p w14:paraId="28EE03D9">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r>
        <w:rPr>
          <w:rStyle w:val="23"/>
          <w:rFonts w:hint="eastAsia" w:hAnsi="宋体"/>
          <w:b w:val="0"/>
          <w:bCs w:val="0"/>
          <w:color w:val="auto"/>
          <w:sz w:val="28"/>
          <w:szCs w:val="28"/>
          <w:highlight w:val="none"/>
        </w:rPr>
        <w:t>二、申请人的资格要求：</w:t>
      </w:r>
      <w:bookmarkEnd w:id="7"/>
      <w:bookmarkEnd w:id="8"/>
      <w:bookmarkEnd w:id="9"/>
      <w:bookmarkEnd w:id="10"/>
    </w:p>
    <w:p w14:paraId="668D4B86">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5171C12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bookmarkStart w:id="11" w:name="_Toc28359004"/>
      <w:bookmarkStart w:id="12" w:name="_Toc28359081"/>
      <w:r>
        <w:rPr>
          <w:rFonts w:hint="eastAsia" w:ascii="仿宋" w:hAnsi="仿宋" w:eastAsia="仿宋" w:cs="仿宋"/>
          <w:color w:val="auto"/>
          <w:sz w:val="28"/>
          <w:szCs w:val="28"/>
          <w:highlight w:val="none"/>
        </w:rPr>
        <w:t>2.落实政府采购政策需满足的资格要求：</w:t>
      </w:r>
      <w:bookmarkStart w:id="13" w:name="_Toc35393792"/>
      <w:bookmarkStart w:id="14" w:name="_Toc35393623"/>
      <w:r>
        <w:rPr>
          <w:rFonts w:hint="eastAsia" w:ascii="仿宋" w:hAnsi="仿宋" w:eastAsia="仿宋" w:cs="仿宋"/>
          <w:color w:val="auto"/>
          <w:sz w:val="28"/>
          <w:szCs w:val="28"/>
          <w:highlight w:val="none"/>
        </w:rPr>
        <w:t>本项目不属于专门面向中小企业采购，但落实中小微企业、监狱企业、残疾人福利性单位扶持政策；</w:t>
      </w:r>
    </w:p>
    <w:p w14:paraId="5AF38A0B">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08402F02">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3.1.1在我国关境内注册的产品制造商或经销/代理商。</w:t>
      </w:r>
    </w:p>
    <w:p w14:paraId="6FB183A6">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投标产品制造商在中国关境内时：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251CDE52">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3.1.3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1E0EADC5">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3.1.4供应商非所投产品制造商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p>
    <w:p w14:paraId="79D4C43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3.2信誉要求</w:t>
      </w:r>
    </w:p>
    <w:p w14:paraId="5ECD1CDE">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截至提交投标文件截止时间，投标人（含其不具有独立法人资格的分支机构）存在下列有效情形之一的，其投标文件按无效处理。</w:t>
      </w:r>
    </w:p>
    <w:p w14:paraId="17F048E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（1）被人民法院列入失信被执行人名单的；</w:t>
      </w:r>
    </w:p>
    <w:p w14:paraId="67754FB2">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（2）被税务机关列入重大税收违法案件当事人名单的；</w:t>
      </w:r>
    </w:p>
    <w:p w14:paraId="5520BF5F">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（3）被财政部门列入政府采购严重违法失信名单的；</w:t>
      </w:r>
    </w:p>
    <w:p w14:paraId="20FB543F">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2E802F27">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注：“有效”是指“情形”规定的程度、起止期间处于有效状态。投标人为联合体的，对投标人的要求视同对联合体成员的要求。</w:t>
      </w:r>
    </w:p>
    <w:p w14:paraId="3CE2F1AA">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r>
        <w:rPr>
          <w:rStyle w:val="23"/>
          <w:rFonts w:hint="eastAsia" w:hAnsi="宋体"/>
          <w:b w:val="0"/>
          <w:bCs w:val="0"/>
          <w:color w:val="auto"/>
          <w:sz w:val="28"/>
          <w:szCs w:val="28"/>
          <w:highlight w:val="none"/>
        </w:rPr>
        <w:t>三、获取招标文件</w:t>
      </w:r>
      <w:bookmarkEnd w:id="11"/>
      <w:bookmarkEnd w:id="12"/>
      <w:bookmarkEnd w:id="13"/>
      <w:bookmarkEnd w:id="14"/>
    </w:p>
    <w:p w14:paraId="07C92FC7">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10月11日</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10月20日</w:t>
      </w:r>
      <w:r>
        <w:rPr>
          <w:rFonts w:hint="eastAsia" w:ascii="仿宋" w:hAnsi="仿宋" w:eastAsia="仿宋" w:cs="仿宋"/>
          <w:color w:val="auto"/>
          <w:sz w:val="28"/>
          <w:szCs w:val="28"/>
          <w:highlight w:val="none"/>
        </w:rPr>
        <w:t>（北京时间，法定节假日除外）。</w:t>
      </w:r>
    </w:p>
    <w:p w14:paraId="20551A63">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地点：“优质采云采购平台”（http://www.youzhicai.com/）</w:t>
      </w:r>
    </w:p>
    <w:p w14:paraId="1BD69257">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方式：在线下载</w:t>
      </w:r>
    </w:p>
    <w:p w14:paraId="2BA4CBB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售价(元)：0</w:t>
      </w:r>
    </w:p>
    <w:p w14:paraId="407C0AEC">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u w:val="none"/>
        </w:rPr>
      </w:pPr>
      <w:bookmarkStart w:id="15" w:name="_Toc28359082"/>
      <w:bookmarkStart w:id="16" w:name="_Toc28359005"/>
      <w:bookmarkStart w:id="17" w:name="_Toc35393793"/>
      <w:bookmarkStart w:id="18" w:name="_Toc35393624"/>
      <w:r>
        <w:rPr>
          <w:rStyle w:val="23"/>
          <w:rFonts w:hint="eastAsia" w:hAnsi="宋体"/>
          <w:b w:val="0"/>
          <w:bCs w:val="0"/>
          <w:color w:val="auto"/>
          <w:sz w:val="28"/>
          <w:szCs w:val="28"/>
          <w:highlight w:val="none"/>
          <w:u w:val="none"/>
        </w:rPr>
        <w:t>四、提交投标文件</w:t>
      </w:r>
      <w:bookmarkEnd w:id="15"/>
      <w:bookmarkEnd w:id="16"/>
      <w:r>
        <w:rPr>
          <w:rStyle w:val="23"/>
          <w:rFonts w:hint="eastAsia" w:hAnsi="宋体"/>
          <w:b w:val="0"/>
          <w:bCs w:val="0"/>
          <w:color w:val="auto"/>
          <w:sz w:val="28"/>
          <w:szCs w:val="28"/>
          <w:highlight w:val="none"/>
          <w:u w:val="none"/>
        </w:rPr>
        <w:t>截止时间、开标时间和地点</w:t>
      </w:r>
      <w:bookmarkEnd w:id="17"/>
      <w:bookmarkEnd w:id="18"/>
    </w:p>
    <w:p w14:paraId="67E3E592">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11月04日9</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分（北京时间）</w:t>
      </w:r>
    </w:p>
    <w:p w14:paraId="4F02CB7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bookmarkStart w:id="19" w:name="_Hlk44253880"/>
      <w:r>
        <w:rPr>
          <w:rFonts w:hint="eastAsia" w:ascii="仿宋" w:hAnsi="仿宋" w:eastAsia="仿宋" w:cs="仿宋"/>
          <w:color w:val="auto"/>
          <w:sz w:val="28"/>
          <w:szCs w:val="28"/>
          <w:highlight w:val="none"/>
        </w:rPr>
        <w:t>线上开标：“优质采云采购平台”（http://www.youzhicai.com/）；</w:t>
      </w:r>
      <w:bookmarkEnd w:id="19"/>
    </w:p>
    <w:p w14:paraId="4F9D73B0">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bookmarkStart w:id="20" w:name="_Toc35393625"/>
      <w:bookmarkStart w:id="21" w:name="_Toc35393794"/>
      <w:bookmarkStart w:id="22" w:name="_Toc28359084"/>
      <w:bookmarkStart w:id="23" w:name="_Toc28359007"/>
      <w:r>
        <w:rPr>
          <w:rStyle w:val="23"/>
          <w:rFonts w:hint="eastAsia" w:hAnsi="宋体"/>
          <w:b w:val="0"/>
          <w:bCs w:val="0"/>
          <w:color w:val="auto"/>
          <w:sz w:val="28"/>
          <w:szCs w:val="28"/>
          <w:highlight w:val="none"/>
        </w:rPr>
        <w:t>五、公告期限</w:t>
      </w:r>
      <w:bookmarkEnd w:id="20"/>
      <w:bookmarkEnd w:id="21"/>
      <w:bookmarkEnd w:id="22"/>
      <w:bookmarkEnd w:id="23"/>
    </w:p>
    <w:p w14:paraId="1621FF9E">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自本公告发布之日起5个工作日。</w:t>
      </w:r>
      <w:bookmarkStart w:id="1014" w:name="_GoBack"/>
      <w:bookmarkEnd w:id="1014"/>
    </w:p>
    <w:p w14:paraId="0950E01A">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bookmarkStart w:id="24" w:name="_Toc35393795"/>
      <w:bookmarkStart w:id="25" w:name="_Toc35393626"/>
      <w:r>
        <w:rPr>
          <w:rStyle w:val="23"/>
          <w:rFonts w:hint="eastAsia" w:hAnsi="宋体"/>
          <w:b w:val="0"/>
          <w:bCs w:val="0"/>
          <w:color w:val="auto"/>
          <w:sz w:val="28"/>
          <w:szCs w:val="28"/>
          <w:highlight w:val="none"/>
        </w:rPr>
        <w:t>六、其他补充事宜</w:t>
      </w:r>
      <w:bookmarkEnd w:id="24"/>
      <w:bookmarkEnd w:id="25"/>
    </w:p>
    <w:p w14:paraId="5C829CA2">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相关信息同时在“安徽省政府采购网、中国招标投标公共服务平台（www.cebpubservice.com）、安徽省招标投标信息网（www.ahtba.org.cn）、优质采云采购平台（网址：www.youzhicai.com）、优质采招标采购平台（www.yzczb.com）”等媒介上发布；</w:t>
      </w:r>
    </w:p>
    <w:p w14:paraId="444804FD">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2.本项目需落实的节能环保、中小企业扶持等相关政府采购政策详见招标文件。</w:t>
      </w:r>
    </w:p>
    <w:p w14:paraId="3AF5182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3.政府采购电子化交易要求：</w:t>
      </w:r>
    </w:p>
    <w:p w14:paraId="0209B5F8">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（1）潜在投标人/供应商须登录“优质采云采购平台”（网址：</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"http://www.youzhicai.com"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www.youzhicai.com</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3B8E30BA">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已注册的潜在投标人/供应商可登录优质采平台获取招标采购文件，本项目的招标采购文件及其他资料（含澄清、答疑及相关补充文件）通过优质采平台发布，采购人/代理机构不再另行书面通知，潜在投标人/供应商应及时关注、查阅优质采平台。因未及时查看导致不利后果的，责任自负。</w:t>
      </w:r>
    </w:p>
    <w:p w14:paraId="7DC72E2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（3）已注册的潜在投标人/供应商若注册信息发生变更（如：与初始注册信息不一致），应及时网上提交变更申请。因未及时变更导致不利后果的，责任自负。</w:t>
      </w:r>
    </w:p>
    <w:p w14:paraId="028E66B1">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236D1891">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（5）电子投标/响应文件必须使用“优质采投标文件制作工具”制作生成并上传。下载地址：http://toolcdn.youzhicai.com/tools/BidderTools.zip，使用说明书及视频教程下载地址: http://file.youzhicai.com/files/BidderHelp.rar。</w:t>
      </w:r>
    </w:p>
    <w:p w14:paraId="4F3BC30C">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根据《政府采购促进中小企业发展管理办法》（财库〔2020〕46号）第六条规定，本次采购符合不专门面向中小企业预留采购份额的情形：本项目符合财政部、工业和信息化部制定的《政府采购促进中小企业发展管理办法》第六条第3款之规定，为非专门面向中小企业采购项目。具体原因如下：按照本办法规定预留采购份额无法确保充分供应、充分竞争，或者存在可能影响政府采购目标实现的情形。投标人如有异议，可按招标文件约定提出询问或质疑。</w:t>
      </w:r>
    </w:p>
    <w:p w14:paraId="2B6ACEDF">
      <w:pPr>
        <w:pStyle w:val="3"/>
        <w:pageBreakBefore w:val="0"/>
        <w:widowControl/>
        <w:kinsoku/>
        <w:overflowPunct/>
        <w:autoSpaceDE/>
        <w:autoSpaceDN/>
        <w:bidi w:val="0"/>
        <w:adjustRightInd w:val="0"/>
        <w:snapToGrid w:val="0"/>
        <w:spacing w:before="0" w:beforeLines="0" w:after="0" w:afterLines="0" w:line="560" w:lineRule="atLeast"/>
        <w:rPr>
          <w:rStyle w:val="23"/>
          <w:rFonts w:hint="eastAsia" w:ascii="黑体" w:hAnsi="黑体" w:eastAsia="黑体" w:cs="黑体"/>
          <w:b w:val="0"/>
          <w:bCs w:val="0"/>
          <w:color w:val="auto"/>
          <w:sz w:val="28"/>
          <w:szCs w:val="28"/>
          <w:highlight w:val="none"/>
        </w:rPr>
      </w:pPr>
      <w:bookmarkStart w:id="26" w:name="_Toc35393796"/>
      <w:bookmarkStart w:id="27" w:name="_Toc28359008"/>
      <w:bookmarkStart w:id="28" w:name="_Toc35393627"/>
      <w:bookmarkStart w:id="29" w:name="_Toc28359085"/>
      <w:r>
        <w:rPr>
          <w:rStyle w:val="23"/>
          <w:rFonts w:hint="eastAsia" w:ascii="黑体" w:hAnsi="黑体" w:eastAsia="黑体" w:cs="黑体"/>
          <w:b w:val="0"/>
          <w:bCs w:val="0"/>
          <w:color w:val="auto"/>
          <w:sz w:val="28"/>
          <w:szCs w:val="28"/>
          <w:highlight w:val="none"/>
        </w:rPr>
        <w:t>七、对本次招标提出询问，请按以下方式联系。</w:t>
      </w:r>
      <w:bookmarkEnd w:id="26"/>
      <w:bookmarkEnd w:id="27"/>
      <w:bookmarkEnd w:id="28"/>
      <w:bookmarkEnd w:id="29"/>
    </w:p>
    <w:p w14:paraId="6D5E03E5">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14:paraId="7372EAD4">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称：安徽医科大学第一附属医院</w:t>
      </w:r>
    </w:p>
    <w:p w14:paraId="5E06914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址：合肥市绩溪路218号</w:t>
      </w:r>
    </w:p>
    <w:p w14:paraId="5BAA761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bookmarkStart w:id="30" w:name="_Toc28359086"/>
      <w:bookmarkStart w:id="31" w:name="_Toc28359009"/>
      <w:r>
        <w:rPr>
          <w:rFonts w:hint="eastAsia" w:ascii="仿宋" w:hAnsi="仿宋" w:eastAsia="仿宋" w:cs="仿宋"/>
          <w:color w:val="auto"/>
          <w:sz w:val="28"/>
          <w:szCs w:val="28"/>
          <w:highlight w:val="none"/>
          <w:lang w:val="en-US" w:eastAsia="zh-CN"/>
        </w:rPr>
        <w:t>刘老师0551-62922911</w:t>
      </w:r>
    </w:p>
    <w:p w14:paraId="190A2E58">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bookmarkEnd w:id="30"/>
      <w:bookmarkEnd w:id="31"/>
    </w:p>
    <w:p w14:paraId="16BF6AF5">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称：安徽省招标集团股份有限公司</w:t>
      </w:r>
    </w:p>
    <w:p w14:paraId="20EE9B0B">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址：安徽省合肥市包河区紫云路888号</w:t>
      </w:r>
    </w:p>
    <w:p w14:paraId="2B8A0FF4">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bookmarkStart w:id="32" w:name="_Toc28359087"/>
      <w:bookmarkStart w:id="33" w:name="_Toc28359010"/>
      <w:r>
        <w:rPr>
          <w:rFonts w:hint="eastAsia" w:ascii="仿宋" w:hAnsi="仿宋" w:eastAsia="仿宋" w:cs="仿宋"/>
          <w:color w:val="auto"/>
          <w:sz w:val="28"/>
          <w:szCs w:val="28"/>
          <w:highlight w:val="none"/>
          <w:lang w:val="en-US" w:eastAsia="zh-CN"/>
        </w:rPr>
        <w:t>应急客服电话：0551-62220153（接听时间：8:30-12:00,13:30-17:30，节假日除外。潜在投标人应优先拨打联系电话，无人接听时再拨打该“应急客服电话”）</w:t>
      </w:r>
    </w:p>
    <w:p w14:paraId="5075EF7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3.项目联系方式</w:t>
      </w:r>
      <w:bookmarkEnd w:id="32"/>
      <w:bookmarkEnd w:id="33"/>
    </w:p>
    <w:p w14:paraId="0B62C274">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项目联系人：李星、程椿、倪孟杰、施雨朦</w:t>
      </w:r>
    </w:p>
    <w:p w14:paraId="3AA98D46">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 话：0551-66061350、66061352、66061356、66061355、18256096609（无人接听可短信留言）</w:t>
      </w:r>
    </w:p>
    <w:p w14:paraId="47FE414F">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附件：招标文件</w:t>
      </w:r>
    </w:p>
    <w:p w14:paraId="464BB546">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p>
    <w:p w14:paraId="02E38612">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p>
    <w:p w14:paraId="76F80310">
      <w:pPr>
        <w:widowControl/>
        <w:adjustRightInd w:val="0"/>
        <w:snapToGrid w:val="0"/>
        <w:spacing w:line="360" w:lineRule="auto"/>
        <w:jc w:val="left"/>
        <w:rPr>
          <w:rFonts w:ascii="楷体" w:hAnsi="楷体" w:eastAsia="仿宋"/>
          <w:i/>
          <w:color w:val="auto"/>
          <w:sz w:val="28"/>
          <w:szCs w:val="28"/>
          <w:highlight w:val="none"/>
        </w:rPr>
      </w:pPr>
    </w:p>
    <w:p w14:paraId="0FA15708">
      <w:pPr>
        <w:pStyle w:val="2"/>
        <w:widowControl/>
        <w:spacing w:before="0" w:after="0" w:line="240" w:lineRule="auto"/>
        <w:jc w:val="center"/>
        <w:rPr>
          <w:rFonts w:ascii="宋体" w:hAnsi="宋体" w:eastAsia="仿宋"/>
          <w:color w:val="auto"/>
          <w:highlight w:val="none"/>
        </w:rPr>
      </w:pPr>
      <w:bookmarkStart w:id="34" w:name="_Toc241459614"/>
      <w:bookmarkStart w:id="35" w:name="_Toc445554685"/>
      <w:bookmarkStart w:id="36" w:name="_Toc466024497"/>
      <w:bookmarkStart w:id="37" w:name="_Toc371415919"/>
      <w:bookmarkStart w:id="38" w:name="_Toc342296160"/>
      <w:bookmarkStart w:id="39" w:name="_Toc342297617"/>
      <w:bookmarkStart w:id="40" w:name="_Toc333587477"/>
      <w:r>
        <w:rPr>
          <w:rFonts w:ascii="宋体" w:hAnsi="宋体" w:eastAsia="仿宋"/>
          <w:color w:val="auto"/>
          <w:sz w:val="24"/>
          <w:szCs w:val="24"/>
          <w:highlight w:val="none"/>
        </w:rPr>
        <w:br w:type="page"/>
      </w:r>
      <w:bookmarkStart w:id="41" w:name="_Toc26870"/>
      <w:r>
        <w:rPr>
          <w:rFonts w:hint="eastAsia" w:ascii="宋体" w:hAnsi="宋体" w:eastAsia="仿宋"/>
          <w:color w:val="auto"/>
          <w:highlight w:val="none"/>
        </w:rPr>
        <w:t>第二章</w:t>
      </w:r>
      <w:r>
        <w:rPr>
          <w:rFonts w:ascii="宋体" w:hAnsi="宋体" w:eastAsia="仿宋"/>
          <w:color w:val="auto"/>
          <w:highlight w:val="none"/>
        </w:rPr>
        <w:t xml:space="preserve"> </w:t>
      </w:r>
      <w:r>
        <w:rPr>
          <w:rFonts w:hint="eastAsia" w:ascii="宋体" w:hAnsi="宋体" w:eastAsia="仿宋"/>
          <w:color w:val="auto"/>
          <w:highlight w:val="none"/>
        </w:rPr>
        <w:t xml:space="preserve"> 投标人须知</w:t>
      </w:r>
      <w:bookmarkEnd w:id="34"/>
      <w:bookmarkEnd w:id="35"/>
      <w:bookmarkEnd w:id="36"/>
      <w:bookmarkEnd w:id="41"/>
    </w:p>
    <w:p w14:paraId="3B205937">
      <w:pPr>
        <w:pStyle w:val="3"/>
        <w:widowControl/>
        <w:spacing w:before="120" w:after="120" w:line="240" w:lineRule="auto"/>
        <w:jc w:val="center"/>
        <w:rPr>
          <w:rStyle w:val="23"/>
          <w:rFonts w:hint="eastAsia" w:ascii="仿宋" w:hAnsi="仿宋" w:eastAsia="仿宋" w:cs="仿宋"/>
          <w:b/>
          <w:bCs w:val="0"/>
          <w:color w:val="auto"/>
          <w:sz w:val="28"/>
          <w:szCs w:val="28"/>
          <w:highlight w:val="none"/>
        </w:rPr>
      </w:pPr>
      <w:bookmarkStart w:id="42" w:name="_Toc445554686"/>
      <w:bookmarkStart w:id="43" w:name="_Toc466024498"/>
      <w:r>
        <w:rPr>
          <w:rStyle w:val="23"/>
          <w:rFonts w:hint="eastAsia" w:ascii="仿宋" w:hAnsi="仿宋" w:eastAsia="仿宋" w:cs="仿宋"/>
          <w:b/>
          <w:bCs w:val="0"/>
          <w:color w:val="auto"/>
          <w:sz w:val="28"/>
          <w:szCs w:val="28"/>
          <w:highlight w:val="none"/>
        </w:rPr>
        <w:t>投标人须知前附表</w:t>
      </w:r>
      <w:bookmarkEnd w:id="42"/>
      <w:bookmarkEnd w:id="43"/>
    </w:p>
    <w:p w14:paraId="15DC5097">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本《投标人须知前附表》是对本章《投标人须知》的具体补充和修改，如有不一致，以本《投标人须知前附表》为准。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49D0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57" w:type="dxa"/>
            <w:noWrap w:val="0"/>
            <w:vAlign w:val="center"/>
          </w:tcPr>
          <w:p w14:paraId="5BE76BF3">
            <w:pPr>
              <w:widowControl/>
              <w:adjustRightInd w:val="0"/>
              <w:snapToGrid w:val="0"/>
              <w:spacing w:line="288" w:lineRule="auto"/>
              <w:jc w:val="center"/>
              <w:rPr>
                <w:rFonts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34486EEC">
            <w:pPr>
              <w:widowControl/>
              <w:adjustRightInd w:val="0"/>
              <w:snapToGrid w:val="0"/>
              <w:spacing w:line="288" w:lineRule="auto"/>
              <w:jc w:val="center"/>
              <w:rPr>
                <w:rFonts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6EE5FA22">
            <w:pPr>
              <w:widowControl/>
              <w:adjustRightInd w:val="0"/>
              <w:snapToGrid w:val="0"/>
              <w:spacing w:line="288" w:lineRule="auto"/>
              <w:jc w:val="center"/>
              <w:rPr>
                <w:rFonts w:ascii="宋体" w:hAnsi="宋体" w:cs="Calibri"/>
                <w:b/>
                <w:color w:val="auto"/>
                <w:sz w:val="24"/>
                <w:highlight w:val="none"/>
              </w:rPr>
            </w:pPr>
            <w:r>
              <w:rPr>
                <w:rFonts w:hint="eastAsia" w:ascii="宋体" w:hAnsi="宋体" w:eastAsia="仿宋" w:cs="Calibri"/>
                <w:b/>
                <w:color w:val="auto"/>
                <w:sz w:val="24"/>
                <w:highlight w:val="none"/>
              </w:rPr>
              <w:t>编</w:t>
            </w:r>
            <w:r>
              <w:rPr>
                <w:rFonts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6C60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9C4638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1C370A0C">
            <w:pPr>
              <w:adjustRightInd w:val="0"/>
              <w:snapToGrid w:val="0"/>
              <w:spacing w:line="288" w:lineRule="auto"/>
              <w:jc w:val="center"/>
              <w:rPr>
                <w:rFonts w:hint="eastAsia" w:ascii="宋体" w:hAnsi="宋体"/>
                <w:color w:val="auto"/>
                <w:sz w:val="24"/>
                <w:highlight w:val="none"/>
              </w:rPr>
            </w:pPr>
            <w:r>
              <w:rPr>
                <w:rFonts w:hint="eastAsia" w:ascii="宋体" w:hAnsi="宋体" w:eastAsia="仿宋"/>
                <w:color w:val="auto"/>
                <w:sz w:val="24"/>
                <w:highlight w:val="none"/>
              </w:rPr>
              <w:t>采购人</w:t>
            </w:r>
          </w:p>
        </w:tc>
        <w:tc>
          <w:tcPr>
            <w:tcW w:w="7229" w:type="dxa"/>
            <w:noWrap w:val="0"/>
            <w:vAlign w:val="center"/>
          </w:tcPr>
          <w:p w14:paraId="2349F4E1">
            <w:pPr>
              <w:adjustRightInd w:val="0"/>
              <w:snapToGrid w:val="0"/>
              <w:spacing w:line="288" w:lineRule="auto"/>
              <w:rPr>
                <w:rFonts w:ascii="宋体" w:hAnsi="宋体"/>
                <w:color w:val="auto"/>
                <w:sz w:val="24"/>
                <w:highlight w:val="none"/>
              </w:rPr>
            </w:pPr>
            <w:r>
              <w:rPr>
                <w:rFonts w:hint="eastAsia" w:ascii="宋体" w:hAnsi="宋体" w:eastAsia="仿宋"/>
                <w:color w:val="auto"/>
                <w:sz w:val="24"/>
                <w:highlight w:val="none"/>
              </w:rPr>
              <w:t>见招标公告</w:t>
            </w:r>
          </w:p>
        </w:tc>
      </w:tr>
      <w:tr w14:paraId="21F9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2CD31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5169A966">
            <w:pPr>
              <w:adjustRightInd w:val="0"/>
              <w:snapToGrid w:val="0"/>
              <w:spacing w:line="288" w:lineRule="auto"/>
              <w:jc w:val="center"/>
              <w:rPr>
                <w:rFonts w:ascii="宋体" w:hAnsi="宋体"/>
                <w:color w:val="auto"/>
                <w:sz w:val="24"/>
                <w:highlight w:val="none"/>
              </w:rPr>
            </w:pPr>
            <w:r>
              <w:rPr>
                <w:rFonts w:hint="eastAsia" w:ascii="宋体" w:hAnsi="宋体" w:eastAsia="仿宋"/>
                <w:color w:val="auto"/>
                <w:sz w:val="24"/>
                <w:highlight w:val="none"/>
              </w:rPr>
              <w:t>采购代理机构</w:t>
            </w:r>
          </w:p>
        </w:tc>
        <w:tc>
          <w:tcPr>
            <w:tcW w:w="7229" w:type="dxa"/>
            <w:noWrap w:val="0"/>
            <w:vAlign w:val="center"/>
          </w:tcPr>
          <w:p w14:paraId="0DB64BCF">
            <w:pPr>
              <w:adjustRightInd w:val="0"/>
              <w:snapToGrid w:val="0"/>
              <w:spacing w:line="288" w:lineRule="auto"/>
              <w:rPr>
                <w:rFonts w:hint="eastAsia" w:ascii="宋体" w:hAnsi="宋体"/>
                <w:color w:val="auto"/>
                <w:sz w:val="24"/>
                <w:highlight w:val="none"/>
              </w:rPr>
            </w:pPr>
            <w:r>
              <w:rPr>
                <w:rFonts w:hint="eastAsia" w:ascii="宋体" w:hAnsi="宋体" w:eastAsia="仿宋"/>
                <w:color w:val="auto"/>
                <w:sz w:val="24"/>
                <w:highlight w:val="none"/>
              </w:rPr>
              <w:t>见招标公告</w:t>
            </w:r>
          </w:p>
        </w:tc>
      </w:tr>
      <w:tr w14:paraId="21A3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23F3AC7">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7D1C7D26">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1133CCDC">
            <w:pPr>
              <w:widowControl/>
              <w:adjustRightInd w:val="0"/>
              <w:snapToGrid w:val="0"/>
              <w:spacing w:line="288" w:lineRule="auto"/>
              <w:rPr>
                <w:rFonts w:ascii="宋体" w:hAnsi="宋体" w:cs="Calibri"/>
                <w:color w:val="auto"/>
                <w:sz w:val="24"/>
                <w:highlight w:val="none"/>
              </w:rPr>
            </w:pPr>
            <w:r>
              <w:rPr>
                <w:rFonts w:hint="eastAsia" w:ascii="宋体" w:hAnsi="宋体" w:eastAsia="仿宋"/>
                <w:color w:val="auto"/>
                <w:sz w:val="24"/>
                <w:highlight w:val="none"/>
              </w:rPr>
              <w:t>见招标公告</w:t>
            </w:r>
          </w:p>
        </w:tc>
      </w:tr>
      <w:tr w14:paraId="0255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763E0BB">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2D2BBA8C">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采购包划分</w:t>
            </w:r>
          </w:p>
        </w:tc>
        <w:tc>
          <w:tcPr>
            <w:tcW w:w="7229" w:type="dxa"/>
            <w:noWrap w:val="0"/>
            <w:vAlign w:val="center"/>
          </w:tcPr>
          <w:p w14:paraId="6DD8FDB9">
            <w:pPr>
              <w:widowControl/>
              <w:adjustRightInd w:val="0"/>
              <w:snapToGrid w:val="0"/>
              <w:spacing w:line="288" w:lineRule="auto"/>
              <w:rPr>
                <w:rFonts w:ascii="宋体" w:hAnsi="宋体" w:eastAsia="楷体" w:cs="Calibri"/>
                <w:color w:val="auto"/>
                <w:sz w:val="24"/>
                <w:highlight w:val="none"/>
              </w:rPr>
            </w:pPr>
            <w:r>
              <w:rPr>
                <w:rFonts w:hint="eastAsia" w:ascii="仿宋" w:hAnsi="仿宋" w:eastAsia="仿宋" w:cs="仿宋"/>
                <w:iCs/>
                <w:color w:val="auto"/>
                <w:sz w:val="24"/>
                <w:highlight w:val="none"/>
              </w:rPr>
              <w:t>1个标包</w:t>
            </w:r>
          </w:p>
        </w:tc>
      </w:tr>
      <w:tr w14:paraId="2914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00E1878">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1E0C514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1682613F">
            <w:pPr>
              <w:widowControl/>
              <w:adjustRightInd w:val="0"/>
              <w:snapToGrid w:val="0"/>
              <w:spacing w:line="288" w:lineRule="auto"/>
              <w:rPr>
                <w:rFonts w:ascii="宋体" w:hAnsi="宋体" w:cs="Calibri"/>
                <w:color w:val="auto"/>
                <w:sz w:val="24"/>
                <w:highlight w:val="none"/>
              </w:rPr>
            </w:pPr>
            <w:r>
              <w:rPr>
                <w:rFonts w:hint="eastAsia" w:ascii="宋体" w:hAnsi="宋体" w:eastAsia="仿宋"/>
                <w:color w:val="auto"/>
                <w:sz w:val="24"/>
                <w:highlight w:val="none"/>
              </w:rPr>
              <w:t>见招标公告</w:t>
            </w:r>
          </w:p>
        </w:tc>
      </w:tr>
      <w:tr w14:paraId="3F32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4D5AE5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40CDDBB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专门面向中小企业采购</w:t>
            </w:r>
          </w:p>
        </w:tc>
        <w:tc>
          <w:tcPr>
            <w:tcW w:w="7229" w:type="dxa"/>
            <w:noWrap w:val="0"/>
            <w:vAlign w:val="center"/>
          </w:tcPr>
          <w:p w14:paraId="6F895107">
            <w:pPr>
              <w:widowControl/>
              <w:adjustRightInd w:val="0"/>
              <w:snapToGrid w:val="0"/>
              <w:spacing w:line="288" w:lineRule="auto"/>
              <w:rPr>
                <w:rFonts w:ascii="宋体" w:hAnsi="宋体" w:cs="Calibri"/>
                <w:color w:val="auto"/>
                <w:sz w:val="24"/>
                <w:highlight w:val="none"/>
              </w:rPr>
            </w:pPr>
            <w:r>
              <w:rPr>
                <w:rFonts w:hint="eastAsia" w:ascii="宋体" w:hAnsi="宋体" w:eastAsia="仿宋"/>
                <w:color w:val="auto"/>
                <w:sz w:val="24"/>
                <w:highlight w:val="none"/>
              </w:rPr>
              <w:t>见招标公告</w:t>
            </w:r>
          </w:p>
        </w:tc>
      </w:tr>
      <w:tr w14:paraId="79AB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2CAC930">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宋体"/>
                <w:color w:val="auto"/>
                <w:sz w:val="24"/>
                <w:highlight w:val="none"/>
                <w:lang w:bidi="ar"/>
              </w:rPr>
              <w:t>1.2.1</w:t>
            </w:r>
          </w:p>
        </w:tc>
        <w:tc>
          <w:tcPr>
            <w:tcW w:w="1581" w:type="dxa"/>
            <w:noWrap w:val="0"/>
            <w:vAlign w:val="center"/>
          </w:tcPr>
          <w:p w14:paraId="0925EB6B">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仿宋"/>
                <w:color w:val="auto"/>
                <w:sz w:val="24"/>
                <w:highlight w:val="none"/>
                <w:lang w:bidi="ar"/>
              </w:rPr>
              <w:t>资金来源及比例</w:t>
            </w:r>
          </w:p>
        </w:tc>
        <w:tc>
          <w:tcPr>
            <w:tcW w:w="7229" w:type="dxa"/>
            <w:noWrap w:val="0"/>
            <w:vAlign w:val="center"/>
          </w:tcPr>
          <w:p w14:paraId="4FA488BA">
            <w:pPr>
              <w:widowControl/>
              <w:adjustRightInd w:val="0"/>
              <w:snapToGrid w:val="0"/>
              <w:spacing w:line="288" w:lineRule="auto"/>
              <w:rPr>
                <w:rFonts w:ascii="宋体" w:hAnsi="宋体" w:eastAsia="仿宋"/>
                <w:color w:val="auto"/>
                <w:sz w:val="24"/>
                <w:highlight w:val="none"/>
              </w:rPr>
            </w:pPr>
            <w:r>
              <w:rPr>
                <w:rFonts w:hint="eastAsia" w:ascii="宋体" w:hAnsi="宋体" w:eastAsia="仿宋" w:cs="Calibri"/>
                <w:color w:val="auto"/>
                <w:sz w:val="24"/>
                <w:highlight w:val="none"/>
              </w:rPr>
              <w:t>财政资金100%</w:t>
            </w:r>
          </w:p>
        </w:tc>
      </w:tr>
      <w:tr w14:paraId="6028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A4AEF26">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1.3.1</w:t>
            </w:r>
          </w:p>
        </w:tc>
        <w:tc>
          <w:tcPr>
            <w:tcW w:w="1581" w:type="dxa"/>
            <w:noWrap w:val="0"/>
            <w:vAlign w:val="center"/>
          </w:tcPr>
          <w:p w14:paraId="0FBD8BBB">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资格要求</w:t>
            </w:r>
          </w:p>
        </w:tc>
        <w:tc>
          <w:tcPr>
            <w:tcW w:w="7229" w:type="dxa"/>
            <w:noWrap w:val="0"/>
            <w:vAlign w:val="center"/>
          </w:tcPr>
          <w:p w14:paraId="5115E2A9">
            <w:pPr>
              <w:widowControl/>
              <w:adjustRightInd w:val="0"/>
              <w:snapToGrid w:val="0"/>
              <w:spacing w:line="288" w:lineRule="auto"/>
              <w:rPr>
                <w:rFonts w:ascii="宋体" w:hAnsi="宋体" w:eastAsia="楷体_GB2312" w:cs="Calibri"/>
                <w:color w:val="auto"/>
                <w:sz w:val="24"/>
                <w:highlight w:val="none"/>
              </w:rPr>
            </w:pPr>
            <w:r>
              <w:rPr>
                <w:rFonts w:hint="eastAsia" w:ascii="宋体" w:hAnsi="宋体" w:eastAsia="仿宋" w:cs="Calibri"/>
                <w:color w:val="auto"/>
                <w:sz w:val="24"/>
                <w:highlight w:val="none"/>
              </w:rPr>
              <w:t>见招标公告</w:t>
            </w:r>
          </w:p>
        </w:tc>
      </w:tr>
      <w:tr w14:paraId="17F0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22E4BB6">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1.3.2</w:t>
            </w:r>
          </w:p>
        </w:tc>
        <w:tc>
          <w:tcPr>
            <w:tcW w:w="1581" w:type="dxa"/>
            <w:noWrap w:val="0"/>
            <w:vAlign w:val="center"/>
          </w:tcPr>
          <w:p w14:paraId="5806E24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联合体投标的其他要求</w:t>
            </w:r>
          </w:p>
        </w:tc>
        <w:tc>
          <w:tcPr>
            <w:tcW w:w="7229" w:type="dxa"/>
            <w:noWrap w:val="0"/>
            <w:vAlign w:val="center"/>
          </w:tcPr>
          <w:p w14:paraId="06B03192">
            <w:pPr>
              <w:widowControl/>
              <w:adjustRightInd w:val="0"/>
              <w:snapToGrid w:val="0"/>
              <w:spacing w:line="288" w:lineRule="auto"/>
              <w:rPr>
                <w:rFonts w:ascii="宋体" w:hAnsi="宋体" w:cs="Calibri"/>
                <w:color w:val="auto"/>
                <w:sz w:val="24"/>
                <w:highlight w:val="none"/>
                <w:u w:val="single"/>
              </w:rPr>
            </w:pPr>
            <w:r>
              <w:rPr>
                <w:rFonts w:hint="eastAsia" w:ascii="仿宋" w:hAnsi="仿宋" w:eastAsia="仿宋" w:cs="仿宋"/>
                <w:iCs/>
                <w:color w:val="auto"/>
                <w:sz w:val="24"/>
                <w:highlight w:val="none"/>
              </w:rPr>
              <w:t>/</w:t>
            </w:r>
          </w:p>
        </w:tc>
      </w:tr>
      <w:tr w14:paraId="3B3C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FE1E835">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1.3.3</w:t>
            </w:r>
          </w:p>
        </w:tc>
        <w:tc>
          <w:tcPr>
            <w:tcW w:w="1581" w:type="dxa"/>
            <w:noWrap w:val="0"/>
            <w:vAlign w:val="center"/>
          </w:tcPr>
          <w:p w14:paraId="17018448">
            <w:pPr>
              <w:widowControl/>
              <w:adjustRightInd w:val="0"/>
              <w:snapToGrid w:val="0"/>
              <w:spacing w:line="288" w:lineRule="auto"/>
              <w:rPr>
                <w:rFonts w:hint="eastAsia" w:ascii="宋体" w:hAnsi="宋体" w:cs="宋体"/>
                <w:iCs/>
                <w:color w:val="auto"/>
                <w:sz w:val="24"/>
                <w:highlight w:val="none"/>
              </w:rPr>
            </w:pPr>
            <w:r>
              <w:rPr>
                <w:rFonts w:hint="eastAsia" w:ascii="宋体" w:hAnsi="宋体" w:eastAsia="仿宋" w:cs="Calibri"/>
                <w:color w:val="auto"/>
                <w:sz w:val="24"/>
                <w:highlight w:val="none"/>
              </w:rPr>
              <w:t>投标人不得存在的其他情形</w:t>
            </w:r>
          </w:p>
        </w:tc>
        <w:tc>
          <w:tcPr>
            <w:tcW w:w="7229" w:type="dxa"/>
            <w:noWrap w:val="0"/>
            <w:vAlign w:val="center"/>
          </w:tcPr>
          <w:p w14:paraId="1F402038">
            <w:pPr>
              <w:widowControl/>
              <w:adjustRightInd w:val="0"/>
              <w:snapToGrid w:val="0"/>
              <w:spacing w:line="288" w:lineRule="auto"/>
              <w:rPr>
                <w:rFonts w:hint="eastAsia" w:ascii="宋体" w:hAnsi="宋体" w:cs="宋体"/>
                <w:iCs/>
                <w:color w:val="auto"/>
                <w:sz w:val="24"/>
                <w:highlight w:val="none"/>
              </w:rPr>
            </w:pPr>
            <w:r>
              <w:rPr>
                <w:rFonts w:hint="eastAsia" w:ascii="仿宋" w:hAnsi="仿宋" w:eastAsia="仿宋" w:cs="仿宋"/>
                <w:iCs/>
                <w:color w:val="auto"/>
                <w:sz w:val="24"/>
                <w:highlight w:val="none"/>
              </w:rPr>
              <w:t>/</w:t>
            </w:r>
          </w:p>
        </w:tc>
      </w:tr>
      <w:tr w14:paraId="0604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DB8CB78">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1.8.1</w:t>
            </w:r>
          </w:p>
        </w:tc>
        <w:tc>
          <w:tcPr>
            <w:tcW w:w="1581" w:type="dxa"/>
            <w:noWrap w:val="0"/>
            <w:vAlign w:val="center"/>
          </w:tcPr>
          <w:p w14:paraId="049E865B">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5055998C">
            <w:pPr>
              <w:widowControl/>
              <w:topLinePunct/>
              <w:adjustRightInd w:val="0"/>
              <w:snapToGrid w:val="0"/>
              <w:spacing w:line="288" w:lineRule="auto"/>
              <w:ind w:left="187" w:hanging="187" w:hangingChars="78"/>
              <w:rPr>
                <w:rFonts w:ascii="宋体" w:hAnsi="宋体" w:eastAsia="仿宋" w:cs="Calibri"/>
                <w:color w:val="auto"/>
                <w:sz w:val="24"/>
                <w:highlight w:val="none"/>
              </w:rPr>
            </w:pPr>
            <w:r>
              <w:rPr>
                <w:rFonts w:hint="eastAsia" w:ascii="宋体" w:hAnsi="宋体" w:eastAsia="仿宋"/>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olor w:val="auto"/>
                <w:sz w:val="24"/>
                <w:highlight w:val="none"/>
              </w:rPr>
              <w:t>由投标人自行考察现场。</w:t>
            </w:r>
          </w:p>
          <w:p w14:paraId="3C57AB43">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6B2130F4">
            <w:pPr>
              <w:widowControl/>
              <w:topLinePunct/>
              <w:adjustRightInd w:val="0"/>
              <w:snapToGrid w:val="0"/>
              <w:spacing w:line="288" w:lineRule="auto"/>
              <w:ind w:firstLine="840" w:firstLineChars="35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Cs/>
                <w:color w:val="auto"/>
                <w:sz w:val="24"/>
                <w:highlight w:val="none"/>
              </w:rPr>
              <w:t>/</w:t>
            </w:r>
          </w:p>
          <w:p w14:paraId="385B5114">
            <w:pPr>
              <w:widowControl/>
              <w:topLinePunct/>
              <w:adjustRightInd w:val="0"/>
              <w:snapToGrid w:val="0"/>
              <w:spacing w:line="288" w:lineRule="auto"/>
              <w:ind w:firstLine="840" w:firstLineChars="350"/>
              <w:rPr>
                <w:rFonts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Cs/>
                <w:color w:val="auto"/>
                <w:sz w:val="24"/>
                <w:highlight w:val="none"/>
              </w:rPr>
              <w:t>/</w:t>
            </w:r>
          </w:p>
        </w:tc>
      </w:tr>
      <w:tr w14:paraId="369F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EDAA791">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1.9</w:t>
            </w:r>
          </w:p>
        </w:tc>
        <w:tc>
          <w:tcPr>
            <w:tcW w:w="1581" w:type="dxa"/>
            <w:noWrap w:val="0"/>
            <w:vAlign w:val="center"/>
          </w:tcPr>
          <w:p w14:paraId="4F02C3F2">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开标前答疑会</w:t>
            </w:r>
          </w:p>
        </w:tc>
        <w:tc>
          <w:tcPr>
            <w:tcW w:w="7229" w:type="dxa"/>
            <w:noWrap w:val="0"/>
            <w:vAlign w:val="center"/>
          </w:tcPr>
          <w:p w14:paraId="50747311">
            <w:pPr>
              <w:widowControl/>
              <w:topLinePunct/>
              <w:adjustRightInd w:val="0"/>
              <w:snapToGrid w:val="0"/>
              <w:spacing w:line="288" w:lineRule="auto"/>
              <w:ind w:left="187" w:hanging="187" w:hangingChars="78"/>
              <w:rPr>
                <w:rFonts w:ascii="宋体" w:hAnsi="宋体" w:eastAsia="仿宋" w:cs="Calibri"/>
                <w:color w:val="auto"/>
                <w:sz w:val="24"/>
                <w:highlight w:val="none"/>
              </w:rPr>
            </w:pPr>
            <w:r>
              <w:rPr>
                <w:rFonts w:hint="eastAsia" w:ascii="宋体" w:hAnsi="宋体" w:eastAsia="仿宋"/>
                <w:bCs/>
                <w:color w:val="auto"/>
                <w:sz w:val="24"/>
                <w:highlight w:val="none"/>
              </w:rPr>
              <w:sym w:font="Wingdings" w:char="F0FE"/>
            </w:r>
            <w:r>
              <w:rPr>
                <w:rFonts w:hint="eastAsia" w:ascii="宋体" w:hAnsi="宋体" w:eastAsia="仿宋" w:cs="Calibri"/>
                <w:color w:val="auto"/>
                <w:sz w:val="24"/>
                <w:highlight w:val="none"/>
              </w:rPr>
              <w:t>不召开</w:t>
            </w:r>
          </w:p>
          <w:p w14:paraId="4FE98802">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□召开，召开时间：</w:t>
            </w:r>
            <w:r>
              <w:rPr>
                <w:rFonts w:hint="eastAsia" w:ascii="仿宋" w:hAnsi="仿宋" w:eastAsia="仿宋" w:cs="仿宋"/>
                <w:iCs/>
                <w:color w:val="auto"/>
                <w:sz w:val="24"/>
                <w:highlight w:val="none"/>
              </w:rPr>
              <w:t>/</w:t>
            </w:r>
          </w:p>
          <w:p w14:paraId="2809CF53">
            <w:pPr>
              <w:widowControl/>
              <w:adjustRightInd w:val="0"/>
              <w:snapToGrid w:val="0"/>
              <w:spacing w:line="288" w:lineRule="auto"/>
              <w:ind w:firstLine="960" w:firstLineChars="40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召开地点：</w:t>
            </w:r>
            <w:r>
              <w:rPr>
                <w:rFonts w:hint="eastAsia" w:ascii="仿宋" w:hAnsi="仿宋" w:eastAsia="仿宋" w:cs="仿宋"/>
                <w:iCs/>
                <w:color w:val="auto"/>
                <w:sz w:val="24"/>
                <w:highlight w:val="none"/>
              </w:rPr>
              <w:t>/</w:t>
            </w:r>
          </w:p>
          <w:p w14:paraId="732EF8D7">
            <w:pPr>
              <w:widowControl/>
              <w:adjustRightInd w:val="0"/>
              <w:snapToGrid w:val="0"/>
              <w:spacing w:line="288" w:lineRule="auto"/>
              <w:ind w:firstLine="960" w:firstLineChars="400"/>
              <w:rPr>
                <w:rFonts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Cs/>
                <w:color w:val="auto"/>
                <w:sz w:val="24"/>
                <w:highlight w:val="none"/>
              </w:rPr>
              <w:t>/</w:t>
            </w:r>
          </w:p>
        </w:tc>
      </w:tr>
      <w:tr w14:paraId="1026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267BCD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1.10.1</w:t>
            </w:r>
          </w:p>
        </w:tc>
        <w:tc>
          <w:tcPr>
            <w:tcW w:w="1581" w:type="dxa"/>
            <w:noWrap w:val="0"/>
            <w:vAlign w:val="center"/>
          </w:tcPr>
          <w:p w14:paraId="2A48120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5FF623B9">
            <w:pPr>
              <w:widowControl/>
              <w:topLinePunct/>
              <w:adjustRightInd w:val="0"/>
              <w:snapToGrid w:val="0"/>
              <w:spacing w:line="288" w:lineRule="auto"/>
              <w:ind w:left="187" w:hanging="187" w:hangingChars="78"/>
              <w:rPr>
                <w:rFonts w:ascii="宋体" w:hAnsi="宋体" w:eastAsia="仿宋" w:cs="Calibri"/>
                <w:color w:val="auto"/>
                <w:sz w:val="24"/>
                <w:highlight w:val="none"/>
              </w:rPr>
            </w:pPr>
            <w:r>
              <w:rPr>
                <w:rFonts w:hint="eastAsia" w:ascii="宋体" w:hAnsi="宋体" w:eastAsia="仿宋"/>
                <w:bCs/>
                <w:color w:val="auto"/>
                <w:sz w:val="24"/>
                <w:highlight w:val="none"/>
              </w:rPr>
              <w:t>☑</w:t>
            </w:r>
            <w:r>
              <w:rPr>
                <w:rFonts w:hint="eastAsia" w:ascii="宋体" w:hAnsi="宋体" w:eastAsia="仿宋" w:cs="Calibri"/>
                <w:color w:val="auto"/>
                <w:sz w:val="24"/>
                <w:highlight w:val="none"/>
              </w:rPr>
              <w:t>不允许</w:t>
            </w:r>
          </w:p>
          <w:p w14:paraId="5DACAB9D">
            <w:pPr>
              <w:widowControl/>
              <w:snapToGrid w:val="0"/>
              <w:spacing w:line="288" w:lineRule="auto"/>
              <w:rPr>
                <w:rFonts w:hint="eastAsia" w:ascii="宋体" w:hAnsi="宋体" w:eastAsia="仿宋"/>
                <w:color w:val="auto"/>
                <w:sz w:val="24"/>
                <w:highlight w:val="none"/>
              </w:rPr>
            </w:pPr>
            <w:r>
              <w:rPr>
                <w:rFonts w:hint="eastAsia" w:ascii="宋体" w:hAnsi="宋体" w:eastAsia="仿宋" w:cs="Calibri"/>
                <w:color w:val="auto"/>
                <w:sz w:val="24"/>
                <w:highlight w:val="none"/>
              </w:rPr>
              <w:t>□允许：</w:t>
            </w:r>
          </w:p>
          <w:p w14:paraId="58A5F59E">
            <w:pPr>
              <w:widowControl/>
              <w:snapToGrid w:val="0"/>
              <w:spacing w:line="288" w:lineRule="auto"/>
              <w:rPr>
                <w:rFonts w:hint="eastAsia" w:ascii="楷体" w:hAnsi="楷体" w:eastAsia="仿宋"/>
                <w:color w:val="auto"/>
                <w:sz w:val="24"/>
                <w:highlight w:val="none"/>
                <w:u w:val="single"/>
              </w:rPr>
            </w:pPr>
            <w:r>
              <w:rPr>
                <w:rFonts w:hint="eastAsia" w:ascii="楷体" w:hAnsi="楷体" w:eastAsia="仿宋"/>
                <w:color w:val="auto"/>
                <w:sz w:val="24"/>
                <w:highlight w:val="none"/>
              </w:rPr>
              <w:t>（1）允许分包的范围和内容：/</w:t>
            </w:r>
          </w:p>
          <w:p w14:paraId="367913AC">
            <w:pPr>
              <w:widowControl/>
              <w:snapToGrid w:val="0"/>
              <w:spacing w:line="288" w:lineRule="auto"/>
              <w:rPr>
                <w:rFonts w:hint="eastAsia" w:ascii="楷体" w:hAnsi="楷体" w:eastAsia="仿宋"/>
                <w:color w:val="auto"/>
                <w:sz w:val="24"/>
                <w:highlight w:val="none"/>
              </w:rPr>
            </w:pPr>
            <w:r>
              <w:rPr>
                <w:rFonts w:hint="eastAsia" w:ascii="楷体" w:hAnsi="楷体" w:eastAsia="仿宋"/>
                <w:color w:val="auto"/>
                <w:sz w:val="24"/>
                <w:highlight w:val="none"/>
              </w:rPr>
              <w:t>（2）对分包人资质要求：/</w:t>
            </w:r>
          </w:p>
          <w:p w14:paraId="75F4D7BB">
            <w:pPr>
              <w:widowControl/>
              <w:snapToGrid w:val="0"/>
              <w:spacing w:line="288" w:lineRule="auto"/>
              <w:rPr>
                <w:rFonts w:hint="eastAsia" w:ascii="宋体" w:hAnsi="宋体"/>
                <w:color w:val="auto"/>
                <w:sz w:val="24"/>
                <w:highlight w:val="none"/>
              </w:rPr>
            </w:pPr>
            <w:r>
              <w:rPr>
                <w:rFonts w:hint="eastAsia" w:ascii="楷体" w:hAnsi="楷体" w:eastAsia="仿宋"/>
                <w:color w:val="auto"/>
                <w:sz w:val="24"/>
                <w:highlight w:val="none"/>
              </w:rPr>
              <w:t>（3）为享受政府采购支持中小企业发展政策，参与政府采购活动的大型企业可向中小微企业分包，中型企业可向小微企业分包。</w:t>
            </w:r>
          </w:p>
        </w:tc>
      </w:tr>
      <w:tr w14:paraId="61EA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7107894">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2.2.2</w:t>
            </w:r>
          </w:p>
        </w:tc>
        <w:tc>
          <w:tcPr>
            <w:tcW w:w="1581" w:type="dxa"/>
            <w:noWrap w:val="0"/>
            <w:vAlign w:val="center"/>
          </w:tcPr>
          <w:p w14:paraId="3A082785">
            <w:pPr>
              <w:widowControl/>
              <w:adjustRightInd w:val="0"/>
              <w:snapToGrid w:val="0"/>
              <w:spacing w:line="300" w:lineRule="auto"/>
              <w:jc w:val="center"/>
              <w:rPr>
                <w:rFonts w:eastAsia="仿宋"/>
                <w:color w:val="auto"/>
                <w:sz w:val="24"/>
                <w:highlight w:val="none"/>
              </w:rPr>
            </w:pPr>
            <w:r>
              <w:rPr>
                <w:rFonts w:hint="eastAsia" w:ascii="宋体" w:hAnsi="宋体" w:eastAsia="仿宋" w:cs="Calibri"/>
                <w:color w:val="auto"/>
                <w:sz w:val="24"/>
                <w:highlight w:val="none"/>
              </w:rPr>
              <w:t>招标文件澄清发出的形式</w:t>
            </w:r>
          </w:p>
        </w:tc>
        <w:tc>
          <w:tcPr>
            <w:tcW w:w="7229" w:type="dxa"/>
            <w:noWrap w:val="0"/>
            <w:vAlign w:val="center"/>
          </w:tcPr>
          <w:p w14:paraId="57304CFF">
            <w:pPr>
              <w:widowControl/>
              <w:adjustRightInd w:val="0"/>
              <w:snapToGrid w:val="0"/>
              <w:spacing w:line="300" w:lineRule="auto"/>
              <w:rPr>
                <w:rFonts w:hint="eastAsia" w:ascii="宋体" w:hAnsi="宋体" w:eastAsia="仿宋" w:cs="Calibri"/>
                <w:color w:val="auto"/>
                <w:sz w:val="24"/>
                <w:highlight w:val="none"/>
              </w:rPr>
            </w:pPr>
            <w:r>
              <w:rPr>
                <w:rFonts w:hint="eastAsia" w:ascii="宋体" w:hAnsi="宋体" w:eastAsia="仿宋"/>
                <w:color w:val="auto"/>
                <w:sz w:val="24"/>
                <w:highlight w:val="none"/>
              </w:rPr>
              <w:t>发出形式：在优质采云采购平台发布，投标人自行查看、下载，无需确认。其他方式发布的，投标人应书面确认。</w:t>
            </w:r>
          </w:p>
        </w:tc>
      </w:tr>
      <w:tr w14:paraId="46ED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43EA52D">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58CEF29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构成投标文件的其他资料</w:t>
            </w:r>
          </w:p>
        </w:tc>
        <w:tc>
          <w:tcPr>
            <w:tcW w:w="7229" w:type="dxa"/>
            <w:noWrap w:val="0"/>
            <w:vAlign w:val="center"/>
          </w:tcPr>
          <w:p w14:paraId="687BB266">
            <w:pPr>
              <w:adjustRightInd w:val="0"/>
              <w:snapToGrid w:val="0"/>
              <w:spacing w:line="288" w:lineRule="auto"/>
              <w:rPr>
                <w:rFonts w:hint="eastAsia" w:eastAsia="楷体"/>
                <w:color w:val="auto"/>
                <w:sz w:val="24"/>
                <w:highlight w:val="none"/>
              </w:rPr>
            </w:pPr>
            <w:r>
              <w:rPr>
                <w:rFonts w:hint="eastAsia" w:ascii="楷体" w:hAnsi="楷体" w:eastAsia="仿宋"/>
                <w:color w:val="auto"/>
                <w:sz w:val="24"/>
                <w:highlight w:val="none"/>
              </w:rPr>
              <w:t>/</w:t>
            </w:r>
          </w:p>
        </w:tc>
      </w:tr>
      <w:tr w14:paraId="5286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9" w:hRule="atLeast"/>
        </w:trPr>
        <w:tc>
          <w:tcPr>
            <w:tcW w:w="857" w:type="dxa"/>
            <w:noWrap w:val="0"/>
            <w:vAlign w:val="center"/>
          </w:tcPr>
          <w:p w14:paraId="11735C1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20FB904A">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0CAC6B57">
            <w:pPr>
              <w:widowControl/>
              <w:adjustRightInd w:val="0"/>
              <w:snapToGrid w:val="0"/>
              <w:spacing w:line="288" w:lineRule="auto"/>
              <w:rPr>
                <w:rFonts w:hint="eastAsia" w:ascii="宋体" w:hAnsi="宋体" w:eastAsia="仿宋"/>
                <w:b/>
                <w:bCs/>
                <w:color w:val="auto"/>
                <w:sz w:val="24"/>
                <w:highlight w:val="none"/>
              </w:rPr>
            </w:pPr>
            <w:r>
              <w:rPr>
                <w:rFonts w:hint="eastAsia" w:ascii="宋体" w:hAnsi="宋体" w:eastAsia="仿宋"/>
                <w:b/>
                <w:bCs/>
                <w:color w:val="auto"/>
                <w:sz w:val="24"/>
                <w:highlight w:val="none"/>
              </w:rPr>
              <w:t>是否要求投标人提交样品：</w:t>
            </w:r>
          </w:p>
          <w:p w14:paraId="4397F8B1">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☑否</w:t>
            </w:r>
          </w:p>
          <w:p w14:paraId="23E61B8A">
            <w:pPr>
              <w:adjustRightInd w:val="0"/>
              <w:spacing w:line="288" w:lineRule="auto"/>
              <w:rPr>
                <w:rFonts w:ascii="仿宋" w:hAnsi="仿宋" w:eastAsia="仿宋" w:cs="仿宋"/>
                <w:color w:val="auto"/>
                <w:sz w:val="24"/>
                <w:highlight w:val="none"/>
                <w:lang w:bidi="ar"/>
              </w:rPr>
            </w:pPr>
            <w:r>
              <w:rPr>
                <w:rFonts w:hint="eastAsia" w:ascii="宋体" w:hAnsi="宋体" w:eastAsia="仿宋" w:cs="Calibri"/>
                <w:color w:val="auto"/>
                <w:sz w:val="24"/>
                <w:highlight w:val="none"/>
              </w:rPr>
              <w:t>□是</w:t>
            </w:r>
          </w:p>
        </w:tc>
      </w:tr>
      <w:tr w14:paraId="3B33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3D4E78D">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5E0B49F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投标报价包括的内容</w:t>
            </w:r>
          </w:p>
        </w:tc>
        <w:tc>
          <w:tcPr>
            <w:tcW w:w="7229" w:type="dxa"/>
            <w:noWrap w:val="0"/>
            <w:vAlign w:val="center"/>
          </w:tcPr>
          <w:p w14:paraId="3CB7D974">
            <w:pPr>
              <w:widowControl/>
              <w:adjustRightInd w:val="0"/>
              <w:snapToGrid w:val="0"/>
              <w:spacing w:line="288" w:lineRule="auto"/>
              <w:rPr>
                <w:rFonts w:hint="eastAsia" w:ascii="楷体" w:hAnsi="楷体" w:eastAsia="楷体"/>
                <w:bCs/>
                <w:color w:val="auto"/>
                <w:sz w:val="24"/>
                <w:highlight w:val="none"/>
              </w:rPr>
            </w:pPr>
            <w:r>
              <w:rPr>
                <w:rFonts w:hint="eastAsia" w:ascii="楷体" w:hAnsi="楷体" w:eastAsia="仿宋" w:cs="Calibri"/>
                <w:color w:val="auto"/>
                <w:sz w:val="24"/>
                <w:highlight w:val="none"/>
              </w:rPr>
              <w:t>投标报价</w:t>
            </w:r>
            <w:r>
              <w:rPr>
                <w:rFonts w:ascii="楷体" w:hAnsi="楷体" w:eastAsia="仿宋"/>
                <w:color w:val="auto"/>
                <w:sz w:val="24"/>
                <w:highlight w:val="none"/>
              </w:rPr>
              <w:t>包括货物从设计、采购、制造、交货（包括运输至采购人指定地点卸车就位）至验收和售后服务的一切费用（如设计费、采购费、制造费、包装费、运输费、运输保险费、装卸费</w:t>
            </w:r>
            <w:r>
              <w:rPr>
                <w:rFonts w:hint="eastAsia" w:ascii="楷体" w:hAnsi="楷体" w:eastAsia="仿宋"/>
                <w:color w:val="auto"/>
                <w:sz w:val="24"/>
                <w:highlight w:val="none"/>
              </w:rPr>
              <w:t>、</w:t>
            </w:r>
            <w:r>
              <w:rPr>
                <w:rFonts w:ascii="楷体" w:hAnsi="楷体" w:eastAsia="仿宋"/>
                <w:color w:val="auto"/>
                <w:sz w:val="24"/>
                <w:highlight w:val="none"/>
              </w:rPr>
              <w:t>其他技术服务及质保期服务费等）、管理费、利润和税金，以及</w:t>
            </w:r>
            <w:r>
              <w:rPr>
                <w:rFonts w:hint="eastAsia" w:ascii="楷体" w:hAnsi="楷体" w:eastAsia="仿宋"/>
                <w:color w:val="auto"/>
                <w:sz w:val="24"/>
                <w:highlight w:val="none"/>
              </w:rPr>
              <w:t>采购</w:t>
            </w:r>
            <w:r>
              <w:rPr>
                <w:rFonts w:ascii="楷体" w:hAnsi="楷体" w:eastAsia="仿宋"/>
                <w:color w:val="auto"/>
                <w:sz w:val="24"/>
                <w:highlight w:val="none"/>
              </w:rPr>
              <w:t>合同中明示或暗示的所有责任、义务和风险。</w:t>
            </w:r>
          </w:p>
        </w:tc>
      </w:tr>
      <w:tr w14:paraId="2DAD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C1FD89">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3.2.4</w:t>
            </w:r>
          </w:p>
        </w:tc>
        <w:tc>
          <w:tcPr>
            <w:tcW w:w="1581" w:type="dxa"/>
            <w:noWrap w:val="0"/>
            <w:vAlign w:val="center"/>
          </w:tcPr>
          <w:p w14:paraId="7F920917">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投标报价的其他要求</w:t>
            </w:r>
          </w:p>
        </w:tc>
        <w:tc>
          <w:tcPr>
            <w:tcW w:w="7229" w:type="dxa"/>
            <w:noWrap w:val="0"/>
            <w:vAlign w:val="center"/>
          </w:tcPr>
          <w:p w14:paraId="683EECDF">
            <w:pPr>
              <w:pStyle w:val="24"/>
              <w:snapToGrid w:val="0"/>
              <w:spacing w:line="240" w:lineRule="auto"/>
              <w:rPr>
                <w:rFonts w:hint="eastAsia" w:ascii="楷体" w:hAnsi="楷体" w:eastAsia="仿宋"/>
                <w:b w:val="0"/>
                <w:color w:val="auto"/>
                <w:sz w:val="24"/>
                <w:szCs w:val="24"/>
                <w:highlight w:val="none"/>
              </w:rPr>
            </w:pPr>
            <w:r>
              <w:rPr>
                <w:rFonts w:hint="eastAsia" w:ascii="楷体" w:hAnsi="楷体" w:eastAsia="仿宋"/>
                <w:b w:val="0"/>
                <w:color w:val="auto"/>
                <w:sz w:val="24"/>
                <w:szCs w:val="24"/>
                <w:highlight w:val="none"/>
              </w:rPr>
              <w:t>☑除招标文件另有规定外，投标人所报的价格在合同执行过程中固定不变,不得以任何理由予以变更。</w:t>
            </w:r>
          </w:p>
          <w:p w14:paraId="12A9DD89">
            <w:pPr>
              <w:pStyle w:val="24"/>
              <w:tabs>
                <w:tab w:val="left" w:pos="2149"/>
              </w:tabs>
              <w:snapToGrid w:val="0"/>
              <w:spacing w:line="240" w:lineRule="auto"/>
              <w:rPr>
                <w:rFonts w:hint="eastAsia" w:hAnsi="宋体"/>
                <w:bCs/>
                <w:color w:val="auto"/>
                <w:sz w:val="24"/>
                <w:szCs w:val="24"/>
                <w:highlight w:val="none"/>
              </w:rPr>
            </w:pPr>
            <w:r>
              <w:rPr>
                <w:rFonts w:hint="eastAsia" w:ascii="楷体" w:hAnsi="楷体" w:eastAsia="仿宋"/>
                <w:b w:val="0"/>
                <w:color w:val="auto"/>
                <w:sz w:val="24"/>
                <w:szCs w:val="24"/>
                <w:highlight w:val="none"/>
              </w:rPr>
              <w:t>□采购</w:t>
            </w:r>
            <w:r>
              <w:rPr>
                <w:rFonts w:ascii="楷体" w:hAnsi="楷体" w:eastAsia="仿宋"/>
                <w:b w:val="0"/>
                <w:color w:val="auto"/>
                <w:sz w:val="24"/>
                <w:szCs w:val="24"/>
                <w:highlight w:val="none"/>
              </w:rPr>
              <w:t>人在“</w:t>
            </w:r>
            <w:r>
              <w:rPr>
                <w:rFonts w:hint="eastAsia" w:ascii="楷体" w:hAnsi="楷体" w:eastAsia="仿宋"/>
                <w:b w:val="0"/>
                <w:color w:val="auto"/>
                <w:sz w:val="24"/>
                <w:szCs w:val="24"/>
                <w:highlight w:val="none"/>
              </w:rPr>
              <w:t>采购需求</w:t>
            </w:r>
            <w:r>
              <w:rPr>
                <w:rFonts w:ascii="楷体" w:hAnsi="楷体" w:eastAsia="仿宋"/>
                <w:b w:val="0"/>
                <w:color w:val="auto"/>
                <w:sz w:val="24"/>
                <w:szCs w:val="24"/>
                <w:highlight w:val="none"/>
              </w:rPr>
              <w:t>”中所提供的各种货物的数量是计划采购数量，仅作为投标报价的依据，不作为最终结算与支付的依据。在合同实施期间，</w:t>
            </w:r>
            <w:r>
              <w:rPr>
                <w:rFonts w:hint="eastAsia" w:ascii="楷体" w:hAnsi="楷体" w:eastAsia="仿宋"/>
                <w:b w:val="0"/>
                <w:color w:val="auto"/>
                <w:sz w:val="24"/>
                <w:szCs w:val="24"/>
                <w:highlight w:val="none"/>
              </w:rPr>
              <w:t>采购人可以按照政府采购政策规定对</w:t>
            </w:r>
            <w:r>
              <w:rPr>
                <w:rFonts w:ascii="楷体" w:hAnsi="楷体" w:eastAsia="仿宋"/>
                <w:b w:val="0"/>
                <w:color w:val="auto"/>
                <w:sz w:val="24"/>
                <w:szCs w:val="24"/>
                <w:highlight w:val="none"/>
              </w:rPr>
              <w:t>货物数量适当增减。投标人不得以货物的实际供货数量有变化为理由</w:t>
            </w:r>
            <w:r>
              <w:rPr>
                <w:rFonts w:hint="eastAsia" w:ascii="楷体" w:hAnsi="楷体" w:eastAsia="仿宋"/>
                <w:b w:val="0"/>
                <w:color w:val="auto"/>
                <w:sz w:val="24"/>
                <w:szCs w:val="24"/>
                <w:highlight w:val="none"/>
              </w:rPr>
              <w:t>要求</w:t>
            </w:r>
            <w:r>
              <w:rPr>
                <w:rFonts w:ascii="楷体" w:hAnsi="楷体" w:eastAsia="仿宋"/>
                <w:b w:val="0"/>
                <w:color w:val="auto"/>
                <w:sz w:val="24"/>
                <w:szCs w:val="24"/>
                <w:highlight w:val="none"/>
              </w:rPr>
              <w:t>对各种货物的单价进行变更。</w:t>
            </w:r>
          </w:p>
        </w:tc>
      </w:tr>
      <w:tr w14:paraId="02A9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648CA81">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083360EF">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投标有效期</w:t>
            </w:r>
          </w:p>
        </w:tc>
        <w:tc>
          <w:tcPr>
            <w:tcW w:w="7229" w:type="dxa"/>
            <w:noWrap w:val="0"/>
            <w:vAlign w:val="center"/>
          </w:tcPr>
          <w:p w14:paraId="26F1AABA">
            <w:pPr>
              <w:widowControl/>
              <w:adjustRightInd w:val="0"/>
              <w:snapToGrid w:val="0"/>
              <w:spacing w:line="288" w:lineRule="auto"/>
              <w:rPr>
                <w:rFonts w:ascii="宋体" w:hAnsi="宋体" w:cs="Calibri"/>
                <w:color w:val="auto"/>
                <w:sz w:val="24"/>
                <w:highlight w:val="none"/>
              </w:rPr>
            </w:pPr>
            <w:r>
              <w:rPr>
                <w:rFonts w:hint="eastAsia" w:ascii="宋体" w:hAnsi="宋体" w:eastAsia="仿宋" w:cs="Calibri"/>
                <w:color w:val="auto"/>
                <w:sz w:val="24"/>
                <w:highlight w:val="none"/>
              </w:rPr>
              <w:t>90日历天</w:t>
            </w:r>
            <w:r>
              <w:rPr>
                <w:rFonts w:hint="eastAsia" w:ascii="宋体" w:hAnsi="宋体" w:eastAsia="仿宋"/>
                <w:color w:val="auto"/>
                <w:sz w:val="24"/>
                <w:highlight w:val="none"/>
              </w:rPr>
              <w:t>（从投标截止之日算起）</w:t>
            </w:r>
          </w:p>
        </w:tc>
      </w:tr>
      <w:tr w14:paraId="1614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52B0EC4">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178092E4">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投标保证金</w:t>
            </w:r>
          </w:p>
        </w:tc>
        <w:tc>
          <w:tcPr>
            <w:tcW w:w="7229" w:type="dxa"/>
            <w:noWrap w:val="0"/>
            <w:vAlign w:val="center"/>
          </w:tcPr>
          <w:p w14:paraId="21B64F43">
            <w:pPr>
              <w:widowControl/>
              <w:adjustRightInd w:val="0"/>
              <w:snapToGrid w:val="0"/>
              <w:spacing w:line="288" w:lineRule="auto"/>
              <w:rPr>
                <w:rFonts w:ascii="宋体" w:hAnsi="宋体" w:eastAsia="楷体_GB2312"/>
                <w:i/>
                <w:color w:val="auto"/>
                <w:sz w:val="24"/>
                <w:highlight w:val="none"/>
              </w:rPr>
            </w:pPr>
            <w:r>
              <w:rPr>
                <w:rFonts w:hint="eastAsia" w:eastAsia="仿宋"/>
                <w:color w:val="auto"/>
                <w:sz w:val="24"/>
                <w:highlight w:val="none"/>
              </w:rPr>
              <w:t>不要求提交。</w:t>
            </w:r>
          </w:p>
        </w:tc>
      </w:tr>
      <w:tr w14:paraId="571E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AB22A4C">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3.6.1</w:t>
            </w:r>
          </w:p>
        </w:tc>
        <w:tc>
          <w:tcPr>
            <w:tcW w:w="1581" w:type="dxa"/>
            <w:noWrap w:val="0"/>
            <w:vAlign w:val="center"/>
          </w:tcPr>
          <w:p w14:paraId="7A73D422">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是否允许递交备选投标方案</w:t>
            </w:r>
          </w:p>
        </w:tc>
        <w:tc>
          <w:tcPr>
            <w:tcW w:w="7229" w:type="dxa"/>
            <w:noWrap w:val="0"/>
            <w:vAlign w:val="center"/>
          </w:tcPr>
          <w:p w14:paraId="51A3FDD1">
            <w:pPr>
              <w:widowControl/>
              <w:topLinePunct/>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☑不允许</w:t>
            </w:r>
          </w:p>
          <w:p w14:paraId="0C15E7C0">
            <w:pPr>
              <w:widowControl/>
              <w:adjustRightInd w:val="0"/>
              <w:snapToGrid w:val="0"/>
              <w:spacing w:line="288" w:lineRule="auto"/>
              <w:rPr>
                <w:rFonts w:ascii="宋体" w:hAnsi="宋体" w:cs="Calibri"/>
                <w:color w:val="auto"/>
                <w:sz w:val="24"/>
                <w:highlight w:val="none"/>
                <w:u w:val="single"/>
              </w:rPr>
            </w:pPr>
            <w:r>
              <w:rPr>
                <w:rFonts w:hint="eastAsia" w:ascii="宋体" w:hAnsi="宋体" w:eastAsia="仿宋" w:cs="Calibri"/>
                <w:color w:val="auto"/>
                <w:sz w:val="24"/>
                <w:highlight w:val="none"/>
              </w:rPr>
              <w:t>□允许，并满足以下条件：</w:t>
            </w:r>
          </w:p>
        </w:tc>
      </w:tr>
      <w:tr w14:paraId="5B04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909D64B">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3.7.4（1）</w:t>
            </w:r>
          </w:p>
        </w:tc>
        <w:tc>
          <w:tcPr>
            <w:tcW w:w="1581" w:type="dxa"/>
            <w:noWrap w:val="0"/>
            <w:vAlign w:val="center"/>
          </w:tcPr>
          <w:p w14:paraId="3885A8F5">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投标文件制作</w:t>
            </w:r>
          </w:p>
        </w:tc>
        <w:tc>
          <w:tcPr>
            <w:tcW w:w="7229" w:type="dxa"/>
            <w:noWrap w:val="0"/>
            <w:vAlign w:val="center"/>
          </w:tcPr>
          <w:p w14:paraId="2E628568">
            <w:pPr>
              <w:widowControl/>
              <w:topLinePunct/>
              <w:adjustRightInd w:val="0"/>
              <w:snapToGrid w:val="0"/>
              <w:spacing w:line="288" w:lineRule="auto"/>
              <w:rPr>
                <w:rFonts w:hint="eastAsia" w:ascii="宋体" w:hAnsi="宋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10F8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CE6550">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3.7.4（3）</w:t>
            </w:r>
          </w:p>
        </w:tc>
        <w:tc>
          <w:tcPr>
            <w:tcW w:w="1581" w:type="dxa"/>
            <w:noWrap w:val="0"/>
            <w:vAlign w:val="center"/>
          </w:tcPr>
          <w:p w14:paraId="35606F7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投标文件所附证书证件要求</w:t>
            </w:r>
          </w:p>
        </w:tc>
        <w:tc>
          <w:tcPr>
            <w:tcW w:w="7229" w:type="dxa"/>
            <w:noWrap w:val="0"/>
            <w:vAlign w:val="center"/>
          </w:tcPr>
          <w:p w14:paraId="3A922DF7">
            <w:pPr>
              <w:widowControl/>
              <w:topLinePunct/>
              <w:adjustRightInd w:val="0"/>
              <w:snapToGrid w:val="0"/>
              <w:spacing w:line="288" w:lineRule="auto"/>
              <w:rPr>
                <w:rFonts w:ascii="楷体" w:hAnsi="楷体" w:eastAsia="仿宋"/>
                <w:bCs/>
                <w:color w:val="auto"/>
                <w:sz w:val="24"/>
                <w:highlight w:val="none"/>
              </w:rPr>
            </w:pPr>
            <w:r>
              <w:rPr>
                <w:rFonts w:hint="eastAsia" w:ascii="楷体" w:hAnsi="楷体" w:eastAsia="仿宋" w:cs="Calibri"/>
                <w:color w:val="auto"/>
                <w:sz w:val="24"/>
                <w:highlight w:val="none"/>
              </w:rPr>
              <w:t>电子投标文件所附证书证件均应为投标人证书证件的原件扫描件或电子证照。</w:t>
            </w:r>
          </w:p>
        </w:tc>
      </w:tr>
      <w:tr w14:paraId="7D7A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D59479D">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3.7.4（5）</w:t>
            </w:r>
          </w:p>
        </w:tc>
        <w:tc>
          <w:tcPr>
            <w:tcW w:w="1581" w:type="dxa"/>
            <w:noWrap w:val="0"/>
            <w:vAlign w:val="center"/>
          </w:tcPr>
          <w:p w14:paraId="7945608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投标文件份数及其他要求</w:t>
            </w:r>
          </w:p>
        </w:tc>
        <w:tc>
          <w:tcPr>
            <w:tcW w:w="7229" w:type="dxa"/>
            <w:noWrap w:val="0"/>
            <w:vAlign w:val="center"/>
          </w:tcPr>
          <w:p w14:paraId="0681B2D1">
            <w:pPr>
              <w:widowControl/>
              <w:topLinePunct/>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投标人应提交的投标文件：</w:t>
            </w:r>
          </w:p>
          <w:p w14:paraId="106E7F31">
            <w:pPr>
              <w:widowControl/>
              <w:topLinePunct/>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（1）加密的电子投标文件：使用优质采云采购平台电子标书制作工具制作生成的加密投标文件，应在投标截止时间前通过</w:t>
            </w:r>
            <w:r>
              <w:rPr>
                <w:rFonts w:hint="eastAsia" w:ascii="楷体" w:hAnsi="楷体" w:eastAsia="仿宋" w:cs="Microsoft JhengHei"/>
                <w:color w:val="auto"/>
                <w:kern w:val="0"/>
                <w:sz w:val="24"/>
                <w:highlight w:val="none"/>
              </w:rPr>
              <w:t>优质采云采购平台</w:t>
            </w:r>
            <w:r>
              <w:rPr>
                <w:rFonts w:hint="eastAsia" w:ascii="楷体" w:hAnsi="楷体" w:eastAsia="仿宋" w:cs="Calibri"/>
                <w:color w:val="auto"/>
                <w:sz w:val="24"/>
                <w:highlight w:val="none"/>
              </w:rPr>
              <w:t>会员系统上传；</w:t>
            </w:r>
          </w:p>
          <w:p w14:paraId="786BCF65">
            <w:pPr>
              <w:widowControl/>
              <w:topLinePunct/>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（2）未加密的电子投标文件：生成加密投标文件时同时生成的版本，提供1份（光盘或U盘介质，格式为bzc格式），可密封提交（投标人自行确定是否提交）。</w:t>
            </w:r>
          </w:p>
          <w:p w14:paraId="032C377E">
            <w:pPr>
              <w:widowControl/>
              <w:topLinePunct/>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投标文件如不一致时，按以下顺序确定其投标文件效力：</w:t>
            </w:r>
          </w:p>
          <w:p w14:paraId="18BA2505">
            <w:pPr>
              <w:widowControl/>
              <w:topLinePunct/>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w:t>
            </w:r>
          </w:p>
          <w:p w14:paraId="3414F6BA">
            <w:pPr>
              <w:widowControl/>
              <w:topLinePunct/>
              <w:adjustRightInd w:val="0"/>
              <w:snapToGrid w:val="0"/>
              <w:spacing w:line="288" w:lineRule="auto"/>
              <w:rPr>
                <w:rFonts w:hint="eastAsia" w:ascii="楷体" w:hAnsi="楷体" w:eastAsia="楷体" w:cs="Calibri"/>
                <w:color w:val="auto"/>
                <w:sz w:val="24"/>
                <w:highlight w:val="none"/>
              </w:rPr>
            </w:pPr>
            <w:r>
              <w:rPr>
                <w:rFonts w:hint="eastAsia" w:ascii="楷体" w:hAnsi="楷体" w:eastAsia="仿宋" w:cs="Calibri"/>
                <w:color w:val="auto"/>
                <w:sz w:val="24"/>
                <w:highlight w:val="none"/>
              </w:rPr>
              <w:t>（2）未加密的电子投标文件。</w:t>
            </w:r>
          </w:p>
        </w:tc>
      </w:tr>
      <w:tr w14:paraId="1D80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2862683">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4.1.1</w:t>
            </w:r>
          </w:p>
        </w:tc>
        <w:tc>
          <w:tcPr>
            <w:tcW w:w="1581" w:type="dxa"/>
            <w:noWrap w:val="0"/>
            <w:vAlign w:val="center"/>
          </w:tcPr>
          <w:p w14:paraId="2CB4DC6D">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投标文件加密要求</w:t>
            </w:r>
          </w:p>
        </w:tc>
        <w:tc>
          <w:tcPr>
            <w:tcW w:w="7229" w:type="dxa"/>
            <w:noWrap w:val="0"/>
            <w:vAlign w:val="center"/>
          </w:tcPr>
          <w:p w14:paraId="618C037A">
            <w:pPr>
              <w:widowControl/>
              <w:wordWrap w:val="0"/>
              <w:adjustRightInd w:val="0"/>
              <w:snapToGrid w:val="0"/>
              <w:spacing w:line="288" w:lineRule="auto"/>
              <w:rPr>
                <w:rFonts w:hint="eastAsia" w:ascii="楷体" w:hAnsi="楷体" w:eastAsia="楷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3AF3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879F62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4.2.2</w:t>
            </w:r>
          </w:p>
        </w:tc>
        <w:tc>
          <w:tcPr>
            <w:tcW w:w="1581" w:type="dxa"/>
            <w:noWrap w:val="0"/>
            <w:vAlign w:val="center"/>
          </w:tcPr>
          <w:p w14:paraId="6EA6A0F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递交投标文件的电子交易平台</w:t>
            </w:r>
          </w:p>
        </w:tc>
        <w:tc>
          <w:tcPr>
            <w:tcW w:w="7229" w:type="dxa"/>
            <w:noWrap w:val="0"/>
            <w:vAlign w:val="center"/>
          </w:tcPr>
          <w:p w14:paraId="164227FB">
            <w:pPr>
              <w:widowControl/>
              <w:adjustRightInd w:val="0"/>
              <w:snapToGrid w:val="0"/>
              <w:spacing w:line="288" w:lineRule="auto"/>
              <w:rPr>
                <w:rFonts w:hint="eastAsia" w:ascii="楷体" w:hAnsi="楷体" w:eastAsia="仿宋" w:cs="Microsoft JhengHei"/>
                <w:color w:val="auto"/>
                <w:kern w:val="0"/>
                <w:sz w:val="24"/>
                <w:highlight w:val="none"/>
              </w:rPr>
            </w:pPr>
            <w:r>
              <w:rPr>
                <w:rFonts w:hint="eastAsia" w:ascii="楷体" w:hAnsi="楷体" w:eastAsia="仿宋" w:cs="Microsoft JhengHei"/>
                <w:color w:val="auto"/>
                <w:kern w:val="0"/>
                <w:sz w:val="24"/>
                <w:highlight w:val="none"/>
              </w:rPr>
              <w:t>优质采云采购平台（网址：https://www.youzhicai.com/）</w:t>
            </w:r>
          </w:p>
          <w:p w14:paraId="262C7AE0">
            <w:pPr>
              <w:widowControl/>
              <w:adjustRightInd w:val="0"/>
              <w:snapToGrid w:val="0"/>
              <w:spacing w:line="288" w:lineRule="auto"/>
              <w:rPr>
                <w:rFonts w:hint="eastAsia" w:ascii="宋体" w:hAnsi="宋体" w:cs="Calibri"/>
                <w:iCs/>
                <w:color w:val="auto"/>
                <w:sz w:val="24"/>
                <w:highlight w:val="none"/>
              </w:rPr>
            </w:pPr>
            <w:r>
              <w:rPr>
                <w:rFonts w:hint="eastAsia" w:ascii="楷体" w:hAnsi="楷体" w:eastAsia="仿宋"/>
                <w:color w:val="auto"/>
                <w:sz w:val="24"/>
                <w:highlight w:val="none"/>
              </w:rPr>
              <w:t>如未在招标文件规定的投标时间截止前网上上传加密的电子投标文件，而只递交了未加密的电子投标文件的，投标无效。</w:t>
            </w:r>
          </w:p>
        </w:tc>
      </w:tr>
      <w:tr w14:paraId="3DA6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9335103">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370E6CE0">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是否退还投标文件</w:t>
            </w:r>
          </w:p>
        </w:tc>
        <w:tc>
          <w:tcPr>
            <w:tcW w:w="7229" w:type="dxa"/>
            <w:noWrap w:val="0"/>
            <w:vAlign w:val="center"/>
          </w:tcPr>
          <w:p w14:paraId="4B5792F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b/>
                <w:bCs/>
                <w:color w:val="auto"/>
                <w:sz w:val="24"/>
                <w:highlight w:val="none"/>
              </w:rPr>
              <w:sym w:font="Wingdings" w:char="F0FE"/>
            </w:r>
            <w:r>
              <w:rPr>
                <w:rFonts w:hint="eastAsia" w:ascii="宋体" w:hAnsi="宋体" w:eastAsia="仿宋" w:cs="Calibri"/>
                <w:color w:val="auto"/>
                <w:sz w:val="24"/>
                <w:highlight w:val="none"/>
              </w:rPr>
              <w:t>否，其中样品的退还规定见本章第3.1.4项</w:t>
            </w:r>
          </w:p>
          <w:p w14:paraId="4BFEE286">
            <w:pPr>
              <w:widowControl/>
              <w:adjustRightInd w:val="0"/>
              <w:snapToGrid w:val="0"/>
              <w:spacing w:line="288" w:lineRule="auto"/>
              <w:rPr>
                <w:rFonts w:ascii="宋体" w:hAnsi="宋体" w:cs="Calibri"/>
                <w:color w:val="auto"/>
                <w:sz w:val="24"/>
                <w:highlight w:val="none"/>
              </w:rPr>
            </w:pPr>
            <w:r>
              <w:rPr>
                <w:rFonts w:hint="eastAsia" w:ascii="宋体" w:hAnsi="宋体" w:eastAsia="仿宋" w:cs="Calibri"/>
                <w:color w:val="auto"/>
                <w:sz w:val="24"/>
                <w:highlight w:val="none"/>
              </w:rPr>
              <w:t>□是，退还安排：</w:t>
            </w:r>
            <w:r>
              <w:rPr>
                <w:rFonts w:ascii="宋体" w:hAnsi="宋体" w:eastAsia="仿宋" w:cs="Calibri"/>
                <w:color w:val="auto"/>
                <w:sz w:val="24"/>
                <w:highlight w:val="none"/>
                <w:u w:val="single"/>
              </w:rPr>
              <w:t xml:space="preserve">                         </w:t>
            </w:r>
          </w:p>
        </w:tc>
      </w:tr>
      <w:tr w14:paraId="234D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1D3E8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5.2（4）</w:t>
            </w:r>
          </w:p>
        </w:tc>
        <w:tc>
          <w:tcPr>
            <w:tcW w:w="1581" w:type="dxa"/>
            <w:noWrap w:val="0"/>
            <w:vAlign w:val="center"/>
          </w:tcPr>
          <w:p w14:paraId="086AEBB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开标程序</w:t>
            </w:r>
          </w:p>
        </w:tc>
        <w:tc>
          <w:tcPr>
            <w:tcW w:w="7229" w:type="dxa"/>
            <w:noWrap w:val="0"/>
            <w:vAlign w:val="center"/>
          </w:tcPr>
          <w:p w14:paraId="171E5E8D">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rPr>
              <w:t>30分钟以内，以电子交易平台时间为准</w:t>
            </w:r>
          </w:p>
          <w:p w14:paraId="23DB58E0">
            <w:pPr>
              <w:widowControl/>
              <w:adjustRightInd w:val="0"/>
              <w:snapToGrid w:val="0"/>
              <w:spacing w:line="288" w:lineRule="auto"/>
              <w:rPr>
                <w:rFonts w:hint="eastAsia" w:ascii="宋体" w:hAnsi="宋体" w:cs="Calibri"/>
                <w:color w:val="auto"/>
                <w:sz w:val="24"/>
                <w:highlight w:val="none"/>
              </w:rPr>
            </w:pPr>
            <w:r>
              <w:rPr>
                <w:rFonts w:hint="eastAsia" w:ascii="宋体" w:hAnsi="宋体" w:eastAsia="仿宋" w:cs="Calibri"/>
                <w:color w:val="auto"/>
                <w:sz w:val="24"/>
                <w:highlight w:val="none"/>
              </w:rPr>
              <w:t>其他要求：</w:t>
            </w:r>
            <w:r>
              <w:rPr>
                <w:rFonts w:hint="eastAsia" w:ascii="楷体" w:hAnsi="楷体" w:eastAsia="仿宋" w:cs="Calibri"/>
                <w:color w:val="auto"/>
                <w:sz w:val="24"/>
                <w:highlight w:val="none"/>
              </w:rPr>
              <w:t>投标文件解密可以采用网上远程方式，无需到开标现场进行解密。解密的CA锁必须与投标文件加密的CA锁一致，否则造成的后果由投标人自行承担</w:t>
            </w:r>
          </w:p>
        </w:tc>
      </w:tr>
      <w:tr w14:paraId="4C78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1D8E92B">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6.3.2</w:t>
            </w:r>
          </w:p>
        </w:tc>
        <w:tc>
          <w:tcPr>
            <w:tcW w:w="1581" w:type="dxa"/>
            <w:noWrap w:val="0"/>
            <w:vAlign w:val="center"/>
          </w:tcPr>
          <w:p w14:paraId="73CBE65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评标委员会推荐中标候选人的人数</w:t>
            </w:r>
          </w:p>
        </w:tc>
        <w:tc>
          <w:tcPr>
            <w:tcW w:w="7229" w:type="dxa"/>
            <w:noWrap w:val="0"/>
            <w:vAlign w:val="center"/>
          </w:tcPr>
          <w:p w14:paraId="1ED29C36">
            <w:pPr>
              <w:widowControl/>
              <w:adjustRightInd w:val="0"/>
              <w:snapToGrid w:val="0"/>
              <w:spacing w:line="288" w:lineRule="auto"/>
              <w:rPr>
                <w:rFonts w:ascii="宋体" w:hAnsi="宋体" w:cs="Calibri"/>
                <w:color w:val="auto"/>
                <w:sz w:val="24"/>
                <w:highlight w:val="none"/>
                <w:u w:val="single"/>
              </w:rPr>
            </w:pPr>
            <w:r>
              <w:rPr>
                <w:rFonts w:hint="eastAsia" w:ascii="宋体" w:hAnsi="宋体" w:eastAsia="仿宋" w:cs="Calibri"/>
                <w:color w:val="auto"/>
                <w:sz w:val="24"/>
                <w:highlight w:val="none"/>
              </w:rPr>
              <w:t>评标委员会推荐的中标候选人数量：1-3名</w:t>
            </w:r>
          </w:p>
        </w:tc>
      </w:tr>
      <w:tr w14:paraId="6B1C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8C91D2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5BDFB80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是否授权评标委员会确定中标人</w:t>
            </w:r>
          </w:p>
        </w:tc>
        <w:tc>
          <w:tcPr>
            <w:tcW w:w="7229" w:type="dxa"/>
            <w:noWrap w:val="0"/>
            <w:vAlign w:val="center"/>
          </w:tcPr>
          <w:p w14:paraId="44C48B48">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☑否</w:t>
            </w:r>
          </w:p>
          <w:p w14:paraId="75BFD92C">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□是</w:t>
            </w:r>
          </w:p>
        </w:tc>
      </w:tr>
      <w:tr w14:paraId="7516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A6B81EA">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3BA94ABB">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中标结果公告</w:t>
            </w:r>
          </w:p>
        </w:tc>
        <w:tc>
          <w:tcPr>
            <w:tcW w:w="7229" w:type="dxa"/>
            <w:noWrap w:val="0"/>
            <w:vAlign w:val="center"/>
          </w:tcPr>
          <w:p w14:paraId="44E07F2D">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公告方式：在发布招标公告的媒介上发布本项目中标结果公告</w:t>
            </w:r>
          </w:p>
          <w:p w14:paraId="540B94B0">
            <w:pPr>
              <w:widowControl/>
              <w:adjustRightInd w:val="0"/>
              <w:snapToGrid w:val="0"/>
              <w:spacing w:line="288" w:lineRule="auto"/>
              <w:rPr>
                <w:rFonts w:hint="eastAsia" w:ascii="宋体" w:hAnsi="宋体"/>
                <w:color w:val="auto"/>
                <w:sz w:val="24"/>
                <w:highlight w:val="none"/>
                <w:u w:val="single"/>
              </w:rPr>
            </w:pPr>
            <w:r>
              <w:rPr>
                <w:rFonts w:hint="eastAsia" w:ascii="宋体" w:hAnsi="宋体" w:eastAsia="仿宋"/>
                <w:color w:val="auto"/>
                <w:sz w:val="24"/>
                <w:highlight w:val="none"/>
              </w:rPr>
              <w:t>公告内容：按照财政部《政府采购公告和公示信息格式规范（2020年版）》中的“中标（成交）结果公告”格式及内容编制</w:t>
            </w:r>
          </w:p>
        </w:tc>
      </w:tr>
      <w:tr w14:paraId="25FD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B35B8C">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7.2.2</w:t>
            </w:r>
          </w:p>
        </w:tc>
        <w:tc>
          <w:tcPr>
            <w:tcW w:w="1581" w:type="dxa"/>
            <w:noWrap w:val="0"/>
            <w:vAlign w:val="center"/>
          </w:tcPr>
          <w:p w14:paraId="6CE7A037">
            <w:pPr>
              <w:widowControl/>
              <w:adjustRightInd w:val="0"/>
              <w:snapToGrid w:val="0"/>
              <w:spacing w:line="288" w:lineRule="auto"/>
              <w:jc w:val="center"/>
              <w:rPr>
                <w:rFonts w:hint="eastAsia" w:ascii="宋体" w:hAnsi="宋体" w:cs="Calibri"/>
                <w:color w:val="auto"/>
                <w:kern w:val="2"/>
                <w:sz w:val="24"/>
                <w:szCs w:val="24"/>
                <w:highlight w:val="none"/>
                <w:lang w:val="en-US" w:eastAsia="zh-CN" w:bidi="ar-SA"/>
              </w:rPr>
            </w:pPr>
            <w:r>
              <w:rPr>
                <w:rFonts w:hint="eastAsia" w:ascii="宋体" w:hAnsi="宋体" w:eastAsia="仿宋" w:cs="Calibri"/>
                <w:color w:val="auto"/>
                <w:sz w:val="24"/>
                <w:highlight w:val="none"/>
              </w:rPr>
              <w:t>招标代理服务费</w:t>
            </w:r>
          </w:p>
        </w:tc>
        <w:tc>
          <w:tcPr>
            <w:tcW w:w="7229" w:type="dxa"/>
            <w:noWrap w:val="0"/>
            <w:vAlign w:val="center"/>
          </w:tcPr>
          <w:p w14:paraId="336EADC9">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中标人须向招标代理机构按如下标准和规定交纳招标代理服务费：</w:t>
            </w:r>
          </w:p>
          <w:p w14:paraId="4931F64E">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（1）招标代理服务费收费以中标金额为计算基数，中标金额以中标通知书列明的金额为准。</w:t>
            </w:r>
          </w:p>
          <w:p w14:paraId="685EA6AA">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（2）招标代理服务费收费根据中标标的性质类型，按如下标准，差额定率累进法计算：</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2"/>
              <w:gridCol w:w="1259"/>
              <w:gridCol w:w="1218"/>
              <w:gridCol w:w="1349"/>
            </w:tblGrid>
            <w:tr w14:paraId="3775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restart"/>
                  <w:noWrap/>
                  <w:vAlign w:val="center"/>
                </w:tcPr>
                <w:p w14:paraId="5DB5120B">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中标金额</w:t>
                  </w:r>
                </w:p>
                <w:p w14:paraId="210B5D27">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3826" w:type="dxa"/>
                  <w:gridSpan w:val="3"/>
                  <w:noWrap/>
                  <w:vAlign w:val="center"/>
                </w:tcPr>
                <w:p w14:paraId="124B835A">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w:t>
                  </w:r>
                </w:p>
              </w:tc>
            </w:tr>
            <w:tr w14:paraId="08FA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continue"/>
                  <w:noWrap/>
                  <w:vAlign w:val="center"/>
                </w:tcPr>
                <w:p w14:paraId="6ACB4627">
                  <w:pPr>
                    <w:rPr>
                      <w:rFonts w:hint="eastAsia" w:ascii="仿宋" w:hAnsi="仿宋" w:eastAsia="仿宋" w:cs="仿宋"/>
                      <w:color w:val="auto"/>
                      <w:sz w:val="24"/>
                      <w:szCs w:val="24"/>
                      <w:highlight w:val="none"/>
                    </w:rPr>
                  </w:pPr>
                </w:p>
              </w:tc>
              <w:tc>
                <w:tcPr>
                  <w:tcW w:w="1259" w:type="dxa"/>
                  <w:noWrap/>
                  <w:vAlign w:val="center"/>
                </w:tcPr>
                <w:p w14:paraId="2C2F3E0C">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货物类</w:t>
                  </w:r>
                </w:p>
              </w:tc>
              <w:tc>
                <w:tcPr>
                  <w:tcW w:w="1218" w:type="dxa"/>
                  <w:noWrap/>
                  <w:vAlign w:val="center"/>
                </w:tcPr>
                <w:p w14:paraId="2047357F">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服务类</w:t>
                  </w:r>
                </w:p>
              </w:tc>
              <w:tc>
                <w:tcPr>
                  <w:tcW w:w="1349" w:type="dxa"/>
                  <w:noWrap/>
                  <w:vAlign w:val="center"/>
                </w:tcPr>
                <w:p w14:paraId="322A7A39">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工程类</w:t>
                  </w:r>
                </w:p>
              </w:tc>
            </w:tr>
            <w:tr w14:paraId="63D1B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0C135A71">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259" w:type="dxa"/>
                  <w:noWrap/>
                  <w:vAlign w:val="center"/>
                </w:tcPr>
                <w:p w14:paraId="219FD81E">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218" w:type="dxa"/>
                  <w:noWrap/>
                  <w:vAlign w:val="center"/>
                </w:tcPr>
                <w:p w14:paraId="42E7DD03">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1.50%</w:t>
                  </w:r>
                </w:p>
              </w:tc>
              <w:tc>
                <w:tcPr>
                  <w:tcW w:w="1349" w:type="dxa"/>
                  <w:noWrap/>
                  <w:vAlign w:val="center"/>
                </w:tcPr>
                <w:p w14:paraId="6B2E2E4A">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79EEE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35CF9FF3">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259" w:type="dxa"/>
                  <w:noWrap/>
                  <w:vAlign w:val="center"/>
                </w:tcPr>
                <w:p w14:paraId="3ED2C07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218" w:type="dxa"/>
                  <w:noWrap/>
                  <w:vAlign w:val="center"/>
                </w:tcPr>
                <w:p w14:paraId="26F4C9EE">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0.80%</w:t>
                  </w:r>
                </w:p>
              </w:tc>
              <w:tc>
                <w:tcPr>
                  <w:tcW w:w="1349" w:type="dxa"/>
                  <w:noWrap/>
                  <w:vAlign w:val="center"/>
                </w:tcPr>
                <w:p w14:paraId="5FD204D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0.70%</w:t>
                  </w:r>
                </w:p>
              </w:tc>
            </w:tr>
            <w:tr w14:paraId="16E74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442" w:type="dxa"/>
                  <w:noWrap/>
                  <w:vAlign w:val="center"/>
                </w:tcPr>
                <w:p w14:paraId="3AD09752">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1259" w:type="dxa"/>
                  <w:noWrap/>
                  <w:vAlign w:val="center"/>
                </w:tcPr>
                <w:p w14:paraId="4FFC21CB">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218" w:type="dxa"/>
                  <w:noWrap/>
                  <w:vAlign w:val="center"/>
                </w:tcPr>
                <w:p w14:paraId="602878C0">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349" w:type="dxa"/>
                  <w:noWrap/>
                  <w:vAlign w:val="center"/>
                </w:tcPr>
                <w:p w14:paraId="65E0A228">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14:paraId="36FB1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442" w:type="dxa"/>
                  <w:noWrap/>
                  <w:vAlign w:val="center"/>
                </w:tcPr>
                <w:p w14:paraId="06DE09E1">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1259" w:type="dxa"/>
                  <w:noWrap/>
                  <w:vAlign w:val="center"/>
                </w:tcPr>
                <w:p w14:paraId="0883F8E9">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218" w:type="dxa"/>
                  <w:noWrap/>
                  <w:vAlign w:val="center"/>
                </w:tcPr>
                <w:p w14:paraId="450CF376">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349" w:type="dxa"/>
                  <w:noWrap/>
                  <w:vAlign w:val="center"/>
                </w:tcPr>
                <w:p w14:paraId="25D7DEFF">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14:paraId="1404A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442" w:type="dxa"/>
                  <w:noWrap/>
                  <w:vAlign w:val="center"/>
                </w:tcPr>
                <w:p w14:paraId="28996CB8">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1259" w:type="dxa"/>
                  <w:noWrap/>
                  <w:vAlign w:val="center"/>
                </w:tcPr>
                <w:p w14:paraId="0E645AC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218" w:type="dxa"/>
                  <w:noWrap/>
                  <w:vAlign w:val="center"/>
                </w:tcPr>
                <w:p w14:paraId="2FA99D4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0.10%</w:t>
                  </w:r>
                </w:p>
              </w:tc>
              <w:tc>
                <w:tcPr>
                  <w:tcW w:w="1349" w:type="dxa"/>
                  <w:noWrap/>
                  <w:vAlign w:val="center"/>
                </w:tcPr>
                <w:p w14:paraId="76FD8C4A">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0.20%</w:t>
                  </w:r>
                </w:p>
              </w:tc>
            </w:tr>
            <w:tr w14:paraId="5E9EE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268" w:type="dxa"/>
                  <w:gridSpan w:val="4"/>
                  <w:noWrap/>
                  <w:vAlign w:val="center"/>
                </w:tcPr>
                <w:p w14:paraId="0F6B1198">
                  <w:pPr>
                    <w:widowControl/>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应参照以上规定的</w:t>
                  </w:r>
                  <w:r>
                    <w:rPr>
                      <w:rFonts w:hint="eastAsia" w:ascii="仿宋" w:hAnsi="仿宋" w:eastAsia="仿宋" w:cs="仿宋"/>
                      <w:color w:val="auto"/>
                      <w:sz w:val="24"/>
                      <w:szCs w:val="24"/>
                      <w:highlight w:val="none"/>
                      <w:lang w:val="en-US" w:eastAsia="zh-CN"/>
                    </w:rPr>
                    <w:t>货物类</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代理机构交纳采购代理服务费。</w:t>
                  </w:r>
                </w:p>
              </w:tc>
            </w:tr>
          </w:tbl>
          <w:p w14:paraId="5547C6C7">
            <w:pPr>
              <w:widowControl/>
              <w:adjustRightInd w:val="0"/>
              <w:snapToGrid w:val="0"/>
              <w:spacing w:line="288" w:lineRule="auto"/>
              <w:rPr>
                <w:rFonts w:hint="eastAsia" w:ascii="楷体" w:hAnsi="楷体" w:eastAsia="仿宋" w:cs="Calibri"/>
                <w:color w:val="auto"/>
                <w:kern w:val="2"/>
                <w:sz w:val="24"/>
                <w:szCs w:val="24"/>
                <w:highlight w:val="none"/>
                <w:lang w:val="en-US" w:eastAsia="zh-CN" w:bidi="ar-SA"/>
              </w:rPr>
            </w:pPr>
          </w:p>
        </w:tc>
      </w:tr>
      <w:tr w14:paraId="7B26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E32261">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7.3.1</w:t>
            </w:r>
          </w:p>
        </w:tc>
        <w:tc>
          <w:tcPr>
            <w:tcW w:w="1581" w:type="dxa"/>
            <w:noWrap w:val="0"/>
            <w:vAlign w:val="center"/>
          </w:tcPr>
          <w:p w14:paraId="6E10D468">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34CA0A9C">
            <w:pPr>
              <w:kinsoku w:val="0"/>
              <w:overflowPunct w:val="0"/>
              <w:autoSpaceDE w:val="0"/>
              <w:autoSpaceDN w:val="0"/>
              <w:adjustRightInd w:val="0"/>
              <w:snapToGrid w:val="0"/>
              <w:spacing w:line="288" w:lineRule="auto"/>
              <w:rPr>
                <w:rFonts w:hint="eastAsia" w:eastAsia="仿宋"/>
                <w:color w:val="auto"/>
                <w:sz w:val="24"/>
                <w:highlight w:val="none"/>
              </w:rPr>
            </w:pPr>
            <w:r>
              <w:rPr>
                <w:rFonts w:hint="eastAsia" w:eastAsia="仿宋"/>
                <w:color w:val="auto"/>
                <w:sz w:val="24"/>
                <w:highlight w:val="none"/>
              </w:rPr>
              <w:t>是否要求投标人提交履约保证金：</w:t>
            </w:r>
          </w:p>
          <w:p w14:paraId="11201B30">
            <w:pPr>
              <w:kinsoku w:val="0"/>
              <w:overflowPunct w:val="0"/>
              <w:autoSpaceDE w:val="0"/>
              <w:autoSpaceDN w:val="0"/>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eastAsia="仿宋"/>
                <w:color w:val="auto"/>
                <w:sz w:val="24"/>
                <w:highlight w:val="none"/>
              </w:rPr>
              <w:t>不要求。</w:t>
            </w:r>
          </w:p>
          <w:p w14:paraId="0CA75CEB">
            <w:pPr>
              <w:widowControl/>
              <w:adjustRightInd w:val="0"/>
              <w:snapToGrid w:val="0"/>
              <w:spacing w:line="288" w:lineRule="auto"/>
              <w:rPr>
                <w:rFonts w:ascii="宋体" w:hAnsi="宋体" w:eastAsia="仿宋"/>
                <w:color w:val="auto"/>
                <w:sz w:val="24"/>
                <w:highlight w:val="none"/>
              </w:rPr>
            </w:pPr>
            <w:r>
              <w:rPr>
                <w:rFonts w:hint="eastAsia" w:ascii="宋体" w:hAnsi="宋体" w:eastAsia="仿宋"/>
                <w:color w:val="auto"/>
                <w:sz w:val="24"/>
                <w:highlight w:val="none"/>
              </w:rPr>
              <w:t>☑</w:t>
            </w:r>
            <w:r>
              <w:rPr>
                <w:rFonts w:hint="eastAsia" w:eastAsia="仿宋"/>
                <w:color w:val="auto"/>
                <w:sz w:val="24"/>
                <w:highlight w:val="none"/>
              </w:rPr>
              <w:t>要求，</w:t>
            </w:r>
            <w:r>
              <w:rPr>
                <w:rFonts w:ascii="宋体" w:hAnsi="宋体" w:eastAsia="仿宋"/>
                <w:color w:val="auto"/>
                <w:sz w:val="24"/>
                <w:highlight w:val="none"/>
              </w:rPr>
              <w:t>履约保证金的形式：</w:t>
            </w:r>
            <w:r>
              <w:rPr>
                <w:rFonts w:hint="eastAsia" w:ascii="楷体" w:hAnsi="楷体" w:eastAsia="仿宋"/>
                <w:color w:val="auto"/>
                <w:sz w:val="24"/>
                <w:highlight w:val="none"/>
              </w:rPr>
              <w:t>保函（格式：见招标文件第五章附件）、转账/电汇、支票、汇票、本票、保险</w:t>
            </w:r>
          </w:p>
          <w:p w14:paraId="1F3A9758">
            <w:pPr>
              <w:widowControl/>
              <w:adjustRightInd w:val="0"/>
              <w:snapToGrid w:val="0"/>
              <w:spacing w:line="288" w:lineRule="auto"/>
              <w:rPr>
                <w:rFonts w:hint="eastAsia" w:ascii="宋体" w:hAnsi="宋体" w:eastAsia="仿宋"/>
                <w:color w:val="auto"/>
                <w:sz w:val="24"/>
                <w:highlight w:val="none"/>
              </w:rPr>
            </w:pPr>
            <w:r>
              <w:rPr>
                <w:rFonts w:ascii="宋体" w:hAnsi="宋体" w:eastAsia="仿宋"/>
                <w:color w:val="auto"/>
                <w:sz w:val="24"/>
                <w:highlight w:val="none"/>
              </w:rPr>
              <w:t>履约保证金的金额：</w:t>
            </w:r>
            <w:r>
              <w:rPr>
                <w:rFonts w:hint="eastAsia" w:ascii="楷体" w:hAnsi="楷体" w:eastAsia="仿宋"/>
                <w:color w:val="auto"/>
                <w:sz w:val="24"/>
                <w:highlight w:val="none"/>
              </w:rPr>
              <w:t>合同金额的2.5%</w:t>
            </w:r>
          </w:p>
          <w:p w14:paraId="4C902E27">
            <w:pPr>
              <w:pStyle w:val="10"/>
              <w:widowControl/>
              <w:adjustRightInd w:val="0"/>
              <w:snapToGrid w:val="0"/>
              <w:spacing w:line="288" w:lineRule="auto"/>
              <w:rPr>
                <w:rFonts w:hint="eastAsia" w:ascii="楷体" w:hAnsi="楷体" w:eastAsia="仿宋"/>
                <w:color w:val="auto"/>
                <w:sz w:val="24"/>
                <w:szCs w:val="24"/>
                <w:highlight w:val="none"/>
              </w:rPr>
            </w:pPr>
            <w:r>
              <w:rPr>
                <w:rFonts w:hint="eastAsia" w:hAnsi="宋体" w:eastAsia="仿宋"/>
                <w:color w:val="auto"/>
                <w:sz w:val="24"/>
                <w:szCs w:val="24"/>
                <w:highlight w:val="none"/>
              </w:rPr>
              <w:t>履约保证金提交时间：采购</w:t>
            </w:r>
            <w:r>
              <w:rPr>
                <w:rFonts w:hint="eastAsia" w:ascii="楷体" w:hAnsi="楷体" w:eastAsia="仿宋"/>
                <w:color w:val="auto"/>
                <w:sz w:val="24"/>
                <w:szCs w:val="24"/>
                <w:highlight w:val="none"/>
              </w:rPr>
              <w:t>合同签订前</w:t>
            </w:r>
          </w:p>
          <w:p w14:paraId="119724AD">
            <w:pPr>
              <w:pStyle w:val="10"/>
              <w:widowControl/>
              <w:adjustRightInd w:val="0"/>
              <w:snapToGrid w:val="0"/>
              <w:spacing w:line="288" w:lineRule="auto"/>
              <w:rPr>
                <w:rFonts w:hint="eastAsia" w:ascii="楷体" w:hAnsi="楷体" w:eastAsia="仿宋"/>
                <w:color w:val="auto"/>
                <w:sz w:val="24"/>
                <w:szCs w:val="24"/>
                <w:highlight w:val="none"/>
              </w:rPr>
            </w:pPr>
            <w:r>
              <w:rPr>
                <w:rFonts w:hint="eastAsia" w:hAnsi="宋体" w:eastAsia="仿宋"/>
                <w:color w:val="auto"/>
                <w:sz w:val="24"/>
                <w:szCs w:val="24"/>
                <w:highlight w:val="none"/>
              </w:rPr>
              <w:t>履约保证金退还时间：</w:t>
            </w:r>
            <w:r>
              <w:rPr>
                <w:rFonts w:hint="eastAsia" w:ascii="楷体" w:hAnsi="楷体" w:eastAsia="仿宋"/>
                <w:color w:val="auto"/>
                <w:sz w:val="24"/>
                <w:szCs w:val="24"/>
                <w:highlight w:val="none"/>
              </w:rPr>
              <w:t>验收合格后退还</w:t>
            </w:r>
          </w:p>
          <w:p w14:paraId="2A8CFE9A">
            <w:pPr>
              <w:pStyle w:val="10"/>
              <w:widowControl/>
              <w:adjustRightInd w:val="0"/>
              <w:snapToGrid w:val="0"/>
              <w:spacing w:line="288" w:lineRule="auto"/>
              <w:rPr>
                <w:rFonts w:hint="eastAsia" w:hAnsi="宋体" w:eastAsia="仿宋"/>
                <w:color w:val="auto"/>
                <w:sz w:val="24"/>
                <w:szCs w:val="24"/>
                <w:highlight w:val="none"/>
              </w:rPr>
            </w:pPr>
            <w:r>
              <w:rPr>
                <w:rFonts w:hint="eastAsia" w:hAnsi="宋体" w:eastAsia="仿宋"/>
                <w:color w:val="auto"/>
                <w:sz w:val="24"/>
                <w:szCs w:val="24"/>
                <w:highlight w:val="none"/>
              </w:rPr>
              <w:t>未按规定提交履约保证金，视为中标人拒绝与采购人签订合同。采购人可按评标委员会推荐的中标候选人名单排序确定下一候选人为中标人，或者重新开展采购活动。</w:t>
            </w:r>
          </w:p>
          <w:p w14:paraId="6D2D552D">
            <w:pPr>
              <w:pStyle w:val="10"/>
              <w:widowControl/>
              <w:adjustRightInd w:val="0"/>
              <w:snapToGrid w:val="0"/>
              <w:spacing w:line="288" w:lineRule="auto"/>
              <w:rPr>
                <w:rFonts w:hint="eastAsia" w:hAnsi="宋体" w:eastAsia="仿宋"/>
                <w:color w:val="auto"/>
                <w:sz w:val="24"/>
                <w:szCs w:val="24"/>
                <w:highlight w:val="none"/>
              </w:rPr>
            </w:pPr>
          </w:p>
          <w:p w14:paraId="4D02F5C1">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6CB09EE5">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72FCA0F0">
            <w:pPr>
              <w:widowControl/>
              <w:adjustRightInd w:val="0"/>
              <w:snapToGrid w:val="0"/>
              <w:spacing w:line="288" w:lineRule="auto"/>
              <w:rPr>
                <w:rFonts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06F001B2">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4DC65141">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2AD0FAF1">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337A5A64">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6B17CB06">
            <w:pPr>
              <w:widowControl/>
              <w:adjustRightInd w:val="0"/>
              <w:snapToGrid w:val="0"/>
              <w:spacing w:line="288" w:lineRule="auto"/>
              <w:rPr>
                <w:rFonts w:hint="eastAsia" w:ascii="宋体" w:hAnsi="宋体" w:eastAsia="仿宋" w:cs="Calibri"/>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olor w:val="auto"/>
                <w:sz w:val="24"/>
                <w:highlight w:val="none"/>
              </w:rPr>
              <w:t>可访问安徽省政府采购网“融资/保函”栏目进行申请。</w:t>
            </w:r>
          </w:p>
        </w:tc>
      </w:tr>
      <w:tr w14:paraId="3697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5354F95">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7.4.1</w:t>
            </w:r>
          </w:p>
        </w:tc>
        <w:tc>
          <w:tcPr>
            <w:tcW w:w="1581" w:type="dxa"/>
            <w:noWrap w:val="0"/>
            <w:vAlign w:val="center"/>
          </w:tcPr>
          <w:p w14:paraId="58B72F9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合同签订时间</w:t>
            </w:r>
          </w:p>
        </w:tc>
        <w:tc>
          <w:tcPr>
            <w:tcW w:w="7229" w:type="dxa"/>
            <w:noWrap w:val="0"/>
            <w:vAlign w:val="center"/>
          </w:tcPr>
          <w:p w14:paraId="2FADCD54">
            <w:pPr>
              <w:pStyle w:val="10"/>
              <w:widowControl/>
              <w:adjustRightInd w:val="0"/>
              <w:snapToGrid w:val="0"/>
              <w:spacing w:line="288" w:lineRule="auto"/>
              <w:rPr>
                <w:rFonts w:hint="eastAsia" w:hAnsi="宋体"/>
                <w:color w:val="auto"/>
                <w:sz w:val="24"/>
                <w:szCs w:val="24"/>
                <w:highlight w:val="none"/>
              </w:rPr>
            </w:pPr>
            <w:r>
              <w:rPr>
                <w:rFonts w:hint="eastAsia" w:ascii="楷体" w:hAnsi="楷体" w:eastAsia="仿宋" w:cs="楷体"/>
                <w:color w:val="auto"/>
                <w:sz w:val="24"/>
                <w:szCs w:val="24"/>
                <w:highlight w:val="none"/>
              </w:rPr>
              <w:t>中标结果公告发布（中标通知书发出）之日起7个工作日内</w:t>
            </w:r>
          </w:p>
        </w:tc>
      </w:tr>
      <w:tr w14:paraId="54CC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50C09F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9.1.1</w:t>
            </w:r>
          </w:p>
        </w:tc>
        <w:tc>
          <w:tcPr>
            <w:tcW w:w="1581" w:type="dxa"/>
            <w:noWrap w:val="0"/>
            <w:vAlign w:val="center"/>
          </w:tcPr>
          <w:p w14:paraId="563A68AE">
            <w:pPr>
              <w:widowControl/>
              <w:adjustRightInd w:val="0"/>
              <w:snapToGrid w:val="0"/>
              <w:spacing w:line="288" w:lineRule="auto"/>
              <w:jc w:val="center"/>
              <w:rPr>
                <w:rFonts w:ascii="宋体" w:hAnsi="宋体" w:eastAsia="仿宋" w:cs="Calibri"/>
                <w:color w:val="auto"/>
                <w:sz w:val="24"/>
                <w:highlight w:val="none"/>
              </w:rPr>
            </w:pPr>
            <w:r>
              <w:rPr>
                <w:rFonts w:eastAsia="仿宋"/>
                <w:color w:val="auto"/>
                <w:sz w:val="24"/>
                <w:highlight w:val="none"/>
              </w:rPr>
              <w:t>投标人</w:t>
            </w:r>
            <w:r>
              <w:rPr>
                <w:rFonts w:hint="eastAsia" w:eastAsia="仿宋"/>
                <w:color w:val="auto"/>
                <w:sz w:val="24"/>
                <w:highlight w:val="none"/>
              </w:rPr>
              <w:t>提出询问</w:t>
            </w:r>
            <w:r>
              <w:rPr>
                <w:rFonts w:hint="eastAsia" w:ascii="宋体" w:hAnsi="宋体" w:eastAsia="仿宋" w:cs="Calibri"/>
                <w:color w:val="auto"/>
                <w:sz w:val="24"/>
                <w:highlight w:val="none"/>
              </w:rPr>
              <w:t>的时间</w:t>
            </w:r>
          </w:p>
        </w:tc>
        <w:tc>
          <w:tcPr>
            <w:tcW w:w="7229" w:type="dxa"/>
            <w:noWrap w:val="0"/>
            <w:vAlign w:val="center"/>
          </w:tcPr>
          <w:p w14:paraId="10608EF0">
            <w:pPr>
              <w:widowControl/>
              <w:adjustRightInd w:val="0"/>
              <w:snapToGrid w:val="0"/>
              <w:spacing w:line="288" w:lineRule="auto"/>
              <w:rPr>
                <w:rFonts w:hint="eastAsia" w:ascii="宋体" w:hAnsi="宋体" w:eastAsia="仿宋" w:cs="Calibri"/>
                <w:color w:val="auto"/>
                <w:sz w:val="24"/>
                <w:highlight w:val="none"/>
              </w:rPr>
            </w:pPr>
            <w:r>
              <w:rPr>
                <w:rFonts w:hint="eastAsia" w:eastAsia="仿宋"/>
                <w:color w:val="auto"/>
                <w:sz w:val="24"/>
                <w:highlight w:val="none"/>
              </w:rPr>
              <w:t>提出</w:t>
            </w:r>
            <w:r>
              <w:rPr>
                <w:rFonts w:hint="eastAsia" w:ascii="宋体" w:hAnsi="宋体" w:eastAsia="仿宋" w:cs="Calibri"/>
                <w:color w:val="auto"/>
                <w:sz w:val="24"/>
                <w:highlight w:val="none"/>
              </w:rPr>
              <w:t>时间：</w:t>
            </w:r>
            <w:r>
              <w:rPr>
                <w:rFonts w:ascii="楷体" w:hAnsi="楷体" w:eastAsia="仿宋"/>
                <w:color w:val="auto"/>
                <w:sz w:val="24"/>
                <w:highlight w:val="none"/>
              </w:rPr>
              <w:t>在</w:t>
            </w:r>
            <w:r>
              <w:rPr>
                <w:rFonts w:hint="eastAsia" w:ascii="楷体" w:hAnsi="楷体" w:eastAsia="仿宋"/>
                <w:color w:val="auto"/>
                <w:sz w:val="24"/>
                <w:highlight w:val="none"/>
              </w:rPr>
              <w:t>投标截止时间16日</w:t>
            </w:r>
            <w:r>
              <w:rPr>
                <w:rFonts w:ascii="楷体" w:hAnsi="楷体" w:eastAsia="仿宋"/>
                <w:color w:val="auto"/>
                <w:sz w:val="24"/>
                <w:highlight w:val="none"/>
              </w:rPr>
              <w:t>前（以收到日期为准）</w:t>
            </w:r>
          </w:p>
          <w:p w14:paraId="585A02BF">
            <w:pPr>
              <w:widowControl/>
              <w:adjustRightInd w:val="0"/>
              <w:snapToGrid w:val="0"/>
              <w:spacing w:line="288" w:lineRule="auto"/>
              <w:rPr>
                <w:rFonts w:hint="eastAsia" w:ascii="楷体" w:hAnsi="楷体" w:eastAsia="仿宋"/>
                <w:color w:val="auto"/>
                <w:sz w:val="24"/>
                <w:highlight w:val="none"/>
                <w:u w:val="single"/>
              </w:rPr>
            </w:pPr>
            <w:r>
              <w:rPr>
                <w:rFonts w:hint="eastAsia" w:ascii="宋体" w:hAnsi="宋体" w:eastAsia="仿宋"/>
                <w:color w:val="auto"/>
                <w:sz w:val="24"/>
                <w:highlight w:val="none"/>
              </w:rPr>
              <w:t>询问函格式：见本章附件二</w:t>
            </w:r>
          </w:p>
        </w:tc>
      </w:tr>
      <w:tr w14:paraId="2EA0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9D8A3B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9.2.1</w:t>
            </w:r>
          </w:p>
        </w:tc>
        <w:tc>
          <w:tcPr>
            <w:tcW w:w="1581" w:type="dxa"/>
            <w:noWrap w:val="0"/>
            <w:vAlign w:val="center"/>
          </w:tcPr>
          <w:p w14:paraId="5143A00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投标人提出质疑的时间</w:t>
            </w:r>
          </w:p>
        </w:tc>
        <w:tc>
          <w:tcPr>
            <w:tcW w:w="7229" w:type="dxa"/>
            <w:noWrap w:val="0"/>
            <w:vAlign w:val="center"/>
          </w:tcPr>
          <w:p w14:paraId="339006E0">
            <w:pPr>
              <w:widowControl/>
              <w:adjustRightInd w:val="0"/>
              <w:snapToGrid w:val="0"/>
              <w:spacing w:line="288" w:lineRule="auto"/>
              <w:rPr>
                <w:rFonts w:hint="eastAsia" w:ascii="宋体" w:hAnsi="宋体" w:eastAsia="仿宋" w:cs="Calibri"/>
                <w:color w:val="auto"/>
                <w:sz w:val="24"/>
                <w:highlight w:val="none"/>
                <w:u w:val="single"/>
              </w:rPr>
            </w:pPr>
            <w:r>
              <w:rPr>
                <w:rFonts w:hint="eastAsia" w:eastAsia="仿宋"/>
                <w:color w:val="auto"/>
                <w:sz w:val="24"/>
                <w:highlight w:val="none"/>
              </w:rPr>
              <w:t>提出</w:t>
            </w:r>
            <w:r>
              <w:rPr>
                <w:rFonts w:hint="eastAsia" w:ascii="宋体" w:hAnsi="宋体" w:eastAsia="仿宋" w:cs="Calibri"/>
                <w:color w:val="auto"/>
                <w:sz w:val="24"/>
                <w:highlight w:val="none"/>
              </w:rPr>
              <w:t>时间：</w:t>
            </w:r>
            <w:r>
              <w:rPr>
                <w:rFonts w:hint="eastAsia" w:ascii="楷体" w:hAnsi="楷体" w:eastAsia="仿宋" w:cs="Calibri"/>
                <w:color w:val="auto"/>
                <w:sz w:val="24"/>
                <w:highlight w:val="none"/>
              </w:rPr>
              <w:t>知道或者应知其权益受到损害之日起7个工作日内</w:t>
            </w:r>
          </w:p>
          <w:p w14:paraId="53C7B99C">
            <w:pPr>
              <w:widowControl/>
              <w:adjustRightInd w:val="0"/>
              <w:snapToGrid w:val="0"/>
              <w:spacing w:line="288" w:lineRule="auto"/>
              <w:rPr>
                <w:rFonts w:ascii="宋体" w:hAnsi="宋体" w:eastAsia="仿宋"/>
                <w:color w:val="auto"/>
                <w:sz w:val="24"/>
                <w:highlight w:val="none"/>
              </w:rPr>
            </w:pPr>
            <w:r>
              <w:rPr>
                <w:rFonts w:hint="eastAsia" w:ascii="宋体" w:hAnsi="宋体" w:eastAsia="仿宋"/>
                <w:color w:val="auto"/>
                <w:sz w:val="24"/>
                <w:highlight w:val="none"/>
              </w:rPr>
              <w:t>质疑函格式：见本章附件二</w:t>
            </w:r>
          </w:p>
        </w:tc>
      </w:tr>
      <w:tr w14:paraId="7D6D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C7A1B4">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9.2.2</w:t>
            </w:r>
          </w:p>
        </w:tc>
        <w:tc>
          <w:tcPr>
            <w:tcW w:w="1581" w:type="dxa"/>
            <w:noWrap w:val="0"/>
            <w:vAlign w:val="center"/>
          </w:tcPr>
          <w:p w14:paraId="29A5C5D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olor w:val="auto"/>
                <w:sz w:val="24"/>
                <w:highlight w:val="none"/>
              </w:rPr>
              <w:t>接收质疑的联系方式</w:t>
            </w:r>
          </w:p>
        </w:tc>
        <w:tc>
          <w:tcPr>
            <w:tcW w:w="7229" w:type="dxa"/>
            <w:noWrap w:val="0"/>
            <w:vAlign w:val="center"/>
          </w:tcPr>
          <w:p w14:paraId="1F0B832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采购代理机构：安徽省招标集团股份有限公司</w:t>
            </w:r>
          </w:p>
          <w:p w14:paraId="1216D99C">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地址：安徽省合肥市包河区紫云路888号安徽省招标集团总部基地407室。（法务办公室）</w:t>
            </w:r>
          </w:p>
          <w:p w14:paraId="78869C75">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联系电话：0551-62220155</w:t>
            </w:r>
          </w:p>
          <w:p w14:paraId="455286D6">
            <w:pPr>
              <w:widowControl/>
              <w:adjustRightInd w:val="0"/>
              <w:snapToGrid w:val="0"/>
              <w:spacing w:line="288" w:lineRule="auto"/>
              <w:rPr>
                <w:rFonts w:hint="eastAsia" w:ascii="宋体" w:hAnsi="宋体" w:cs="Calibri"/>
                <w:color w:val="auto"/>
                <w:sz w:val="24"/>
                <w:highlight w:val="none"/>
              </w:rPr>
            </w:pPr>
            <w:r>
              <w:rPr>
                <w:rFonts w:hint="eastAsia" w:ascii="宋体" w:hAnsi="宋体" w:eastAsia="仿宋" w:cs="Calibri"/>
                <w:color w:val="auto"/>
                <w:sz w:val="24"/>
                <w:highlight w:val="none"/>
              </w:rPr>
              <w:t>联系人：张怀远</w:t>
            </w:r>
          </w:p>
        </w:tc>
      </w:tr>
      <w:tr w14:paraId="1D72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93A3125">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11.1.1</w:t>
            </w:r>
          </w:p>
        </w:tc>
        <w:tc>
          <w:tcPr>
            <w:tcW w:w="1581" w:type="dxa"/>
            <w:noWrap w:val="0"/>
            <w:vAlign w:val="center"/>
          </w:tcPr>
          <w:p w14:paraId="2C9CFAD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olor w:val="auto"/>
                <w:sz w:val="24"/>
                <w:highlight w:val="none"/>
              </w:rPr>
              <w:t>是否有强制采购的节能产品</w:t>
            </w:r>
          </w:p>
        </w:tc>
        <w:tc>
          <w:tcPr>
            <w:tcW w:w="7229" w:type="dxa"/>
            <w:noWrap w:val="0"/>
            <w:vAlign w:val="top"/>
          </w:tcPr>
          <w:p w14:paraId="22FB4CFF">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☑没有</w:t>
            </w:r>
          </w:p>
          <w:p w14:paraId="17183CD9">
            <w:pPr>
              <w:widowControl/>
              <w:snapToGrid w:val="0"/>
              <w:spacing w:line="288" w:lineRule="auto"/>
              <w:jc w:val="left"/>
              <w:rPr>
                <w:rFonts w:hint="eastAsia" w:ascii="宋体" w:hAnsi="宋体" w:eastAsia="仿宋"/>
                <w:color w:val="auto"/>
                <w:sz w:val="24"/>
                <w:highlight w:val="none"/>
                <w:u w:val="single"/>
              </w:rPr>
            </w:pPr>
            <w:r>
              <w:rPr>
                <w:rFonts w:hint="eastAsia" w:ascii="宋体" w:hAnsi="宋体" w:eastAsia="仿宋"/>
                <w:color w:val="auto"/>
                <w:sz w:val="24"/>
                <w:highlight w:val="none"/>
              </w:rPr>
              <w:t>□有，详见第三章“采购需求”。</w:t>
            </w:r>
          </w:p>
          <w:p w14:paraId="1278A73C">
            <w:pPr>
              <w:widowControl/>
              <w:snapToGrid w:val="0"/>
              <w:spacing w:line="288" w:lineRule="auto"/>
              <w:jc w:val="left"/>
              <w:rPr>
                <w:rFonts w:hint="eastAsia" w:ascii="宋体" w:hAnsi="宋体"/>
                <w:color w:val="auto"/>
                <w:sz w:val="24"/>
                <w:highlight w:val="none"/>
              </w:rPr>
            </w:pPr>
            <w:r>
              <w:rPr>
                <w:rFonts w:ascii="宋体" w:hAnsi="宋体" w:eastAsia="仿宋"/>
                <w:color w:val="auto"/>
                <w:sz w:val="24"/>
                <w:highlight w:val="none"/>
              </w:rPr>
              <w:t>根据</w:t>
            </w:r>
            <w:r>
              <w:rPr>
                <w:rFonts w:hint="eastAsia" w:ascii="宋体" w:hAnsi="宋体" w:eastAsia="仿宋"/>
                <w:color w:val="auto"/>
                <w:sz w:val="24"/>
                <w:highlight w:val="none"/>
              </w:rPr>
              <w:t>《关于印发节能产品政府采购品目清单的通知》（财库〔2019〕19号）、</w:t>
            </w:r>
            <w:r>
              <w:rPr>
                <w:rFonts w:ascii="宋体" w:hAnsi="宋体" w:eastAsia="仿宋"/>
                <w:color w:val="auto"/>
                <w:sz w:val="24"/>
                <w:highlight w:val="none"/>
              </w:rPr>
              <w:t>《</w:t>
            </w:r>
            <w:r>
              <w:rPr>
                <w:rFonts w:hint="eastAsia" w:ascii="宋体" w:hAnsi="宋体" w:eastAsia="仿宋"/>
                <w:color w:val="auto"/>
                <w:sz w:val="24"/>
                <w:highlight w:val="none"/>
              </w:rPr>
              <w:t>关于发布参与实施政府采购节能产品、环境标志产品认证机构名录的公告</w:t>
            </w:r>
            <w:r>
              <w:rPr>
                <w:rFonts w:ascii="宋体" w:hAnsi="宋体" w:eastAsia="仿宋"/>
                <w:color w:val="auto"/>
                <w:sz w:val="24"/>
                <w:highlight w:val="none"/>
              </w:rPr>
              <w:t>》</w:t>
            </w:r>
            <w:r>
              <w:rPr>
                <w:rFonts w:hint="eastAsia" w:ascii="宋体" w:hAnsi="宋体" w:eastAsia="仿宋"/>
                <w:color w:val="auto"/>
                <w:sz w:val="24"/>
                <w:highlight w:val="none"/>
              </w:rPr>
              <w:t>（</w:t>
            </w:r>
            <w:r>
              <w:rPr>
                <w:rFonts w:ascii="宋体" w:hAnsi="宋体" w:eastAsia="仿宋"/>
                <w:color w:val="auto"/>
                <w:sz w:val="24"/>
                <w:highlight w:val="none"/>
              </w:rPr>
              <w:t>市场监管总局2019年第16号</w:t>
            </w:r>
            <w:r>
              <w:rPr>
                <w:rFonts w:hint="eastAsia" w:ascii="宋体" w:hAnsi="宋体" w:eastAsia="仿宋"/>
                <w:color w:val="auto"/>
                <w:sz w:val="24"/>
                <w:highlight w:val="none"/>
              </w:rPr>
              <w:t>）</w:t>
            </w:r>
            <w:r>
              <w:rPr>
                <w:rFonts w:ascii="宋体" w:hAnsi="宋体" w:eastAsia="仿宋"/>
                <w:color w:val="auto"/>
                <w:sz w:val="24"/>
                <w:highlight w:val="none"/>
              </w:rPr>
              <w:t>，投标人提供拟投产品在规定认证机构范围内的节字标志认证证书，方予以认定其所投产品为节能产品。</w:t>
            </w:r>
          </w:p>
        </w:tc>
      </w:tr>
      <w:tr w14:paraId="6049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9F50D1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11.1.2</w:t>
            </w:r>
          </w:p>
        </w:tc>
        <w:tc>
          <w:tcPr>
            <w:tcW w:w="1581" w:type="dxa"/>
            <w:noWrap w:val="0"/>
            <w:vAlign w:val="center"/>
          </w:tcPr>
          <w:p w14:paraId="2C804254">
            <w:pPr>
              <w:widowControl/>
              <w:adjustRightInd w:val="0"/>
              <w:snapToGrid w:val="0"/>
              <w:spacing w:line="288" w:lineRule="auto"/>
              <w:jc w:val="center"/>
              <w:rPr>
                <w:rFonts w:hint="eastAsia" w:ascii="宋体" w:hAnsi="宋体"/>
                <w:color w:val="auto"/>
                <w:sz w:val="24"/>
                <w:highlight w:val="none"/>
              </w:rPr>
            </w:pPr>
            <w:r>
              <w:rPr>
                <w:rFonts w:hint="eastAsia" w:eastAsia="仿宋"/>
                <w:color w:val="auto"/>
                <w:sz w:val="24"/>
                <w:highlight w:val="none"/>
                <w:lang w:bidi="en-US"/>
              </w:rPr>
              <w:t>环境标志产品政府采购清单</w:t>
            </w:r>
          </w:p>
        </w:tc>
        <w:tc>
          <w:tcPr>
            <w:tcW w:w="7229" w:type="dxa"/>
            <w:noWrap w:val="0"/>
            <w:vAlign w:val="top"/>
          </w:tcPr>
          <w:p w14:paraId="413704D5">
            <w:pPr>
              <w:widowControl/>
              <w:snapToGrid w:val="0"/>
              <w:spacing w:line="288" w:lineRule="auto"/>
              <w:jc w:val="left"/>
              <w:rPr>
                <w:rFonts w:hint="eastAsia" w:ascii="宋体" w:hAnsi="宋体"/>
                <w:color w:val="auto"/>
                <w:sz w:val="24"/>
                <w:highlight w:val="none"/>
              </w:rPr>
            </w:pPr>
            <w:r>
              <w:rPr>
                <w:rFonts w:ascii="宋体" w:hAnsi="宋体" w:eastAsia="仿宋"/>
                <w:color w:val="auto"/>
                <w:sz w:val="24"/>
                <w:highlight w:val="none"/>
              </w:rPr>
              <w:t>根据</w:t>
            </w:r>
            <w:r>
              <w:rPr>
                <w:rFonts w:hint="eastAsia" w:ascii="宋体" w:hAnsi="宋体" w:eastAsia="仿宋"/>
                <w:color w:val="auto"/>
                <w:sz w:val="24"/>
                <w:highlight w:val="none"/>
              </w:rPr>
              <w:t>《关于印发环境标志产品政府采购品目清单的通知》（财库〔2019〕18号）、</w:t>
            </w:r>
            <w:r>
              <w:rPr>
                <w:rFonts w:ascii="宋体" w:hAnsi="宋体" w:eastAsia="仿宋"/>
                <w:color w:val="auto"/>
                <w:sz w:val="24"/>
                <w:highlight w:val="none"/>
              </w:rPr>
              <w:t>《</w:t>
            </w:r>
            <w:r>
              <w:rPr>
                <w:rFonts w:hint="eastAsia" w:ascii="宋体" w:hAnsi="宋体" w:eastAsia="仿宋"/>
                <w:color w:val="auto"/>
                <w:sz w:val="24"/>
                <w:highlight w:val="none"/>
              </w:rPr>
              <w:t>关于发布参与实施政府采购节能产品、环境标志产品认证机构名录的公告</w:t>
            </w:r>
            <w:r>
              <w:rPr>
                <w:rFonts w:ascii="宋体" w:hAnsi="宋体" w:eastAsia="仿宋"/>
                <w:color w:val="auto"/>
                <w:sz w:val="24"/>
                <w:highlight w:val="none"/>
              </w:rPr>
              <w:t>》</w:t>
            </w:r>
            <w:r>
              <w:rPr>
                <w:rFonts w:hint="eastAsia" w:ascii="宋体" w:hAnsi="宋体" w:eastAsia="仿宋"/>
                <w:color w:val="auto"/>
                <w:sz w:val="24"/>
                <w:highlight w:val="none"/>
              </w:rPr>
              <w:t>（市场监管总局</w:t>
            </w:r>
            <w:r>
              <w:rPr>
                <w:rFonts w:ascii="宋体" w:hAnsi="宋体" w:eastAsia="仿宋"/>
                <w:color w:val="auto"/>
                <w:sz w:val="24"/>
                <w:highlight w:val="none"/>
              </w:rPr>
              <w:t>2019年第16号</w:t>
            </w:r>
            <w:r>
              <w:rPr>
                <w:rFonts w:hint="eastAsia" w:ascii="宋体" w:hAnsi="宋体" w:eastAsia="仿宋"/>
                <w:color w:val="auto"/>
                <w:sz w:val="24"/>
                <w:highlight w:val="none"/>
              </w:rPr>
              <w:t>），在规定的认证机构范围内，投标人提供拟投产品环境标志认证证书的，方予以认定其所投产品为环境标志产品。</w:t>
            </w:r>
          </w:p>
        </w:tc>
      </w:tr>
      <w:tr w14:paraId="2023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D74F38">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11.2.1</w:t>
            </w:r>
          </w:p>
        </w:tc>
        <w:tc>
          <w:tcPr>
            <w:tcW w:w="1581" w:type="dxa"/>
            <w:noWrap w:val="0"/>
            <w:vAlign w:val="center"/>
          </w:tcPr>
          <w:p w14:paraId="5B5EB445">
            <w:pPr>
              <w:widowControl/>
              <w:adjustRightInd w:val="0"/>
              <w:snapToGrid w:val="0"/>
              <w:spacing w:line="288" w:lineRule="auto"/>
              <w:jc w:val="center"/>
              <w:rPr>
                <w:rFonts w:hint="eastAsia" w:eastAsia="仿宋"/>
                <w:color w:val="auto"/>
                <w:sz w:val="24"/>
                <w:highlight w:val="none"/>
                <w:lang w:bidi="en-US"/>
              </w:rPr>
            </w:pPr>
            <w:r>
              <w:rPr>
                <w:rFonts w:hint="eastAsia" w:eastAsia="仿宋"/>
                <w:color w:val="auto"/>
                <w:sz w:val="24"/>
                <w:highlight w:val="none"/>
                <w:lang w:bidi="en-US"/>
              </w:rPr>
              <w:t>中小企业认定标准</w:t>
            </w:r>
          </w:p>
        </w:tc>
        <w:tc>
          <w:tcPr>
            <w:tcW w:w="7229" w:type="dxa"/>
            <w:noWrap w:val="0"/>
            <w:vAlign w:val="top"/>
          </w:tcPr>
          <w:p w14:paraId="202EC410">
            <w:pPr>
              <w:widowControl/>
              <w:snapToGrid w:val="0"/>
              <w:spacing w:line="288" w:lineRule="auto"/>
              <w:jc w:val="left"/>
              <w:rPr>
                <w:rFonts w:ascii="宋体" w:hAnsi="宋体" w:eastAsia="仿宋"/>
                <w:color w:val="auto"/>
                <w:sz w:val="24"/>
                <w:highlight w:val="none"/>
              </w:rPr>
            </w:pPr>
            <w:r>
              <w:rPr>
                <w:rFonts w:hint="eastAsia" w:ascii="宋体" w:hAnsi="宋体" w:eastAsia="仿宋"/>
                <w:color w:val="auto"/>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59AF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930ED7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11.2.3</w:t>
            </w:r>
          </w:p>
        </w:tc>
        <w:tc>
          <w:tcPr>
            <w:tcW w:w="1581" w:type="dxa"/>
            <w:noWrap w:val="0"/>
            <w:vAlign w:val="center"/>
          </w:tcPr>
          <w:p w14:paraId="48926DD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价格扣除标准</w:t>
            </w:r>
          </w:p>
        </w:tc>
        <w:tc>
          <w:tcPr>
            <w:tcW w:w="7229" w:type="dxa"/>
            <w:noWrap w:val="0"/>
            <w:vAlign w:val="center"/>
          </w:tcPr>
          <w:p w14:paraId="7ECC02FF">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未预留份额专门面向中小企业采购的采购项目，以及预留份额项目中的非预留部分采购包采购时，小微企业报价扣除比例：</w:t>
            </w:r>
          </w:p>
          <w:p w14:paraId="3526FA93">
            <w:pPr>
              <w:widowControl/>
              <w:snapToGrid w:val="0"/>
              <w:spacing w:line="288" w:lineRule="auto"/>
              <w:jc w:val="left"/>
              <w:rPr>
                <w:rFonts w:hint="eastAsia" w:eastAsia="仿宋"/>
                <w:color w:val="auto"/>
                <w:sz w:val="24"/>
                <w:highlight w:val="none"/>
                <w:lang w:bidi="en-US"/>
              </w:rPr>
            </w:pPr>
            <w:r>
              <w:rPr>
                <w:rFonts w:hint="eastAsia" w:eastAsia="仿宋"/>
                <w:color w:val="auto"/>
                <w:sz w:val="24"/>
                <w:highlight w:val="none"/>
                <w:lang w:bidi="en-US"/>
              </w:rPr>
              <w:t>（1）小型和微型企业：</w:t>
            </w:r>
            <w:r>
              <w:rPr>
                <w:rFonts w:hint="eastAsia" w:eastAsia="仿宋"/>
                <w:color w:val="auto"/>
                <w:sz w:val="24"/>
                <w:highlight w:val="none"/>
                <w:u w:val="single"/>
                <w:lang w:bidi="en-US"/>
              </w:rPr>
              <w:t xml:space="preserve"> 10  </w:t>
            </w:r>
            <w:r>
              <w:rPr>
                <w:rFonts w:hint="eastAsia" w:eastAsia="仿宋"/>
                <w:color w:val="auto"/>
                <w:sz w:val="24"/>
                <w:highlight w:val="none"/>
                <w:lang w:bidi="en-US"/>
              </w:rPr>
              <w:t>%</w:t>
            </w:r>
          </w:p>
          <w:p w14:paraId="4E1EC20F">
            <w:pPr>
              <w:widowControl/>
              <w:snapToGrid w:val="0"/>
              <w:spacing w:line="288" w:lineRule="auto"/>
              <w:jc w:val="left"/>
              <w:rPr>
                <w:rFonts w:hint="eastAsia" w:ascii="宋体" w:hAnsi="宋体" w:eastAsia="仿宋"/>
                <w:color w:val="auto"/>
                <w:sz w:val="24"/>
                <w:highlight w:val="none"/>
              </w:rPr>
            </w:pPr>
            <w:r>
              <w:rPr>
                <w:rFonts w:hint="eastAsia" w:eastAsia="仿宋"/>
                <w:color w:val="auto"/>
                <w:sz w:val="24"/>
                <w:highlight w:val="none"/>
                <w:lang w:bidi="en-US"/>
              </w:rPr>
              <w:t>（2）</w:t>
            </w:r>
            <w:r>
              <w:rPr>
                <w:rFonts w:hint="eastAsia" w:ascii="宋体" w:hAnsi="宋体" w:eastAsia="仿宋"/>
                <w:color w:val="auto"/>
                <w:sz w:val="24"/>
                <w:highlight w:val="none"/>
              </w:rPr>
              <w:t>对于联合协议或者分包意向协议约定小微企业的合同份额占到合同总金额30%时，对联合体或者大中型企业的报价的扣除比例</w:t>
            </w:r>
            <w:r>
              <w:rPr>
                <w:rFonts w:hint="eastAsia" w:ascii="宋体" w:hAnsi="宋体" w:eastAsia="仿宋"/>
                <w:color w:val="auto"/>
                <w:sz w:val="24"/>
                <w:highlight w:val="none"/>
                <w:u w:val="single"/>
              </w:rPr>
              <w:t>/</w:t>
            </w:r>
            <w:r>
              <w:rPr>
                <w:rFonts w:hint="eastAsia" w:ascii="宋体" w:hAnsi="宋体" w:eastAsia="仿宋"/>
                <w:color w:val="auto"/>
                <w:sz w:val="24"/>
                <w:highlight w:val="none"/>
              </w:rPr>
              <w:t>%</w:t>
            </w:r>
          </w:p>
          <w:p w14:paraId="5275AF0E">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注：1.价格扣除举例说明：</w:t>
            </w:r>
            <w:r>
              <w:rPr>
                <w:rFonts w:ascii="宋体" w:hAnsi="宋体" w:eastAsia="仿宋"/>
                <w:color w:val="auto"/>
                <w:sz w:val="24"/>
                <w:highlight w:val="none"/>
              </w:rPr>
              <w:t>某</w:t>
            </w:r>
            <w:r>
              <w:rPr>
                <w:rFonts w:hint="eastAsia" w:ascii="宋体" w:hAnsi="宋体" w:eastAsia="仿宋"/>
                <w:color w:val="auto"/>
                <w:sz w:val="24"/>
                <w:highlight w:val="none"/>
              </w:rPr>
              <w:t>残疾人福利单位符合财库〔2017〕141号规定的政策支持单位，属于小微企业，其投标报价为</w:t>
            </w:r>
            <w:r>
              <w:rPr>
                <w:rFonts w:ascii="宋体" w:hAnsi="宋体" w:eastAsia="仿宋"/>
                <w:color w:val="auto"/>
                <w:sz w:val="24"/>
                <w:highlight w:val="none"/>
              </w:rPr>
              <w:t>100万元，“扣除后的价格”为：100万元-100万元×</w:t>
            </w:r>
            <w:r>
              <w:rPr>
                <w:rFonts w:hint="eastAsia" w:ascii="宋体" w:hAnsi="宋体" w:eastAsia="仿宋"/>
                <w:color w:val="auto"/>
                <w:sz w:val="24"/>
                <w:highlight w:val="none"/>
              </w:rPr>
              <w:t>扣除比例，用扣除后的价格参与评审。</w:t>
            </w:r>
          </w:p>
          <w:p w14:paraId="5B9BE824">
            <w:pPr>
              <w:widowControl/>
              <w:snapToGrid w:val="0"/>
              <w:spacing w:line="288" w:lineRule="auto"/>
              <w:jc w:val="left"/>
              <w:rPr>
                <w:rFonts w:hint="eastAsia"/>
                <w:color w:val="auto"/>
                <w:sz w:val="24"/>
                <w:highlight w:val="none"/>
                <w:lang w:bidi="en-US"/>
              </w:rPr>
            </w:pPr>
            <w:r>
              <w:rPr>
                <w:rFonts w:hint="eastAsia" w:ascii="宋体" w:hAnsi="宋体" w:eastAsia="仿宋"/>
                <w:b/>
                <w:color w:val="auto"/>
                <w:sz w:val="24"/>
                <w:highlight w:val="none"/>
              </w:rPr>
              <w:t>2.本项目将对中标人提供的《中小企业声明函》，随中标结果一并公布。如提供虚假材料，将取消中标资格并报相关部门按有关规定处理，并计入不良记录。</w:t>
            </w:r>
          </w:p>
        </w:tc>
      </w:tr>
      <w:tr w14:paraId="1AA3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7" w:type="dxa"/>
            <w:noWrap w:val="0"/>
            <w:vAlign w:val="center"/>
          </w:tcPr>
          <w:p w14:paraId="159AB48D">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11.3.2</w:t>
            </w:r>
          </w:p>
        </w:tc>
        <w:tc>
          <w:tcPr>
            <w:tcW w:w="1581" w:type="dxa"/>
            <w:noWrap w:val="0"/>
            <w:vAlign w:val="center"/>
          </w:tcPr>
          <w:p w14:paraId="4B970B0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进口产品采购</w:t>
            </w:r>
          </w:p>
        </w:tc>
        <w:tc>
          <w:tcPr>
            <w:tcW w:w="7229" w:type="dxa"/>
            <w:noWrap w:val="0"/>
            <w:vAlign w:val="center"/>
          </w:tcPr>
          <w:p w14:paraId="18FF3E3D">
            <w:pPr>
              <w:widowControl/>
              <w:rPr>
                <w:rFonts w:hint="eastAsia" w:ascii="楷体" w:hAnsi="楷体" w:eastAsia="仿宋" w:cs="Calibri"/>
                <w:color w:val="auto"/>
                <w:sz w:val="24"/>
                <w:highlight w:val="none"/>
              </w:rPr>
            </w:pPr>
            <w:r>
              <w:rPr>
                <w:rFonts w:hint="eastAsia" w:ascii="楷体" w:hAnsi="楷体" w:eastAsia="仿宋" w:cs="Calibri"/>
                <w:color w:val="auto"/>
                <w:sz w:val="24"/>
                <w:highlight w:val="none"/>
              </w:rPr>
              <w:t>☑</w:t>
            </w:r>
            <w:r>
              <w:rPr>
                <w:rFonts w:hint="eastAsia" w:ascii="楷体" w:hAnsi="楷体" w:eastAsia="仿宋"/>
                <w:bCs/>
                <w:color w:val="auto"/>
                <w:sz w:val="24"/>
                <w:highlight w:val="none"/>
              </w:rPr>
              <w:t>本项目</w:t>
            </w:r>
            <w:r>
              <w:rPr>
                <w:rFonts w:hint="eastAsia" w:ascii="楷体" w:hAnsi="楷体" w:eastAsia="仿宋" w:cs="Calibri"/>
                <w:color w:val="auto"/>
                <w:sz w:val="24"/>
                <w:highlight w:val="none"/>
              </w:rPr>
              <w:t>拒绝进口产品参加投标</w:t>
            </w:r>
          </w:p>
          <w:p w14:paraId="41F8E50F">
            <w:pPr>
              <w:widowControl/>
              <w:rPr>
                <w:rFonts w:hint="eastAsia" w:ascii="宋体" w:hAnsi="宋体" w:cs="Calibri"/>
                <w:color w:val="auto"/>
                <w:sz w:val="24"/>
                <w:highlight w:val="none"/>
              </w:rPr>
            </w:pPr>
            <w:r>
              <w:rPr>
                <w:rFonts w:hint="eastAsia" w:ascii="楷体" w:hAnsi="楷体" w:eastAsia="仿宋" w:cs="Calibri"/>
                <w:color w:val="auto"/>
                <w:sz w:val="24"/>
                <w:highlight w:val="none"/>
              </w:rPr>
              <w:t>□本项目包含接受进口产品投标的品目，具体要求</w:t>
            </w:r>
            <w:r>
              <w:rPr>
                <w:rFonts w:hint="eastAsia" w:ascii="宋体" w:hAnsi="宋体" w:eastAsia="仿宋" w:cs="Calibri"/>
                <w:color w:val="auto"/>
                <w:sz w:val="24"/>
                <w:highlight w:val="none"/>
              </w:rPr>
              <w:t>详见第三章采购需求。</w:t>
            </w:r>
          </w:p>
        </w:tc>
      </w:tr>
      <w:tr w14:paraId="1A2A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D663393">
            <w:pPr>
              <w:widowControl/>
              <w:adjustRightInd w:val="0"/>
              <w:snapToGrid w:val="0"/>
              <w:spacing w:line="288" w:lineRule="auto"/>
              <w:jc w:val="center"/>
              <w:rPr>
                <w:rFonts w:ascii="宋体" w:hAnsi="宋体" w:eastAsia="仿宋" w:cs="Calibri"/>
                <w:b/>
                <w:color w:val="auto"/>
                <w:sz w:val="24"/>
                <w:highlight w:val="none"/>
              </w:rPr>
            </w:pPr>
            <w:r>
              <w:rPr>
                <w:rFonts w:hint="eastAsia" w:ascii="宋体" w:hAnsi="宋体" w:eastAsia="仿宋" w:cs="Calibri"/>
                <w:bCs/>
                <w:color w:val="auto"/>
                <w:sz w:val="24"/>
                <w:highlight w:val="none"/>
              </w:rPr>
              <w:t>11.4</w:t>
            </w:r>
          </w:p>
        </w:tc>
        <w:tc>
          <w:tcPr>
            <w:tcW w:w="1581" w:type="dxa"/>
            <w:noWrap w:val="0"/>
            <w:vAlign w:val="center"/>
          </w:tcPr>
          <w:p w14:paraId="2A716ED3">
            <w:pPr>
              <w:widowControl/>
              <w:adjustRightInd w:val="0"/>
              <w:snapToGrid w:val="0"/>
              <w:spacing w:line="288" w:lineRule="auto"/>
              <w:jc w:val="center"/>
              <w:rPr>
                <w:rFonts w:hint="eastAsia" w:ascii="宋体" w:hAnsi="宋体" w:cs="Calibri"/>
                <w:b/>
                <w:color w:val="auto"/>
                <w:sz w:val="24"/>
                <w:highlight w:val="none"/>
              </w:rPr>
            </w:pPr>
            <w:r>
              <w:rPr>
                <w:rFonts w:hint="eastAsia" w:ascii="宋体" w:hAnsi="宋体" w:eastAsia="仿宋"/>
                <w:color w:val="auto"/>
                <w:sz w:val="24"/>
                <w:highlight w:val="none"/>
                <w:lang w:bidi="en-US"/>
              </w:rPr>
              <w:t>其他政府采购政策</w:t>
            </w:r>
          </w:p>
        </w:tc>
        <w:tc>
          <w:tcPr>
            <w:tcW w:w="7229" w:type="dxa"/>
            <w:noWrap w:val="0"/>
            <w:vAlign w:val="center"/>
          </w:tcPr>
          <w:p w14:paraId="218B4C9E">
            <w:pPr>
              <w:widowControl/>
              <w:adjustRightInd w:val="0"/>
              <w:snapToGrid w:val="0"/>
              <w:spacing w:line="288" w:lineRule="auto"/>
              <w:jc w:val="left"/>
              <w:rPr>
                <w:rFonts w:ascii="宋体" w:hAnsi="宋体" w:eastAsia="仿宋" w:cs="Calibri"/>
                <w:b/>
                <w:color w:val="auto"/>
                <w:sz w:val="24"/>
                <w:highlight w:val="none"/>
              </w:rPr>
            </w:pPr>
            <w:r>
              <w:rPr>
                <w:rFonts w:hint="eastAsia" w:ascii="宋体" w:hAnsi="宋体" w:eastAsia="仿宋" w:cs="Calibri"/>
                <w:b/>
                <w:color w:val="auto"/>
                <w:sz w:val="24"/>
                <w:highlight w:val="none"/>
              </w:rPr>
              <w:t>/</w:t>
            </w:r>
          </w:p>
        </w:tc>
      </w:tr>
      <w:tr w14:paraId="2929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52F5426">
            <w:pPr>
              <w:widowControl/>
              <w:adjustRightInd w:val="0"/>
              <w:snapToGrid w:val="0"/>
              <w:spacing w:line="288" w:lineRule="auto"/>
              <w:jc w:val="center"/>
              <w:rPr>
                <w:rFonts w:hint="eastAsia" w:ascii="宋体" w:hAnsi="宋体" w:cs="Calibri"/>
                <w:b/>
                <w:color w:val="auto"/>
                <w:sz w:val="24"/>
                <w:highlight w:val="none"/>
              </w:rPr>
            </w:pPr>
            <w:r>
              <w:rPr>
                <w:rFonts w:hint="eastAsia" w:ascii="宋体" w:hAnsi="宋体" w:eastAsia="仿宋" w:cs="Calibri"/>
                <w:b/>
                <w:color w:val="auto"/>
                <w:sz w:val="24"/>
                <w:highlight w:val="none"/>
              </w:rPr>
              <w:t>12</w:t>
            </w:r>
          </w:p>
        </w:tc>
        <w:tc>
          <w:tcPr>
            <w:tcW w:w="1581" w:type="dxa"/>
            <w:noWrap w:val="0"/>
            <w:vAlign w:val="center"/>
          </w:tcPr>
          <w:p w14:paraId="32C21E1D">
            <w:pPr>
              <w:widowControl/>
              <w:adjustRightInd w:val="0"/>
              <w:snapToGrid w:val="0"/>
              <w:spacing w:line="288" w:lineRule="auto"/>
              <w:jc w:val="center"/>
              <w:rPr>
                <w:rFonts w:hint="eastAsia" w:ascii="宋体" w:hAnsi="宋体" w:cs="Calibri"/>
                <w:b/>
                <w:color w:val="auto"/>
                <w:sz w:val="24"/>
                <w:highlight w:val="none"/>
              </w:rPr>
            </w:pPr>
          </w:p>
        </w:tc>
        <w:tc>
          <w:tcPr>
            <w:tcW w:w="7229" w:type="dxa"/>
            <w:noWrap w:val="0"/>
            <w:vAlign w:val="center"/>
          </w:tcPr>
          <w:p w14:paraId="39386CA4">
            <w:pPr>
              <w:widowControl/>
              <w:adjustRightInd w:val="0"/>
              <w:snapToGrid w:val="0"/>
              <w:spacing w:line="288" w:lineRule="auto"/>
              <w:jc w:val="center"/>
              <w:rPr>
                <w:rFonts w:ascii="宋体" w:hAnsi="宋体"/>
                <w:b/>
                <w:color w:val="auto"/>
                <w:sz w:val="24"/>
                <w:highlight w:val="none"/>
              </w:rPr>
            </w:pPr>
            <w:r>
              <w:rPr>
                <w:rFonts w:hint="eastAsia" w:ascii="宋体" w:hAnsi="宋体" w:eastAsia="仿宋" w:cs="Calibri"/>
                <w:b/>
                <w:color w:val="auto"/>
                <w:sz w:val="24"/>
                <w:highlight w:val="none"/>
              </w:rPr>
              <w:t>需要补充的其他内容</w:t>
            </w:r>
          </w:p>
        </w:tc>
      </w:tr>
      <w:tr w14:paraId="6B80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0D51DB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12.1</w:t>
            </w:r>
          </w:p>
        </w:tc>
        <w:tc>
          <w:tcPr>
            <w:tcW w:w="1581" w:type="dxa"/>
            <w:noWrap w:val="0"/>
            <w:vAlign w:val="center"/>
          </w:tcPr>
          <w:p w14:paraId="562DB9F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电子招标投标</w:t>
            </w:r>
          </w:p>
        </w:tc>
        <w:tc>
          <w:tcPr>
            <w:tcW w:w="7229" w:type="dxa"/>
            <w:noWrap w:val="0"/>
            <w:vAlign w:val="top"/>
          </w:tcPr>
          <w:p w14:paraId="2400D25F">
            <w:pPr>
              <w:widowControl/>
              <w:snapToGrid w:val="0"/>
              <w:spacing w:line="288" w:lineRule="auto"/>
              <w:jc w:val="left"/>
              <w:rPr>
                <w:rFonts w:hint="eastAsia" w:ascii="宋体" w:hAnsi="宋体" w:cs="Calibri"/>
                <w:b/>
                <w:color w:val="auto"/>
                <w:sz w:val="24"/>
                <w:highlight w:val="none"/>
              </w:rPr>
            </w:pPr>
            <w:r>
              <w:rPr>
                <w:rFonts w:hint="eastAsia" w:ascii="宋体" w:hAnsi="宋体" w:eastAsia="仿宋"/>
                <w:color w:val="auto"/>
                <w:sz w:val="24"/>
                <w:highlight w:val="none"/>
              </w:rPr>
              <w:t>采用电子招标投标，</w:t>
            </w:r>
            <w:r>
              <w:rPr>
                <w:rFonts w:eastAsia="仿宋"/>
                <w:bCs/>
                <w:snapToGrid w:val="0"/>
                <w:color w:val="auto"/>
                <w:kern w:val="0"/>
                <w:sz w:val="24"/>
                <w:highlight w:val="none"/>
              </w:rPr>
              <w:t>除招标文件另有规定外，电子招标投标操作要求详见本章附件《</w:t>
            </w:r>
            <w:r>
              <w:rPr>
                <w:rFonts w:hint="eastAsia" w:eastAsia="仿宋"/>
                <w:bCs/>
                <w:snapToGrid w:val="0"/>
                <w:color w:val="auto"/>
                <w:kern w:val="0"/>
                <w:sz w:val="24"/>
                <w:highlight w:val="none"/>
              </w:rPr>
              <w:t>全流程电子招标采购具体要求</w:t>
            </w:r>
            <w:r>
              <w:rPr>
                <w:rFonts w:eastAsia="仿宋"/>
                <w:bCs/>
                <w:snapToGrid w:val="0"/>
                <w:color w:val="auto"/>
                <w:kern w:val="0"/>
                <w:sz w:val="24"/>
                <w:highlight w:val="none"/>
              </w:rPr>
              <w:t>》</w:t>
            </w:r>
            <w:r>
              <w:rPr>
                <w:rFonts w:hint="eastAsia" w:eastAsia="仿宋"/>
                <w:bCs/>
                <w:snapToGrid w:val="0"/>
                <w:color w:val="auto"/>
                <w:kern w:val="0"/>
                <w:sz w:val="24"/>
                <w:highlight w:val="none"/>
              </w:rPr>
              <w:t>。</w:t>
            </w:r>
          </w:p>
        </w:tc>
      </w:tr>
      <w:tr w14:paraId="1274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BB0965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12.2</w:t>
            </w:r>
          </w:p>
        </w:tc>
        <w:tc>
          <w:tcPr>
            <w:tcW w:w="1581" w:type="dxa"/>
            <w:noWrap w:val="0"/>
            <w:vAlign w:val="center"/>
          </w:tcPr>
          <w:p w14:paraId="428E2454">
            <w:pPr>
              <w:adjustRightInd w:val="0"/>
              <w:snapToGrid w:val="0"/>
              <w:spacing w:line="288" w:lineRule="auto"/>
              <w:jc w:val="center"/>
              <w:rPr>
                <w:rFonts w:ascii="宋体" w:hAnsi="宋体"/>
                <w:color w:val="auto"/>
                <w:sz w:val="24"/>
                <w:highlight w:val="none"/>
              </w:rPr>
            </w:pPr>
            <w:r>
              <w:rPr>
                <w:rFonts w:hint="eastAsia" w:ascii="宋体" w:hAnsi="宋体" w:eastAsia="仿宋"/>
                <w:color w:val="auto"/>
                <w:sz w:val="24"/>
                <w:highlight w:val="none"/>
              </w:rPr>
              <w:t>原则规定与定义</w:t>
            </w:r>
          </w:p>
        </w:tc>
        <w:tc>
          <w:tcPr>
            <w:tcW w:w="7229" w:type="dxa"/>
            <w:noWrap w:val="0"/>
            <w:vAlign w:val="center"/>
          </w:tcPr>
          <w:p w14:paraId="2655C656">
            <w:pPr>
              <w:adjustRightInd w:val="0"/>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（1）投标人</w:t>
            </w:r>
            <w:r>
              <w:rPr>
                <w:rFonts w:ascii="宋体" w:hAnsi="宋体" w:eastAsia="仿宋"/>
                <w:color w:val="auto"/>
                <w:sz w:val="24"/>
                <w:highlight w:val="none"/>
              </w:rPr>
              <w:t>须知前附表是对</w:t>
            </w:r>
            <w:r>
              <w:rPr>
                <w:rFonts w:hint="eastAsia" w:ascii="宋体" w:hAnsi="宋体" w:eastAsia="仿宋"/>
                <w:color w:val="auto"/>
                <w:sz w:val="24"/>
                <w:highlight w:val="none"/>
              </w:rPr>
              <w:t>投标人</w:t>
            </w:r>
            <w:r>
              <w:rPr>
                <w:rFonts w:ascii="宋体" w:hAnsi="宋体" w:eastAsia="仿宋"/>
                <w:color w:val="auto"/>
                <w:sz w:val="24"/>
                <w:highlight w:val="none"/>
              </w:rPr>
              <w:t>须知正文部分对应条款的补充、细化，</w:t>
            </w:r>
            <w:r>
              <w:rPr>
                <w:rFonts w:hint="eastAsia" w:ascii="宋体" w:hAnsi="宋体" w:eastAsia="仿宋"/>
                <w:color w:val="auto"/>
                <w:sz w:val="24"/>
                <w:highlight w:val="none"/>
              </w:rPr>
              <w:t>投标人</w:t>
            </w:r>
            <w:r>
              <w:rPr>
                <w:rFonts w:ascii="宋体" w:hAnsi="宋体" w:eastAsia="仿宋"/>
                <w:color w:val="auto"/>
                <w:sz w:val="24"/>
                <w:highlight w:val="none"/>
              </w:rPr>
              <w:t>阅读时应与正文部分一并阅读，</w:t>
            </w:r>
            <w:r>
              <w:rPr>
                <w:rFonts w:hint="eastAsia" w:ascii="宋体" w:hAnsi="宋体" w:eastAsia="仿宋"/>
                <w:color w:val="auto"/>
                <w:sz w:val="24"/>
                <w:highlight w:val="none"/>
              </w:rPr>
              <w:t>投标人</w:t>
            </w:r>
            <w:r>
              <w:rPr>
                <w:rFonts w:ascii="宋体" w:hAnsi="宋体" w:eastAsia="仿宋"/>
                <w:color w:val="auto"/>
                <w:sz w:val="24"/>
                <w:highlight w:val="none"/>
              </w:rPr>
              <w:t>须知前附表与正文部分不一致处，应以</w:t>
            </w:r>
            <w:r>
              <w:rPr>
                <w:rFonts w:hint="eastAsia" w:ascii="宋体" w:hAnsi="宋体" w:eastAsia="仿宋"/>
                <w:color w:val="auto"/>
                <w:sz w:val="24"/>
                <w:highlight w:val="none"/>
              </w:rPr>
              <w:t>投标人</w:t>
            </w:r>
            <w:r>
              <w:rPr>
                <w:rFonts w:ascii="宋体" w:hAnsi="宋体" w:eastAsia="仿宋"/>
                <w:color w:val="auto"/>
                <w:sz w:val="24"/>
                <w:highlight w:val="none"/>
              </w:rPr>
              <w:t>须知前附表为准。</w:t>
            </w:r>
          </w:p>
          <w:p w14:paraId="67981889">
            <w:pPr>
              <w:adjustRightInd w:val="0"/>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w:t>
            </w:r>
            <w:r>
              <w:rPr>
                <w:rFonts w:ascii="宋体" w:hAnsi="宋体" w:eastAsia="仿宋"/>
                <w:color w:val="auto"/>
                <w:sz w:val="24"/>
                <w:highlight w:val="none"/>
              </w:rPr>
              <w:sym w:font="Wingdings" w:char="F0FE"/>
            </w:r>
            <w:r>
              <w:rPr>
                <w:rFonts w:ascii="宋体" w:hAnsi="宋体" w:eastAsia="仿宋"/>
                <w:color w:val="auto"/>
                <w:sz w:val="24"/>
                <w:highlight w:val="none"/>
              </w:rPr>
              <w:t>”符号表示本招标文件选定的内容；“</w:t>
            </w:r>
            <w:r>
              <w:rPr>
                <w:rFonts w:hint="eastAsia" w:ascii="宋体" w:hAnsi="宋体" w:eastAsia="仿宋"/>
                <w:color w:val="auto"/>
                <w:sz w:val="24"/>
                <w:highlight w:val="none"/>
              </w:rPr>
              <w:t>□</w:t>
            </w:r>
            <w:r>
              <w:rPr>
                <w:rFonts w:ascii="宋体" w:hAnsi="宋体" w:eastAsia="仿宋"/>
                <w:color w:val="auto"/>
                <w:sz w:val="24"/>
                <w:highlight w:val="none"/>
              </w:rPr>
              <w:t>”符号表示本招标文件未选定的内容；空格中的“/”表示没有具体内容。投标人投标时请按“</w:t>
            </w:r>
            <w:r>
              <w:rPr>
                <w:rFonts w:ascii="宋体" w:hAnsi="宋体" w:eastAsia="仿宋"/>
                <w:color w:val="auto"/>
                <w:sz w:val="24"/>
                <w:highlight w:val="none"/>
              </w:rPr>
              <w:sym w:font="Wingdings" w:char="F0FE"/>
            </w:r>
            <w:r>
              <w:rPr>
                <w:rFonts w:ascii="宋体" w:hAnsi="宋体" w:eastAsia="仿宋"/>
                <w:color w:val="auto"/>
                <w:sz w:val="24"/>
                <w:highlight w:val="none"/>
              </w:rPr>
              <w:t>符号”选定的内容和要求参加投标。</w:t>
            </w:r>
          </w:p>
          <w:p w14:paraId="5B55AFEE">
            <w:pPr>
              <w:adjustRightInd w:val="0"/>
              <w:snapToGrid w:val="0"/>
              <w:spacing w:line="288" w:lineRule="auto"/>
              <w:jc w:val="left"/>
              <w:rPr>
                <w:rFonts w:hint="eastAsia" w:ascii="宋体" w:hAnsi="宋体"/>
                <w:color w:val="auto"/>
                <w:sz w:val="24"/>
                <w:highlight w:val="none"/>
              </w:rPr>
            </w:pPr>
            <w:r>
              <w:rPr>
                <w:rFonts w:hint="eastAsia" w:ascii="宋体" w:hAnsi="宋体" w:eastAsia="仿宋"/>
                <w:color w:val="auto"/>
                <w:sz w:val="24"/>
                <w:highlight w:val="none"/>
              </w:rPr>
              <w:t>（3）与合同履行有关条款中注明的“甲方”、“买方”，在招标投标阶段按“采购人”理解；注明的“乙方”、“卖方”，按“投标人”理解。</w:t>
            </w:r>
          </w:p>
        </w:tc>
      </w:tr>
      <w:tr w14:paraId="7873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55930B5">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12.3</w:t>
            </w:r>
          </w:p>
        </w:tc>
        <w:tc>
          <w:tcPr>
            <w:tcW w:w="1581" w:type="dxa"/>
            <w:noWrap w:val="0"/>
            <w:vAlign w:val="center"/>
          </w:tcPr>
          <w:p w14:paraId="3B43D40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知识产权</w:t>
            </w:r>
          </w:p>
        </w:tc>
        <w:tc>
          <w:tcPr>
            <w:tcW w:w="7229" w:type="dxa"/>
            <w:noWrap w:val="0"/>
            <w:vAlign w:val="top"/>
          </w:tcPr>
          <w:p w14:paraId="4953FAAF">
            <w:pPr>
              <w:adjustRightInd w:val="0"/>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（1）构成本招标文件各个组成部分的文件，未经采购人书面同意，投标人不得擅自复印和用于非本招标项目所需的其他目的。</w:t>
            </w:r>
            <w:r>
              <w:rPr>
                <w:rFonts w:ascii="宋体" w:hAnsi="宋体" w:eastAsia="仿宋"/>
                <w:color w:val="auto"/>
                <w:sz w:val="24"/>
                <w:highlight w:val="none"/>
              </w:rPr>
              <w:t>如因此导致</w:t>
            </w:r>
            <w:r>
              <w:rPr>
                <w:rFonts w:hint="eastAsia" w:ascii="宋体" w:hAnsi="宋体" w:eastAsia="仿宋"/>
                <w:color w:val="auto"/>
                <w:sz w:val="24"/>
                <w:highlight w:val="none"/>
              </w:rPr>
              <w:t>采购人</w:t>
            </w:r>
            <w:r>
              <w:rPr>
                <w:rFonts w:ascii="宋体" w:hAnsi="宋体" w:eastAsia="仿宋"/>
                <w:color w:val="auto"/>
                <w:sz w:val="24"/>
                <w:highlight w:val="none"/>
              </w:rPr>
              <w:t>损失的，投标人须承担全部赔偿责任。</w:t>
            </w:r>
          </w:p>
          <w:p w14:paraId="5A9EE658">
            <w:pPr>
              <w:adjustRightInd w:val="0"/>
              <w:snapToGrid w:val="0"/>
              <w:spacing w:line="288" w:lineRule="auto"/>
              <w:jc w:val="left"/>
              <w:rPr>
                <w:rFonts w:ascii="宋体" w:hAnsi="宋体"/>
                <w:color w:val="auto"/>
                <w:sz w:val="24"/>
                <w:highlight w:val="none"/>
              </w:rPr>
            </w:pPr>
            <w:r>
              <w:rPr>
                <w:rFonts w:hint="eastAsia" w:ascii="宋体" w:hAnsi="宋体" w:eastAsia="仿宋"/>
                <w:color w:val="auto"/>
                <w:sz w:val="24"/>
                <w:highlight w:val="none"/>
              </w:rPr>
              <w:t>（2）采购人</w:t>
            </w:r>
            <w:r>
              <w:rPr>
                <w:rFonts w:ascii="宋体" w:hAnsi="宋体" w:eastAsia="仿宋"/>
                <w:color w:val="auto"/>
                <w:sz w:val="24"/>
                <w:highlight w:val="none"/>
              </w:rPr>
              <w:t>在中华人民共和国境内使用</w:t>
            </w:r>
            <w:r>
              <w:rPr>
                <w:rFonts w:hint="eastAsia" w:ascii="宋体" w:hAnsi="宋体" w:eastAsia="仿宋"/>
                <w:color w:val="auto"/>
                <w:sz w:val="24"/>
                <w:highlight w:val="none"/>
              </w:rPr>
              <w:t>中</w:t>
            </w:r>
            <w:r>
              <w:rPr>
                <w:rFonts w:ascii="宋体" w:hAnsi="宋体" w:eastAsia="仿宋"/>
                <w:color w:val="auto"/>
                <w:sz w:val="24"/>
                <w:highlight w:val="none"/>
              </w:rPr>
              <w:t>标货物</w:t>
            </w:r>
            <w:r>
              <w:rPr>
                <w:rFonts w:hint="eastAsia" w:ascii="宋体" w:hAnsi="宋体" w:eastAsia="仿宋"/>
                <w:color w:val="auto"/>
                <w:sz w:val="24"/>
                <w:highlight w:val="none"/>
              </w:rPr>
              <w:t>（服务）</w:t>
            </w:r>
            <w:r>
              <w:rPr>
                <w:rFonts w:ascii="宋体" w:hAnsi="宋体" w:eastAsia="仿宋"/>
                <w:color w:val="auto"/>
                <w:sz w:val="24"/>
                <w:highlight w:val="none"/>
              </w:rPr>
              <w:t>、资料、技术、服务或其任何一部分时</w:t>
            </w:r>
            <w:r>
              <w:rPr>
                <w:rFonts w:hint="eastAsia" w:ascii="宋体" w:hAnsi="宋体" w:eastAsia="仿宋"/>
                <w:color w:val="auto"/>
                <w:sz w:val="24"/>
                <w:highlight w:val="none"/>
              </w:rPr>
              <w:t>，履行合同义务后</w:t>
            </w:r>
            <w:r>
              <w:rPr>
                <w:rFonts w:ascii="宋体" w:hAnsi="宋体" w:eastAsia="仿宋"/>
                <w:color w:val="auto"/>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olor w:val="auto"/>
                <w:sz w:val="24"/>
                <w:highlight w:val="none"/>
              </w:rPr>
              <w:t>采购人</w:t>
            </w:r>
            <w:r>
              <w:rPr>
                <w:rFonts w:ascii="宋体" w:hAnsi="宋体" w:eastAsia="仿宋"/>
                <w:color w:val="auto"/>
                <w:sz w:val="24"/>
                <w:highlight w:val="none"/>
              </w:rPr>
              <w:t>损失的，投标人须承担全部赔偿责任。</w:t>
            </w:r>
          </w:p>
        </w:tc>
      </w:tr>
      <w:tr w14:paraId="33C1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00A129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12.4</w:t>
            </w:r>
          </w:p>
        </w:tc>
        <w:tc>
          <w:tcPr>
            <w:tcW w:w="1581" w:type="dxa"/>
            <w:noWrap w:val="0"/>
            <w:vAlign w:val="center"/>
          </w:tcPr>
          <w:p w14:paraId="135AB3C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olor w:val="auto"/>
                <w:sz w:val="24"/>
                <w:highlight w:val="none"/>
              </w:rPr>
              <w:t>投标专用章、业务专用章等效力规定</w:t>
            </w:r>
          </w:p>
        </w:tc>
        <w:tc>
          <w:tcPr>
            <w:tcW w:w="7229" w:type="dxa"/>
            <w:noWrap w:val="0"/>
            <w:vAlign w:val="center"/>
          </w:tcPr>
          <w:p w14:paraId="7572716E">
            <w:pPr>
              <w:widowControl/>
              <w:snapToGrid w:val="0"/>
              <w:spacing w:line="288" w:lineRule="auto"/>
              <w:jc w:val="left"/>
              <w:rPr>
                <w:rFonts w:hint="eastAsia" w:ascii="宋体" w:hAnsi="宋体"/>
                <w:color w:val="auto"/>
                <w:sz w:val="24"/>
                <w:highlight w:val="none"/>
              </w:rPr>
            </w:pPr>
            <w:r>
              <w:rPr>
                <w:rFonts w:hint="eastAsia" w:ascii="宋体" w:hAnsi="宋体" w:eastAsia="仿宋"/>
                <w:color w:val="auto"/>
                <w:sz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6B59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6DB1796">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12.5</w:t>
            </w:r>
          </w:p>
        </w:tc>
        <w:tc>
          <w:tcPr>
            <w:tcW w:w="1581" w:type="dxa"/>
            <w:noWrap w:val="0"/>
            <w:vAlign w:val="center"/>
          </w:tcPr>
          <w:p w14:paraId="4B19F4F3">
            <w:pPr>
              <w:widowControl/>
              <w:snapToGrid w:val="0"/>
              <w:spacing w:line="288" w:lineRule="auto"/>
              <w:jc w:val="center"/>
              <w:rPr>
                <w:rFonts w:hint="eastAsia" w:ascii="宋体" w:hAnsi="宋体" w:cs="Calibri"/>
                <w:b/>
                <w:color w:val="auto"/>
                <w:sz w:val="24"/>
                <w:highlight w:val="none"/>
              </w:rPr>
            </w:pPr>
            <w:r>
              <w:rPr>
                <w:rFonts w:hint="eastAsia" w:ascii="宋体" w:hAnsi="宋体" w:eastAsia="仿宋"/>
                <w:color w:val="auto"/>
                <w:sz w:val="24"/>
                <w:highlight w:val="none"/>
              </w:rPr>
              <w:t>多包投标、多包中标的规定</w:t>
            </w:r>
          </w:p>
        </w:tc>
        <w:tc>
          <w:tcPr>
            <w:tcW w:w="7229" w:type="dxa"/>
            <w:noWrap w:val="0"/>
            <w:vAlign w:val="center"/>
          </w:tcPr>
          <w:p w14:paraId="3C19DE91">
            <w:pPr>
              <w:widowControl/>
              <w:snapToGrid w:val="0"/>
              <w:spacing w:line="288" w:lineRule="auto"/>
              <w:jc w:val="left"/>
              <w:rPr>
                <w:rFonts w:ascii="仿宋" w:hAnsi="仿宋" w:eastAsia="仿宋" w:cs="Calibri"/>
                <w:color w:val="auto"/>
                <w:sz w:val="24"/>
                <w:highlight w:val="none"/>
              </w:rPr>
            </w:pPr>
            <w:r>
              <w:rPr>
                <w:rFonts w:hint="eastAsia" w:ascii="仿宋" w:hAnsi="仿宋" w:eastAsia="仿宋" w:cs="Calibri"/>
                <w:color w:val="auto"/>
                <w:sz w:val="24"/>
                <w:highlight w:val="none"/>
              </w:rPr>
              <w:t>☑</w:t>
            </w:r>
            <w:r>
              <w:rPr>
                <w:rFonts w:hint="eastAsia" w:ascii="仿宋" w:hAnsi="仿宋" w:eastAsia="仿宋" w:cs="仿宋"/>
                <w:color w:val="auto"/>
                <w:kern w:val="0"/>
                <w:sz w:val="24"/>
                <w:highlight w:val="none"/>
                <w:lang w:bidi="ar"/>
              </w:rPr>
              <w:t>本项目不适用</w:t>
            </w:r>
          </w:p>
          <w:p w14:paraId="61C3C4C1">
            <w:pPr>
              <w:widowControl/>
              <w:snapToGrid w:val="0"/>
              <w:spacing w:line="288" w:lineRule="auto"/>
              <w:jc w:val="left"/>
              <w:rPr>
                <w:rFonts w:ascii="仿宋" w:hAnsi="仿宋" w:eastAsia="仿宋" w:cs="Calibri"/>
                <w:color w:val="auto"/>
                <w:sz w:val="24"/>
                <w:highlight w:val="none"/>
              </w:rPr>
            </w:pPr>
            <w:r>
              <w:rPr>
                <w:rFonts w:hint="eastAsia" w:ascii="仿宋" w:hAnsi="仿宋" w:eastAsia="仿宋" w:cs="Calibri"/>
                <w:color w:val="auto"/>
                <w:sz w:val="24"/>
                <w:highlight w:val="none"/>
              </w:rPr>
              <w:t>□投标人可对本项目一个或多个包进行投标，也可中多个包。</w:t>
            </w:r>
          </w:p>
          <w:p w14:paraId="161304E9">
            <w:pPr>
              <w:widowControl/>
              <w:snapToGrid w:val="0"/>
              <w:spacing w:line="288" w:lineRule="auto"/>
              <w:jc w:val="left"/>
              <w:rPr>
                <w:rFonts w:ascii="仿宋" w:hAnsi="仿宋" w:eastAsia="仿宋"/>
                <w:color w:val="auto"/>
                <w:sz w:val="24"/>
                <w:highlight w:val="none"/>
              </w:rPr>
            </w:pPr>
            <w:r>
              <w:rPr>
                <w:rFonts w:hint="eastAsia" w:ascii="仿宋" w:hAnsi="仿宋" w:eastAsia="仿宋" w:cs="Calibri"/>
                <w:color w:val="auto"/>
                <w:sz w:val="24"/>
                <w:highlight w:val="none"/>
              </w:rPr>
              <w:t>□</w:t>
            </w:r>
            <w:r>
              <w:rPr>
                <w:rFonts w:hint="eastAsia" w:ascii="仿宋" w:hAnsi="仿宋" w:eastAsia="仿宋"/>
                <w:color w:val="auto"/>
                <w:sz w:val="24"/>
                <w:highlight w:val="none"/>
              </w:rPr>
              <w:t>本项目评审时按“第1包→第2包→第3包”的包号递增顺序评审。</w:t>
            </w:r>
            <w:r>
              <w:rPr>
                <w:rFonts w:hint="eastAsia" w:ascii="仿宋" w:hAnsi="仿宋" w:eastAsia="仿宋" w:cs="Calibri"/>
                <w:color w:val="auto"/>
                <w:sz w:val="24"/>
                <w:highlight w:val="none"/>
              </w:rPr>
              <w:t>投标人可对本项目一个或多个包进行投标</w:t>
            </w:r>
            <w:r>
              <w:rPr>
                <w:rFonts w:hint="eastAsia" w:ascii="仿宋" w:hAnsi="仿宋" w:eastAsia="仿宋"/>
                <w:color w:val="auto"/>
                <w:sz w:val="24"/>
                <w:highlight w:val="none"/>
              </w:rPr>
              <w:t>，但只能在单个标包中取得中标资格，且在后续标包的评审中均视为无效投标人。如某标包因中标人放弃中标资格、质疑或投诉等原因导致评审结果变更的，不影响其他包评审结果，也不受多投单中规则影响。</w:t>
            </w:r>
          </w:p>
        </w:tc>
      </w:tr>
      <w:tr w14:paraId="6F0C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9F8F89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12.6</w:t>
            </w:r>
          </w:p>
        </w:tc>
        <w:tc>
          <w:tcPr>
            <w:tcW w:w="1581" w:type="dxa"/>
            <w:noWrap w:val="0"/>
            <w:vAlign w:val="center"/>
          </w:tcPr>
          <w:p w14:paraId="5FE443C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相关提示</w:t>
            </w:r>
          </w:p>
        </w:tc>
        <w:tc>
          <w:tcPr>
            <w:tcW w:w="7229" w:type="dxa"/>
            <w:noWrap w:val="0"/>
            <w:vAlign w:val="center"/>
          </w:tcPr>
          <w:p w14:paraId="2CE0D19B">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（1）招标文件中所称时间均指北京时间，采用电子招标投标时，以交易平台时间为准。</w:t>
            </w:r>
          </w:p>
          <w:p w14:paraId="153766CE">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（2）投标人应注意规定的开标地点和投标截止时间，为了使招标投标工作有条不紊进行，避免因网络等问题导致投标文件无法按时加密并提交的情况发生，建议投标人提前30分钟做好准备工作。</w:t>
            </w:r>
          </w:p>
          <w:p w14:paraId="298EB319">
            <w:pPr>
              <w:widowControl/>
              <w:snapToGrid w:val="0"/>
              <w:spacing w:line="288" w:lineRule="auto"/>
              <w:jc w:val="left"/>
              <w:rPr>
                <w:rFonts w:hint="eastAsia" w:ascii="宋体" w:hAnsi="宋体"/>
                <w:color w:val="auto"/>
                <w:sz w:val="24"/>
                <w:highlight w:val="none"/>
              </w:rPr>
            </w:pPr>
            <w:r>
              <w:rPr>
                <w:rFonts w:hint="eastAsia" w:ascii="宋体" w:hAnsi="宋体" w:eastAsia="仿宋"/>
                <w:color w:val="auto"/>
                <w:sz w:val="24"/>
                <w:highlight w:val="none"/>
              </w:rPr>
              <w:t>（3）本项目保证金账户采用虚拟账号，每个项目均不同，同一个项目不同标包也不同。投标标包应与保证金相匹配。如项目招标失败再次招标时，保证金账号也会发生变化。请投标人仔细核对账户信息。</w:t>
            </w:r>
          </w:p>
        </w:tc>
      </w:tr>
      <w:tr w14:paraId="7D66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D0167A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12.7</w:t>
            </w:r>
          </w:p>
        </w:tc>
        <w:tc>
          <w:tcPr>
            <w:tcW w:w="1581" w:type="dxa"/>
            <w:noWrap w:val="0"/>
            <w:vAlign w:val="center"/>
          </w:tcPr>
          <w:p w14:paraId="441A6518">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招标文件的解释</w:t>
            </w:r>
          </w:p>
        </w:tc>
        <w:tc>
          <w:tcPr>
            <w:tcW w:w="7229" w:type="dxa"/>
            <w:noWrap w:val="0"/>
            <w:vAlign w:val="top"/>
          </w:tcPr>
          <w:p w14:paraId="725CE90A">
            <w:pPr>
              <w:widowControl/>
              <w:adjustRightInd w:val="0"/>
              <w:snapToGrid w:val="0"/>
              <w:spacing w:line="288" w:lineRule="auto"/>
              <w:rPr>
                <w:rFonts w:hint="eastAsia" w:ascii="宋体" w:hAnsi="宋体"/>
                <w:color w:val="auto"/>
                <w:sz w:val="24"/>
                <w:highlight w:val="none"/>
              </w:rPr>
            </w:pPr>
            <w:r>
              <w:rPr>
                <w:rFonts w:hint="eastAsia" w:ascii="宋体" w:hAnsi="宋体" w:eastAsia="仿宋"/>
                <w:color w:val="auto"/>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bCs/>
                <w:color w:val="auto"/>
                <w:sz w:val="24"/>
                <w:highlight w:val="none"/>
              </w:rPr>
              <w:t>由采购人和采购代理机构负责解释。</w:t>
            </w:r>
          </w:p>
        </w:tc>
      </w:tr>
      <w:tr w14:paraId="2729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B55D265">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12.8</w:t>
            </w:r>
          </w:p>
        </w:tc>
        <w:tc>
          <w:tcPr>
            <w:tcW w:w="1581" w:type="dxa"/>
            <w:noWrap w:val="0"/>
            <w:vAlign w:val="center"/>
          </w:tcPr>
          <w:p w14:paraId="5CA800C5">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“政采贷”融资指引</w:t>
            </w:r>
          </w:p>
        </w:tc>
        <w:tc>
          <w:tcPr>
            <w:tcW w:w="7229" w:type="dxa"/>
            <w:noWrap w:val="0"/>
            <w:vAlign w:val="top"/>
          </w:tcPr>
          <w:p w14:paraId="40F1CC3F">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有融资需求的供应商在取得政府采购中标或成交通知书后，可访问安徽省政府采购网“融资/保函”栏目，查看和联系第三方平台或者金融机构，商洽融资事项，确定融资意向。</w:t>
            </w:r>
          </w:p>
          <w:p w14:paraId="2BF9EB10">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供应商签署政府采购中标（成交）合同后，登录“徽采云”金融服务模块，选择意向产品进行申请，并填写相关信息，“徽采云”金融服务模块将供应商融资申请信息推送第三方平台、意向金融机构。</w:t>
            </w:r>
          </w:p>
        </w:tc>
      </w:tr>
      <w:tr w14:paraId="7820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2F1249">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b/>
                <w:bCs/>
                <w:color w:val="auto"/>
                <w:sz w:val="24"/>
                <w:highlight w:val="none"/>
              </w:rPr>
              <w:t>12.9</w:t>
            </w:r>
          </w:p>
        </w:tc>
        <w:tc>
          <w:tcPr>
            <w:tcW w:w="1581" w:type="dxa"/>
            <w:noWrap w:val="0"/>
            <w:vAlign w:val="center"/>
          </w:tcPr>
          <w:p w14:paraId="32EECA0B">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b/>
                <w:bCs/>
                <w:color w:val="auto"/>
                <w:sz w:val="24"/>
                <w:highlight w:val="none"/>
              </w:rPr>
              <w:t>说明</w:t>
            </w:r>
          </w:p>
        </w:tc>
        <w:tc>
          <w:tcPr>
            <w:tcW w:w="7229" w:type="dxa"/>
            <w:noWrap w:val="0"/>
            <w:vAlign w:val="top"/>
          </w:tcPr>
          <w:p w14:paraId="010F19FB">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b/>
                <w:bCs/>
                <w:color w:val="auto"/>
                <w:sz w:val="24"/>
                <w:highlight w:val="none"/>
              </w:rPr>
              <w:t>本项目为政府采购项目，须在“徽采云”平台完成合同备案和资金支付等。请各投标人及时进行“徽采云”平台注册，完成正式入库。未完成正式入库的投标人中标后将影响后续合同备案，无法完成合同执行、付款等。相关操作流程详见“徽采云”-徽采学院-供应商注册与配置。</w:t>
            </w:r>
          </w:p>
        </w:tc>
      </w:tr>
    </w:tbl>
    <w:p w14:paraId="6B87DEBE">
      <w:pPr>
        <w:widowControl/>
        <w:spacing w:line="360" w:lineRule="auto"/>
        <w:rPr>
          <w:rFonts w:ascii="宋体" w:hAnsi="宋体" w:eastAsia="仿宋" w:cs="Calibri"/>
          <w:b/>
          <w:bCs/>
          <w:color w:val="auto"/>
          <w:sz w:val="24"/>
          <w:highlight w:val="none"/>
        </w:rPr>
      </w:pPr>
    </w:p>
    <w:p w14:paraId="69FF9EAA">
      <w:pPr>
        <w:widowControl/>
        <w:rPr>
          <w:rStyle w:val="23"/>
          <w:rFonts w:ascii="宋体" w:hAnsi="宋体" w:eastAsia="仿宋"/>
          <w:bCs w:val="0"/>
          <w:color w:val="auto"/>
          <w:sz w:val="24"/>
          <w:szCs w:val="24"/>
          <w:highlight w:val="none"/>
        </w:rPr>
        <w:sectPr>
          <w:footerReference r:id="rId8"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bookmarkEnd w:id="37"/>
    <w:bookmarkEnd w:id="38"/>
    <w:bookmarkEnd w:id="39"/>
    <w:bookmarkEnd w:id="40"/>
    <w:p w14:paraId="5F963579">
      <w:pPr>
        <w:pStyle w:val="3"/>
        <w:rPr>
          <w:rStyle w:val="23"/>
          <w:rFonts w:ascii="宋体" w:hAnsi="宋体" w:eastAsia="仿宋"/>
          <w:b/>
          <w:bCs/>
          <w:color w:val="auto"/>
          <w:sz w:val="24"/>
          <w:szCs w:val="24"/>
          <w:highlight w:val="none"/>
        </w:rPr>
      </w:pPr>
      <w:bookmarkStart w:id="44" w:name="_Toc144974497"/>
      <w:bookmarkStart w:id="45" w:name="_Toc152045529"/>
      <w:bookmarkStart w:id="46" w:name="_Toc152042305"/>
      <w:bookmarkStart w:id="47" w:name="_Toc445554688"/>
      <w:bookmarkStart w:id="48" w:name="_Toc455587216"/>
      <w:bookmarkStart w:id="49" w:name="_Toc455587032"/>
      <w:bookmarkStart w:id="50" w:name="_Toc333600682"/>
      <w:bookmarkStart w:id="51" w:name="_Toc342296161"/>
      <w:bookmarkStart w:id="52" w:name="_Toc342297618"/>
      <w:bookmarkStart w:id="53" w:name="_Toc179632546"/>
      <w:bookmarkStart w:id="54" w:name="_Toc466024500"/>
      <w:bookmarkStart w:id="55" w:name="_Toc371415920"/>
      <w:bookmarkStart w:id="56" w:name="_Toc342294713"/>
      <w:bookmarkStart w:id="57" w:name="_Toc338944604"/>
      <w:bookmarkStart w:id="58" w:name="_Toc333599658"/>
      <w:bookmarkStart w:id="59" w:name="_Toc458504818"/>
      <w:bookmarkStart w:id="60" w:name="_Toc338943699"/>
      <w:r>
        <w:rPr>
          <w:rStyle w:val="23"/>
          <w:rFonts w:hint="eastAsia" w:ascii="宋体" w:hAnsi="宋体" w:eastAsia="仿宋"/>
          <w:b/>
          <w:bCs/>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9544EB3">
      <w:pPr>
        <w:pStyle w:val="4"/>
        <w:adjustRightInd w:val="0"/>
        <w:ind w:firstLine="482" w:firstLineChars="200"/>
        <w:rPr>
          <w:rFonts w:eastAsia="仿宋"/>
          <w:color w:val="auto"/>
          <w:sz w:val="24"/>
          <w:highlight w:val="none"/>
          <w:lang w:eastAsia="zh-CN"/>
        </w:rPr>
      </w:pPr>
      <w:bookmarkStart w:id="61" w:name="_Toc333599659"/>
      <w:bookmarkStart w:id="62" w:name="_Toc342294714"/>
      <w:bookmarkStart w:id="63" w:name="_Toc333600683"/>
      <w:bookmarkStart w:id="64" w:name="_Toc144974498"/>
      <w:bookmarkStart w:id="65" w:name="_Toc179632547"/>
      <w:bookmarkStart w:id="66" w:name="_Toc455587217"/>
      <w:bookmarkStart w:id="67" w:name="_Toc342297619"/>
      <w:bookmarkStart w:id="68" w:name="_Toc338943700"/>
      <w:bookmarkStart w:id="69" w:name="_Toc342296162"/>
      <w:bookmarkStart w:id="70" w:name="_Toc466024501"/>
      <w:bookmarkStart w:id="71" w:name="_Toc152042306"/>
      <w:bookmarkStart w:id="72" w:name="_Toc445554689"/>
      <w:bookmarkStart w:id="73" w:name="_Toc152045530"/>
      <w:bookmarkStart w:id="74" w:name="_Toc458504819"/>
      <w:bookmarkStart w:id="75" w:name="_Toc371415921"/>
      <w:bookmarkStart w:id="76" w:name="_Toc333587853"/>
      <w:bookmarkStart w:id="77" w:name="_Toc455587033"/>
      <w:bookmarkStart w:id="78" w:name="_Toc338944605"/>
      <w:r>
        <w:rPr>
          <w:rFonts w:eastAsia="仿宋"/>
          <w:color w:val="auto"/>
          <w:sz w:val="24"/>
          <w:highlight w:val="none"/>
          <w:lang w:eastAsia="zh-CN"/>
        </w:rPr>
        <w:t>1</w:t>
      </w:r>
      <w:r>
        <w:rPr>
          <w:rFonts w:hint="eastAsia" w:eastAsia="仿宋"/>
          <w:color w:val="auto"/>
          <w:sz w:val="24"/>
          <w:highlight w:val="none"/>
          <w:lang w:eastAsia="zh-CN"/>
        </w:rPr>
        <w:t>.1 项目概况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569E54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1429C48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 采购人：见投标人须知前附表。</w:t>
      </w:r>
    </w:p>
    <w:p w14:paraId="1AEA272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1.1.3 采购代理机构：见投标人须知前附表。</w:t>
      </w:r>
    </w:p>
    <w:p w14:paraId="7098A77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1.1.4 采购项目名称：见投标人须知前附表。</w:t>
      </w:r>
    </w:p>
    <w:p w14:paraId="6A6A2C3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1.1.5 采购包划分：见投标人须知前附表。</w:t>
      </w:r>
    </w:p>
    <w:p w14:paraId="396A8D7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1.1.6 采购预算：见投标人须知前附表。</w:t>
      </w:r>
    </w:p>
    <w:p w14:paraId="2999F3B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1.1.7 专门面向中小企业采购：见投标人须知前附表。</w:t>
      </w:r>
    </w:p>
    <w:p w14:paraId="7E1583C6">
      <w:pPr>
        <w:pStyle w:val="4"/>
        <w:adjustRightInd w:val="0"/>
        <w:ind w:firstLine="482" w:firstLineChars="200"/>
        <w:rPr>
          <w:rFonts w:eastAsia="仿宋"/>
          <w:color w:val="auto"/>
          <w:sz w:val="24"/>
          <w:highlight w:val="none"/>
          <w:lang w:eastAsia="zh-CN"/>
        </w:rPr>
      </w:pPr>
      <w:bookmarkStart w:id="79" w:name="_Toc458504820"/>
      <w:bookmarkStart w:id="80" w:name="_Toc455587218"/>
      <w:bookmarkStart w:id="81" w:name="_Toc445554690"/>
      <w:bookmarkStart w:id="82" w:name="_Toc455587034"/>
      <w:bookmarkStart w:id="83" w:name="_Toc466024502"/>
      <w:r>
        <w:rPr>
          <w:rFonts w:hint="eastAsia" w:eastAsia="仿宋"/>
          <w:color w:val="auto"/>
          <w:sz w:val="24"/>
          <w:highlight w:val="none"/>
          <w:lang w:eastAsia="zh-CN"/>
        </w:rPr>
        <w:t>1.2 资金落实情况与核心产品</w:t>
      </w:r>
    </w:p>
    <w:p w14:paraId="30DE67D4">
      <w:pPr>
        <w:widowControl/>
        <w:adjustRightInd w:val="0"/>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lang w:bidi="ar"/>
        </w:rPr>
        <w:t xml:space="preserve">1.2.1 </w:t>
      </w:r>
      <w:r>
        <w:rPr>
          <w:rFonts w:hint="eastAsia" w:ascii="宋体" w:hAnsi="宋体" w:eastAsia="仿宋" w:cs="仿宋"/>
          <w:color w:val="auto"/>
          <w:sz w:val="24"/>
          <w:highlight w:val="none"/>
          <w:lang w:bidi="ar"/>
        </w:rPr>
        <w:t>资金来源及比例：见投标人须知前附表。</w:t>
      </w:r>
    </w:p>
    <w:p w14:paraId="78B017C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s="宋体"/>
          <w:color w:val="auto"/>
          <w:sz w:val="24"/>
          <w:highlight w:val="none"/>
          <w:lang w:bidi="ar"/>
        </w:rPr>
        <w:t>1.2.2</w:t>
      </w:r>
      <w:r>
        <w:rPr>
          <w:rFonts w:hint="eastAsia" w:ascii="宋体" w:hAnsi="宋体" w:eastAsia="仿宋"/>
          <w:color w:val="auto"/>
          <w:sz w:val="24"/>
          <w:highlight w:val="none"/>
        </w:rPr>
        <w:t xml:space="preserve"> 资金落实情况：本项目的采购人已获得足以支付本次招标后所签订的合同项下的资金。</w:t>
      </w:r>
    </w:p>
    <w:p w14:paraId="1C62909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1.2.3 核心产品：非单一产品采购项目，采购人应当根据采购项目技术构成、产品价格比重等合理确定核心产品，并在招标文件中载明。提供的核心产品品牌相同的不同投标人参加同一合同项下投标的，按一家投标人计算。</w:t>
      </w:r>
    </w:p>
    <w:bookmarkEnd w:id="79"/>
    <w:bookmarkEnd w:id="80"/>
    <w:bookmarkEnd w:id="81"/>
    <w:bookmarkEnd w:id="82"/>
    <w:bookmarkEnd w:id="83"/>
    <w:p w14:paraId="681B077A">
      <w:pPr>
        <w:pStyle w:val="4"/>
        <w:adjustRightInd w:val="0"/>
        <w:ind w:firstLine="482" w:firstLineChars="200"/>
        <w:rPr>
          <w:rFonts w:eastAsia="仿宋"/>
          <w:color w:val="auto"/>
          <w:sz w:val="24"/>
          <w:highlight w:val="none"/>
          <w:lang w:eastAsia="zh-CN"/>
        </w:rPr>
      </w:pPr>
      <w:bookmarkStart w:id="84" w:name="_Toc342297623"/>
      <w:bookmarkStart w:id="85" w:name="_Toc152042310"/>
      <w:bookmarkStart w:id="86" w:name="_Toc342294718"/>
      <w:bookmarkStart w:id="87" w:name="_Toc338943704"/>
      <w:bookmarkStart w:id="88" w:name="_Toc458504821"/>
      <w:bookmarkStart w:id="89" w:name="_Toc144974502"/>
      <w:bookmarkStart w:id="90" w:name="_Toc371415924"/>
      <w:bookmarkStart w:id="91" w:name="_Toc445554692"/>
      <w:bookmarkStart w:id="92" w:name="_Toc333587857"/>
      <w:bookmarkStart w:id="93" w:name="_Toc152045534"/>
      <w:bookmarkStart w:id="94" w:name="_Toc179632551"/>
      <w:bookmarkStart w:id="95" w:name="_Toc342296166"/>
      <w:bookmarkStart w:id="96" w:name="_Toc455587035"/>
      <w:bookmarkStart w:id="97" w:name="_Toc333599663"/>
      <w:bookmarkStart w:id="98" w:name="_Toc333600687"/>
      <w:bookmarkStart w:id="99" w:name="_Toc466024503"/>
      <w:bookmarkStart w:id="100" w:name="_Toc338944609"/>
      <w:bookmarkStart w:id="101" w:name="_Toc455587219"/>
      <w:r>
        <w:rPr>
          <w:rFonts w:hint="eastAsia" w:eastAsia="仿宋"/>
          <w:color w:val="auto"/>
          <w:sz w:val="24"/>
          <w:highlight w:val="none"/>
          <w:lang w:eastAsia="zh-CN"/>
        </w:rPr>
        <w:t>1.3 资格要求</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75D9D1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1.3.1 投标人应具备承担本采购项目的资质条件、能力和信誉，具体资格要求见投标人须知前附表。</w:t>
      </w:r>
    </w:p>
    <w:p w14:paraId="5D90D96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1.3.2 接受联合体投标的，除应符合本章第1.3</w:t>
      </w:r>
      <w:r>
        <w:rPr>
          <w:rFonts w:ascii="宋体" w:hAnsi="宋体" w:eastAsia="仿宋"/>
          <w:color w:val="auto"/>
          <w:sz w:val="24"/>
          <w:highlight w:val="none"/>
        </w:rPr>
        <w:t>.1</w:t>
      </w:r>
      <w:r>
        <w:rPr>
          <w:rFonts w:hint="eastAsia" w:ascii="宋体" w:hAnsi="宋体" w:eastAsia="仿宋"/>
          <w:color w:val="auto"/>
          <w:sz w:val="24"/>
          <w:highlight w:val="none"/>
        </w:rPr>
        <w:t>项和投标人须知前附表的要求外，还应遵守以下规定：</w:t>
      </w:r>
    </w:p>
    <w:p w14:paraId="73F5AB9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）联合体各方应按招标文件提供的格式签订联合体协议书，明确联合体牵头人和各方权利义务，并承诺就中标项目向采购人承担连带责任；</w:t>
      </w:r>
    </w:p>
    <w:p w14:paraId="450F062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（2）由同一专业的单位组成的联合体，按照资质等级较低的单位确定资质等级；</w:t>
      </w:r>
    </w:p>
    <w:p w14:paraId="4653E47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（3）联合体各方不得再以自己名义单独或参加其他联合体在本项目中投标，否则各相关投标均无效；</w:t>
      </w:r>
    </w:p>
    <w:p w14:paraId="08029CA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auto"/>
          <w:sz w:val="24"/>
          <w:highlight w:val="none"/>
        </w:rPr>
        <w:t>采购</w:t>
      </w:r>
      <w:r>
        <w:rPr>
          <w:rFonts w:ascii="宋体" w:hAnsi="宋体" w:eastAsia="仿宋"/>
          <w:color w:val="auto"/>
          <w:sz w:val="24"/>
          <w:highlight w:val="none"/>
        </w:rPr>
        <w:t>人；联合体牵头人所提交的投标文件应认为已代表了联合体各成员的真实情况；</w:t>
      </w:r>
    </w:p>
    <w:p w14:paraId="015170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5）尽管委任了联合体牵头人，但联合体各成员在投标、签订合同与履行合同过程中，仍负有连带的和各自的法律责任。</w:t>
      </w:r>
    </w:p>
    <w:p w14:paraId="075040C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1.3.3 投标人</w:t>
      </w:r>
      <w:r>
        <w:rPr>
          <w:rFonts w:hAnsi="宋体" w:eastAsia="仿宋"/>
          <w:color w:val="auto"/>
          <w:sz w:val="24"/>
          <w:highlight w:val="none"/>
        </w:rPr>
        <w:t>（包括联合体各成员）</w:t>
      </w:r>
      <w:r>
        <w:rPr>
          <w:rFonts w:hint="eastAsia" w:ascii="宋体" w:hAnsi="宋体" w:eastAsia="仿宋"/>
          <w:color w:val="auto"/>
          <w:sz w:val="24"/>
          <w:highlight w:val="none"/>
        </w:rPr>
        <w:t>不得存在下列情形之一：</w:t>
      </w:r>
    </w:p>
    <w:p w14:paraId="29B4E2D0">
      <w:pPr>
        <w:widowControl/>
        <w:adjustRightInd w:val="0"/>
        <w:snapToGrid w:val="0"/>
        <w:spacing w:line="360" w:lineRule="auto"/>
        <w:ind w:firstLine="480" w:firstLineChars="200"/>
        <w:rPr>
          <w:rFonts w:hint="eastAsia" w:ascii="宋体" w:hAnsi="宋体" w:eastAsia="仿宋"/>
          <w:color w:val="auto"/>
          <w:sz w:val="24"/>
          <w:highlight w:val="none"/>
        </w:rPr>
      </w:pPr>
      <w:bookmarkStart w:id="102" w:name="_Toc342296167"/>
      <w:bookmarkStart w:id="103" w:name="_Toc179632552"/>
      <w:bookmarkStart w:id="104" w:name="_Toc152042311"/>
      <w:bookmarkStart w:id="105" w:name="_Toc333600688"/>
      <w:bookmarkStart w:id="106" w:name="_Toc338943705"/>
      <w:bookmarkStart w:id="107" w:name="_Toc333587858"/>
      <w:bookmarkStart w:id="108" w:name="_Toc152045535"/>
      <w:bookmarkStart w:id="109" w:name="_Toc342294719"/>
      <w:bookmarkStart w:id="110" w:name="_Toc333599664"/>
      <w:bookmarkStart w:id="111" w:name="_Toc144974503"/>
      <w:bookmarkStart w:id="112" w:name="_Toc342297624"/>
      <w:bookmarkStart w:id="113" w:name="_Toc338944610"/>
      <w:r>
        <w:rPr>
          <w:rFonts w:hint="eastAsia" w:ascii="宋体" w:hAnsi="宋体" w:eastAsia="仿宋"/>
          <w:color w:val="auto"/>
          <w:sz w:val="24"/>
          <w:highlight w:val="none"/>
        </w:rPr>
        <w:t>（1）</w:t>
      </w:r>
      <w:r>
        <w:rPr>
          <w:rFonts w:ascii="宋体" w:hAnsi="宋体" w:eastAsia="仿宋"/>
          <w:color w:val="auto"/>
          <w:sz w:val="24"/>
          <w:highlight w:val="none"/>
        </w:rPr>
        <w:t>为本采购项目的采购代理机构；</w:t>
      </w:r>
    </w:p>
    <w:p w14:paraId="57FD677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为采购人</w:t>
      </w:r>
      <w:r>
        <w:rPr>
          <w:rFonts w:hint="eastAsia" w:ascii="宋体" w:hAnsi="宋体" w:eastAsia="仿宋"/>
          <w:color w:val="auto"/>
          <w:sz w:val="24"/>
          <w:highlight w:val="none"/>
        </w:rPr>
        <w:t>不具有独立承担民事责任能力的</w:t>
      </w:r>
      <w:r>
        <w:rPr>
          <w:rFonts w:ascii="宋体" w:hAnsi="宋体" w:eastAsia="仿宋"/>
          <w:color w:val="auto"/>
          <w:sz w:val="24"/>
          <w:highlight w:val="none"/>
        </w:rPr>
        <w:t>附属机构</w:t>
      </w:r>
      <w:r>
        <w:rPr>
          <w:rFonts w:hint="eastAsia" w:ascii="宋体" w:hAnsi="宋体" w:eastAsia="仿宋"/>
          <w:color w:val="auto"/>
          <w:sz w:val="24"/>
          <w:highlight w:val="none"/>
        </w:rPr>
        <w:t>；</w:t>
      </w:r>
    </w:p>
    <w:p w14:paraId="02CFF61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与采购人存在利害关系且可能影响采购公正性；</w:t>
      </w:r>
    </w:p>
    <w:p w14:paraId="56B5B1E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由本</w:t>
      </w:r>
      <w:r>
        <w:rPr>
          <w:rFonts w:hint="eastAsia" w:ascii="宋体" w:hAnsi="宋体" w:eastAsia="仿宋"/>
          <w:color w:val="auto"/>
          <w:sz w:val="24"/>
          <w:highlight w:val="none"/>
        </w:rPr>
        <w:t>采购项目</w:t>
      </w:r>
      <w:r>
        <w:rPr>
          <w:rFonts w:ascii="宋体" w:hAnsi="宋体" w:eastAsia="仿宋"/>
          <w:color w:val="auto"/>
          <w:sz w:val="24"/>
          <w:highlight w:val="none"/>
        </w:rPr>
        <w:t>采购代理机构代理</w:t>
      </w:r>
      <w:r>
        <w:rPr>
          <w:rFonts w:hint="eastAsia" w:ascii="宋体" w:hAnsi="宋体" w:eastAsia="仿宋"/>
          <w:color w:val="auto"/>
          <w:sz w:val="24"/>
          <w:highlight w:val="none"/>
        </w:rPr>
        <w:t>投标</w:t>
      </w:r>
      <w:r>
        <w:rPr>
          <w:rFonts w:ascii="宋体" w:hAnsi="宋体" w:eastAsia="仿宋"/>
          <w:color w:val="auto"/>
          <w:sz w:val="24"/>
          <w:highlight w:val="none"/>
        </w:rPr>
        <w:t>，或者接受过本</w:t>
      </w:r>
      <w:r>
        <w:rPr>
          <w:rFonts w:hint="eastAsia" w:ascii="宋体" w:hAnsi="宋体" w:eastAsia="仿宋"/>
          <w:color w:val="auto"/>
          <w:sz w:val="24"/>
          <w:highlight w:val="none"/>
        </w:rPr>
        <w:t>采购项目</w:t>
      </w:r>
      <w:r>
        <w:rPr>
          <w:rFonts w:ascii="宋体" w:hAnsi="宋体" w:eastAsia="仿宋"/>
          <w:color w:val="auto"/>
          <w:sz w:val="24"/>
          <w:highlight w:val="none"/>
        </w:rPr>
        <w:t>的采购代理机构为本</w:t>
      </w:r>
      <w:r>
        <w:rPr>
          <w:rFonts w:hint="eastAsia" w:ascii="宋体" w:hAnsi="宋体" w:eastAsia="仿宋"/>
          <w:color w:val="auto"/>
          <w:sz w:val="24"/>
          <w:highlight w:val="none"/>
        </w:rPr>
        <w:t>采购项目</w:t>
      </w:r>
      <w:r>
        <w:rPr>
          <w:rFonts w:ascii="宋体" w:hAnsi="宋体" w:eastAsia="仿宋"/>
          <w:color w:val="auto"/>
          <w:sz w:val="24"/>
          <w:highlight w:val="none"/>
        </w:rPr>
        <w:t>提供咨询</w:t>
      </w:r>
      <w:r>
        <w:rPr>
          <w:rFonts w:hint="eastAsia" w:ascii="宋体" w:hAnsi="宋体" w:eastAsia="仿宋"/>
          <w:color w:val="auto"/>
          <w:sz w:val="24"/>
          <w:highlight w:val="none"/>
        </w:rPr>
        <w:t>；</w:t>
      </w:r>
    </w:p>
    <w:p w14:paraId="03667E5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w:t>
      </w:r>
      <w:r>
        <w:rPr>
          <w:rFonts w:ascii="宋体" w:hAnsi="宋体" w:eastAsia="仿宋"/>
          <w:color w:val="auto"/>
          <w:sz w:val="24"/>
          <w:highlight w:val="none"/>
        </w:rPr>
        <w:t>被责令停产停业、暂扣或者吊销许可证、暂扣或者吊销执照；</w:t>
      </w:r>
    </w:p>
    <w:p w14:paraId="359B413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进入清算程序，或被宣告破产，或其他丧失履约能力的情形；</w:t>
      </w:r>
    </w:p>
    <w:p w14:paraId="3078030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（7）与本项目其他投标人的</w:t>
      </w:r>
      <w:r>
        <w:rPr>
          <w:rFonts w:ascii="宋体" w:hAnsi="宋体" w:eastAsia="仿宋"/>
          <w:color w:val="auto"/>
          <w:sz w:val="24"/>
          <w:highlight w:val="none"/>
        </w:rPr>
        <w:t>单位负责人为同一人或者存在直接控股、管理关系的不同投标人</w:t>
      </w:r>
      <w:r>
        <w:rPr>
          <w:rFonts w:hint="eastAsia" w:ascii="宋体" w:hAnsi="宋体" w:eastAsia="仿宋"/>
          <w:color w:val="auto"/>
          <w:sz w:val="24"/>
          <w:highlight w:val="none"/>
        </w:rPr>
        <w:t>；</w:t>
      </w:r>
    </w:p>
    <w:p w14:paraId="0C0EAE0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（8）被依法禁止参加政府采购活动并在有效期内；</w:t>
      </w:r>
    </w:p>
    <w:p w14:paraId="7DB7560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（9）为采购项目提供整体设计、规范编制或者项目管理、监理、检测等服务的投标人，不得再参加该采购项目的其他采购活动，具体按财政部财办库〔2015〕295号文件规定；</w:t>
      </w:r>
    </w:p>
    <w:p w14:paraId="7C5F9E6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（10）截至投标截止时间，</w:t>
      </w:r>
      <w:r>
        <w:rPr>
          <w:rFonts w:ascii="宋体" w:hAnsi="宋体" w:eastAsia="仿宋"/>
          <w:color w:val="auto"/>
          <w:sz w:val="24"/>
          <w:highlight w:val="none"/>
        </w:rPr>
        <w:t>被人民法院列入失信被执行人名单</w:t>
      </w:r>
      <w:r>
        <w:rPr>
          <w:rFonts w:hint="eastAsia" w:ascii="宋体" w:hAnsi="宋体" w:eastAsia="仿宋"/>
          <w:color w:val="auto"/>
          <w:sz w:val="24"/>
          <w:highlight w:val="none"/>
        </w:rPr>
        <w:t>的（以信用中国</w:t>
      </w:r>
      <w:r>
        <w:rPr>
          <w:rFonts w:ascii="宋体" w:hAnsi="宋体" w:eastAsia="仿宋"/>
          <w:color w:val="auto"/>
          <w:sz w:val="24"/>
          <w:highlight w:val="none"/>
        </w:rPr>
        <w:t>www.creditchina.gov.cn</w:t>
      </w:r>
      <w:r>
        <w:rPr>
          <w:rFonts w:hint="eastAsia" w:ascii="宋体" w:hAnsi="宋体" w:eastAsia="仿宋"/>
          <w:color w:val="auto"/>
          <w:sz w:val="24"/>
          <w:highlight w:val="none"/>
        </w:rPr>
        <w:t>、中国执行信息公开网</w:t>
      </w:r>
      <w:r>
        <w:rPr>
          <w:rFonts w:ascii="宋体" w:hAnsi="宋体" w:eastAsia="仿宋"/>
          <w:color w:val="auto"/>
          <w:sz w:val="24"/>
          <w:highlight w:val="none"/>
        </w:rPr>
        <w:t>http://zxgk.court.gov.cn/</w:t>
      </w:r>
      <w:r>
        <w:rPr>
          <w:rFonts w:hint="eastAsia" w:ascii="宋体" w:hAnsi="宋体" w:eastAsia="仿宋"/>
          <w:color w:val="auto"/>
          <w:sz w:val="24"/>
          <w:highlight w:val="none"/>
        </w:rPr>
        <w:t>查询为准）</w:t>
      </w:r>
      <w:r>
        <w:rPr>
          <w:rFonts w:ascii="宋体" w:hAnsi="宋体" w:eastAsia="仿宋"/>
          <w:color w:val="auto"/>
          <w:sz w:val="24"/>
          <w:highlight w:val="none"/>
        </w:rPr>
        <w:t>；</w:t>
      </w:r>
    </w:p>
    <w:p w14:paraId="1BFC8EA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（11）截至投标截止时间，被列入重大税收违法案件当事人（重大税收违法失信主体）名单的（以信用中国网站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查询为准）；</w:t>
      </w:r>
    </w:p>
    <w:p w14:paraId="17946E5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（12）截至投标截止时间，被列入政府采购严重违法失信名单的（以信用中国网站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、中国政府采购网</w:t>
      </w:r>
      <w:r>
        <w:rPr>
          <w:rFonts w:ascii="宋体" w:hAnsi="宋体" w:eastAsia="仿宋"/>
          <w:color w:val="auto"/>
          <w:sz w:val="24"/>
          <w:highlight w:val="none"/>
        </w:rPr>
        <w:t>http://www.ccgp.gov.cn/</w:t>
      </w:r>
      <w:r>
        <w:rPr>
          <w:rFonts w:hint="eastAsia" w:ascii="宋体" w:hAnsi="宋体" w:eastAsia="仿宋"/>
          <w:color w:val="auto"/>
          <w:sz w:val="24"/>
          <w:highlight w:val="none"/>
        </w:rPr>
        <w:t>查询为准）；</w:t>
      </w:r>
    </w:p>
    <w:p w14:paraId="4D12193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509E67B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w:t>
      </w:r>
      <w:r>
        <w:rPr>
          <w:rFonts w:ascii="宋体" w:hAnsi="宋体" w:eastAsia="仿宋"/>
          <w:color w:val="auto"/>
          <w:sz w:val="24"/>
          <w:highlight w:val="none"/>
        </w:rPr>
        <w:t>法律法规</w:t>
      </w:r>
      <w:r>
        <w:rPr>
          <w:rFonts w:hint="eastAsia" w:ascii="宋体" w:hAnsi="宋体" w:eastAsia="仿宋"/>
          <w:color w:val="auto"/>
          <w:sz w:val="24"/>
          <w:highlight w:val="none"/>
        </w:rPr>
        <w:t>规定的其他情形；</w:t>
      </w:r>
    </w:p>
    <w:p w14:paraId="275A63B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w:t>
      </w:r>
      <w:r>
        <w:rPr>
          <w:rFonts w:ascii="宋体" w:hAnsi="宋体" w:eastAsia="仿宋"/>
          <w:color w:val="auto"/>
          <w:sz w:val="24"/>
          <w:highlight w:val="none"/>
        </w:rPr>
        <w:t>投标人须知前附表规定的其他情形。</w:t>
      </w:r>
    </w:p>
    <w:p w14:paraId="5E0F9CE5">
      <w:pPr>
        <w:pStyle w:val="4"/>
        <w:adjustRightInd w:val="0"/>
        <w:ind w:firstLine="482" w:firstLineChars="200"/>
        <w:rPr>
          <w:rFonts w:eastAsia="仿宋"/>
          <w:color w:val="auto"/>
          <w:sz w:val="24"/>
          <w:highlight w:val="none"/>
          <w:lang w:eastAsia="zh-CN"/>
        </w:rPr>
      </w:pPr>
      <w:bookmarkStart w:id="114" w:name="_Toc455587220"/>
      <w:bookmarkStart w:id="115" w:name="_Toc458504822"/>
      <w:bookmarkStart w:id="116" w:name="_Toc455587036"/>
      <w:bookmarkStart w:id="117" w:name="_Toc466024504"/>
      <w:bookmarkStart w:id="118" w:name="_Toc371415925"/>
      <w:bookmarkStart w:id="119" w:name="_Toc445554693"/>
      <w:r>
        <w:rPr>
          <w:rFonts w:hint="eastAsia" w:eastAsia="仿宋"/>
          <w:color w:val="auto"/>
          <w:sz w:val="24"/>
          <w:highlight w:val="none"/>
          <w:lang w:eastAsia="zh-CN"/>
        </w:rPr>
        <w:t>1.4 费用承担</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7E953C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投标人准备和参加投标活动发生的费用自理。</w:t>
      </w:r>
    </w:p>
    <w:p w14:paraId="55EBB4A9">
      <w:pPr>
        <w:pStyle w:val="4"/>
        <w:adjustRightInd w:val="0"/>
        <w:ind w:firstLine="482" w:firstLineChars="200"/>
        <w:rPr>
          <w:rFonts w:eastAsia="仿宋"/>
          <w:color w:val="auto"/>
          <w:sz w:val="24"/>
          <w:highlight w:val="none"/>
          <w:lang w:eastAsia="zh-CN"/>
        </w:rPr>
      </w:pPr>
      <w:bookmarkStart w:id="120" w:name="_Toc445554694"/>
      <w:bookmarkStart w:id="121" w:name="_Toc455587221"/>
      <w:bookmarkStart w:id="122" w:name="_Toc458504823"/>
      <w:bookmarkStart w:id="123" w:name="_Toc455587037"/>
      <w:bookmarkStart w:id="124" w:name="_Toc466024505"/>
      <w:bookmarkStart w:id="125" w:name="_Toc152045536"/>
      <w:bookmarkStart w:id="126" w:name="_Toc247513959"/>
      <w:bookmarkStart w:id="127" w:name="_Toc300834956"/>
      <w:bookmarkStart w:id="128" w:name="_Toc152042312"/>
      <w:bookmarkStart w:id="129" w:name="_Toc247527560"/>
      <w:bookmarkStart w:id="130" w:name="_Toc144974504"/>
      <w:r>
        <w:rPr>
          <w:rFonts w:hint="eastAsia" w:eastAsia="仿宋"/>
          <w:color w:val="auto"/>
          <w:sz w:val="24"/>
          <w:highlight w:val="none"/>
          <w:lang w:eastAsia="zh-CN"/>
        </w:rPr>
        <w:t>1.5 保密</w:t>
      </w:r>
      <w:bookmarkEnd w:id="120"/>
      <w:bookmarkEnd w:id="121"/>
      <w:bookmarkEnd w:id="122"/>
      <w:bookmarkEnd w:id="123"/>
      <w:bookmarkEnd w:id="124"/>
    </w:p>
    <w:p w14:paraId="7622C04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参与招标投标活动的各方应当对招标文件和投标文件中的商业和技术等秘密保密，否则应当承担相应的法律责任。</w:t>
      </w:r>
    </w:p>
    <w:p w14:paraId="69C85E86">
      <w:pPr>
        <w:pStyle w:val="4"/>
        <w:adjustRightInd w:val="0"/>
        <w:ind w:firstLine="482" w:firstLineChars="200"/>
        <w:rPr>
          <w:rFonts w:eastAsia="仿宋"/>
          <w:color w:val="auto"/>
          <w:sz w:val="24"/>
          <w:highlight w:val="none"/>
          <w:lang w:eastAsia="zh-CN"/>
        </w:rPr>
      </w:pPr>
      <w:bookmarkStart w:id="131" w:name="_Toc445554695"/>
      <w:bookmarkStart w:id="132" w:name="_Toc458504824"/>
      <w:bookmarkStart w:id="133" w:name="_Toc466024506"/>
      <w:bookmarkStart w:id="134" w:name="_Toc455587038"/>
      <w:bookmarkStart w:id="135" w:name="_Toc455587222"/>
      <w:r>
        <w:rPr>
          <w:rFonts w:hint="eastAsia" w:eastAsia="仿宋"/>
          <w:color w:val="auto"/>
          <w:sz w:val="24"/>
          <w:highlight w:val="none"/>
          <w:lang w:eastAsia="zh-CN"/>
        </w:rPr>
        <w:t>1.6 语言文字</w:t>
      </w:r>
      <w:bookmarkEnd w:id="125"/>
      <w:bookmarkEnd w:id="126"/>
      <w:bookmarkEnd w:id="127"/>
      <w:bookmarkEnd w:id="128"/>
      <w:bookmarkEnd w:id="129"/>
      <w:bookmarkEnd w:id="130"/>
      <w:bookmarkEnd w:id="131"/>
      <w:bookmarkEnd w:id="132"/>
      <w:bookmarkEnd w:id="133"/>
      <w:bookmarkEnd w:id="134"/>
      <w:bookmarkEnd w:id="135"/>
    </w:p>
    <w:p w14:paraId="14BEF03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除专用术语外，与招标投标有关的语言均应当使用中文。必要时专用术语应附有中文注释。</w:t>
      </w:r>
    </w:p>
    <w:p w14:paraId="28875AF8">
      <w:pPr>
        <w:pStyle w:val="4"/>
        <w:adjustRightInd w:val="0"/>
        <w:ind w:firstLine="482" w:firstLineChars="200"/>
        <w:rPr>
          <w:rFonts w:eastAsia="仿宋"/>
          <w:color w:val="auto"/>
          <w:sz w:val="24"/>
          <w:highlight w:val="none"/>
          <w:lang w:eastAsia="zh-CN"/>
        </w:rPr>
      </w:pPr>
      <w:bookmarkStart w:id="136" w:name="_Toc466024507"/>
      <w:bookmarkStart w:id="137" w:name="_Toc445554696"/>
      <w:bookmarkStart w:id="138" w:name="_Toc458504825"/>
      <w:bookmarkStart w:id="139" w:name="_Toc371415926"/>
      <w:bookmarkStart w:id="140" w:name="_Toc455587039"/>
      <w:bookmarkStart w:id="141" w:name="_Toc342296170"/>
      <w:bookmarkStart w:id="142" w:name="_Toc333599667"/>
      <w:bookmarkStart w:id="143" w:name="_Toc152042314"/>
      <w:bookmarkStart w:id="144" w:name="_Toc333600691"/>
      <w:bookmarkStart w:id="145" w:name="_Toc333587861"/>
      <w:bookmarkStart w:id="146" w:name="_Toc144974506"/>
      <w:bookmarkStart w:id="147" w:name="_Toc179632555"/>
      <w:bookmarkStart w:id="148" w:name="_Toc338943708"/>
      <w:bookmarkStart w:id="149" w:name="_Toc455587223"/>
      <w:bookmarkStart w:id="150" w:name="_Toc342297627"/>
      <w:bookmarkStart w:id="151" w:name="_Toc152045538"/>
      <w:bookmarkStart w:id="152" w:name="_Toc338944613"/>
      <w:bookmarkStart w:id="153" w:name="_Toc342294722"/>
      <w:r>
        <w:rPr>
          <w:rFonts w:hint="eastAsia" w:eastAsia="仿宋"/>
          <w:color w:val="auto"/>
          <w:sz w:val="24"/>
          <w:highlight w:val="none"/>
          <w:lang w:eastAsia="zh-CN"/>
        </w:rPr>
        <w:t>1.7 计量单位</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88E813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除招标文件另有规定外，所有计量均采用中华人民共和国法定计量单位。</w:t>
      </w:r>
    </w:p>
    <w:p w14:paraId="254E9AB0">
      <w:pPr>
        <w:pStyle w:val="4"/>
        <w:adjustRightInd w:val="0"/>
        <w:ind w:firstLine="482" w:firstLineChars="200"/>
        <w:rPr>
          <w:rFonts w:eastAsia="仿宋"/>
          <w:color w:val="auto"/>
          <w:sz w:val="24"/>
          <w:highlight w:val="none"/>
          <w:lang w:eastAsia="zh-CN"/>
        </w:rPr>
      </w:pPr>
      <w:bookmarkStart w:id="154" w:name="_Toc455587040"/>
      <w:bookmarkStart w:id="155" w:name="_Toc455587224"/>
      <w:bookmarkStart w:id="156" w:name="_Toc445554697"/>
      <w:bookmarkStart w:id="157" w:name="_Toc371415927"/>
      <w:bookmarkStart w:id="158" w:name="_Toc458504826"/>
      <w:bookmarkStart w:id="159" w:name="_Toc466024508"/>
      <w:bookmarkStart w:id="160" w:name="_Toc342294724"/>
      <w:bookmarkStart w:id="161" w:name="_Toc179632557"/>
      <w:bookmarkStart w:id="162" w:name="_Toc338943710"/>
      <w:bookmarkStart w:id="163" w:name="_Toc152042316"/>
      <w:bookmarkStart w:id="164" w:name="_Toc342296172"/>
      <w:bookmarkStart w:id="165" w:name="_Toc333587863"/>
      <w:bookmarkStart w:id="166" w:name="_Toc333599669"/>
      <w:bookmarkStart w:id="167" w:name="_Toc342297629"/>
      <w:bookmarkStart w:id="168" w:name="_Toc333600693"/>
      <w:bookmarkStart w:id="169" w:name="_Toc152045540"/>
      <w:bookmarkStart w:id="170" w:name="_Toc144974508"/>
      <w:bookmarkStart w:id="171" w:name="_Toc338944615"/>
      <w:r>
        <w:rPr>
          <w:rFonts w:hint="eastAsia" w:eastAsia="仿宋"/>
          <w:color w:val="auto"/>
          <w:sz w:val="24"/>
          <w:highlight w:val="none"/>
          <w:lang w:eastAsia="zh-CN"/>
        </w:rPr>
        <w:t>1.</w:t>
      </w:r>
      <w:bookmarkEnd w:id="154"/>
      <w:bookmarkEnd w:id="155"/>
      <w:bookmarkEnd w:id="156"/>
      <w:bookmarkEnd w:id="157"/>
      <w:bookmarkEnd w:id="158"/>
      <w:r>
        <w:rPr>
          <w:rFonts w:hint="eastAsia" w:eastAsia="仿宋"/>
          <w:color w:val="auto"/>
          <w:sz w:val="24"/>
          <w:highlight w:val="none"/>
          <w:lang w:eastAsia="zh-CN"/>
        </w:rPr>
        <w:t>8 现场考察</w:t>
      </w:r>
      <w:bookmarkEnd w:id="159"/>
    </w:p>
    <w:p w14:paraId="1259263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.1</w:t>
      </w:r>
      <w:r>
        <w:rPr>
          <w:rFonts w:hint="eastAsia" w:ascii="宋体" w:hAnsi="宋体" w:eastAsia="仿宋"/>
          <w:color w:val="auto"/>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3431B24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2</w:t>
      </w:r>
      <w:r>
        <w:rPr>
          <w:rFonts w:hint="eastAsia" w:ascii="宋体" w:hAnsi="宋体" w:eastAsia="仿宋"/>
          <w:color w:val="auto"/>
          <w:sz w:val="24"/>
          <w:highlight w:val="none"/>
        </w:rPr>
        <w:t xml:space="preserve"> 投标人现场考察发生的费用自理。</w:t>
      </w:r>
    </w:p>
    <w:p w14:paraId="001E085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.3</w:t>
      </w:r>
      <w:r>
        <w:rPr>
          <w:rFonts w:hint="eastAsia" w:ascii="宋体" w:hAnsi="宋体" w:eastAsia="仿宋"/>
          <w:color w:val="auto"/>
          <w:sz w:val="24"/>
          <w:highlight w:val="none"/>
        </w:rPr>
        <w:t xml:space="preserve"> 除采购人的原因外，投标人自行负责在现场考察中所发生的人员伤亡和财产损失。</w:t>
      </w:r>
    </w:p>
    <w:p w14:paraId="01AA71D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.4</w:t>
      </w:r>
      <w:r>
        <w:rPr>
          <w:rFonts w:hint="eastAsia" w:ascii="宋体" w:hAnsi="宋体" w:eastAsia="仿宋"/>
          <w:color w:val="auto"/>
          <w:sz w:val="24"/>
          <w:highlight w:val="none"/>
        </w:rPr>
        <w:t xml:space="preserve"> 采购人在现场考察中介绍的现场情况和周边相关的环境情况，仅作为投标人在编制投标文件时参考，采购人不对投标人据此作出的判断和决策负责。</w:t>
      </w:r>
    </w:p>
    <w:p w14:paraId="3BFDCE9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1.8.5 除非有特殊要求，招标文件不单独提供供货使用地的自然环境、气候条件、公用设施等情况，投标人被视为熟悉上述与履行合同有关的一切情况。</w:t>
      </w:r>
    </w:p>
    <w:p w14:paraId="6AB9AD1C">
      <w:pPr>
        <w:pStyle w:val="4"/>
        <w:adjustRightInd w:val="0"/>
        <w:ind w:firstLine="482" w:firstLineChars="200"/>
        <w:rPr>
          <w:rFonts w:eastAsia="仿宋"/>
          <w:color w:val="auto"/>
          <w:sz w:val="24"/>
          <w:highlight w:val="none"/>
          <w:lang w:eastAsia="zh-CN"/>
        </w:rPr>
      </w:pPr>
      <w:bookmarkStart w:id="172" w:name="_Toc455587225"/>
      <w:bookmarkStart w:id="173" w:name="_Toc458504827"/>
      <w:bookmarkStart w:id="174" w:name="_Toc445554698"/>
      <w:bookmarkStart w:id="175" w:name="_Toc455587041"/>
      <w:bookmarkStart w:id="176" w:name="_Toc466024509"/>
      <w:r>
        <w:rPr>
          <w:rFonts w:hint="eastAsia" w:eastAsia="仿宋"/>
          <w:color w:val="auto"/>
          <w:sz w:val="24"/>
          <w:highlight w:val="none"/>
          <w:lang w:eastAsia="zh-CN"/>
        </w:rPr>
        <w:t>1.</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eastAsia="仿宋"/>
          <w:color w:val="auto"/>
          <w:sz w:val="24"/>
          <w:highlight w:val="none"/>
          <w:lang w:eastAsia="zh-CN"/>
        </w:rPr>
        <w:t>9 开标前答疑会</w:t>
      </w:r>
      <w:bookmarkEnd w:id="176"/>
    </w:p>
    <w:p w14:paraId="2B42C54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投标人须知前附表规定召开开标前答疑会（以下简称答疑会）的，采购人按照投标人须知前附表规定的时间和地点召开答疑会，澄清投标人提出的问题。</w:t>
      </w:r>
    </w:p>
    <w:p w14:paraId="08E0498F">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1.10 分包</w:t>
      </w:r>
    </w:p>
    <w:p w14:paraId="3494290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1.10.1 投标人拟在中标后将中标项目的非主体、非关键性工作进行分包的，应符合投标人须知前附表规定的分包要求，分包承担主体应当具备相应资质条件且不得再次分包，除投标人须知前附表规定的非主体、非关键性工作外，其他工作不得分包。 </w:t>
      </w:r>
    </w:p>
    <w:p w14:paraId="699105E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1.10.2 中标人不得向他人转让中标项目。中标人应当就分包项目向采购人负责，分包承担主体就分包项目承担连带责任。</w:t>
      </w:r>
    </w:p>
    <w:p w14:paraId="26BA92B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1.10.3 中标人享受政府采购扶持政策获得政府采购合同的，小微企业不得将合同分包给大中型企业，中型企业不得将合同分包给大型企业。</w:t>
      </w:r>
    </w:p>
    <w:p w14:paraId="480F4B6F">
      <w:pPr>
        <w:pStyle w:val="3"/>
        <w:rPr>
          <w:rStyle w:val="23"/>
          <w:rFonts w:ascii="宋体" w:hAnsi="宋体" w:eastAsia="仿宋"/>
          <w:b/>
          <w:bCs/>
          <w:color w:val="auto"/>
          <w:sz w:val="24"/>
          <w:szCs w:val="24"/>
          <w:highlight w:val="none"/>
        </w:rPr>
      </w:pPr>
      <w:bookmarkStart w:id="177" w:name="_Toc342294727"/>
      <w:bookmarkStart w:id="178" w:name="_Toc458504828"/>
      <w:bookmarkStart w:id="179" w:name="_Toc152042318"/>
      <w:bookmarkStart w:id="180" w:name="_Toc342297632"/>
      <w:bookmarkStart w:id="181" w:name="_Toc144974510"/>
      <w:bookmarkStart w:id="182" w:name="_Toc338944618"/>
      <w:bookmarkStart w:id="183" w:name="_Toc333599672"/>
      <w:bookmarkStart w:id="184" w:name="_Toc333600696"/>
      <w:bookmarkStart w:id="185" w:name="_Toc152045542"/>
      <w:bookmarkStart w:id="186" w:name="_Toc179632560"/>
      <w:bookmarkStart w:id="187" w:name="_Toc342296175"/>
      <w:bookmarkStart w:id="188" w:name="_Toc338943713"/>
      <w:bookmarkStart w:id="189" w:name="_Toc371415929"/>
      <w:bookmarkStart w:id="190" w:name="_Toc455587227"/>
      <w:bookmarkStart w:id="191" w:name="_Toc445554700"/>
      <w:bookmarkStart w:id="192" w:name="_Toc466024510"/>
      <w:bookmarkStart w:id="193" w:name="_Toc455587043"/>
      <w:r>
        <w:rPr>
          <w:rStyle w:val="23"/>
          <w:rFonts w:hint="eastAsia" w:ascii="宋体" w:hAnsi="宋体" w:eastAsia="仿宋"/>
          <w:b/>
          <w:bCs/>
          <w:color w:val="auto"/>
          <w:sz w:val="24"/>
          <w:szCs w:val="24"/>
          <w:highlight w:val="none"/>
        </w:rPr>
        <w:t>2. 招标文件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7454AD8">
      <w:pPr>
        <w:pStyle w:val="4"/>
        <w:adjustRightInd w:val="0"/>
        <w:ind w:firstLine="482" w:firstLineChars="200"/>
        <w:rPr>
          <w:rFonts w:eastAsia="仿宋"/>
          <w:color w:val="auto"/>
          <w:sz w:val="24"/>
          <w:highlight w:val="none"/>
          <w:lang w:eastAsia="zh-CN"/>
        </w:rPr>
      </w:pPr>
      <w:bookmarkStart w:id="194" w:name="_Toc342297633"/>
      <w:bookmarkStart w:id="195" w:name="_Toc371415930"/>
      <w:bookmarkStart w:id="196" w:name="_Toc179632561"/>
      <w:bookmarkStart w:id="197" w:name="_Toc342296176"/>
      <w:bookmarkStart w:id="198" w:name="_Toc333587867"/>
      <w:bookmarkStart w:id="199" w:name="_Toc333599673"/>
      <w:bookmarkStart w:id="200" w:name="_Toc455587044"/>
      <w:bookmarkStart w:id="201" w:name="_Toc466024511"/>
      <w:bookmarkStart w:id="202" w:name="_Toc333600697"/>
      <w:bookmarkStart w:id="203" w:name="_Toc455587228"/>
      <w:bookmarkStart w:id="204" w:name="_Toc458504829"/>
      <w:bookmarkStart w:id="205" w:name="_Toc445554701"/>
      <w:bookmarkStart w:id="206" w:name="_Toc152042319"/>
      <w:bookmarkStart w:id="207" w:name="_Toc144974511"/>
      <w:bookmarkStart w:id="208" w:name="_Toc342294728"/>
      <w:bookmarkStart w:id="209" w:name="_Toc152045543"/>
      <w:bookmarkStart w:id="210" w:name="_Toc338943714"/>
      <w:bookmarkStart w:id="211" w:name="_Toc338944619"/>
      <w:r>
        <w:rPr>
          <w:rFonts w:hint="eastAsia" w:eastAsia="仿宋"/>
          <w:color w:val="auto"/>
          <w:sz w:val="24"/>
          <w:highlight w:val="none"/>
          <w:lang w:eastAsia="zh-CN"/>
        </w:rPr>
        <w:t>2.1 招标文件的组成</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334297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本招标文件包括：</w:t>
      </w:r>
    </w:p>
    <w:p w14:paraId="683FF3F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）招标公告；</w:t>
      </w:r>
    </w:p>
    <w:p w14:paraId="6279BBC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）投标人须知；</w:t>
      </w:r>
    </w:p>
    <w:p w14:paraId="015E7FD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）采购需求；</w:t>
      </w:r>
    </w:p>
    <w:p w14:paraId="51C948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w:t>
      </w:r>
      <w:r>
        <w:rPr>
          <w:rFonts w:hint="eastAsia" w:ascii="宋体" w:hAnsi="宋体" w:eastAsia="仿宋"/>
          <w:color w:val="auto"/>
          <w:sz w:val="24"/>
          <w:highlight w:val="none"/>
        </w:rPr>
        <w:t>）资格审查和评标办法；</w:t>
      </w:r>
    </w:p>
    <w:p w14:paraId="0CAA7CA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（5）合同条款及格式；</w:t>
      </w:r>
    </w:p>
    <w:p w14:paraId="3DC2F9C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（6）投标文件格式。</w:t>
      </w:r>
    </w:p>
    <w:p w14:paraId="10D13D2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对招标文件所作的澄清、修改、补充通知，构成招标文件的组成部分。当招标文件、招标文件的澄清或修改等在同一内容的</w:t>
      </w:r>
      <w:r>
        <w:rPr>
          <w:rFonts w:hint="eastAsia" w:eastAsia="仿宋"/>
          <w:color w:val="auto"/>
          <w:sz w:val="24"/>
          <w:highlight w:val="none"/>
        </w:rPr>
        <w:t>表述</w:t>
      </w:r>
      <w:r>
        <w:rPr>
          <w:rFonts w:hint="eastAsia" w:ascii="宋体" w:hAnsi="宋体" w:eastAsia="仿宋"/>
          <w:color w:val="auto"/>
          <w:sz w:val="24"/>
          <w:highlight w:val="none"/>
        </w:rPr>
        <w:t>上不一致时，以最后发出的书面文件为准。</w:t>
      </w:r>
    </w:p>
    <w:p w14:paraId="3E65F30F">
      <w:pPr>
        <w:pStyle w:val="4"/>
        <w:adjustRightInd w:val="0"/>
        <w:ind w:firstLine="482" w:firstLineChars="200"/>
        <w:rPr>
          <w:rFonts w:eastAsia="仿宋"/>
          <w:color w:val="auto"/>
          <w:sz w:val="24"/>
          <w:highlight w:val="none"/>
          <w:lang w:eastAsia="zh-CN"/>
        </w:rPr>
      </w:pPr>
      <w:bookmarkStart w:id="212" w:name="_Toc300834965"/>
      <w:bookmarkStart w:id="213" w:name="_Toc466024512"/>
      <w:bookmarkStart w:id="214" w:name="_Toc152045544"/>
      <w:bookmarkStart w:id="215" w:name="_Toc458504830"/>
      <w:bookmarkStart w:id="216" w:name="_Toc152042320"/>
      <w:bookmarkStart w:id="217" w:name="_Toc455587045"/>
      <w:bookmarkStart w:id="218" w:name="_Toc455587229"/>
      <w:bookmarkStart w:id="219" w:name="_Toc144974512"/>
      <w:bookmarkStart w:id="220" w:name="_Toc247513968"/>
      <w:bookmarkStart w:id="221" w:name="_Toc371415931"/>
      <w:bookmarkStart w:id="222" w:name="_Toc247527569"/>
      <w:bookmarkStart w:id="223" w:name="_Toc445554702"/>
      <w:r>
        <w:rPr>
          <w:rFonts w:hint="eastAsia" w:eastAsia="仿宋"/>
          <w:color w:val="auto"/>
          <w:sz w:val="24"/>
          <w:highlight w:val="none"/>
          <w:lang w:eastAsia="zh-CN"/>
        </w:rPr>
        <w:t>2.2 招标文件的澄清</w:t>
      </w:r>
      <w:bookmarkEnd w:id="212"/>
      <w:bookmarkEnd w:id="213"/>
      <w:bookmarkEnd w:id="214"/>
      <w:bookmarkEnd w:id="215"/>
      <w:bookmarkEnd w:id="216"/>
      <w:bookmarkEnd w:id="217"/>
      <w:bookmarkEnd w:id="218"/>
      <w:bookmarkEnd w:id="219"/>
      <w:bookmarkEnd w:id="220"/>
      <w:bookmarkEnd w:id="221"/>
      <w:bookmarkEnd w:id="222"/>
      <w:bookmarkEnd w:id="223"/>
    </w:p>
    <w:p w14:paraId="070F62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eastAsia="仿宋"/>
          <w:color w:val="auto"/>
          <w:sz w:val="24"/>
          <w:highlight w:val="none"/>
        </w:rPr>
        <w:t>投标人应仔细阅读和检查招标文件的全部内容。如发现缺页或附件不全，应及时向</w:t>
      </w:r>
      <w:r>
        <w:rPr>
          <w:rFonts w:hint="eastAsia" w:eastAsia="仿宋"/>
          <w:color w:val="auto"/>
          <w:sz w:val="24"/>
          <w:highlight w:val="none"/>
        </w:rPr>
        <w:t>采购</w:t>
      </w:r>
      <w:r>
        <w:rPr>
          <w:rFonts w:eastAsia="仿宋"/>
          <w:color w:val="auto"/>
          <w:sz w:val="24"/>
          <w:highlight w:val="none"/>
        </w:rPr>
        <w:t>人提出，以便补齐。</w:t>
      </w:r>
      <w:r>
        <w:rPr>
          <w:rFonts w:hint="eastAsia" w:eastAsia="仿宋"/>
          <w:color w:val="auto"/>
          <w:sz w:val="24"/>
          <w:highlight w:val="none"/>
        </w:rPr>
        <w:t>投标人对</w:t>
      </w:r>
      <w:r>
        <w:rPr>
          <w:rFonts w:eastAsia="仿宋"/>
          <w:color w:val="auto"/>
          <w:sz w:val="24"/>
          <w:highlight w:val="none"/>
        </w:rPr>
        <w:t>招标文件</w:t>
      </w:r>
      <w:r>
        <w:rPr>
          <w:rFonts w:hint="eastAsia" w:eastAsia="仿宋"/>
          <w:color w:val="auto"/>
          <w:sz w:val="24"/>
          <w:highlight w:val="none"/>
        </w:rPr>
        <w:t>有疑问的，可依法按本章第9.1款提出询问</w:t>
      </w:r>
      <w:r>
        <w:rPr>
          <w:rFonts w:eastAsia="仿宋"/>
          <w:color w:val="auto"/>
          <w:sz w:val="24"/>
          <w:highlight w:val="none"/>
        </w:rPr>
        <w:t>。</w:t>
      </w:r>
    </w:p>
    <w:p w14:paraId="46D29E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2.2.2 招标文件的澄清按投标人须知前附表规定的形式发出，但不指明澄清问题的来源，该澄清的内容为招标文件的组成部分。如果澄清发出的时间距本章第4.2.1项规定的投标截止时间不足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日的，并且澄清内容可能影响投标文件编制，将相应顺延投标截止时间。</w:t>
      </w:r>
    </w:p>
    <w:p w14:paraId="30287C1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.3</w:t>
      </w:r>
      <w:r>
        <w:rPr>
          <w:rFonts w:hint="eastAsia" w:ascii="宋体" w:hAnsi="宋体" w:eastAsia="仿宋"/>
          <w:color w:val="auto"/>
          <w:sz w:val="24"/>
          <w:highlight w:val="none"/>
        </w:rPr>
        <w:t xml:space="preserve"> 投标人应主动上网查询对招标文件的澄清，无需投标人书面确认。投标人未及时关注相关信息的，其责任自负。对招标文件进行的澄清，通过其他方式发布的，投标人收到澄清后24小时内书面确认（以发出时间为准），逾期未确认的，视为投标人完整收到。</w:t>
      </w:r>
    </w:p>
    <w:p w14:paraId="44367E13">
      <w:pPr>
        <w:pStyle w:val="4"/>
        <w:adjustRightInd w:val="0"/>
        <w:ind w:firstLine="482" w:firstLineChars="200"/>
        <w:rPr>
          <w:rFonts w:eastAsia="仿宋"/>
          <w:color w:val="auto"/>
          <w:sz w:val="24"/>
          <w:highlight w:val="none"/>
          <w:lang w:eastAsia="zh-CN"/>
        </w:rPr>
      </w:pPr>
      <w:bookmarkStart w:id="224" w:name="_Toc371415932"/>
      <w:bookmarkStart w:id="225" w:name="_Toc455587046"/>
      <w:bookmarkStart w:id="226" w:name="_Toc458504831"/>
      <w:bookmarkStart w:id="227" w:name="_Toc455587230"/>
      <w:bookmarkStart w:id="228" w:name="_Toc152042321"/>
      <w:bookmarkStart w:id="229" w:name="_Toc152045545"/>
      <w:bookmarkStart w:id="230" w:name="_Toc466024513"/>
      <w:bookmarkStart w:id="231" w:name="_Toc300834966"/>
      <w:bookmarkStart w:id="232" w:name="_Toc247527570"/>
      <w:bookmarkStart w:id="233" w:name="_Toc445554703"/>
      <w:bookmarkStart w:id="234" w:name="_Toc247513969"/>
      <w:bookmarkStart w:id="235" w:name="_Toc144974513"/>
      <w:r>
        <w:rPr>
          <w:rFonts w:hint="eastAsia" w:eastAsia="仿宋"/>
          <w:color w:val="auto"/>
          <w:sz w:val="24"/>
          <w:highlight w:val="none"/>
          <w:lang w:eastAsia="zh-CN"/>
        </w:rPr>
        <w:t>2.3 招标文件的修改</w:t>
      </w:r>
      <w:bookmarkEnd w:id="224"/>
      <w:bookmarkEnd w:id="225"/>
      <w:bookmarkEnd w:id="226"/>
      <w:bookmarkEnd w:id="227"/>
      <w:bookmarkEnd w:id="228"/>
      <w:bookmarkEnd w:id="229"/>
      <w:bookmarkEnd w:id="230"/>
      <w:bookmarkEnd w:id="231"/>
      <w:bookmarkEnd w:id="232"/>
      <w:bookmarkEnd w:id="233"/>
      <w:bookmarkEnd w:id="234"/>
      <w:bookmarkEnd w:id="235"/>
    </w:p>
    <w:p w14:paraId="719C0D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.1</w:t>
      </w:r>
      <w:r>
        <w:rPr>
          <w:rFonts w:hint="eastAsia" w:ascii="宋体" w:hAnsi="宋体" w:eastAsia="仿宋"/>
          <w:color w:val="auto"/>
          <w:sz w:val="24"/>
          <w:highlight w:val="none"/>
        </w:rPr>
        <w:t xml:space="preserve"> 对招标文件的修改将在招标公告发布的媒介以发布更正公告的方式公开。如果修改招标文件的时间距本章第4.2.1项规定的投标截止时间不足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日的，且修改内容影响投标文件编制，将相应顺延投标截止时间。</w:t>
      </w:r>
    </w:p>
    <w:p w14:paraId="0AEA702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.2</w:t>
      </w:r>
      <w:r>
        <w:rPr>
          <w:rFonts w:hint="eastAsia" w:ascii="宋体" w:hAnsi="宋体" w:eastAsia="仿宋"/>
          <w:color w:val="auto"/>
          <w:sz w:val="24"/>
          <w:highlight w:val="none"/>
        </w:rPr>
        <w:t xml:space="preserve"> 更正公告的内容作为招标文件的组成部分，对投标人起约束作用。投标人应主动上网查询，采购人及采购代理机构不承担投标人未及时关注相关信息引发的相关责任。</w:t>
      </w:r>
    </w:p>
    <w:p w14:paraId="0A1B564F">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2.4 招标文件的质疑</w:t>
      </w:r>
    </w:p>
    <w:p w14:paraId="76E63CEE">
      <w:pPr>
        <w:widowControl/>
        <w:adjustRightInd w:val="0"/>
        <w:snapToGrid w:val="0"/>
        <w:spacing w:line="360" w:lineRule="auto"/>
        <w:ind w:firstLine="480" w:firstLineChars="200"/>
        <w:rPr>
          <w:rFonts w:hint="eastAsia" w:ascii="宋体" w:hAnsi="宋体" w:eastAsia="仿宋"/>
          <w:color w:val="auto"/>
          <w:sz w:val="24"/>
          <w:highlight w:val="none"/>
        </w:rPr>
      </w:pPr>
      <w:bookmarkStart w:id="236" w:name="_Toc455587232"/>
      <w:bookmarkStart w:id="237" w:name="_Toc342297636"/>
      <w:bookmarkStart w:id="238" w:name="_Toc333600700"/>
      <w:bookmarkStart w:id="239" w:name="_Toc152045546"/>
      <w:bookmarkStart w:id="240" w:name="_Toc338944622"/>
      <w:bookmarkStart w:id="241" w:name="_Toc333599676"/>
      <w:bookmarkStart w:id="242" w:name="_Toc445554705"/>
      <w:bookmarkStart w:id="243" w:name="_Toc458504832"/>
      <w:bookmarkStart w:id="244" w:name="_Toc371415933"/>
      <w:bookmarkStart w:id="245" w:name="_Toc152042322"/>
      <w:bookmarkStart w:id="246" w:name="_Toc179632564"/>
      <w:bookmarkStart w:id="247" w:name="_Toc342294731"/>
      <w:bookmarkStart w:id="248" w:name="_Toc342296179"/>
      <w:bookmarkStart w:id="249" w:name="_Toc338943717"/>
      <w:bookmarkStart w:id="250" w:name="_Toc144974514"/>
      <w:bookmarkStart w:id="251" w:name="_Toc455587048"/>
      <w:bookmarkStart w:id="252" w:name="_Toc466024514"/>
      <w:r>
        <w:rPr>
          <w:rFonts w:hint="eastAsia" w:ascii="宋体" w:hAnsi="宋体" w:eastAsia="仿宋"/>
          <w:color w:val="auto"/>
          <w:sz w:val="24"/>
          <w:highlight w:val="none"/>
        </w:rPr>
        <w:t>2.4.1 投标人对招标文件的质疑须符合本章第9.2款规定。</w:t>
      </w:r>
    </w:p>
    <w:p w14:paraId="3D8DF36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2.4.2 采购人对质疑的答复构成对招标文件澄清或者修改的，采购人将按照本章第2.2款、第2.3款规定办理。</w:t>
      </w:r>
    </w:p>
    <w:p w14:paraId="4AF623FA">
      <w:pPr>
        <w:pStyle w:val="3"/>
        <w:rPr>
          <w:rStyle w:val="23"/>
          <w:rFonts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3. 投标文件</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5511CFA4">
      <w:pPr>
        <w:pStyle w:val="4"/>
        <w:adjustRightInd w:val="0"/>
        <w:ind w:firstLine="482" w:firstLineChars="200"/>
        <w:rPr>
          <w:rFonts w:eastAsia="仿宋"/>
          <w:color w:val="auto"/>
          <w:sz w:val="24"/>
          <w:highlight w:val="none"/>
          <w:lang w:eastAsia="zh-CN"/>
        </w:rPr>
      </w:pPr>
      <w:bookmarkStart w:id="253" w:name="_Toc333600701"/>
      <w:bookmarkStart w:id="254" w:name="_Toc144974515"/>
      <w:bookmarkStart w:id="255" w:name="_Toc338943718"/>
      <w:bookmarkStart w:id="256" w:name="_Toc371415934"/>
      <w:bookmarkStart w:id="257" w:name="_Toc342296180"/>
      <w:bookmarkStart w:id="258" w:name="_Toc333599677"/>
      <w:bookmarkStart w:id="259" w:name="_Toc342297637"/>
      <w:bookmarkStart w:id="260" w:name="_Toc338944623"/>
      <w:bookmarkStart w:id="261" w:name="_Toc445554706"/>
      <w:bookmarkStart w:id="262" w:name="_Toc466024515"/>
      <w:bookmarkStart w:id="263" w:name="_Toc458504833"/>
      <w:bookmarkStart w:id="264" w:name="_Toc342294732"/>
      <w:bookmarkStart w:id="265" w:name="_Toc152045547"/>
      <w:bookmarkStart w:id="266" w:name="_Toc179632565"/>
      <w:bookmarkStart w:id="267" w:name="_Toc455587049"/>
      <w:bookmarkStart w:id="268" w:name="_Toc152042323"/>
      <w:bookmarkStart w:id="269" w:name="_Toc333587871"/>
      <w:bookmarkStart w:id="270" w:name="_Toc455587233"/>
      <w:r>
        <w:rPr>
          <w:rFonts w:hint="eastAsia" w:eastAsia="仿宋"/>
          <w:color w:val="auto"/>
          <w:sz w:val="24"/>
          <w:highlight w:val="none"/>
          <w:lang w:eastAsia="zh-CN"/>
        </w:rPr>
        <w:t>3.1 投标文件的组成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A255D53">
      <w:pPr>
        <w:widowControl/>
        <w:adjustRightInd w:val="0"/>
        <w:snapToGrid w:val="0"/>
        <w:spacing w:line="360" w:lineRule="auto"/>
        <w:ind w:firstLine="480" w:firstLineChars="200"/>
        <w:rPr>
          <w:rFonts w:hint="eastAsia" w:ascii="宋体" w:hAnsi="宋体" w:eastAsia="仿宋"/>
          <w:color w:val="auto"/>
          <w:sz w:val="24"/>
          <w:highlight w:val="none"/>
        </w:rPr>
      </w:pPr>
      <w:bookmarkStart w:id="271" w:name="_Toc338943719"/>
      <w:bookmarkStart w:id="272" w:name="_Toc342294733"/>
      <w:bookmarkStart w:id="273" w:name="_Toc342297638"/>
      <w:bookmarkStart w:id="274" w:name="_Toc152042324"/>
      <w:bookmarkStart w:id="275" w:name="_Toc333600702"/>
      <w:bookmarkStart w:id="276" w:name="_Toc338944624"/>
      <w:bookmarkStart w:id="277" w:name="_Toc144974516"/>
      <w:bookmarkStart w:id="278" w:name="_Toc152045548"/>
      <w:bookmarkStart w:id="279" w:name="_Toc333599678"/>
      <w:bookmarkStart w:id="280" w:name="_Toc342296181"/>
      <w:bookmarkStart w:id="281" w:name="_Toc333587872"/>
      <w:bookmarkStart w:id="282" w:name="_Toc179632566"/>
      <w:r>
        <w:rPr>
          <w:rFonts w:hint="eastAsia" w:ascii="宋体" w:hAnsi="宋体" w:eastAsia="仿宋"/>
          <w:color w:val="auto"/>
          <w:sz w:val="24"/>
          <w:highlight w:val="none"/>
        </w:rPr>
        <w:t>3.1</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投标文件应包括下列内容：</w:t>
      </w:r>
    </w:p>
    <w:p w14:paraId="5F63D94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（1）投标函；</w:t>
      </w:r>
    </w:p>
    <w:p w14:paraId="5D2FC7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（2）开标一览表；</w:t>
      </w:r>
    </w:p>
    <w:p w14:paraId="6416D37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（3）分项报价表；</w:t>
      </w:r>
    </w:p>
    <w:p w14:paraId="643C448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（4）投标人综合情况简介；</w:t>
      </w:r>
    </w:p>
    <w:p w14:paraId="79BA3D5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（5）中小企业声明函（货物）；</w:t>
      </w:r>
    </w:p>
    <w:p w14:paraId="0D53F5F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（6）法定代表人（单位负责人）身份证明或授权委托书；</w:t>
      </w:r>
    </w:p>
    <w:p w14:paraId="478B48E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（7）联合体协议书（如有）；</w:t>
      </w:r>
    </w:p>
    <w:p w14:paraId="1A7CD42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（8）分包意向协议书（如有）；</w:t>
      </w:r>
    </w:p>
    <w:p w14:paraId="6D2B227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（9）资格审查材料；</w:t>
      </w:r>
    </w:p>
    <w:p w14:paraId="66B17AF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（10）符合性审查与详细评审材料；</w:t>
      </w:r>
    </w:p>
    <w:p w14:paraId="683A03A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（11）主要标的承诺函；</w:t>
      </w:r>
    </w:p>
    <w:p w14:paraId="65F81A7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（12）投标人认为应该提供的其他材料。</w:t>
      </w:r>
    </w:p>
    <w:p w14:paraId="1C0A432F">
      <w:pPr>
        <w:widowControl/>
        <w:adjustRightInd w:val="0"/>
        <w:snapToGrid w:val="0"/>
        <w:spacing w:line="360" w:lineRule="auto"/>
        <w:ind w:firstLine="480" w:firstLineChars="200"/>
        <w:rPr>
          <w:rFonts w:eastAsia="仿宋"/>
          <w:color w:val="auto"/>
          <w:sz w:val="24"/>
          <w:highlight w:val="none"/>
        </w:rPr>
      </w:pPr>
      <w:r>
        <w:rPr>
          <w:rFonts w:eastAsia="仿宋"/>
          <w:color w:val="auto"/>
          <w:sz w:val="24"/>
          <w:highlight w:val="none"/>
        </w:rPr>
        <w:t>投标人在评标过程中作出的符合法律法规和招标文件规定的澄清确认，构成投标文件的组成部分。</w:t>
      </w:r>
    </w:p>
    <w:p w14:paraId="7A76099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3.1.2 投标人须知前附表规定不接受联合体投标的，或投标人没有组成联合体的，投标文件不包括本章第3.1.1（7）目所指的联合体协议书。</w:t>
      </w:r>
    </w:p>
    <w:p w14:paraId="572BCDD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3.1.3 投标人须知前附表规定不接受分包的，或投标人没有分包的，投标文件不包括本章第3.1.1（8）目所指的分包意向协议书。</w:t>
      </w:r>
    </w:p>
    <w:p w14:paraId="6A756A7F">
      <w:pPr>
        <w:adjustRightInd w:val="0"/>
        <w:spacing w:line="360" w:lineRule="auto"/>
        <w:ind w:firstLine="480" w:firstLineChars="200"/>
        <w:rPr>
          <w:rFonts w:hint="eastAsia" w:ascii="宋体" w:hAnsi="宋体" w:eastAsia="仿宋"/>
          <w:color w:val="auto"/>
          <w:sz w:val="24"/>
          <w:highlight w:val="none"/>
        </w:rPr>
      </w:pPr>
      <w:bookmarkStart w:id="283" w:name="_Toc445554707"/>
      <w:bookmarkStart w:id="284" w:name="_Toc455587234"/>
      <w:bookmarkStart w:id="285" w:name="_Toc455587050"/>
      <w:bookmarkStart w:id="286" w:name="_Toc458504834"/>
      <w:bookmarkStart w:id="287" w:name="_Toc466024516"/>
      <w:r>
        <w:rPr>
          <w:rFonts w:hint="eastAsia" w:ascii="宋体" w:hAnsi="宋体" w:eastAsia="仿宋"/>
          <w:color w:val="auto"/>
          <w:sz w:val="24"/>
          <w:highlight w:val="none"/>
        </w:rPr>
        <w:t>3.1.4 投标人须知前附表规定要求递交投标货物样品的，投标人应按照投标人须知前附表的规定提供投标货物样品。</w:t>
      </w:r>
    </w:p>
    <w:p w14:paraId="56CFF0EA">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3.2 投标报价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Start w:id="288" w:name="_Toc370199958"/>
    </w:p>
    <w:p w14:paraId="411F1C3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w:t>
      </w:r>
      <w:r>
        <w:rPr>
          <w:rFonts w:ascii="宋体" w:hAnsi="宋体" w:eastAsia="仿宋"/>
          <w:color w:val="auto"/>
          <w:sz w:val="24"/>
          <w:highlight w:val="none"/>
        </w:rPr>
        <w:t>.1</w:t>
      </w:r>
      <w:r>
        <w:rPr>
          <w:rFonts w:hint="eastAsia" w:ascii="宋体" w:hAnsi="宋体" w:eastAsia="仿宋"/>
          <w:color w:val="auto"/>
          <w:sz w:val="24"/>
          <w:highlight w:val="none"/>
        </w:rPr>
        <w:t xml:space="preserve"> 投标报价应当包括的内容见投标人须知前附表规定。投标人应当按招标文件规定进行投标报价，并按给定格式填写投标报价表格。</w:t>
      </w:r>
      <w:bookmarkEnd w:id="288"/>
      <w:bookmarkStart w:id="289" w:name="_Toc370199959"/>
    </w:p>
    <w:p w14:paraId="04069B5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3.2.2 </w:t>
      </w:r>
      <w:r>
        <w:rPr>
          <w:rFonts w:ascii="宋体" w:hAnsi="宋体" w:eastAsia="仿宋"/>
          <w:color w:val="auto"/>
          <w:sz w:val="24"/>
          <w:highlight w:val="none"/>
        </w:rPr>
        <w:t>投标人应充分了解该项目的总体情况以及影响报价的其他要素。</w:t>
      </w:r>
    </w:p>
    <w:p w14:paraId="4AEF3D1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3.2.3 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319689C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3.2.4 投标报价的其他要求见投标人须知前附表。</w:t>
      </w:r>
    </w:p>
    <w:bookmarkEnd w:id="289"/>
    <w:p w14:paraId="6B36354E">
      <w:pPr>
        <w:pStyle w:val="4"/>
        <w:adjustRightInd w:val="0"/>
        <w:ind w:firstLine="482" w:firstLineChars="200"/>
        <w:rPr>
          <w:rFonts w:eastAsia="仿宋"/>
          <w:color w:val="auto"/>
          <w:sz w:val="24"/>
          <w:highlight w:val="none"/>
          <w:lang w:eastAsia="zh-CN"/>
        </w:rPr>
      </w:pPr>
      <w:bookmarkStart w:id="290" w:name="_Toc342296182"/>
      <w:bookmarkStart w:id="291" w:name="_Toc342294734"/>
      <w:bookmarkStart w:id="292" w:name="_Toc342297639"/>
      <w:bookmarkStart w:id="293" w:name="_Toc338944625"/>
      <w:bookmarkStart w:id="294" w:name="_Toc466024517"/>
      <w:bookmarkStart w:id="295" w:name="_Toc455587051"/>
      <w:bookmarkStart w:id="296" w:name="_Toc144974517"/>
      <w:bookmarkStart w:id="297" w:name="_Toc458504835"/>
      <w:bookmarkStart w:id="298" w:name="_Toc152042325"/>
      <w:bookmarkStart w:id="299" w:name="_Toc445554708"/>
      <w:bookmarkStart w:id="300" w:name="_Toc333600703"/>
      <w:bookmarkStart w:id="301" w:name="_Toc179632567"/>
      <w:bookmarkStart w:id="302" w:name="_Toc152045549"/>
      <w:bookmarkStart w:id="303" w:name="_Toc371415937"/>
      <w:bookmarkStart w:id="304" w:name="_Toc338943720"/>
      <w:bookmarkStart w:id="305" w:name="_Toc455587235"/>
      <w:bookmarkStart w:id="306" w:name="_Toc333599679"/>
      <w:bookmarkStart w:id="307" w:name="_Toc333587873"/>
      <w:r>
        <w:rPr>
          <w:rFonts w:hint="eastAsia" w:eastAsia="仿宋"/>
          <w:color w:val="auto"/>
          <w:sz w:val="24"/>
          <w:highlight w:val="none"/>
          <w:lang w:eastAsia="zh-CN"/>
        </w:rPr>
        <w:t>3.3 投标有效期</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08091C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.1</w:t>
      </w:r>
      <w:r>
        <w:rPr>
          <w:rFonts w:hint="eastAsia" w:ascii="宋体" w:hAnsi="宋体" w:eastAsia="仿宋"/>
          <w:color w:val="auto"/>
          <w:sz w:val="24"/>
          <w:highlight w:val="none"/>
        </w:rPr>
        <w:t xml:space="preserve"> 在投标人须知前附表规定的投标有效期内，投标文件保持有效，投标人不得要求撤销或修改其投标文件，否则应承担招标文件和法律法规规定的责任。</w:t>
      </w:r>
    </w:p>
    <w:p w14:paraId="3952D97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.2</w:t>
      </w:r>
      <w:r>
        <w:rPr>
          <w:rFonts w:hint="eastAsia" w:ascii="宋体" w:hAnsi="宋体" w:eastAsia="仿宋"/>
          <w:color w:val="auto"/>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auto"/>
          <w:sz w:val="24"/>
          <w:highlight w:val="none"/>
        </w:rPr>
        <w:t xml:space="preserve"> </w:t>
      </w:r>
    </w:p>
    <w:p w14:paraId="0FF55E27">
      <w:pPr>
        <w:pStyle w:val="4"/>
        <w:adjustRightInd w:val="0"/>
        <w:ind w:firstLine="482" w:firstLineChars="200"/>
        <w:rPr>
          <w:rFonts w:eastAsia="仿宋"/>
          <w:color w:val="auto"/>
          <w:sz w:val="24"/>
          <w:highlight w:val="none"/>
          <w:lang w:eastAsia="zh-CN"/>
        </w:rPr>
      </w:pPr>
      <w:bookmarkStart w:id="308" w:name="_Toc458504836"/>
      <w:bookmarkStart w:id="309" w:name="_Toc342297640"/>
      <w:bookmarkStart w:id="310" w:name="_Toc455587052"/>
      <w:bookmarkStart w:id="311" w:name="_Toc466024518"/>
      <w:bookmarkStart w:id="312" w:name="_Toc342296183"/>
      <w:bookmarkStart w:id="313" w:name="_Toc338944626"/>
      <w:bookmarkStart w:id="314" w:name="_Toc338943721"/>
      <w:bookmarkStart w:id="315" w:name="_Toc445554709"/>
      <w:bookmarkStart w:id="316" w:name="_Toc333600704"/>
      <w:bookmarkStart w:id="317" w:name="_Toc333599680"/>
      <w:bookmarkStart w:id="318" w:name="_Toc342294735"/>
      <w:bookmarkStart w:id="319" w:name="_Toc333587874"/>
      <w:bookmarkStart w:id="320" w:name="_Toc144974518"/>
      <w:bookmarkStart w:id="321" w:name="_Toc152042326"/>
      <w:bookmarkStart w:id="322" w:name="_Toc152045550"/>
      <w:bookmarkStart w:id="323" w:name="_Toc455587236"/>
      <w:bookmarkStart w:id="324" w:name="_Toc371415938"/>
      <w:bookmarkStart w:id="325" w:name="_Toc179632568"/>
      <w:r>
        <w:rPr>
          <w:rFonts w:hint="eastAsia" w:eastAsia="仿宋"/>
          <w:color w:val="auto"/>
          <w:sz w:val="24"/>
          <w:highlight w:val="none"/>
          <w:lang w:eastAsia="zh-CN"/>
        </w:rPr>
        <w:t>3.4 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7E88DF3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对投标保证金的要求见投标人须知前附表。</w:t>
      </w:r>
    </w:p>
    <w:p w14:paraId="2CB1F961">
      <w:pPr>
        <w:pStyle w:val="4"/>
        <w:adjustRightInd w:val="0"/>
        <w:ind w:firstLine="482" w:firstLineChars="200"/>
        <w:rPr>
          <w:rFonts w:eastAsia="仿宋"/>
          <w:color w:val="auto"/>
          <w:sz w:val="24"/>
          <w:highlight w:val="none"/>
          <w:lang w:eastAsia="zh-CN"/>
        </w:rPr>
      </w:pPr>
      <w:bookmarkStart w:id="326" w:name="_Toc371415939"/>
      <w:bookmarkStart w:id="327" w:name="_Toc338943722"/>
      <w:bookmarkStart w:id="328" w:name="_Toc144974519"/>
      <w:bookmarkStart w:id="329" w:name="_Toc333587875"/>
      <w:bookmarkStart w:id="330" w:name="_Toc152042327"/>
      <w:bookmarkStart w:id="331" w:name="_Toc152045551"/>
      <w:bookmarkStart w:id="332" w:name="_Toc342294736"/>
      <w:bookmarkStart w:id="333" w:name="_Toc342297641"/>
      <w:bookmarkStart w:id="334" w:name="_Toc179632569"/>
      <w:bookmarkStart w:id="335" w:name="_Toc455587237"/>
      <w:bookmarkStart w:id="336" w:name="_Toc333600705"/>
      <w:bookmarkStart w:id="337" w:name="_Toc338944627"/>
      <w:bookmarkStart w:id="338" w:name="_Toc333599681"/>
      <w:bookmarkStart w:id="339" w:name="_Toc342296184"/>
      <w:bookmarkStart w:id="340" w:name="_Toc445554710"/>
      <w:bookmarkStart w:id="341" w:name="_Toc458504837"/>
      <w:bookmarkStart w:id="342" w:name="_Toc455587053"/>
      <w:bookmarkStart w:id="343" w:name="_Toc466024519"/>
      <w:r>
        <w:rPr>
          <w:rFonts w:hint="eastAsia" w:eastAsia="仿宋"/>
          <w:color w:val="auto"/>
          <w:sz w:val="24"/>
          <w:highlight w:val="none"/>
          <w:lang w:eastAsia="zh-CN"/>
        </w:rPr>
        <w:t>3.5 资格审查资料（适用于已进行资格预审的）</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A97929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064D6C9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投标人是代理商或经销商的，通过资格预审后如确定了拟投标货物（服务）的制造商（提供商）的，投标时不得更换，否则其投标将按无效处理。</w:t>
      </w:r>
    </w:p>
    <w:p w14:paraId="5B7D97D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如本招标文件“评标办法”中涉及对相关投标人资格进行评审的，投标人应在投标文件相应的“资格审查资料”中提供证明文件。</w:t>
      </w:r>
    </w:p>
    <w:p w14:paraId="723FB126">
      <w:pPr>
        <w:pStyle w:val="4"/>
        <w:adjustRightInd w:val="0"/>
        <w:ind w:firstLine="482" w:firstLineChars="200"/>
        <w:rPr>
          <w:rFonts w:hint="eastAsia" w:eastAsia="仿宋"/>
          <w:color w:val="auto"/>
          <w:sz w:val="24"/>
          <w:highlight w:val="none"/>
          <w:lang w:eastAsia="zh-CN"/>
        </w:rPr>
      </w:pPr>
      <w:bookmarkStart w:id="344" w:name="_Toc458504838"/>
      <w:bookmarkStart w:id="345" w:name="_Toc152045552"/>
      <w:bookmarkStart w:id="346" w:name="_Toc152042328"/>
      <w:bookmarkStart w:id="347" w:name="_Toc342296185"/>
      <w:bookmarkStart w:id="348" w:name="_Toc333599682"/>
      <w:bookmarkStart w:id="349" w:name="_Toc179632570"/>
      <w:bookmarkStart w:id="350" w:name="_Toc338943723"/>
      <w:bookmarkStart w:id="351" w:name="_Toc333587876"/>
      <w:bookmarkStart w:id="352" w:name="_Toc455587238"/>
      <w:bookmarkStart w:id="353" w:name="_Toc466024520"/>
      <w:bookmarkStart w:id="354" w:name="_Toc371415940"/>
      <w:bookmarkStart w:id="355" w:name="_Toc455587054"/>
      <w:bookmarkStart w:id="356" w:name="_Toc333600706"/>
      <w:bookmarkStart w:id="357" w:name="_Toc342297642"/>
      <w:bookmarkStart w:id="358" w:name="_Toc445554711"/>
      <w:bookmarkStart w:id="359" w:name="_Toc342294737"/>
      <w:bookmarkStart w:id="360" w:name="_Toc338944628"/>
      <w:bookmarkStart w:id="361" w:name="_Toc144974520"/>
      <w:r>
        <w:rPr>
          <w:rFonts w:hint="eastAsia" w:eastAsia="仿宋"/>
          <w:color w:val="auto"/>
          <w:sz w:val="24"/>
          <w:highlight w:val="none"/>
          <w:lang w:eastAsia="zh-CN"/>
        </w:rPr>
        <w:t>3.5 资格审查资料（适用于未进行资格预审的）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6982D13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资格审查办法见第四章第一节 资格审查。</w:t>
      </w:r>
    </w:p>
    <w:p w14:paraId="028D142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“资格审查材料”应按规定格式填写，并提供符合要求的相关证明材料的扫描件或电子证照。</w:t>
      </w:r>
    </w:p>
    <w:p w14:paraId="17BDAA4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投标人须知前附表规定接受联合体投标的，本章第3.5.1项至第3.5.2项规定的表格和资料包括联合体各方成员相关情况。</w:t>
      </w:r>
    </w:p>
    <w:p w14:paraId="4CAFC4DC">
      <w:pPr>
        <w:pStyle w:val="4"/>
        <w:adjustRightInd w:val="0"/>
        <w:ind w:firstLine="482" w:firstLineChars="200"/>
        <w:rPr>
          <w:rFonts w:eastAsia="仿宋"/>
          <w:color w:val="auto"/>
          <w:sz w:val="24"/>
          <w:highlight w:val="none"/>
          <w:lang w:eastAsia="zh-CN"/>
        </w:rPr>
      </w:pPr>
      <w:bookmarkStart w:id="362" w:name="_Toc333599683"/>
      <w:bookmarkStart w:id="363" w:name="_Toc338944629"/>
      <w:bookmarkStart w:id="364" w:name="_Toc342297643"/>
      <w:bookmarkStart w:id="365" w:name="_Toc342296186"/>
      <w:bookmarkStart w:id="366" w:name="_Toc466024522"/>
      <w:bookmarkStart w:id="367" w:name="_Toc333587877"/>
      <w:bookmarkStart w:id="368" w:name="_Toc152042329"/>
      <w:bookmarkStart w:id="369" w:name="_Toc445554713"/>
      <w:bookmarkStart w:id="370" w:name="_Toc371415941"/>
      <w:bookmarkStart w:id="371" w:name="_Toc455587240"/>
      <w:bookmarkStart w:id="372" w:name="_Toc458504840"/>
      <w:bookmarkStart w:id="373" w:name="_Toc333600707"/>
      <w:bookmarkStart w:id="374" w:name="_Toc179632571"/>
      <w:bookmarkStart w:id="375" w:name="_Toc152045553"/>
      <w:bookmarkStart w:id="376" w:name="_Toc144974521"/>
      <w:bookmarkStart w:id="377" w:name="_Toc455587056"/>
      <w:bookmarkStart w:id="378" w:name="_Toc342294738"/>
      <w:bookmarkStart w:id="379" w:name="_Toc338943724"/>
      <w:r>
        <w:rPr>
          <w:rFonts w:hint="eastAsia" w:eastAsia="仿宋"/>
          <w:color w:val="auto"/>
          <w:sz w:val="24"/>
          <w:highlight w:val="none"/>
          <w:lang w:eastAsia="zh-CN"/>
        </w:rPr>
        <w:t>3.6 备选投标方案</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C45A75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3.6.1 除投标人须知前附表另有规定外，投标人不得递交备选投标方案，</w:t>
      </w:r>
      <w:r>
        <w:rPr>
          <w:rFonts w:eastAsia="仿宋"/>
          <w:color w:val="auto"/>
          <w:sz w:val="24"/>
          <w:highlight w:val="none"/>
        </w:rPr>
        <w:t>否则其投标将</w:t>
      </w:r>
      <w:r>
        <w:rPr>
          <w:rFonts w:hint="eastAsia" w:eastAsia="仿宋"/>
          <w:color w:val="auto"/>
          <w:sz w:val="24"/>
          <w:highlight w:val="none"/>
        </w:rPr>
        <w:t>按无效处理</w:t>
      </w:r>
      <w:r>
        <w:rPr>
          <w:rFonts w:hint="eastAsia" w:ascii="宋体" w:hAnsi="宋体" w:eastAsia="仿宋"/>
          <w:color w:val="auto"/>
          <w:sz w:val="24"/>
          <w:highlight w:val="none"/>
        </w:rPr>
        <w:t>。</w:t>
      </w:r>
    </w:p>
    <w:p w14:paraId="7471A799">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3.6.2 </w:t>
      </w:r>
      <w:r>
        <w:rPr>
          <w:rFonts w:eastAsia="仿宋"/>
          <w:color w:val="auto"/>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auto"/>
          <w:sz w:val="24"/>
          <w:highlight w:val="none"/>
        </w:rPr>
        <w:t>采购</w:t>
      </w:r>
      <w:r>
        <w:rPr>
          <w:rFonts w:eastAsia="仿宋"/>
          <w:color w:val="auto"/>
          <w:sz w:val="24"/>
          <w:highlight w:val="none"/>
        </w:rPr>
        <w:t>人可以接受该备选投标方案。</w:t>
      </w:r>
    </w:p>
    <w:p w14:paraId="67B4DE91">
      <w:pPr>
        <w:widowControl/>
        <w:adjustRightInd w:val="0"/>
        <w:snapToGrid w:val="0"/>
        <w:spacing w:line="360" w:lineRule="auto"/>
        <w:ind w:firstLine="480" w:firstLineChars="200"/>
        <w:rPr>
          <w:rFonts w:eastAsia="仿宋"/>
          <w:color w:val="auto"/>
          <w:sz w:val="24"/>
          <w:highlight w:val="none"/>
        </w:rPr>
      </w:pPr>
      <w:r>
        <w:rPr>
          <w:rFonts w:ascii="宋体" w:hAnsi="宋体" w:eastAsia="仿宋"/>
          <w:color w:val="auto"/>
          <w:sz w:val="24"/>
          <w:highlight w:val="none"/>
        </w:rPr>
        <w:t>3.6.3 投标人提供两个或两个以上投标报价，或者在投标文件中提供一个报价，但同时提供两个或两</w:t>
      </w:r>
      <w:r>
        <w:rPr>
          <w:rFonts w:eastAsia="仿宋"/>
          <w:color w:val="auto"/>
          <w:sz w:val="24"/>
          <w:highlight w:val="none"/>
        </w:rPr>
        <w:t>个以上</w:t>
      </w:r>
      <w:bookmarkStart w:id="380" w:name="_Toc247513974"/>
      <w:bookmarkStart w:id="381" w:name="_Toc29902"/>
      <w:bookmarkStart w:id="382" w:name="_Toc384308232"/>
      <w:bookmarkStart w:id="383" w:name="_Toc247527575"/>
      <w:bookmarkStart w:id="384" w:name="_Toc369531538"/>
      <w:bookmarkStart w:id="385" w:name="_Toc352691495"/>
      <w:bookmarkStart w:id="386" w:name="_Toc300834971"/>
      <w:bookmarkStart w:id="387" w:name="_Toc361508607"/>
      <w:r>
        <w:rPr>
          <w:rFonts w:hint="eastAsia" w:eastAsia="仿宋"/>
          <w:color w:val="auto"/>
          <w:sz w:val="24"/>
          <w:highlight w:val="none"/>
        </w:rPr>
        <w:t>供货方案</w:t>
      </w:r>
      <w:r>
        <w:rPr>
          <w:rFonts w:eastAsia="仿宋"/>
          <w:color w:val="auto"/>
          <w:sz w:val="24"/>
          <w:highlight w:val="none"/>
        </w:rPr>
        <w:t>的</w:t>
      </w:r>
      <w:bookmarkEnd w:id="380"/>
      <w:bookmarkEnd w:id="381"/>
      <w:bookmarkEnd w:id="382"/>
      <w:bookmarkEnd w:id="383"/>
      <w:bookmarkEnd w:id="384"/>
      <w:bookmarkEnd w:id="385"/>
      <w:bookmarkEnd w:id="386"/>
      <w:bookmarkEnd w:id="387"/>
      <w:r>
        <w:rPr>
          <w:rFonts w:eastAsia="仿宋"/>
          <w:color w:val="auto"/>
          <w:sz w:val="24"/>
          <w:highlight w:val="none"/>
        </w:rPr>
        <w:t>，视为提供备选方案。</w:t>
      </w:r>
    </w:p>
    <w:p w14:paraId="73235907">
      <w:pPr>
        <w:pStyle w:val="4"/>
        <w:adjustRightInd w:val="0"/>
        <w:ind w:firstLine="482" w:firstLineChars="200"/>
        <w:rPr>
          <w:rFonts w:eastAsia="仿宋"/>
          <w:color w:val="auto"/>
          <w:sz w:val="24"/>
          <w:highlight w:val="none"/>
          <w:lang w:eastAsia="zh-CN"/>
        </w:rPr>
      </w:pPr>
      <w:bookmarkStart w:id="388" w:name="_Toc445554714"/>
      <w:bookmarkStart w:id="389" w:name="_Toc455587057"/>
      <w:bookmarkStart w:id="390" w:name="_Toc466024523"/>
      <w:bookmarkStart w:id="391" w:name="_Toc455587241"/>
      <w:bookmarkStart w:id="392" w:name="_Toc458504841"/>
      <w:bookmarkStart w:id="393" w:name="_Toc371415942"/>
      <w:r>
        <w:rPr>
          <w:rFonts w:hint="eastAsia" w:eastAsia="仿宋"/>
          <w:color w:val="auto"/>
          <w:sz w:val="24"/>
          <w:highlight w:val="none"/>
          <w:lang w:eastAsia="zh-CN"/>
        </w:rPr>
        <w:t>3.7 投标文件的编制</w:t>
      </w:r>
      <w:bookmarkEnd w:id="388"/>
      <w:bookmarkEnd w:id="389"/>
      <w:bookmarkEnd w:id="390"/>
      <w:bookmarkEnd w:id="391"/>
      <w:bookmarkEnd w:id="392"/>
      <w:bookmarkEnd w:id="393"/>
    </w:p>
    <w:p w14:paraId="53E6141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投标文件应按</w:t>
      </w:r>
      <w:r>
        <w:rPr>
          <w:rFonts w:hint="eastAsia" w:eastAsia="仿宋"/>
          <w:color w:val="auto"/>
          <w:sz w:val="24"/>
          <w:highlight w:val="none"/>
        </w:rPr>
        <w:t>招标文件</w:t>
      </w:r>
      <w:r>
        <w:rPr>
          <w:rFonts w:hint="eastAsia" w:ascii="宋体" w:hAnsi="宋体" w:eastAsia="仿宋"/>
          <w:color w:val="auto"/>
          <w:sz w:val="24"/>
          <w:highlight w:val="none"/>
        </w:rPr>
        <w:t>规定格式进行编写，如有必要，可以增加附页、扩展表格，作为投标文件的组成部分。</w:t>
      </w:r>
    </w:p>
    <w:p w14:paraId="2CB1FAC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.2</w:t>
      </w:r>
      <w:r>
        <w:rPr>
          <w:rFonts w:hint="eastAsia" w:ascii="宋体" w:hAnsi="宋体" w:eastAsia="仿宋"/>
          <w:color w:val="auto"/>
          <w:sz w:val="24"/>
          <w:highlight w:val="none"/>
        </w:rPr>
        <w:t xml:space="preserve"> 投标文件应当对招标文件有关采购需求、交付（实施）的时间（期限）、交付（实施）的地点（范围）、质保期、技术与服务要求、投标报价要求、投标有效期、付款方式、合同条款等实质性</w:t>
      </w:r>
      <w:r>
        <w:rPr>
          <w:rFonts w:hint="eastAsia" w:eastAsia="仿宋"/>
          <w:color w:val="auto"/>
          <w:sz w:val="24"/>
          <w:highlight w:val="none"/>
        </w:rPr>
        <w:t>内容</w:t>
      </w:r>
      <w:r>
        <w:rPr>
          <w:rFonts w:hint="eastAsia" w:ascii="宋体" w:hAnsi="宋体" w:eastAsia="仿宋"/>
          <w:color w:val="auto"/>
          <w:sz w:val="24"/>
          <w:highlight w:val="none"/>
        </w:rPr>
        <w:t>作出响应。投标文件在满足招标文件实质性要求的基础上，可以提出比招标文件要求更有利于采购人的承诺。</w:t>
      </w:r>
    </w:p>
    <w:p w14:paraId="1290238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3.7.3 投标人必须对其提交的资料的真实性负责，并接受采购人对其中任何资料进一步审查的要求。</w:t>
      </w:r>
    </w:p>
    <w:p w14:paraId="64F92304">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4 投标文件的制作应满足以下规定：</w:t>
      </w:r>
    </w:p>
    <w:p w14:paraId="4AD3AC0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）投标文件由投标人使用</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自带的</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制作生成，详见投标人须知前附表规定。</w:t>
      </w:r>
    </w:p>
    <w:p w14:paraId="0724AD4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）投标人在编制投标文件时应建立分级目录，并按照标签提示导入相关内容。</w:t>
      </w:r>
    </w:p>
    <w:p w14:paraId="778057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（3）除投标人须知前附表另有规定外，</w:t>
      </w:r>
      <w:r>
        <w:rPr>
          <w:rFonts w:ascii="宋体" w:hAnsi="宋体" w:eastAsia="仿宋"/>
          <w:color w:val="auto"/>
          <w:sz w:val="24"/>
          <w:highlight w:val="none"/>
        </w:rPr>
        <w:t>投标文件</w:t>
      </w:r>
      <w:r>
        <w:rPr>
          <w:rFonts w:hint="eastAsia" w:ascii="宋体" w:hAnsi="宋体" w:eastAsia="仿宋"/>
          <w:color w:val="auto"/>
          <w:sz w:val="24"/>
          <w:highlight w:val="none"/>
        </w:rPr>
        <w:t>中证明资料的</w:t>
      </w:r>
      <w:r>
        <w:rPr>
          <w:rFonts w:ascii="宋体" w:hAnsi="宋体" w:eastAsia="仿宋"/>
          <w:color w:val="auto"/>
          <w:sz w:val="24"/>
          <w:highlight w:val="none"/>
        </w:rPr>
        <w:t>“</w:t>
      </w:r>
      <w:r>
        <w:rPr>
          <w:rFonts w:hint="eastAsia" w:ascii="宋体" w:hAnsi="宋体" w:eastAsia="仿宋"/>
          <w:color w:val="auto"/>
          <w:sz w:val="24"/>
          <w:highlight w:val="none"/>
        </w:rPr>
        <w:t>复印件</w:t>
      </w:r>
      <w:r>
        <w:rPr>
          <w:rFonts w:ascii="宋体" w:hAnsi="宋体" w:eastAsia="仿宋"/>
          <w:color w:val="auto"/>
          <w:sz w:val="24"/>
          <w:highlight w:val="none"/>
        </w:rPr>
        <w:t>”均为原件扫描件。</w:t>
      </w:r>
    </w:p>
    <w:p w14:paraId="35D78D1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投标文件格式</w:t>
      </w:r>
      <w:r>
        <w:rPr>
          <w:rFonts w:ascii="宋体" w:hAnsi="宋体" w:eastAsia="仿宋"/>
          <w:color w:val="auto"/>
          <w:sz w:val="24"/>
          <w:highlight w:val="none"/>
        </w:rPr>
        <w:t>”</w:t>
      </w:r>
      <w:r>
        <w:rPr>
          <w:rFonts w:hint="eastAsia" w:ascii="宋体" w:hAnsi="宋体" w:eastAsia="仿宋"/>
          <w:color w:val="auto"/>
          <w:sz w:val="24"/>
          <w:highlight w:val="none"/>
        </w:rPr>
        <w:t>中要求盖单位章和（或）签字的地方，投标人均应使用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1B6A96A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（5）投标文件制作完成后，投标人应使用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数字证书对投标文件进行文件加密，形成加密的投标文件、非加密的投标文件，非加密的投标文件提交形式见投标人须知前附表规定。</w:t>
      </w:r>
    </w:p>
    <w:p w14:paraId="78845F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（6）投标文件制作的具体方法详见</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中的帮助文档。</w:t>
      </w:r>
    </w:p>
    <w:p w14:paraId="35FA9975">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5</w:t>
      </w:r>
      <w:r>
        <w:rPr>
          <w:rFonts w:ascii="宋体" w:hAnsi="宋体" w:eastAsia="仿宋"/>
          <w:color w:val="auto"/>
          <w:sz w:val="24"/>
          <w:highlight w:val="none"/>
        </w:rPr>
        <w:t xml:space="preserve"> </w:t>
      </w:r>
      <w:r>
        <w:rPr>
          <w:rFonts w:hint="eastAsia" w:ascii="宋体" w:hAnsi="宋体" w:eastAsia="仿宋"/>
          <w:color w:val="auto"/>
          <w:sz w:val="24"/>
          <w:highlight w:val="none"/>
        </w:rPr>
        <w:t>因投标人自身原因而导致投标文件无法导入</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电子开标、评标系统，该投标视为无效投标，投标人自行承担由此导致的全部责任。</w:t>
      </w:r>
    </w:p>
    <w:p w14:paraId="3D87CEA5">
      <w:pPr>
        <w:pStyle w:val="3"/>
        <w:rPr>
          <w:rStyle w:val="23"/>
          <w:rFonts w:ascii="宋体" w:hAnsi="宋体" w:eastAsia="仿宋"/>
          <w:b/>
          <w:bCs/>
          <w:color w:val="auto"/>
          <w:sz w:val="24"/>
          <w:szCs w:val="24"/>
          <w:highlight w:val="none"/>
        </w:rPr>
      </w:pPr>
      <w:bookmarkStart w:id="394" w:name="_Toc445554715"/>
      <w:bookmarkStart w:id="395" w:name="_Toc371415943"/>
      <w:bookmarkStart w:id="396" w:name="_Toc152045555"/>
      <w:bookmarkStart w:id="397" w:name="_Toc342294740"/>
      <w:bookmarkStart w:id="398" w:name="_Toc179632573"/>
      <w:bookmarkStart w:id="399" w:name="_Toc152042331"/>
      <w:bookmarkStart w:id="400" w:name="_Toc455587242"/>
      <w:bookmarkStart w:id="401" w:name="_Toc333600709"/>
      <w:bookmarkStart w:id="402" w:name="_Toc342297645"/>
      <w:bookmarkStart w:id="403" w:name="_Toc333599685"/>
      <w:bookmarkStart w:id="404" w:name="_Toc144974523"/>
      <w:bookmarkStart w:id="405" w:name="_Toc455587058"/>
      <w:bookmarkStart w:id="406" w:name="_Toc458504842"/>
      <w:bookmarkStart w:id="407" w:name="_Toc342296188"/>
      <w:bookmarkStart w:id="408" w:name="_Toc338943726"/>
      <w:bookmarkStart w:id="409" w:name="_Toc338944631"/>
      <w:bookmarkStart w:id="410" w:name="_Toc466024524"/>
      <w:r>
        <w:rPr>
          <w:rStyle w:val="23"/>
          <w:rFonts w:hint="eastAsia" w:ascii="宋体" w:hAnsi="宋体" w:eastAsia="仿宋"/>
          <w:b/>
          <w:bCs/>
          <w:color w:val="auto"/>
          <w:sz w:val="24"/>
          <w:szCs w:val="24"/>
          <w:highlight w:val="none"/>
        </w:rPr>
        <w:t>4. 投标</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4B9E10FB">
      <w:pPr>
        <w:pStyle w:val="4"/>
        <w:adjustRightInd w:val="0"/>
        <w:ind w:firstLine="482" w:firstLineChars="200"/>
        <w:rPr>
          <w:rFonts w:eastAsia="仿宋"/>
          <w:color w:val="auto"/>
          <w:sz w:val="24"/>
          <w:highlight w:val="none"/>
          <w:lang w:eastAsia="zh-CN"/>
        </w:rPr>
      </w:pPr>
      <w:bookmarkStart w:id="411" w:name="_Toc144974524"/>
      <w:bookmarkStart w:id="412" w:name="_Toc455587243"/>
      <w:bookmarkStart w:id="413" w:name="_Toc455587059"/>
      <w:bookmarkStart w:id="414" w:name="_Toc338944632"/>
      <w:bookmarkStart w:id="415" w:name="_Toc333600710"/>
      <w:bookmarkStart w:id="416" w:name="_Toc445554716"/>
      <w:bookmarkStart w:id="417" w:name="_Toc342296189"/>
      <w:bookmarkStart w:id="418" w:name="_Toc342294741"/>
      <w:bookmarkStart w:id="419" w:name="_Toc333587880"/>
      <w:bookmarkStart w:id="420" w:name="_Toc152045556"/>
      <w:bookmarkStart w:id="421" w:name="_Toc152042332"/>
      <w:bookmarkStart w:id="422" w:name="_Toc458504843"/>
      <w:bookmarkStart w:id="423" w:name="_Toc466024525"/>
      <w:bookmarkStart w:id="424" w:name="_Toc338943727"/>
      <w:bookmarkStart w:id="425" w:name="_Toc333599686"/>
      <w:bookmarkStart w:id="426" w:name="_Toc342297646"/>
      <w:bookmarkStart w:id="427" w:name="_Toc371415944"/>
      <w:bookmarkStart w:id="428" w:name="_Toc179632574"/>
      <w:r>
        <w:rPr>
          <w:rFonts w:hint="eastAsia" w:eastAsia="仿宋"/>
          <w:color w:val="auto"/>
          <w:sz w:val="24"/>
          <w:highlight w:val="none"/>
          <w:lang w:eastAsia="zh-CN"/>
        </w:rPr>
        <w:t>4.1 投标文件的加密</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E3E9BE3">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4.1.1</w:t>
      </w:r>
      <w:r>
        <w:rPr>
          <w:rFonts w:hint="eastAsia" w:ascii="宋体" w:hAnsi="宋体" w:eastAsia="仿宋"/>
          <w:color w:val="auto"/>
          <w:sz w:val="24"/>
          <w:highlight w:val="none"/>
        </w:rPr>
        <w:t xml:space="preserve"> </w:t>
      </w:r>
      <w:r>
        <w:rPr>
          <w:rFonts w:ascii="宋体" w:hAnsi="宋体" w:eastAsia="仿宋"/>
          <w:color w:val="auto"/>
          <w:sz w:val="24"/>
          <w:highlight w:val="none"/>
        </w:rPr>
        <w:t>投标人应当按照招标文件和电子交易平台的要求加密投标文件，具体要求见投标人须知前附表。</w:t>
      </w:r>
    </w:p>
    <w:p w14:paraId="4F85C4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4.1.2 未按照上述要求加密的投标文件，电子交易平台将予以拒收。</w:t>
      </w:r>
    </w:p>
    <w:p w14:paraId="776BA826">
      <w:pPr>
        <w:pStyle w:val="4"/>
        <w:adjustRightInd w:val="0"/>
        <w:ind w:firstLine="482" w:firstLineChars="200"/>
        <w:rPr>
          <w:rFonts w:eastAsia="仿宋"/>
          <w:color w:val="auto"/>
          <w:sz w:val="24"/>
          <w:highlight w:val="none"/>
          <w:lang w:eastAsia="zh-CN"/>
        </w:rPr>
      </w:pPr>
      <w:bookmarkStart w:id="429" w:name="_Toc455587060"/>
      <w:bookmarkStart w:id="430" w:name="_Toc445554717"/>
      <w:bookmarkStart w:id="431" w:name="_Toc455587244"/>
      <w:bookmarkStart w:id="432" w:name="_Toc458504844"/>
      <w:bookmarkStart w:id="433" w:name="_Toc466024526"/>
      <w:bookmarkStart w:id="434" w:name="_Toc371415945"/>
      <w:r>
        <w:rPr>
          <w:rFonts w:hint="eastAsia" w:eastAsia="仿宋"/>
          <w:color w:val="auto"/>
          <w:sz w:val="24"/>
          <w:highlight w:val="none"/>
          <w:lang w:eastAsia="zh-CN"/>
        </w:rPr>
        <w:t>4.2 投标文件的递交</w:t>
      </w:r>
      <w:bookmarkEnd w:id="429"/>
      <w:bookmarkEnd w:id="430"/>
      <w:bookmarkEnd w:id="431"/>
      <w:bookmarkEnd w:id="432"/>
      <w:bookmarkEnd w:id="433"/>
      <w:bookmarkEnd w:id="434"/>
    </w:p>
    <w:p w14:paraId="539ED9EE">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4.2.1 </w:t>
      </w:r>
      <w:r>
        <w:rPr>
          <w:rFonts w:eastAsia="仿宋"/>
          <w:color w:val="auto"/>
          <w:sz w:val="24"/>
          <w:highlight w:val="none"/>
        </w:rPr>
        <w:t>投标人应在</w:t>
      </w:r>
      <w:r>
        <w:rPr>
          <w:rFonts w:hint="eastAsia" w:eastAsia="仿宋"/>
          <w:color w:val="auto"/>
          <w:sz w:val="24"/>
          <w:highlight w:val="none"/>
        </w:rPr>
        <w:t>招标公告规定的</w:t>
      </w:r>
      <w:r>
        <w:rPr>
          <w:rFonts w:eastAsia="仿宋"/>
          <w:color w:val="auto"/>
          <w:sz w:val="24"/>
          <w:highlight w:val="none"/>
        </w:rPr>
        <w:t>投标截止时间前递交投标文件。</w:t>
      </w:r>
    </w:p>
    <w:p w14:paraId="1D7740FB">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4.2.2</w:t>
      </w:r>
      <w:r>
        <w:rPr>
          <w:rFonts w:hint="eastAsia" w:eastAsia="仿宋"/>
          <w:color w:val="auto"/>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auto"/>
          <w:sz w:val="24"/>
          <w:highlight w:val="none"/>
        </w:rPr>
        <w:t>“</w:t>
      </w:r>
      <w:r>
        <w:rPr>
          <w:rFonts w:hint="eastAsia" w:eastAsia="仿宋"/>
          <w:color w:val="auto"/>
          <w:sz w:val="24"/>
          <w:highlight w:val="none"/>
        </w:rPr>
        <w:t>电子交易平台</w:t>
      </w:r>
      <w:r>
        <w:rPr>
          <w:rFonts w:eastAsia="仿宋"/>
          <w:color w:val="auto"/>
          <w:sz w:val="24"/>
          <w:highlight w:val="none"/>
        </w:rPr>
        <w:t>”</w:t>
      </w:r>
      <w:r>
        <w:rPr>
          <w:rFonts w:hint="eastAsia" w:eastAsia="仿宋"/>
          <w:color w:val="auto"/>
          <w:sz w:val="24"/>
          <w:highlight w:val="none"/>
        </w:rPr>
        <w:t>）将拒绝接收。详见投标人须知前附表规定。</w:t>
      </w:r>
    </w:p>
    <w:p w14:paraId="1A43DD65">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4.2.3</w:t>
      </w:r>
      <w:r>
        <w:rPr>
          <w:rFonts w:hint="eastAsia" w:eastAsia="仿宋"/>
          <w:color w:val="auto"/>
          <w:sz w:val="24"/>
          <w:highlight w:val="none"/>
        </w:rPr>
        <w:t xml:space="preserve"> 除投标人须知前附表另有规定外，投标人所递交的投标文件不予退还。</w:t>
      </w:r>
    </w:p>
    <w:p w14:paraId="2422AB54">
      <w:pPr>
        <w:pStyle w:val="4"/>
        <w:adjustRightInd w:val="0"/>
        <w:ind w:firstLine="482" w:firstLineChars="200"/>
        <w:rPr>
          <w:rFonts w:eastAsia="仿宋"/>
          <w:color w:val="auto"/>
          <w:sz w:val="24"/>
          <w:highlight w:val="none"/>
          <w:lang w:eastAsia="zh-CN"/>
        </w:rPr>
      </w:pPr>
      <w:bookmarkStart w:id="435" w:name="_Toc333600712"/>
      <w:bookmarkStart w:id="436" w:name="_Toc455587061"/>
      <w:bookmarkStart w:id="437" w:name="_Toc333599688"/>
      <w:bookmarkStart w:id="438" w:name="_Toc342297648"/>
      <w:bookmarkStart w:id="439" w:name="_Toc338943729"/>
      <w:bookmarkStart w:id="440" w:name="_Toc342294743"/>
      <w:bookmarkStart w:id="441" w:name="_Toc445554718"/>
      <w:bookmarkStart w:id="442" w:name="_Toc152042334"/>
      <w:bookmarkStart w:id="443" w:name="_Toc152045558"/>
      <w:bookmarkStart w:id="444" w:name="_Toc179632576"/>
      <w:bookmarkStart w:id="445" w:name="_Toc466024527"/>
      <w:bookmarkStart w:id="446" w:name="_Toc144974526"/>
      <w:bookmarkStart w:id="447" w:name="_Toc458504845"/>
      <w:bookmarkStart w:id="448" w:name="_Toc455587245"/>
      <w:bookmarkStart w:id="449" w:name="_Toc371415946"/>
      <w:bookmarkStart w:id="450" w:name="_Toc338944634"/>
      <w:bookmarkStart w:id="451" w:name="_Toc342296191"/>
      <w:bookmarkStart w:id="452" w:name="_Toc333587882"/>
      <w:r>
        <w:rPr>
          <w:rFonts w:hint="eastAsia" w:eastAsia="仿宋"/>
          <w:color w:val="auto"/>
          <w:sz w:val="24"/>
          <w:highlight w:val="none"/>
          <w:lang w:eastAsia="zh-CN"/>
        </w:rPr>
        <w:t>4.3 投标文件的修改与撤回</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E3037E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4.3</w:t>
      </w:r>
      <w:r>
        <w:rPr>
          <w:rFonts w:ascii="宋体" w:hAnsi="宋体" w:eastAsia="仿宋"/>
          <w:color w:val="auto"/>
          <w:sz w:val="24"/>
          <w:highlight w:val="none"/>
        </w:rPr>
        <w:t>.1</w:t>
      </w:r>
      <w:r>
        <w:rPr>
          <w:rFonts w:hint="eastAsia" w:ascii="宋体" w:hAnsi="宋体" w:eastAsia="仿宋"/>
          <w:color w:val="auto"/>
          <w:sz w:val="24"/>
          <w:highlight w:val="none"/>
        </w:rPr>
        <w:t xml:space="preserve"> 在规定的投标截止时间前，投标人可以补充、修改或撤回已递交的投标文件，但应以书面形式通知采购人。</w:t>
      </w:r>
    </w:p>
    <w:p w14:paraId="037BD2E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4.3.2 投标人修改或撤回已递交投标文件的通知，应按照本章第3.7.4项的要求加盖电子印章。电子交易平台收到通知后，即时向投标人发出确认回执通知。</w:t>
      </w:r>
    </w:p>
    <w:p w14:paraId="68255BA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4.3.3 投标人撤回投标文件的，</w:t>
      </w:r>
      <w:r>
        <w:rPr>
          <w:rFonts w:hint="eastAsia" w:eastAsia="仿宋"/>
          <w:color w:val="auto"/>
          <w:sz w:val="24"/>
          <w:highlight w:val="none"/>
        </w:rPr>
        <w:t>采购</w:t>
      </w:r>
      <w:r>
        <w:rPr>
          <w:rFonts w:hint="eastAsia" w:ascii="宋体" w:hAnsi="宋体" w:eastAsia="仿宋"/>
          <w:color w:val="auto"/>
          <w:sz w:val="24"/>
          <w:highlight w:val="none"/>
        </w:rPr>
        <w:t>人自收到投标人书面撤回通知之日起5日内退还已收取的投标保证金。</w:t>
      </w:r>
    </w:p>
    <w:p w14:paraId="015D7BA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4.3.4 补充、修改的内容为投标文件的组成部分，只需提供一份。补充、修改的投标文件应按照本章第3条、第4条的规定进行编制、加密、标记和递交，并标明“补充”或“修改”字样。</w:t>
      </w:r>
    </w:p>
    <w:p w14:paraId="3FCE8E1B">
      <w:pPr>
        <w:pStyle w:val="3"/>
        <w:rPr>
          <w:rStyle w:val="23"/>
          <w:rFonts w:hint="eastAsia" w:ascii="宋体" w:hAnsi="宋体" w:eastAsia="仿宋"/>
          <w:b/>
          <w:bCs/>
          <w:color w:val="auto"/>
          <w:sz w:val="24"/>
          <w:szCs w:val="24"/>
          <w:highlight w:val="none"/>
        </w:rPr>
      </w:pPr>
      <w:bookmarkStart w:id="453" w:name="_Toc338943730"/>
      <w:bookmarkStart w:id="454" w:name="_Toc342297649"/>
      <w:bookmarkStart w:id="455" w:name="_Toc179632577"/>
      <w:bookmarkStart w:id="456" w:name="_Toc333600713"/>
      <w:bookmarkStart w:id="457" w:name="_Toc371415947"/>
      <w:bookmarkStart w:id="458" w:name="_Toc152042335"/>
      <w:bookmarkStart w:id="459" w:name="_Toc338944635"/>
      <w:bookmarkStart w:id="460" w:name="_Toc458504846"/>
      <w:bookmarkStart w:id="461" w:name="_Toc152045559"/>
      <w:bookmarkStart w:id="462" w:name="_Toc445554719"/>
      <w:bookmarkStart w:id="463" w:name="_Toc466024528"/>
      <w:bookmarkStart w:id="464" w:name="_Toc144974527"/>
      <w:bookmarkStart w:id="465" w:name="_Toc342296192"/>
      <w:bookmarkStart w:id="466" w:name="_Toc455587246"/>
      <w:bookmarkStart w:id="467" w:name="_Toc342294744"/>
      <w:bookmarkStart w:id="468" w:name="_Toc333599689"/>
      <w:bookmarkStart w:id="469" w:name="_Toc455587062"/>
      <w:r>
        <w:rPr>
          <w:rStyle w:val="23"/>
          <w:rFonts w:hint="eastAsia" w:ascii="宋体" w:hAnsi="宋体" w:eastAsia="仿宋"/>
          <w:b/>
          <w:bCs/>
          <w:color w:val="auto"/>
          <w:sz w:val="24"/>
          <w:szCs w:val="24"/>
          <w:highlight w:val="none"/>
        </w:rPr>
        <w:t>5. 开标</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42216AB">
      <w:pPr>
        <w:pStyle w:val="4"/>
        <w:adjustRightInd w:val="0"/>
        <w:ind w:firstLine="482" w:firstLineChars="200"/>
        <w:rPr>
          <w:rFonts w:eastAsia="仿宋"/>
          <w:color w:val="auto"/>
          <w:sz w:val="24"/>
          <w:highlight w:val="none"/>
          <w:lang w:eastAsia="zh-CN"/>
        </w:rPr>
      </w:pPr>
      <w:bookmarkStart w:id="470" w:name="_Toc152042336"/>
      <w:bookmarkStart w:id="471" w:name="_Toc445554720"/>
      <w:bookmarkStart w:id="472" w:name="_Toc458504847"/>
      <w:bookmarkStart w:id="473" w:name="_Toc338944636"/>
      <w:bookmarkStart w:id="474" w:name="_Toc333587884"/>
      <w:bookmarkStart w:id="475" w:name="_Toc342294745"/>
      <w:bookmarkStart w:id="476" w:name="_Toc342297650"/>
      <w:bookmarkStart w:id="477" w:name="_Toc455587247"/>
      <w:bookmarkStart w:id="478" w:name="_Toc466024529"/>
      <w:bookmarkStart w:id="479" w:name="_Toc152045560"/>
      <w:bookmarkStart w:id="480" w:name="_Toc371415948"/>
      <w:bookmarkStart w:id="481" w:name="_Toc144974528"/>
      <w:bookmarkStart w:id="482" w:name="_Toc179632578"/>
      <w:bookmarkStart w:id="483" w:name="_Toc333600714"/>
      <w:bookmarkStart w:id="484" w:name="_Toc333599690"/>
      <w:bookmarkStart w:id="485" w:name="_Toc342296193"/>
      <w:bookmarkStart w:id="486" w:name="_Toc455587063"/>
      <w:bookmarkStart w:id="487" w:name="_Toc338943731"/>
      <w:r>
        <w:rPr>
          <w:rFonts w:hint="eastAsia" w:eastAsia="仿宋"/>
          <w:color w:val="auto"/>
          <w:sz w:val="24"/>
          <w:highlight w:val="none"/>
          <w:lang w:eastAsia="zh-CN"/>
        </w:rPr>
        <w:t xml:space="preserve">5.1 </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hint="eastAsia" w:eastAsia="仿宋"/>
          <w:color w:val="auto"/>
          <w:sz w:val="24"/>
          <w:highlight w:val="none"/>
          <w:lang w:eastAsia="zh-CN"/>
        </w:rPr>
        <w:t>开标时间和地点</w:t>
      </w:r>
    </w:p>
    <w:p w14:paraId="140032E8">
      <w:pPr>
        <w:widowControl/>
        <w:adjustRightInd w:val="0"/>
        <w:snapToGrid w:val="0"/>
        <w:spacing w:line="360" w:lineRule="auto"/>
        <w:ind w:firstLine="480" w:firstLineChars="200"/>
        <w:rPr>
          <w:rFonts w:eastAsia="仿宋"/>
          <w:color w:val="auto"/>
          <w:sz w:val="24"/>
          <w:highlight w:val="none"/>
        </w:rPr>
      </w:pPr>
      <w:r>
        <w:rPr>
          <w:rFonts w:hint="eastAsia" w:eastAsia="仿宋"/>
          <w:color w:val="auto"/>
          <w:sz w:val="24"/>
          <w:highlight w:val="none"/>
        </w:rPr>
        <w:t>采购</w:t>
      </w:r>
      <w:r>
        <w:rPr>
          <w:rFonts w:eastAsia="仿宋"/>
          <w:color w:val="auto"/>
          <w:sz w:val="24"/>
          <w:highlight w:val="none"/>
        </w:rPr>
        <w:t>人在</w:t>
      </w:r>
      <w:r>
        <w:rPr>
          <w:rFonts w:hint="eastAsia" w:eastAsia="仿宋"/>
          <w:color w:val="auto"/>
          <w:sz w:val="24"/>
          <w:highlight w:val="none"/>
        </w:rPr>
        <w:t>招标公告规定的</w:t>
      </w:r>
      <w:r>
        <w:rPr>
          <w:rFonts w:eastAsia="仿宋"/>
          <w:color w:val="auto"/>
          <w:sz w:val="24"/>
          <w:highlight w:val="none"/>
        </w:rPr>
        <w:t>开标时间</w:t>
      </w:r>
      <w:r>
        <w:rPr>
          <w:rFonts w:hint="eastAsia" w:eastAsia="仿宋"/>
          <w:color w:val="auto"/>
          <w:sz w:val="24"/>
          <w:highlight w:val="none"/>
        </w:rPr>
        <w:t>和开标地点，</w:t>
      </w:r>
      <w:r>
        <w:rPr>
          <w:rFonts w:eastAsia="仿宋"/>
          <w:color w:val="auto"/>
          <w:sz w:val="24"/>
          <w:highlight w:val="none"/>
        </w:rPr>
        <w:t>通过电子招标投标交易平台公开开标，所有投标人的法定代表人</w:t>
      </w:r>
      <w:r>
        <w:rPr>
          <w:rFonts w:hint="eastAsia" w:eastAsia="仿宋"/>
          <w:color w:val="auto"/>
          <w:sz w:val="24"/>
          <w:highlight w:val="none"/>
        </w:rPr>
        <w:t>（单位负责人）</w:t>
      </w:r>
      <w:r>
        <w:rPr>
          <w:rFonts w:eastAsia="仿宋"/>
          <w:color w:val="auto"/>
          <w:sz w:val="24"/>
          <w:highlight w:val="none"/>
        </w:rPr>
        <w:t>或其委托代理人应当准时参加。</w:t>
      </w:r>
    </w:p>
    <w:p w14:paraId="1E7ED3A2">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5.2 开标程序</w:t>
      </w:r>
    </w:p>
    <w:p w14:paraId="38543FB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主持人按下列程序进行开标：</w:t>
      </w:r>
    </w:p>
    <w:p w14:paraId="0BAAF38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）宣布开标纪律；</w:t>
      </w:r>
    </w:p>
    <w:p w14:paraId="19DA711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）公布在投标截止时间前递交投标文件的投标人名称；</w:t>
      </w:r>
    </w:p>
    <w:p w14:paraId="331F329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）宣布开标人、唱标人、记录人等有关人员姓名；</w:t>
      </w:r>
    </w:p>
    <w:p w14:paraId="04D406A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（4）按投标人须知前附表规定通过电子招标投标交易平台对已递交的电子投标文件进行解密，公布招标项目名称、投标人名称、投标报价及其他内容，并记录在案；</w:t>
      </w:r>
    </w:p>
    <w:p w14:paraId="3A65028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（5）开标结束。</w:t>
      </w:r>
    </w:p>
    <w:p w14:paraId="219A163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5.3 开标疑义</w:t>
      </w:r>
    </w:p>
    <w:p w14:paraId="7FB62BF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2F9657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投标人未参加开标的，视同认可开标结果。</w:t>
      </w:r>
    </w:p>
    <w:p w14:paraId="60F4DA12">
      <w:pPr>
        <w:pStyle w:val="3"/>
        <w:rPr>
          <w:rStyle w:val="23"/>
          <w:rFonts w:hint="eastAsia" w:ascii="宋体" w:hAnsi="宋体" w:eastAsia="仿宋"/>
          <w:b/>
          <w:bCs/>
          <w:color w:val="auto"/>
          <w:sz w:val="24"/>
          <w:szCs w:val="24"/>
          <w:highlight w:val="none"/>
        </w:rPr>
      </w:pPr>
      <w:bookmarkStart w:id="488" w:name="_Toc445554723"/>
      <w:bookmarkStart w:id="489" w:name="_Toc338943733"/>
      <w:bookmarkStart w:id="490" w:name="_Toc333600716"/>
      <w:bookmarkStart w:id="491" w:name="_Toc371415950"/>
      <w:bookmarkStart w:id="492" w:name="_Toc458504849"/>
      <w:bookmarkStart w:id="493" w:name="_Toc338944638"/>
      <w:bookmarkStart w:id="494" w:name="_Toc342296195"/>
      <w:bookmarkStart w:id="495" w:name="_Toc152045562"/>
      <w:bookmarkStart w:id="496" w:name="_Toc455587066"/>
      <w:bookmarkStart w:id="497" w:name="_Toc333599692"/>
      <w:bookmarkStart w:id="498" w:name="_Toc144974530"/>
      <w:bookmarkStart w:id="499" w:name="_Toc342294747"/>
      <w:bookmarkStart w:id="500" w:name="_Toc179632580"/>
      <w:bookmarkStart w:id="501" w:name="_Toc342297652"/>
      <w:bookmarkStart w:id="502" w:name="_Toc455587250"/>
      <w:bookmarkStart w:id="503" w:name="_Toc466024531"/>
      <w:bookmarkStart w:id="504" w:name="_Toc152042338"/>
      <w:r>
        <w:rPr>
          <w:rStyle w:val="23"/>
          <w:rFonts w:hint="eastAsia" w:ascii="宋体" w:hAnsi="宋体" w:eastAsia="仿宋"/>
          <w:b/>
          <w:bCs/>
          <w:color w:val="auto"/>
          <w:sz w:val="24"/>
          <w:szCs w:val="24"/>
          <w:highlight w:val="none"/>
        </w:rPr>
        <w:t>6. 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51C33AA7">
      <w:pPr>
        <w:pStyle w:val="4"/>
        <w:adjustRightInd w:val="0"/>
        <w:ind w:firstLine="482" w:firstLineChars="200"/>
        <w:rPr>
          <w:rFonts w:eastAsia="仿宋"/>
          <w:color w:val="auto"/>
          <w:sz w:val="24"/>
          <w:highlight w:val="none"/>
          <w:lang w:eastAsia="zh-CN"/>
        </w:rPr>
      </w:pPr>
      <w:bookmarkStart w:id="505" w:name="_Toc333587887"/>
      <w:bookmarkStart w:id="506" w:name="_Toc466024532"/>
      <w:bookmarkStart w:id="507" w:name="_Toc338943734"/>
      <w:bookmarkStart w:id="508" w:name="_Toc371415951"/>
      <w:bookmarkStart w:id="509" w:name="_Toc179632581"/>
      <w:bookmarkStart w:id="510" w:name="_Toc342297653"/>
      <w:bookmarkStart w:id="511" w:name="_Toc455587251"/>
      <w:bookmarkStart w:id="512" w:name="_Toc458504850"/>
      <w:bookmarkStart w:id="513" w:name="_Toc338944639"/>
      <w:bookmarkStart w:id="514" w:name="_Toc333600717"/>
      <w:bookmarkStart w:id="515" w:name="_Toc445554724"/>
      <w:bookmarkStart w:id="516" w:name="_Toc152045563"/>
      <w:bookmarkStart w:id="517" w:name="_Toc152042339"/>
      <w:bookmarkStart w:id="518" w:name="_Toc455587067"/>
      <w:bookmarkStart w:id="519" w:name="_Toc342296196"/>
      <w:bookmarkStart w:id="520" w:name="_Toc144974531"/>
      <w:bookmarkStart w:id="521" w:name="_Toc333599693"/>
      <w:bookmarkStart w:id="522" w:name="_Toc342294748"/>
      <w:r>
        <w:rPr>
          <w:rFonts w:hint="eastAsia" w:eastAsia="仿宋"/>
          <w:color w:val="auto"/>
          <w:sz w:val="24"/>
          <w:highlight w:val="none"/>
          <w:lang w:eastAsia="zh-CN"/>
        </w:rPr>
        <w:t>6.1 评标委员会</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3BFD2E6">
      <w:pPr>
        <w:widowControl/>
        <w:adjustRightInd w:val="0"/>
        <w:snapToGrid w:val="0"/>
        <w:spacing w:line="360" w:lineRule="auto"/>
        <w:ind w:firstLine="480" w:firstLineChars="200"/>
        <w:rPr>
          <w:rFonts w:hint="eastAsia" w:ascii="楷体" w:hAnsi="楷体" w:eastAsia="楷体" w:cs="楷体"/>
          <w:i/>
          <w:iCs/>
          <w:color w:val="auto"/>
          <w:sz w:val="24"/>
          <w:highlight w:val="none"/>
          <w:u w:val="single"/>
          <w:lang w:bidi="ar"/>
        </w:rPr>
      </w:pPr>
      <w:r>
        <w:rPr>
          <w:rFonts w:hint="eastAsia" w:ascii="宋体" w:hAnsi="宋体" w:eastAsia="仿宋"/>
          <w:color w:val="auto"/>
          <w:sz w:val="24"/>
          <w:highlight w:val="none"/>
        </w:rPr>
        <w:t>6.1</w:t>
      </w:r>
      <w:r>
        <w:rPr>
          <w:rFonts w:ascii="宋体" w:hAnsi="宋体" w:eastAsia="仿宋"/>
          <w:color w:val="auto"/>
          <w:sz w:val="24"/>
          <w:highlight w:val="none"/>
        </w:rPr>
        <w:t>.1</w:t>
      </w:r>
      <w:r>
        <w:rPr>
          <w:rFonts w:hint="eastAsia" w:ascii="宋体" w:hAnsi="宋体" w:eastAsia="仿宋"/>
          <w:color w:val="auto"/>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auto"/>
          <w:sz w:val="24"/>
          <w:highlight w:val="none"/>
          <w:lang w:bidi="ar"/>
        </w:rPr>
        <w:t>评标委员会</w:t>
      </w:r>
      <w:r>
        <w:rPr>
          <w:rFonts w:hint="eastAsia" w:ascii="宋体" w:hAnsi="宋体" w:eastAsia="仿宋"/>
          <w:color w:val="auto"/>
          <w:sz w:val="24"/>
          <w:highlight w:val="none"/>
        </w:rPr>
        <w:t>成员人数应当为5人以上单数，</w:t>
      </w:r>
      <w:r>
        <w:rPr>
          <w:rFonts w:hint="eastAsia" w:ascii="宋体" w:hAnsi="宋体" w:eastAsia="仿宋"/>
          <w:color w:val="auto"/>
          <w:sz w:val="24"/>
          <w:highlight w:val="none"/>
          <w:lang w:bidi="ar"/>
        </w:rPr>
        <w:t>其中采购预算金额在1000万元以上或者技术复杂或者社会影响较大的项目，评标委员会成员人数应当为7人以上单数。</w:t>
      </w:r>
    </w:p>
    <w:p w14:paraId="0698C82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6.1</w:t>
      </w:r>
      <w:r>
        <w:rPr>
          <w:rFonts w:ascii="宋体" w:hAnsi="宋体" w:eastAsia="仿宋"/>
          <w:color w:val="auto"/>
          <w:sz w:val="24"/>
          <w:highlight w:val="none"/>
        </w:rPr>
        <w:t>.2</w:t>
      </w:r>
      <w:r>
        <w:rPr>
          <w:rFonts w:hint="eastAsia" w:ascii="宋体" w:hAnsi="宋体" w:eastAsia="仿宋"/>
          <w:color w:val="auto"/>
          <w:sz w:val="24"/>
          <w:highlight w:val="none"/>
        </w:rPr>
        <w:t xml:space="preserve"> 评标委员会成员有下列情形之一的，应当回避：</w:t>
      </w:r>
    </w:p>
    <w:p w14:paraId="286440A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（1）参加采购活动前三年内，与投标人存在劳动关系，或者担任过投标人的董事、监事，或者是投标人的控股股东或实际控制人；</w:t>
      </w:r>
    </w:p>
    <w:p w14:paraId="7635514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（2）与投标人的法定代表人或者负责人有夫妻、直系血亲、三代以内旁系血亲或者近姻亲关系；</w:t>
      </w:r>
    </w:p>
    <w:p w14:paraId="2CB5DEA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（3）参与本项目进口产品论证的专家；</w:t>
      </w:r>
    </w:p>
    <w:p w14:paraId="0A12672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（4）与投标人有其他可能影响政府采购活动公平、公正进行的关系。</w:t>
      </w:r>
    </w:p>
    <w:p w14:paraId="175A526F">
      <w:pPr>
        <w:widowControl/>
        <w:topLinePunct/>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57F56C19">
      <w:pPr>
        <w:pStyle w:val="4"/>
        <w:adjustRightInd w:val="0"/>
        <w:ind w:firstLine="482" w:firstLineChars="200"/>
        <w:rPr>
          <w:rFonts w:hint="eastAsia" w:eastAsia="楷体_GB2312"/>
          <w:i/>
          <w:color w:val="auto"/>
          <w:sz w:val="24"/>
          <w:highlight w:val="none"/>
          <w:lang w:eastAsia="zh-CN"/>
        </w:rPr>
      </w:pPr>
      <w:bookmarkStart w:id="523" w:name="_Toc466024533"/>
      <w:bookmarkStart w:id="524" w:name="_Toc338943735"/>
      <w:bookmarkStart w:id="525" w:name="_Toc342296197"/>
      <w:bookmarkStart w:id="526" w:name="_Toc455587068"/>
      <w:bookmarkStart w:id="527" w:name="_Toc152042340"/>
      <w:bookmarkStart w:id="528" w:name="_Toc333599694"/>
      <w:bookmarkStart w:id="529" w:name="_Toc179632582"/>
      <w:bookmarkStart w:id="530" w:name="_Toc333587888"/>
      <w:bookmarkStart w:id="531" w:name="_Toc455587252"/>
      <w:bookmarkStart w:id="532" w:name="_Toc144974532"/>
      <w:bookmarkStart w:id="533" w:name="_Toc333600718"/>
      <w:bookmarkStart w:id="534" w:name="_Toc338944640"/>
      <w:bookmarkStart w:id="535" w:name="_Toc152045564"/>
      <w:bookmarkStart w:id="536" w:name="_Toc371415952"/>
      <w:bookmarkStart w:id="537" w:name="_Toc342294749"/>
      <w:bookmarkStart w:id="538" w:name="_Toc458504851"/>
      <w:bookmarkStart w:id="539" w:name="_Toc445554725"/>
      <w:bookmarkStart w:id="540" w:name="_Toc342297654"/>
      <w:r>
        <w:rPr>
          <w:rFonts w:hint="eastAsia" w:eastAsia="仿宋"/>
          <w:color w:val="auto"/>
          <w:sz w:val="24"/>
          <w:highlight w:val="none"/>
          <w:lang w:eastAsia="zh-CN"/>
        </w:rPr>
        <w:t>6.2 评标原则</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1F6AE42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评标委员会应该按照客观、公正、审慎的原则，根据招标文件规定的评审程序、评审方法和评审标准进行独立评审。</w:t>
      </w:r>
    </w:p>
    <w:p w14:paraId="3EBAA8BB">
      <w:pPr>
        <w:pStyle w:val="4"/>
        <w:adjustRightInd w:val="0"/>
        <w:ind w:firstLine="482" w:firstLineChars="200"/>
        <w:rPr>
          <w:rFonts w:eastAsia="仿宋"/>
          <w:color w:val="auto"/>
          <w:sz w:val="24"/>
          <w:highlight w:val="none"/>
          <w:lang w:eastAsia="zh-CN"/>
        </w:rPr>
      </w:pPr>
      <w:bookmarkStart w:id="541" w:name="_Toc338943736"/>
      <w:bookmarkStart w:id="542" w:name="_Toc455587069"/>
      <w:bookmarkStart w:id="543" w:name="_Toc144974533"/>
      <w:bookmarkStart w:id="544" w:name="_Toc466024534"/>
      <w:bookmarkStart w:id="545" w:name="_Toc333587889"/>
      <w:bookmarkStart w:id="546" w:name="_Toc342296198"/>
      <w:bookmarkStart w:id="547" w:name="_Toc333600719"/>
      <w:bookmarkStart w:id="548" w:name="_Toc342294750"/>
      <w:bookmarkStart w:id="549" w:name="_Toc152042341"/>
      <w:bookmarkStart w:id="550" w:name="_Toc445554726"/>
      <w:bookmarkStart w:id="551" w:name="_Toc458504852"/>
      <w:bookmarkStart w:id="552" w:name="_Toc179632583"/>
      <w:bookmarkStart w:id="553" w:name="_Toc338944641"/>
      <w:bookmarkStart w:id="554" w:name="_Toc152045565"/>
      <w:bookmarkStart w:id="555" w:name="_Toc455587253"/>
      <w:bookmarkStart w:id="556" w:name="_Toc333599695"/>
      <w:bookmarkStart w:id="557" w:name="_Toc371415953"/>
      <w:bookmarkStart w:id="558" w:name="_Toc342297655"/>
      <w:r>
        <w:rPr>
          <w:rFonts w:hint="eastAsia" w:eastAsia="仿宋"/>
          <w:color w:val="auto"/>
          <w:sz w:val="24"/>
          <w:highlight w:val="none"/>
          <w:lang w:eastAsia="zh-CN"/>
        </w:rPr>
        <w:t>6.3 评标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2C7D366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59" w:name="_Toc144974534"/>
      <w:bookmarkStart w:id="560" w:name="_Toc333600720"/>
      <w:bookmarkStart w:id="561" w:name="_Toc338943737"/>
      <w:bookmarkStart w:id="562" w:name="_Toc338944642"/>
      <w:bookmarkStart w:id="563" w:name="_Toc333599696"/>
      <w:bookmarkStart w:id="564" w:name="_Toc342297656"/>
      <w:bookmarkStart w:id="565" w:name="_Toc152045566"/>
      <w:bookmarkStart w:id="566" w:name="_Toc152042342"/>
      <w:bookmarkStart w:id="567" w:name="_Toc179632584"/>
      <w:bookmarkStart w:id="568" w:name="_Toc342294751"/>
      <w:bookmarkStart w:id="569" w:name="_Toc342296199"/>
    </w:p>
    <w:p w14:paraId="685EA94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6.3.2 </w:t>
      </w:r>
      <w:r>
        <w:rPr>
          <w:rFonts w:ascii="宋体" w:hAnsi="宋体" w:eastAsia="仿宋"/>
          <w:color w:val="auto"/>
          <w:sz w:val="24"/>
          <w:highlight w:val="none"/>
        </w:rPr>
        <w:t>评标完成后，评标委员会应当向</w:t>
      </w:r>
      <w:r>
        <w:rPr>
          <w:rFonts w:hint="eastAsia" w:eastAsia="仿宋"/>
          <w:color w:val="auto"/>
          <w:sz w:val="24"/>
          <w:highlight w:val="none"/>
        </w:rPr>
        <w:t>采购</w:t>
      </w:r>
      <w:r>
        <w:rPr>
          <w:rFonts w:ascii="宋体" w:hAnsi="宋体" w:eastAsia="仿宋"/>
          <w:color w:val="auto"/>
          <w:sz w:val="24"/>
          <w:highlight w:val="none"/>
        </w:rPr>
        <w:t>人提交书面评标报告和中标候选人名单。评标委员会推荐中标</w:t>
      </w:r>
      <w:bookmarkStart w:id="570" w:name="_Toc361508615"/>
      <w:bookmarkStart w:id="571" w:name="_Toc247513982"/>
      <w:bookmarkStart w:id="572" w:name="_Toc369531546"/>
      <w:bookmarkStart w:id="573" w:name="_Toc384308240"/>
      <w:bookmarkStart w:id="574" w:name="_Toc300834979"/>
      <w:bookmarkStart w:id="575" w:name="_Toc352691502"/>
      <w:bookmarkStart w:id="576" w:name="_Toc12259"/>
      <w:bookmarkStart w:id="577" w:name="_Toc247527583"/>
      <w:r>
        <w:rPr>
          <w:rFonts w:ascii="宋体" w:hAnsi="宋体" w:eastAsia="仿宋"/>
          <w:color w:val="auto"/>
          <w:sz w:val="24"/>
          <w:highlight w:val="none"/>
        </w:rPr>
        <w:t>候选人的人数见投标人须知前附</w:t>
      </w:r>
      <w:bookmarkEnd w:id="570"/>
      <w:bookmarkEnd w:id="571"/>
      <w:bookmarkEnd w:id="572"/>
      <w:bookmarkEnd w:id="573"/>
      <w:bookmarkEnd w:id="574"/>
      <w:bookmarkEnd w:id="575"/>
      <w:bookmarkEnd w:id="576"/>
      <w:bookmarkEnd w:id="577"/>
      <w:r>
        <w:rPr>
          <w:rFonts w:ascii="宋体" w:hAnsi="宋体" w:eastAsia="仿宋"/>
          <w:color w:val="auto"/>
          <w:sz w:val="24"/>
          <w:highlight w:val="none"/>
        </w:rPr>
        <w:t>表。</w:t>
      </w:r>
    </w:p>
    <w:p w14:paraId="19C7320A">
      <w:pPr>
        <w:pStyle w:val="3"/>
        <w:rPr>
          <w:rStyle w:val="23"/>
          <w:rFonts w:hint="eastAsia" w:ascii="宋体" w:hAnsi="宋体" w:eastAsia="仿宋"/>
          <w:b/>
          <w:bCs/>
          <w:color w:val="auto"/>
          <w:sz w:val="24"/>
          <w:szCs w:val="24"/>
          <w:highlight w:val="none"/>
        </w:rPr>
      </w:pPr>
      <w:bookmarkStart w:id="578" w:name="_Toc371415954"/>
      <w:bookmarkStart w:id="579" w:name="_Toc455587070"/>
      <w:bookmarkStart w:id="580" w:name="_Toc455587254"/>
      <w:bookmarkStart w:id="581" w:name="_Toc458504853"/>
      <w:bookmarkStart w:id="582" w:name="_Toc445554727"/>
      <w:bookmarkStart w:id="583" w:name="_Toc466024535"/>
      <w:r>
        <w:rPr>
          <w:rStyle w:val="23"/>
          <w:rFonts w:hint="eastAsia" w:ascii="宋体" w:hAnsi="宋体" w:eastAsia="仿宋"/>
          <w:b/>
          <w:bCs/>
          <w:color w:val="auto"/>
          <w:sz w:val="24"/>
          <w:szCs w:val="24"/>
          <w:highlight w:val="none"/>
        </w:rPr>
        <w:t>7. 合同授予</w:t>
      </w:r>
      <w:bookmarkEnd w:id="559"/>
      <w:bookmarkEnd w:id="560"/>
      <w:bookmarkEnd w:id="561"/>
      <w:bookmarkEnd w:id="562"/>
      <w:bookmarkEnd w:id="563"/>
      <w:bookmarkEnd w:id="564"/>
      <w:bookmarkEnd w:id="565"/>
      <w:bookmarkEnd w:id="566"/>
      <w:bookmarkEnd w:id="567"/>
      <w:bookmarkEnd w:id="568"/>
      <w:bookmarkEnd w:id="569"/>
      <w:bookmarkEnd w:id="578"/>
      <w:bookmarkEnd w:id="579"/>
      <w:bookmarkEnd w:id="580"/>
      <w:bookmarkEnd w:id="581"/>
      <w:bookmarkEnd w:id="582"/>
      <w:bookmarkEnd w:id="583"/>
    </w:p>
    <w:p w14:paraId="36CC8641">
      <w:pPr>
        <w:pStyle w:val="4"/>
        <w:adjustRightInd w:val="0"/>
        <w:ind w:firstLine="482" w:firstLineChars="200"/>
        <w:rPr>
          <w:rFonts w:eastAsia="仿宋"/>
          <w:color w:val="auto"/>
          <w:sz w:val="24"/>
          <w:highlight w:val="none"/>
          <w:lang w:eastAsia="zh-CN"/>
        </w:rPr>
      </w:pPr>
      <w:bookmarkStart w:id="584" w:name="_Toc455587255"/>
      <w:bookmarkStart w:id="585" w:name="_Toc466024536"/>
      <w:bookmarkStart w:id="586" w:name="_Toc455587071"/>
      <w:bookmarkStart w:id="587" w:name="_Toc349730879"/>
      <w:bookmarkStart w:id="588" w:name="_Toc445554728"/>
      <w:bookmarkStart w:id="589" w:name="_Toc362252685"/>
      <w:bookmarkStart w:id="590" w:name="_Toc371415955"/>
      <w:bookmarkStart w:id="591" w:name="_Toc458504854"/>
      <w:bookmarkStart w:id="592" w:name="_Toc179632585"/>
      <w:bookmarkStart w:id="593" w:name="_Toc338944643"/>
      <w:bookmarkStart w:id="594" w:name="_Toc342297657"/>
      <w:bookmarkStart w:id="595" w:name="_Toc152045567"/>
      <w:bookmarkStart w:id="596" w:name="_Toc342296200"/>
      <w:bookmarkStart w:id="597" w:name="_Toc342294752"/>
      <w:bookmarkStart w:id="598" w:name="_Toc152042343"/>
      <w:bookmarkStart w:id="599" w:name="_Toc333600721"/>
      <w:bookmarkStart w:id="600" w:name="_Toc144974535"/>
      <w:bookmarkStart w:id="601" w:name="_Toc333587891"/>
      <w:bookmarkStart w:id="602" w:name="_Toc333599697"/>
      <w:bookmarkStart w:id="603" w:name="_Toc338943738"/>
      <w:r>
        <w:rPr>
          <w:rFonts w:hint="eastAsia" w:eastAsia="仿宋"/>
          <w:color w:val="auto"/>
          <w:sz w:val="24"/>
          <w:highlight w:val="none"/>
          <w:lang w:eastAsia="zh-CN"/>
        </w:rPr>
        <w:t>7.1</w:t>
      </w:r>
      <w:bookmarkEnd w:id="584"/>
      <w:bookmarkEnd w:id="585"/>
      <w:bookmarkEnd w:id="586"/>
      <w:bookmarkEnd w:id="587"/>
      <w:bookmarkEnd w:id="588"/>
      <w:bookmarkEnd w:id="589"/>
      <w:bookmarkEnd w:id="590"/>
      <w:bookmarkEnd w:id="591"/>
      <w:r>
        <w:rPr>
          <w:rFonts w:hint="eastAsia" w:eastAsia="仿宋"/>
          <w:color w:val="auto"/>
          <w:sz w:val="24"/>
          <w:highlight w:val="none"/>
          <w:lang w:eastAsia="zh-CN"/>
        </w:rPr>
        <w:t xml:space="preserve"> 确定中标人</w:t>
      </w:r>
    </w:p>
    <w:p w14:paraId="4B9FA7C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7.1.1 按照投标人须知前附表规定，采购人或采购人授权评标委员会</w:t>
      </w:r>
      <w:r>
        <w:rPr>
          <w:rFonts w:hint="eastAsia" w:ascii="宋体" w:hAnsi="宋体" w:eastAsia="仿宋" w:cs="宋体"/>
          <w:color w:val="auto"/>
          <w:kern w:val="0"/>
          <w:sz w:val="24"/>
          <w:highlight w:val="none"/>
        </w:rPr>
        <w:t>在评标报告确定的中标候选人名单中按顺序确定中标人。</w:t>
      </w:r>
    </w:p>
    <w:p w14:paraId="5AC949E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7.1.2 采购人确定中标人后，按投标人须知前附表规定的方式与内容公告中标结果。</w:t>
      </w:r>
    </w:p>
    <w:p w14:paraId="6DE8765D">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7.2</w:t>
      </w:r>
      <w:bookmarkStart w:id="604" w:name="_Toc458504855"/>
      <w:bookmarkStart w:id="605" w:name="_Toc455587072"/>
      <w:bookmarkStart w:id="606" w:name="_Toc445554730"/>
      <w:bookmarkStart w:id="607" w:name="_Toc362252686"/>
      <w:bookmarkStart w:id="608" w:name="_Toc349730880"/>
      <w:bookmarkStart w:id="609" w:name="_Toc455587256"/>
      <w:bookmarkStart w:id="610" w:name="_Toc466024537"/>
      <w:bookmarkStart w:id="611" w:name="_Toc371415957"/>
      <w:r>
        <w:rPr>
          <w:rFonts w:hint="eastAsia" w:eastAsia="仿宋"/>
          <w:color w:val="auto"/>
          <w:sz w:val="24"/>
          <w:highlight w:val="none"/>
          <w:lang w:eastAsia="zh-CN"/>
        </w:rPr>
        <w:t xml:space="preserve"> 中标通知</w:t>
      </w:r>
      <w:bookmarkEnd w:id="604"/>
      <w:bookmarkEnd w:id="605"/>
      <w:bookmarkEnd w:id="606"/>
      <w:bookmarkEnd w:id="607"/>
      <w:bookmarkEnd w:id="608"/>
      <w:bookmarkEnd w:id="609"/>
      <w:bookmarkEnd w:id="610"/>
      <w:bookmarkEnd w:id="611"/>
    </w:p>
    <w:p w14:paraId="043CDCF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7.2.1 中标结果确定后，采购人以书面形式向中标人发出中标通知书。</w:t>
      </w:r>
    </w:p>
    <w:p w14:paraId="0C57B16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7.2.2 中标人须按投标人须知前附表规定向采购代理机构支付招标代理服务费，其计取标准见投标人须知前附表。</w:t>
      </w:r>
    </w:p>
    <w:p w14:paraId="40C24380">
      <w:pPr>
        <w:pStyle w:val="4"/>
        <w:adjustRightInd w:val="0"/>
        <w:ind w:firstLine="482" w:firstLineChars="200"/>
        <w:rPr>
          <w:rFonts w:eastAsia="仿宋"/>
          <w:color w:val="auto"/>
          <w:sz w:val="24"/>
          <w:highlight w:val="none"/>
          <w:lang w:eastAsia="zh-CN"/>
        </w:rPr>
      </w:pPr>
      <w:bookmarkStart w:id="612" w:name="_Toc362252687"/>
      <w:bookmarkStart w:id="613" w:name="_Toc455587073"/>
      <w:bookmarkStart w:id="614" w:name="_Toc466024538"/>
      <w:bookmarkStart w:id="615" w:name="_Toc349730881"/>
      <w:bookmarkStart w:id="616" w:name="_Toc445554731"/>
      <w:bookmarkStart w:id="617" w:name="_Toc455587257"/>
      <w:bookmarkStart w:id="618" w:name="_Toc371415958"/>
      <w:bookmarkStart w:id="619" w:name="_Toc458504856"/>
      <w:r>
        <w:rPr>
          <w:rFonts w:hint="eastAsia" w:eastAsia="仿宋"/>
          <w:color w:val="auto"/>
          <w:sz w:val="24"/>
          <w:highlight w:val="none"/>
          <w:lang w:eastAsia="zh-CN"/>
        </w:rPr>
        <w:t>7.3 履约</w:t>
      </w:r>
      <w:bookmarkEnd w:id="612"/>
      <w:bookmarkEnd w:id="613"/>
      <w:bookmarkEnd w:id="614"/>
      <w:bookmarkEnd w:id="615"/>
      <w:bookmarkEnd w:id="616"/>
      <w:bookmarkEnd w:id="617"/>
      <w:bookmarkEnd w:id="618"/>
      <w:bookmarkEnd w:id="619"/>
      <w:r>
        <w:rPr>
          <w:rFonts w:hint="eastAsia" w:eastAsia="仿宋"/>
          <w:color w:val="auto"/>
          <w:sz w:val="24"/>
          <w:highlight w:val="none"/>
          <w:lang w:eastAsia="zh-CN"/>
        </w:rPr>
        <w:t>保证金</w:t>
      </w:r>
    </w:p>
    <w:p w14:paraId="6FCFD2E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.1</w:t>
      </w:r>
      <w:r>
        <w:rPr>
          <w:rFonts w:hint="eastAsia" w:ascii="宋体" w:hAnsi="宋体" w:eastAsia="仿宋"/>
          <w:color w:val="auto"/>
          <w:sz w:val="24"/>
          <w:highlight w:val="none"/>
        </w:rPr>
        <w:t xml:space="preserve"> 在签订合同前，中标人应按投标人须知前附表规定的金额、形式向采购人提交履约保证金。</w:t>
      </w:r>
      <w:r>
        <w:rPr>
          <w:rFonts w:eastAsia="仿宋"/>
          <w:color w:val="auto"/>
          <w:sz w:val="24"/>
          <w:highlight w:val="none"/>
        </w:rPr>
        <w:t>除投标人须知前附表另有规定外，履约保证金为中标合同金额的</w:t>
      </w:r>
      <w:r>
        <w:rPr>
          <w:rFonts w:hint="eastAsia" w:eastAsia="仿宋"/>
          <w:color w:val="auto"/>
          <w:sz w:val="24"/>
          <w:highlight w:val="none"/>
        </w:rPr>
        <w:t>2.5</w:t>
      </w:r>
      <w:r>
        <w:rPr>
          <w:rFonts w:eastAsia="仿宋"/>
          <w:color w:val="auto"/>
          <w:sz w:val="24"/>
          <w:highlight w:val="none"/>
        </w:rPr>
        <w:t>%。联合体中标的，其履约保证金以联合体各方或者联合体中牵头人的名义提交。</w:t>
      </w:r>
    </w:p>
    <w:p w14:paraId="4B7466B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.2</w:t>
      </w:r>
      <w:r>
        <w:rPr>
          <w:rFonts w:hint="eastAsia" w:ascii="宋体" w:hAnsi="宋体" w:eastAsia="仿宋"/>
          <w:color w:val="auto"/>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4D13F06E">
      <w:pPr>
        <w:pStyle w:val="4"/>
        <w:adjustRightInd w:val="0"/>
        <w:ind w:firstLine="482" w:firstLineChars="200"/>
        <w:rPr>
          <w:rFonts w:eastAsia="仿宋"/>
          <w:color w:val="auto"/>
          <w:sz w:val="24"/>
          <w:highlight w:val="none"/>
          <w:lang w:eastAsia="zh-CN"/>
        </w:rPr>
      </w:pPr>
      <w:bookmarkStart w:id="620" w:name="_Toc362252688"/>
      <w:bookmarkStart w:id="621" w:name="_Toc333600724"/>
      <w:bookmarkStart w:id="622" w:name="_Toc445554732"/>
      <w:bookmarkStart w:id="623" w:name="_Toc466024539"/>
      <w:bookmarkStart w:id="624" w:name="_Toc338944646"/>
      <w:bookmarkStart w:id="625" w:name="_Toc333599700"/>
      <w:bookmarkStart w:id="626" w:name="_Toc333587894"/>
      <w:bookmarkStart w:id="627" w:name="_Toc342296203"/>
      <w:bookmarkStart w:id="628" w:name="_Toc338943741"/>
      <w:bookmarkStart w:id="629" w:name="_Toc349730882"/>
      <w:bookmarkStart w:id="630" w:name="_Toc371415959"/>
      <w:bookmarkStart w:id="631" w:name="_Toc179632588"/>
      <w:bookmarkStart w:id="632" w:name="_Toc458504857"/>
      <w:bookmarkStart w:id="633" w:name="_Toc342294755"/>
      <w:bookmarkStart w:id="634" w:name="_Toc455587074"/>
      <w:bookmarkStart w:id="635" w:name="_Toc455587258"/>
      <w:r>
        <w:rPr>
          <w:rFonts w:hint="eastAsia" w:eastAsia="仿宋"/>
          <w:color w:val="auto"/>
          <w:sz w:val="24"/>
          <w:highlight w:val="none"/>
          <w:lang w:eastAsia="zh-CN"/>
        </w:rPr>
        <w:t>7.4 签订合同</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75C601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.1</w:t>
      </w:r>
      <w:r>
        <w:rPr>
          <w:rFonts w:hint="eastAsia" w:ascii="宋体" w:hAnsi="宋体" w:eastAsia="仿宋"/>
          <w:color w:val="auto"/>
          <w:sz w:val="24"/>
          <w:highlight w:val="none"/>
        </w:rPr>
        <w:t xml:space="preserve"> 除投标人须知前附表另有规定外，</w:t>
      </w:r>
      <w:r>
        <w:rPr>
          <w:rFonts w:eastAsia="仿宋"/>
          <w:color w:val="auto"/>
          <w:sz w:val="24"/>
          <w:highlight w:val="none"/>
        </w:rPr>
        <w:t>采购人和中标人应当在中标通知书发出之日起</w:t>
      </w:r>
      <w:r>
        <w:rPr>
          <w:rFonts w:hint="eastAsia" w:eastAsia="仿宋"/>
          <w:color w:val="auto"/>
          <w:sz w:val="24"/>
          <w:highlight w:val="none"/>
        </w:rPr>
        <w:t>三十日内</w:t>
      </w:r>
      <w:r>
        <w:rPr>
          <w:rFonts w:eastAsia="仿宋"/>
          <w:color w:val="auto"/>
          <w:sz w:val="24"/>
          <w:highlight w:val="none"/>
        </w:rPr>
        <w:t>，根据招标文件和中标人的投标文件订立书面合同</w:t>
      </w:r>
      <w:r>
        <w:rPr>
          <w:rFonts w:hint="eastAsia" w:eastAsia="仿宋"/>
          <w:color w:val="auto"/>
          <w:sz w:val="24"/>
          <w:highlight w:val="none"/>
        </w:rPr>
        <w:t>，所签订的合同不得对招标文件确定的事项和中标人投标文件作实质性修改。</w:t>
      </w:r>
      <w:r>
        <w:rPr>
          <w:rFonts w:eastAsia="仿宋"/>
          <w:color w:val="auto"/>
          <w:sz w:val="24"/>
          <w:highlight w:val="none"/>
        </w:rPr>
        <w:t>中标人无正当理由</w:t>
      </w:r>
      <w:r>
        <w:rPr>
          <w:rFonts w:hint="eastAsia" w:eastAsia="仿宋"/>
          <w:color w:val="auto"/>
          <w:sz w:val="24"/>
          <w:highlight w:val="none"/>
        </w:rPr>
        <w:t>拒签</w:t>
      </w:r>
      <w:r>
        <w:rPr>
          <w:rFonts w:eastAsia="仿宋"/>
          <w:color w:val="auto"/>
          <w:sz w:val="24"/>
          <w:highlight w:val="none"/>
        </w:rPr>
        <w:t>合同，</w:t>
      </w:r>
      <w:r>
        <w:rPr>
          <w:rFonts w:hint="eastAsia" w:eastAsia="仿宋"/>
          <w:color w:val="auto"/>
          <w:sz w:val="24"/>
          <w:highlight w:val="none"/>
        </w:rPr>
        <w:t>包括但不限于</w:t>
      </w:r>
      <w:r>
        <w:rPr>
          <w:rFonts w:eastAsia="仿宋"/>
          <w:color w:val="auto"/>
          <w:sz w:val="24"/>
          <w:highlight w:val="none"/>
        </w:rPr>
        <w:t>在签订合同时向采购人提出</w:t>
      </w:r>
      <w:r>
        <w:rPr>
          <w:rFonts w:hint="eastAsia" w:eastAsia="仿宋"/>
          <w:color w:val="auto"/>
          <w:sz w:val="24"/>
          <w:highlight w:val="none"/>
        </w:rPr>
        <w:t>非法的附加条件</w:t>
      </w:r>
      <w:r>
        <w:rPr>
          <w:rFonts w:eastAsia="仿宋"/>
          <w:color w:val="auto"/>
          <w:sz w:val="24"/>
          <w:highlight w:val="none"/>
        </w:rPr>
        <w:t>，其投标保证金不予退还；给采购人造成的损失超过投标保证金数额的，中标人还应当对超过部分予以赔偿。</w:t>
      </w:r>
    </w:p>
    <w:p w14:paraId="2E987F0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.2</w:t>
      </w:r>
      <w:r>
        <w:rPr>
          <w:rFonts w:hint="eastAsia" w:ascii="宋体" w:hAnsi="宋体" w:eastAsia="仿宋"/>
          <w:color w:val="auto"/>
          <w:sz w:val="24"/>
          <w:highlight w:val="none"/>
        </w:rPr>
        <w:t xml:space="preserve"> 因中标人原因未签订合同的，采购人可以按照评审报告推荐的中标候选人名单排序，确定下一候选人为中标人，也可以重新开展政府采购活动。</w:t>
      </w:r>
    </w:p>
    <w:p w14:paraId="4B3C9F16">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7.</w:t>
      </w: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 xml:space="preserve">3 </w:t>
      </w:r>
      <w:r>
        <w:rPr>
          <w:rFonts w:ascii="宋体" w:hAnsi="宋体" w:eastAsia="仿宋"/>
          <w:color w:val="auto"/>
          <w:sz w:val="24"/>
          <w:highlight w:val="none"/>
        </w:rPr>
        <w:t>联合体中标的，联合体各方应当共同与采购人签订合同，就中标项目向采购人承担连带责任。</w:t>
      </w:r>
    </w:p>
    <w:bookmarkEnd w:id="592"/>
    <w:bookmarkEnd w:id="593"/>
    <w:bookmarkEnd w:id="594"/>
    <w:bookmarkEnd w:id="595"/>
    <w:bookmarkEnd w:id="596"/>
    <w:bookmarkEnd w:id="597"/>
    <w:bookmarkEnd w:id="598"/>
    <w:bookmarkEnd w:id="599"/>
    <w:bookmarkEnd w:id="600"/>
    <w:bookmarkEnd w:id="601"/>
    <w:bookmarkEnd w:id="602"/>
    <w:bookmarkEnd w:id="603"/>
    <w:p w14:paraId="00D2A934">
      <w:pPr>
        <w:pStyle w:val="3"/>
        <w:rPr>
          <w:rStyle w:val="23"/>
          <w:rFonts w:hint="eastAsia" w:ascii="宋体" w:hAnsi="宋体" w:eastAsia="仿宋"/>
          <w:b/>
          <w:bCs/>
          <w:color w:val="auto"/>
          <w:sz w:val="24"/>
          <w:szCs w:val="24"/>
          <w:highlight w:val="none"/>
        </w:rPr>
      </w:pPr>
      <w:bookmarkStart w:id="636" w:name="_Toc455587075"/>
      <w:bookmarkStart w:id="637" w:name="_Toc458504860"/>
      <w:bookmarkStart w:id="638" w:name="_Toc455587259"/>
      <w:bookmarkStart w:id="639" w:name="_Toc466024542"/>
      <w:r>
        <w:rPr>
          <w:rStyle w:val="23"/>
          <w:rFonts w:hint="eastAsia" w:ascii="宋体" w:hAnsi="宋体" w:eastAsia="仿宋"/>
          <w:b/>
          <w:bCs/>
          <w:color w:val="auto"/>
          <w:sz w:val="24"/>
          <w:szCs w:val="24"/>
          <w:highlight w:val="none"/>
        </w:rPr>
        <w:t>8. 废标</w:t>
      </w:r>
      <w:bookmarkEnd w:id="636"/>
      <w:bookmarkEnd w:id="637"/>
      <w:bookmarkEnd w:id="638"/>
      <w:r>
        <w:rPr>
          <w:rStyle w:val="23"/>
          <w:rFonts w:hint="eastAsia" w:ascii="宋体" w:hAnsi="宋体" w:eastAsia="仿宋"/>
          <w:b/>
          <w:bCs/>
          <w:color w:val="auto"/>
          <w:sz w:val="24"/>
          <w:szCs w:val="24"/>
          <w:highlight w:val="none"/>
        </w:rPr>
        <w:t>、变更采购方式与终止招标</w:t>
      </w:r>
      <w:bookmarkEnd w:id="639"/>
    </w:p>
    <w:p w14:paraId="63A98ACA">
      <w:pPr>
        <w:pStyle w:val="4"/>
        <w:adjustRightInd w:val="0"/>
        <w:ind w:firstLine="482" w:firstLineChars="200"/>
        <w:rPr>
          <w:rFonts w:hint="eastAsia" w:eastAsia="仿宋"/>
          <w:color w:val="auto"/>
          <w:sz w:val="24"/>
          <w:highlight w:val="none"/>
          <w:lang w:eastAsia="zh-CN"/>
        </w:rPr>
      </w:pPr>
      <w:bookmarkStart w:id="640" w:name="_Toc455587076"/>
      <w:bookmarkStart w:id="641" w:name="_Toc458504861"/>
      <w:bookmarkStart w:id="642" w:name="_Toc466024543"/>
      <w:bookmarkStart w:id="643" w:name="_Toc455587260"/>
      <w:bookmarkStart w:id="644" w:name="_Toc152045572"/>
      <w:bookmarkStart w:id="645" w:name="_Toc333600726"/>
      <w:bookmarkStart w:id="646" w:name="_Toc144974540"/>
      <w:bookmarkStart w:id="647" w:name="_Toc333599702"/>
      <w:bookmarkStart w:id="648" w:name="_Toc152042348"/>
      <w:bookmarkStart w:id="649" w:name="_Toc342296205"/>
      <w:bookmarkStart w:id="650" w:name="_Toc338944648"/>
      <w:bookmarkStart w:id="651" w:name="_Toc342297662"/>
      <w:bookmarkStart w:id="652" w:name="_Toc342294757"/>
      <w:bookmarkStart w:id="653" w:name="_Toc179632590"/>
      <w:bookmarkStart w:id="654" w:name="_Toc333587896"/>
      <w:bookmarkStart w:id="655" w:name="_Toc338943743"/>
      <w:bookmarkStart w:id="656" w:name="_Toc371415961"/>
      <w:bookmarkStart w:id="657" w:name="_Toc445554734"/>
      <w:r>
        <w:rPr>
          <w:rFonts w:hint="eastAsia" w:eastAsia="仿宋"/>
          <w:color w:val="auto"/>
          <w:sz w:val="24"/>
          <w:highlight w:val="none"/>
          <w:lang w:eastAsia="zh-CN"/>
        </w:rPr>
        <w:t>8.1 废标</w:t>
      </w:r>
      <w:bookmarkEnd w:id="640"/>
      <w:bookmarkEnd w:id="641"/>
      <w:bookmarkEnd w:id="642"/>
      <w:bookmarkEnd w:id="643"/>
    </w:p>
    <w:p w14:paraId="707D2C3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8.1.1 出现下列情形之一的，应予废标：</w:t>
      </w:r>
    </w:p>
    <w:p w14:paraId="3D9AFDE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（1）符合专业条件的投标人或者对招标文件作实质响应的投标人不足3家的；</w:t>
      </w:r>
    </w:p>
    <w:p w14:paraId="07F75E5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（2）出现影响采购公正的违法、违规行为的；</w:t>
      </w:r>
    </w:p>
    <w:p w14:paraId="21F0A7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（3）投标人的报价均超过了采购预算或最高限价，采购人不能支付的；</w:t>
      </w:r>
    </w:p>
    <w:p w14:paraId="190B022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（4）因重大变故，采购任务取消的。</w:t>
      </w:r>
    </w:p>
    <w:p w14:paraId="59824255">
      <w:pPr>
        <w:pStyle w:val="4"/>
        <w:adjustRightInd w:val="0"/>
        <w:ind w:firstLine="482" w:firstLineChars="200"/>
        <w:rPr>
          <w:rFonts w:eastAsia="仿宋"/>
          <w:color w:val="auto"/>
          <w:sz w:val="24"/>
          <w:highlight w:val="none"/>
          <w:lang w:eastAsia="zh-CN"/>
        </w:rPr>
      </w:pPr>
      <w:bookmarkStart w:id="658" w:name="_Toc455587261"/>
      <w:bookmarkStart w:id="659" w:name="_Toc455587077"/>
      <w:bookmarkStart w:id="660" w:name="_Toc458504862"/>
      <w:bookmarkStart w:id="661" w:name="_Toc466024544"/>
      <w:r>
        <w:rPr>
          <w:rFonts w:hint="eastAsia" w:eastAsia="仿宋"/>
          <w:color w:val="auto"/>
          <w:sz w:val="24"/>
          <w:highlight w:val="none"/>
          <w:lang w:eastAsia="zh-CN"/>
        </w:rPr>
        <w:t>8.2</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rFonts w:hint="eastAsia" w:eastAsia="仿宋"/>
          <w:color w:val="auto"/>
          <w:sz w:val="24"/>
          <w:highlight w:val="none"/>
          <w:lang w:eastAsia="zh-CN"/>
        </w:rPr>
        <w:t xml:space="preserve"> 重新招标与变更采购方式</w:t>
      </w:r>
      <w:bookmarkEnd w:id="660"/>
      <w:bookmarkEnd w:id="661"/>
    </w:p>
    <w:p w14:paraId="79FE6A7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8.2.1 公开招标数额标准以上的采购项目，投标截止后投标人不足3家或者通过资格审查或符合性审查的投标人不足3家的，除采购任务取消情形外，按照以下方式处理：</w:t>
      </w:r>
    </w:p>
    <w:p w14:paraId="096CA28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（1）招标文件存在不合理条款或者招标程序不符合规定的，采购人、采购代理机构改正后依法重新招标；</w:t>
      </w:r>
    </w:p>
    <w:p w14:paraId="35B3EF7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（2）招标文件没有不合理条款、招标程序符合规定，需要采用其他采购方式采购的，采购人应当依法报财政部门批准。</w:t>
      </w:r>
    </w:p>
    <w:p w14:paraId="46E518B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5496FA79">
      <w:pPr>
        <w:pStyle w:val="4"/>
        <w:adjustRightInd w:val="0"/>
        <w:ind w:firstLine="482" w:firstLineChars="200"/>
        <w:rPr>
          <w:rFonts w:hint="eastAsia" w:eastAsia="仿宋"/>
          <w:color w:val="auto"/>
          <w:sz w:val="24"/>
          <w:highlight w:val="none"/>
          <w:lang w:eastAsia="zh-CN"/>
        </w:rPr>
      </w:pPr>
      <w:bookmarkStart w:id="662" w:name="_Toc455587078"/>
      <w:bookmarkStart w:id="663" w:name="_Toc455587262"/>
      <w:bookmarkStart w:id="664" w:name="_Toc466024545"/>
      <w:bookmarkStart w:id="665" w:name="_Toc445554736"/>
      <w:bookmarkStart w:id="666" w:name="_Toc458504863"/>
      <w:bookmarkStart w:id="667" w:name="_Toc152042350"/>
      <w:bookmarkStart w:id="668" w:name="_Toc338944650"/>
      <w:bookmarkStart w:id="669" w:name="_Toc333599704"/>
      <w:bookmarkStart w:id="670" w:name="_Toc338943745"/>
      <w:bookmarkStart w:id="671" w:name="_Toc144974542"/>
      <w:bookmarkStart w:id="672" w:name="_Toc342297664"/>
      <w:bookmarkStart w:id="673" w:name="_Toc152045574"/>
      <w:bookmarkStart w:id="674" w:name="_Toc342294759"/>
      <w:bookmarkStart w:id="675" w:name="_Toc342296207"/>
      <w:bookmarkStart w:id="676" w:name="_Toc333600728"/>
      <w:bookmarkStart w:id="677" w:name="_Toc179632592"/>
      <w:r>
        <w:rPr>
          <w:rFonts w:hint="eastAsia" w:eastAsia="仿宋"/>
          <w:color w:val="auto"/>
          <w:sz w:val="24"/>
          <w:highlight w:val="none"/>
          <w:lang w:eastAsia="zh-CN"/>
        </w:rPr>
        <w:t>8.3 终止招标</w:t>
      </w:r>
      <w:bookmarkEnd w:id="662"/>
      <w:bookmarkEnd w:id="663"/>
      <w:bookmarkEnd w:id="664"/>
      <w:bookmarkEnd w:id="665"/>
      <w:bookmarkEnd w:id="666"/>
    </w:p>
    <w:p w14:paraId="0ADE37F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因不可抗力等原因，采购人终止招标的，将及时发布公告，或者以书面形式通知被邀请的或者已经获取招标文件的潜在投标人。</w:t>
      </w:r>
    </w:p>
    <w:bookmarkEnd w:id="667"/>
    <w:bookmarkEnd w:id="668"/>
    <w:bookmarkEnd w:id="669"/>
    <w:bookmarkEnd w:id="670"/>
    <w:bookmarkEnd w:id="671"/>
    <w:bookmarkEnd w:id="672"/>
    <w:bookmarkEnd w:id="673"/>
    <w:bookmarkEnd w:id="674"/>
    <w:bookmarkEnd w:id="675"/>
    <w:bookmarkEnd w:id="676"/>
    <w:bookmarkEnd w:id="677"/>
    <w:p w14:paraId="52ED953B">
      <w:pPr>
        <w:pStyle w:val="3"/>
        <w:rPr>
          <w:rStyle w:val="23"/>
          <w:rFonts w:hint="eastAsia" w:ascii="宋体" w:hAnsi="宋体" w:eastAsia="仿宋"/>
          <w:b/>
          <w:bCs/>
          <w:color w:val="auto"/>
          <w:sz w:val="24"/>
          <w:szCs w:val="24"/>
          <w:highlight w:val="none"/>
        </w:rPr>
      </w:pPr>
      <w:bookmarkStart w:id="678" w:name="_Toc466024546"/>
      <w:bookmarkStart w:id="679" w:name="_Toc455587079"/>
      <w:bookmarkStart w:id="680" w:name="_Toc458504864"/>
      <w:bookmarkStart w:id="681" w:name="_Toc445554737"/>
      <w:bookmarkStart w:id="682" w:name="_Toc455587263"/>
      <w:r>
        <w:rPr>
          <w:rStyle w:val="23"/>
          <w:rFonts w:hint="eastAsia" w:ascii="宋体" w:hAnsi="宋体" w:eastAsia="仿宋"/>
          <w:b/>
          <w:bCs/>
          <w:color w:val="auto"/>
          <w:sz w:val="24"/>
          <w:szCs w:val="24"/>
          <w:highlight w:val="none"/>
        </w:rPr>
        <w:t>9. 询问与质疑</w:t>
      </w:r>
    </w:p>
    <w:p w14:paraId="406BBC9C">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9.1 询问</w:t>
      </w:r>
    </w:p>
    <w:p w14:paraId="5A675B1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9.1.1 投标人对政府采购活动事项有疑问的，可依法按投标人须知前附表载明的时间提出询问。</w:t>
      </w:r>
    </w:p>
    <w:p w14:paraId="092AA7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9.1.2 采购人或采购代理机构对供应商依法提出的询问，在3个工作日内作出答复，但答复的内容不得涉及商业秘密。</w:t>
      </w:r>
    </w:p>
    <w:p w14:paraId="2495EAD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9.1.3 除非采购人认为确有必要答复，否则，采购人有权拒绝回复投标人在本章第9.1.1项规定的时间后的询问。</w:t>
      </w:r>
    </w:p>
    <w:p w14:paraId="1EF70B38">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9.2 质疑</w:t>
      </w:r>
    </w:p>
    <w:p w14:paraId="1188BEC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 投标人认为招标文件、采购过程、中标结果使自己的权益受到损害的，可以在投标人须知前附表载明的时间向采购人、采购代理机构提出质疑，逾期提出的，采购人、采购代理机构可不予受理。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3C06262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应以书面形式向采购人、采购代理机构提出质疑，质疑函须使用财政部制定的《政府采购供应商质疑函范本》格式，详见本章附件二“政府采购供应商询问函和质疑函范本”。质疑材料应当采用中文，有关材料是外文的，应当同时提供其中文译本。</w:t>
      </w:r>
    </w:p>
    <w:p w14:paraId="7EAF66E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9.2.2 接收质疑的联系方式见投标人须知前附表，采购人、采购代理机构在收到质疑函后7个工作日内作出答复。</w:t>
      </w:r>
    </w:p>
    <w:p w14:paraId="078A638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9.2.3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1A3A54F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9.2.4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53B419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9.2.5 投标人应在法定质疑期内一次性提出针对同一采购程序环节的质疑，法定质疑期内针对同一采购程序环节再次提出的质疑，采购人、采购代理机构有权不予答复。质疑应当有具体的事项及根据，不得进行虚假、恶意质疑，扰乱政府采购活动正常的工作秩序。</w:t>
      </w:r>
    </w:p>
    <w:p w14:paraId="723A118D">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 xml:space="preserve">9.2.6 </w:t>
      </w:r>
      <w:r>
        <w:rPr>
          <w:rFonts w:eastAsia="仿宋"/>
          <w:color w:val="auto"/>
          <w:sz w:val="24"/>
          <w:highlight w:val="none"/>
        </w:rPr>
        <w:t>提出质疑的</w:t>
      </w:r>
      <w:r>
        <w:rPr>
          <w:rFonts w:hint="eastAsia" w:eastAsia="仿宋"/>
          <w:color w:val="auto"/>
          <w:sz w:val="24"/>
          <w:highlight w:val="none"/>
        </w:rPr>
        <w:t>投标人</w:t>
      </w:r>
      <w:r>
        <w:rPr>
          <w:rFonts w:eastAsia="仿宋"/>
          <w:color w:val="auto"/>
          <w:sz w:val="24"/>
          <w:highlight w:val="none"/>
        </w:rPr>
        <w:t>应当是参与所质疑项目采购活动的</w:t>
      </w:r>
      <w:r>
        <w:rPr>
          <w:rFonts w:hint="eastAsia" w:eastAsia="仿宋"/>
          <w:color w:val="auto"/>
          <w:sz w:val="24"/>
          <w:highlight w:val="none"/>
        </w:rPr>
        <w:t>投标人</w:t>
      </w:r>
      <w:r>
        <w:rPr>
          <w:rFonts w:eastAsia="仿宋"/>
          <w:color w:val="auto"/>
          <w:sz w:val="24"/>
          <w:highlight w:val="none"/>
        </w:rPr>
        <w:t>。潜在</w:t>
      </w:r>
      <w:r>
        <w:rPr>
          <w:rFonts w:hint="eastAsia" w:eastAsia="仿宋"/>
          <w:color w:val="auto"/>
          <w:sz w:val="24"/>
          <w:highlight w:val="none"/>
        </w:rPr>
        <w:t>投标人</w:t>
      </w:r>
      <w:r>
        <w:rPr>
          <w:rFonts w:eastAsia="仿宋"/>
          <w:color w:val="auto"/>
          <w:sz w:val="24"/>
          <w:highlight w:val="none"/>
        </w:rPr>
        <w:t>已依法获取其可质疑的</w:t>
      </w:r>
      <w:r>
        <w:rPr>
          <w:rFonts w:hint="eastAsia" w:eastAsia="仿宋"/>
          <w:color w:val="auto"/>
          <w:sz w:val="24"/>
          <w:highlight w:val="none"/>
        </w:rPr>
        <w:t>招标</w:t>
      </w:r>
      <w:r>
        <w:rPr>
          <w:rFonts w:eastAsia="仿宋"/>
          <w:color w:val="auto"/>
          <w:sz w:val="24"/>
          <w:highlight w:val="none"/>
        </w:rPr>
        <w:t>文件的，可以对</w:t>
      </w:r>
      <w:r>
        <w:rPr>
          <w:rFonts w:hint="eastAsia" w:eastAsia="仿宋"/>
          <w:color w:val="auto"/>
          <w:sz w:val="24"/>
          <w:highlight w:val="none"/>
        </w:rPr>
        <w:t>招标</w:t>
      </w:r>
      <w:r>
        <w:rPr>
          <w:rFonts w:eastAsia="仿宋"/>
          <w:color w:val="auto"/>
          <w:sz w:val="24"/>
          <w:highlight w:val="none"/>
        </w:rPr>
        <w:t>文件提出</w:t>
      </w:r>
      <w:r>
        <w:rPr>
          <w:rFonts w:hint="eastAsia" w:eastAsia="仿宋"/>
          <w:color w:val="auto"/>
          <w:sz w:val="24"/>
          <w:highlight w:val="none"/>
        </w:rPr>
        <w:t>质疑</w:t>
      </w:r>
      <w:r>
        <w:rPr>
          <w:rFonts w:eastAsia="仿宋"/>
          <w:color w:val="auto"/>
          <w:sz w:val="24"/>
          <w:highlight w:val="none"/>
        </w:rPr>
        <w:t>。</w:t>
      </w:r>
    </w:p>
    <w:p w14:paraId="1C3043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9.2.7 质疑材料存在以下情形的，采购人、采购代理机构不予受理。</w:t>
      </w:r>
    </w:p>
    <w:p w14:paraId="640DE7E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（1）提起质疑的主体不是参与该政府采购项目活动的供应商；</w:t>
      </w:r>
    </w:p>
    <w:p w14:paraId="6AAB35B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（2）提起质疑的时间超过规定时限的；</w:t>
      </w:r>
    </w:p>
    <w:p w14:paraId="4D80D6C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（3）质疑材料不完整的；</w:t>
      </w:r>
    </w:p>
    <w:p w14:paraId="77D3E0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（4）质疑事项含有主观猜测等内容且未提供充分有效线索、难以查证的；</w:t>
      </w:r>
    </w:p>
    <w:p w14:paraId="3BCC535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（5）质疑</w:t>
      </w:r>
      <w:r>
        <w:rPr>
          <w:rFonts w:ascii="宋体" w:hAnsi="宋体" w:eastAsia="仿宋"/>
          <w:color w:val="auto"/>
          <w:sz w:val="24"/>
          <w:highlight w:val="none"/>
        </w:rPr>
        <w:t>事项缺乏事实依据，</w:t>
      </w:r>
      <w:r>
        <w:rPr>
          <w:rFonts w:hint="eastAsia" w:ascii="宋体" w:hAnsi="宋体" w:eastAsia="仿宋"/>
          <w:color w:val="auto"/>
          <w:sz w:val="24"/>
          <w:highlight w:val="none"/>
        </w:rPr>
        <w:t>质疑</w:t>
      </w:r>
      <w:r>
        <w:rPr>
          <w:rFonts w:ascii="宋体" w:hAnsi="宋体" w:eastAsia="仿宋"/>
          <w:color w:val="auto"/>
          <w:sz w:val="24"/>
          <w:highlight w:val="none"/>
        </w:rPr>
        <w:t>事项不成立</w:t>
      </w:r>
      <w:r>
        <w:rPr>
          <w:rFonts w:hint="eastAsia" w:ascii="宋体" w:hAnsi="宋体" w:eastAsia="仿宋"/>
          <w:color w:val="auto"/>
          <w:sz w:val="24"/>
          <w:highlight w:val="none"/>
        </w:rPr>
        <w:t>的；</w:t>
      </w:r>
    </w:p>
    <w:p w14:paraId="7F6385E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捏造事实或者提供虚假材料；</w:t>
      </w:r>
    </w:p>
    <w:p w14:paraId="4A91FC4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ascii="宋体" w:hAnsi="宋体" w:eastAsia="仿宋"/>
          <w:color w:val="auto"/>
          <w:sz w:val="24"/>
          <w:highlight w:val="none"/>
        </w:rPr>
        <w:t>以非法手段取得证明材料。</w:t>
      </w:r>
      <w:r>
        <w:rPr>
          <w:rFonts w:hint="eastAsia" w:ascii="宋体" w:hAnsi="宋体" w:eastAsia="仿宋"/>
          <w:color w:val="auto"/>
          <w:sz w:val="24"/>
          <w:highlight w:val="none"/>
        </w:rPr>
        <w:t>证明材料</w:t>
      </w:r>
      <w:r>
        <w:rPr>
          <w:rFonts w:ascii="宋体" w:hAnsi="宋体" w:eastAsia="仿宋"/>
          <w:color w:val="auto"/>
          <w:sz w:val="24"/>
          <w:highlight w:val="none"/>
        </w:rPr>
        <w:t>来源的合法性存在明显疑问，</w:t>
      </w:r>
      <w:r>
        <w:rPr>
          <w:rFonts w:hint="eastAsia" w:ascii="宋体" w:hAnsi="宋体" w:eastAsia="仿宋"/>
          <w:color w:val="auto"/>
          <w:sz w:val="24"/>
          <w:highlight w:val="none"/>
        </w:rPr>
        <w:t>质疑</w:t>
      </w:r>
      <w:r>
        <w:rPr>
          <w:rFonts w:ascii="宋体" w:hAnsi="宋体" w:eastAsia="仿宋"/>
          <w:color w:val="auto"/>
          <w:sz w:val="24"/>
          <w:highlight w:val="none"/>
        </w:rPr>
        <w:t>人无法证明其取得方式合法的，视为以非法手段取得证明材料</w:t>
      </w:r>
      <w:r>
        <w:rPr>
          <w:rFonts w:hint="eastAsia" w:ascii="宋体" w:hAnsi="宋体" w:eastAsia="仿宋"/>
          <w:color w:val="auto"/>
          <w:sz w:val="24"/>
          <w:highlight w:val="none"/>
        </w:rPr>
        <w:t>；</w:t>
      </w:r>
    </w:p>
    <w:p w14:paraId="1E0F69B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（8）对其他投标人的投标文件详细内容质疑，无法提供合法来源渠道的。</w:t>
      </w:r>
    </w:p>
    <w:p w14:paraId="5D96801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9.2.8 质疑人在答复期满前撤回质疑的，应由法定代表人或授权代表人签字确认。质疑人不得以同一理由再次提出质疑。</w:t>
      </w:r>
    </w:p>
    <w:p w14:paraId="683479A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9.2.9 因处理质疑发生的检验、检测、鉴定等费用，</w:t>
      </w:r>
      <w:r>
        <w:rPr>
          <w:rFonts w:ascii="宋体" w:hAnsi="宋体" w:eastAsia="仿宋"/>
          <w:color w:val="auto"/>
          <w:sz w:val="24"/>
          <w:highlight w:val="none"/>
        </w:rPr>
        <w:t>由提出申请的</w:t>
      </w:r>
      <w:r>
        <w:rPr>
          <w:rFonts w:hint="eastAsia" w:ascii="宋体" w:hAnsi="宋体" w:eastAsia="仿宋"/>
          <w:color w:val="auto"/>
          <w:sz w:val="24"/>
          <w:highlight w:val="none"/>
        </w:rPr>
        <w:t>投标人</w:t>
      </w:r>
      <w:r>
        <w:rPr>
          <w:rFonts w:ascii="宋体" w:hAnsi="宋体" w:eastAsia="仿宋"/>
          <w:color w:val="auto"/>
          <w:sz w:val="24"/>
          <w:highlight w:val="none"/>
        </w:rPr>
        <w:t>先行垫付。</w:t>
      </w:r>
      <w:r>
        <w:rPr>
          <w:rFonts w:hint="eastAsia" w:ascii="宋体" w:hAnsi="宋体" w:eastAsia="仿宋"/>
          <w:color w:val="auto"/>
          <w:sz w:val="24"/>
          <w:highlight w:val="none"/>
        </w:rPr>
        <w:t>质疑处理决定各方无异议</w:t>
      </w:r>
      <w:r>
        <w:rPr>
          <w:rFonts w:ascii="宋体" w:hAnsi="宋体" w:eastAsia="仿宋"/>
          <w:color w:val="auto"/>
          <w:sz w:val="24"/>
          <w:highlight w:val="none"/>
        </w:rPr>
        <w:t>后，按照</w:t>
      </w:r>
      <w:r>
        <w:rPr>
          <w:rFonts w:hint="eastAsia" w:ascii="宋体" w:hAnsi="宋体" w:eastAsia="仿宋"/>
          <w:color w:val="auto"/>
          <w:sz w:val="24"/>
          <w:highlight w:val="none"/>
        </w:rPr>
        <w:t>“</w:t>
      </w:r>
      <w:r>
        <w:rPr>
          <w:rFonts w:ascii="宋体" w:hAnsi="宋体" w:eastAsia="仿宋"/>
          <w:color w:val="auto"/>
          <w:sz w:val="24"/>
          <w:highlight w:val="none"/>
        </w:rPr>
        <w:t>谁过错谁负担</w:t>
      </w:r>
      <w:r>
        <w:rPr>
          <w:rFonts w:hint="eastAsia" w:ascii="宋体" w:hAnsi="宋体" w:eastAsia="仿宋"/>
          <w:color w:val="auto"/>
          <w:sz w:val="24"/>
          <w:highlight w:val="none"/>
        </w:rPr>
        <w:t>”</w:t>
      </w:r>
      <w:r>
        <w:rPr>
          <w:rFonts w:ascii="宋体" w:hAnsi="宋体" w:eastAsia="仿宋"/>
          <w:color w:val="auto"/>
          <w:sz w:val="24"/>
          <w:highlight w:val="none"/>
        </w:rPr>
        <w:t>的原则由承担责任的一方负担；双方都有责任的，由双方合理分担。</w:t>
      </w:r>
    </w:p>
    <w:p w14:paraId="6D261FF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9.2.10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627A879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（1）一年内三次以上质疑均查无实据的；</w:t>
      </w:r>
    </w:p>
    <w:p w14:paraId="61269DB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（2）捏造事实或者提供虚假质疑材料的；</w:t>
      </w:r>
    </w:p>
    <w:p w14:paraId="51395A09">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以非法手段取</w:t>
      </w:r>
      <w:r>
        <w:rPr>
          <w:rFonts w:eastAsia="仿宋"/>
          <w:color w:val="auto"/>
          <w:sz w:val="24"/>
          <w:highlight w:val="none"/>
        </w:rPr>
        <w:t>得证明材料。</w:t>
      </w:r>
      <w:r>
        <w:rPr>
          <w:rFonts w:hint="eastAsia" w:eastAsia="仿宋"/>
          <w:color w:val="auto"/>
          <w:sz w:val="24"/>
          <w:highlight w:val="none"/>
        </w:rPr>
        <w:t>证明材料</w:t>
      </w:r>
      <w:r>
        <w:rPr>
          <w:rFonts w:eastAsia="仿宋"/>
          <w:color w:val="auto"/>
          <w:sz w:val="24"/>
          <w:highlight w:val="none"/>
        </w:rPr>
        <w:t>来源的合法性存在明显疑问，</w:t>
      </w:r>
      <w:r>
        <w:rPr>
          <w:rFonts w:hint="eastAsia" w:eastAsia="仿宋"/>
          <w:color w:val="auto"/>
          <w:sz w:val="24"/>
          <w:highlight w:val="none"/>
        </w:rPr>
        <w:t>质疑</w:t>
      </w:r>
      <w:r>
        <w:rPr>
          <w:rFonts w:eastAsia="仿宋"/>
          <w:color w:val="auto"/>
          <w:sz w:val="24"/>
          <w:highlight w:val="none"/>
        </w:rPr>
        <w:t>人无法证明其取得方式</w:t>
      </w:r>
      <w:r>
        <w:rPr>
          <w:rFonts w:ascii="宋体" w:hAnsi="宋体" w:eastAsia="仿宋"/>
          <w:color w:val="auto"/>
          <w:sz w:val="24"/>
          <w:highlight w:val="none"/>
        </w:rPr>
        <w:t>合法的，视为以非法手段取得证明材料</w:t>
      </w:r>
      <w:r>
        <w:rPr>
          <w:rFonts w:hint="eastAsia" w:ascii="宋体" w:hAnsi="宋体" w:eastAsia="仿宋"/>
          <w:color w:val="auto"/>
          <w:sz w:val="24"/>
          <w:highlight w:val="none"/>
        </w:rPr>
        <w:t>。</w:t>
      </w:r>
    </w:p>
    <w:p w14:paraId="59BAC246">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10. 纪律和监督</w:t>
      </w:r>
      <w:bookmarkEnd w:id="678"/>
      <w:bookmarkEnd w:id="679"/>
      <w:bookmarkEnd w:id="680"/>
      <w:bookmarkEnd w:id="681"/>
      <w:bookmarkEnd w:id="682"/>
    </w:p>
    <w:p w14:paraId="3C7A59AD">
      <w:pPr>
        <w:pStyle w:val="4"/>
        <w:adjustRightInd w:val="0"/>
        <w:ind w:firstLine="482" w:firstLineChars="200"/>
        <w:rPr>
          <w:rFonts w:eastAsia="仿宋"/>
          <w:color w:val="auto"/>
          <w:sz w:val="24"/>
          <w:highlight w:val="none"/>
          <w:lang w:eastAsia="zh-CN"/>
        </w:rPr>
      </w:pPr>
      <w:bookmarkStart w:id="683" w:name="_Toc338944651"/>
      <w:bookmarkStart w:id="684" w:name="_Toc455587080"/>
      <w:bookmarkStart w:id="685" w:name="_Toc466024547"/>
      <w:bookmarkStart w:id="686" w:name="_Toc333599705"/>
      <w:bookmarkStart w:id="687" w:name="_Toc179632593"/>
      <w:bookmarkStart w:id="688" w:name="_Toc144974543"/>
      <w:bookmarkStart w:id="689" w:name="_Toc333600729"/>
      <w:bookmarkStart w:id="690" w:name="_Toc152042351"/>
      <w:bookmarkStart w:id="691" w:name="_Toc342294760"/>
      <w:bookmarkStart w:id="692" w:name="_Toc455587264"/>
      <w:bookmarkStart w:id="693" w:name="_Toc458504865"/>
      <w:bookmarkStart w:id="694" w:name="_Toc445554738"/>
      <w:bookmarkStart w:id="695" w:name="_Toc152045575"/>
      <w:bookmarkStart w:id="696" w:name="_Toc342297665"/>
      <w:bookmarkStart w:id="697" w:name="_Toc342296208"/>
      <w:bookmarkStart w:id="698" w:name="_Toc371415965"/>
      <w:bookmarkStart w:id="699" w:name="_Toc338943746"/>
      <w:bookmarkStart w:id="700" w:name="_Toc333587899"/>
      <w:r>
        <w:rPr>
          <w:rFonts w:hint="eastAsia" w:eastAsia="仿宋"/>
          <w:color w:val="auto"/>
          <w:sz w:val="24"/>
          <w:highlight w:val="none"/>
          <w:lang w:eastAsia="zh-CN"/>
        </w:rPr>
        <w:t>10.1 对采购人的纪律要求</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AAF064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采购人不得泄露招标投标活动中应当保密的情况和资料，不得与投标人串通损害国家利益、社会公共利益或者他人合法权益。</w:t>
      </w:r>
    </w:p>
    <w:p w14:paraId="7C1C5AD1">
      <w:pPr>
        <w:pStyle w:val="4"/>
        <w:adjustRightInd w:val="0"/>
        <w:ind w:firstLine="482" w:firstLineChars="200"/>
        <w:rPr>
          <w:rFonts w:eastAsia="仿宋"/>
          <w:color w:val="auto"/>
          <w:sz w:val="24"/>
          <w:highlight w:val="none"/>
          <w:lang w:eastAsia="zh-CN"/>
        </w:rPr>
      </w:pPr>
      <w:bookmarkStart w:id="701" w:name="_Toc371415966"/>
      <w:bookmarkStart w:id="702" w:name="_Toc342297666"/>
      <w:bookmarkStart w:id="703" w:name="_Toc338943747"/>
      <w:bookmarkStart w:id="704" w:name="_Toc144974544"/>
      <w:bookmarkStart w:id="705" w:name="_Toc342294761"/>
      <w:bookmarkStart w:id="706" w:name="_Toc458504866"/>
      <w:bookmarkStart w:id="707" w:name="_Toc333587900"/>
      <w:bookmarkStart w:id="708" w:name="_Toc338944652"/>
      <w:bookmarkStart w:id="709" w:name="_Toc179632594"/>
      <w:bookmarkStart w:id="710" w:name="_Toc466024548"/>
      <w:bookmarkStart w:id="711" w:name="_Toc342296209"/>
      <w:bookmarkStart w:id="712" w:name="_Toc445554739"/>
      <w:bookmarkStart w:id="713" w:name="_Toc455587081"/>
      <w:bookmarkStart w:id="714" w:name="_Toc455587265"/>
      <w:bookmarkStart w:id="715" w:name="_Toc333599706"/>
      <w:bookmarkStart w:id="716" w:name="_Toc152042352"/>
      <w:bookmarkStart w:id="717" w:name="_Toc333600730"/>
      <w:bookmarkStart w:id="718" w:name="_Toc152045576"/>
      <w:r>
        <w:rPr>
          <w:rFonts w:hint="eastAsia" w:eastAsia="仿宋"/>
          <w:color w:val="auto"/>
          <w:sz w:val="24"/>
          <w:highlight w:val="none"/>
          <w:lang w:eastAsia="zh-CN"/>
        </w:rPr>
        <w:t>10.2 对投标人的纪律要求</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6FD1E7F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167EEAE5">
      <w:pPr>
        <w:pStyle w:val="3"/>
        <w:rPr>
          <w:rStyle w:val="23"/>
          <w:rFonts w:hint="eastAsia" w:ascii="宋体" w:hAnsi="宋体" w:eastAsia="仿宋"/>
          <w:b/>
          <w:bCs/>
          <w:color w:val="auto"/>
          <w:sz w:val="24"/>
          <w:szCs w:val="24"/>
          <w:highlight w:val="none"/>
        </w:rPr>
      </w:pPr>
      <w:bookmarkStart w:id="719" w:name="_Toc333599710"/>
      <w:bookmarkStart w:id="720" w:name="_Toc338944656"/>
      <w:bookmarkStart w:id="721" w:name="_Toc152042357"/>
      <w:bookmarkStart w:id="722" w:name="_Toc455587269"/>
      <w:bookmarkStart w:id="723" w:name="_Toc445554743"/>
      <w:bookmarkStart w:id="724" w:name="_Toc466024552"/>
      <w:bookmarkStart w:id="725" w:name="_Toc333600734"/>
      <w:bookmarkStart w:id="726" w:name="_Toc179632598"/>
      <w:bookmarkStart w:id="727" w:name="_Toc152045580"/>
      <w:bookmarkStart w:id="728" w:name="_Toc338943751"/>
      <w:bookmarkStart w:id="729" w:name="_Toc144974547"/>
      <w:bookmarkStart w:id="730" w:name="_Toc455587085"/>
      <w:bookmarkStart w:id="731" w:name="_Toc371415963"/>
      <w:bookmarkStart w:id="732" w:name="_Toc342297670"/>
      <w:bookmarkStart w:id="733" w:name="_Toc458504870"/>
      <w:bookmarkStart w:id="734" w:name="_Toc342294765"/>
      <w:bookmarkStart w:id="735" w:name="_Toc342296213"/>
      <w:r>
        <w:rPr>
          <w:rStyle w:val="23"/>
          <w:rFonts w:hint="eastAsia" w:ascii="宋体" w:hAnsi="宋体" w:eastAsia="仿宋"/>
          <w:b/>
          <w:bCs/>
          <w:color w:val="auto"/>
          <w:sz w:val="24"/>
          <w:szCs w:val="24"/>
          <w:highlight w:val="none"/>
        </w:rPr>
        <w:t>11. 政府采购政策</w:t>
      </w:r>
    </w:p>
    <w:p w14:paraId="4BD41842">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11.1 节能与环保</w:t>
      </w:r>
    </w:p>
    <w:p w14:paraId="390EDE59">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102B4534">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1B0B2E5E">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11.2 促进中小企业发展</w:t>
      </w:r>
    </w:p>
    <w:p w14:paraId="6A64571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11.2.1根据《政府采购促进中小企业发展管理办法》（财库〔2020〕46号）规定，投标人提供的货物、工程或者服务符合下列情形的，享受本条规定的中小企业扶持政策：</w:t>
      </w:r>
    </w:p>
    <w:p w14:paraId="6DCEB12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（1）在货物采购项目中，货物由中小企业制造，即货物由中小企业生产且使用该中小企业商号或者注册商标；</w:t>
      </w:r>
    </w:p>
    <w:p w14:paraId="60B5AAA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（2）在工程采购项目中，工程由中小企业承建，即工程施工单位为中小企业；</w:t>
      </w:r>
    </w:p>
    <w:p w14:paraId="2FAD947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（3）在服务采购项目中，服务由中小企业承接，即提供服务的人员为中小企业依照《中华人民共和国劳动合同法》订立劳动合同的从业人员。</w:t>
      </w:r>
    </w:p>
    <w:p w14:paraId="20344EE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在货物采购项目中，供应商提供的货物既有中小企业制造货物，也有大型企业制造货物的，不享受本条规定的中小企业扶持政策。</w:t>
      </w:r>
    </w:p>
    <w:p w14:paraId="504754F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以联合体形式参加政府采购活动（如接受联合体投标时），联合体各方均为中小企业的，联合体视同中小企业。其中，联合体各方均为小微企业的，联合体视同小微企业。</w:t>
      </w:r>
    </w:p>
    <w:p w14:paraId="1DCD8F1D">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中小企业应当在投标文件中提供招标文件规定格式的《中小企业声明函》，并对其真实性负责。</w:t>
      </w:r>
    </w:p>
    <w:p w14:paraId="0DB9567E">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中小企业划型标准见工信部联企业〔2011〕300号文件。</w:t>
      </w:r>
    </w:p>
    <w:p w14:paraId="2F6CAF6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11.2.2投标人须知前附表第1.1.7项规定本项目属于专门面向中小企业（含中型、小型、微型企业，下同）采购的，投标人应符合本章第11.2.1项规定外，还应符合本项目的资格要求。</w:t>
      </w:r>
    </w:p>
    <w:p w14:paraId="1666D6AC">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11.2.3</w:t>
      </w:r>
      <w:r>
        <w:rPr>
          <w:rFonts w:hint="eastAsia" w:ascii="宋体" w:hAnsi="宋体" w:eastAsia="仿宋"/>
          <w:color w:val="auto"/>
          <w:sz w:val="24"/>
          <w:highlight w:val="none"/>
        </w:rPr>
        <w:t>投标人须知前附表第1.1.7项规定</w:t>
      </w:r>
      <w:r>
        <w:rPr>
          <w:rFonts w:hint="eastAsia" w:ascii="宋体" w:hAnsi="宋体" w:eastAsia="仿宋"/>
          <w:color w:val="auto"/>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6D931B7A">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3A93E282">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auto"/>
          <w:sz w:val="24"/>
          <w:highlight w:val="none"/>
        </w:rPr>
        <w:t>政府</w:t>
      </w:r>
      <w:r>
        <w:rPr>
          <w:rFonts w:hint="eastAsia" w:ascii="宋体" w:hAnsi="宋体" w:eastAsia="仿宋"/>
          <w:color w:val="auto"/>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73F6F2F7">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11.2.6 监狱企业、残疾人福利性单位属于小微企业的，不重复享受中小企业价格评审优惠政策。</w:t>
      </w:r>
    </w:p>
    <w:p w14:paraId="4158C29F">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11.3 采购本国货物、工程和服务</w:t>
      </w:r>
    </w:p>
    <w:p w14:paraId="2970FAD9">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.1 政府采购应当采购本国货物、工程和服务。但有《中华人民共和国政府采购法》第十条规定情形的除外。</w:t>
      </w:r>
    </w:p>
    <w:p w14:paraId="2BB266E9">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.2 本项目进口产品采购情况见投标人须知前附表。本项目如接受非本国货物、工程、服务参与投标，则具体要求见第</w:t>
      </w:r>
      <w:r>
        <w:rPr>
          <w:rFonts w:hint="eastAsia" w:ascii="宋体" w:hAnsi="宋体" w:eastAsia="仿宋"/>
          <w:color w:val="auto"/>
          <w:sz w:val="24"/>
          <w:highlight w:val="none"/>
          <w:lang w:bidi="en-US"/>
        </w:rPr>
        <w:t>三</w:t>
      </w:r>
      <w:r>
        <w:rPr>
          <w:rFonts w:ascii="宋体" w:hAnsi="宋体" w:eastAsia="仿宋"/>
          <w:color w:val="auto"/>
          <w:sz w:val="24"/>
          <w:highlight w:val="none"/>
          <w:lang w:bidi="en-US"/>
        </w:rPr>
        <w:t>章《采购需求》。</w:t>
      </w:r>
    </w:p>
    <w:p w14:paraId="66779173">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D9257C3">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11.4 需要执行的其他政府采购政策</w:t>
      </w:r>
    </w:p>
    <w:p w14:paraId="599D14D5">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需要执行的其他政府采购政策：见投标人须知前附表。</w:t>
      </w:r>
    </w:p>
    <w:p w14:paraId="26CE5C1B">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12. 需要补充的其他内容</w:t>
      </w:r>
    </w:p>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6FB785BE">
      <w:pPr>
        <w:widowControl/>
        <w:adjustRightInd w:val="0"/>
        <w:snapToGrid w:val="0"/>
        <w:spacing w:line="360" w:lineRule="auto"/>
        <w:ind w:firstLine="480" w:firstLineChars="200"/>
        <w:rPr>
          <w:rFonts w:hint="eastAsia" w:eastAsia="仿宋"/>
          <w:color w:val="auto"/>
          <w:sz w:val="24"/>
          <w:highlight w:val="none"/>
          <w:lang w:bidi="en-US"/>
        </w:rPr>
      </w:pPr>
      <w:bookmarkStart w:id="736" w:name="_Toc445554745"/>
      <w:bookmarkStart w:id="737" w:name="_Toc455587271"/>
      <w:bookmarkStart w:id="738" w:name="_Toc466024554"/>
      <w:bookmarkStart w:id="739" w:name="_Toc458504872"/>
      <w:bookmarkStart w:id="740" w:name="_Toc455587087"/>
      <w:r>
        <w:rPr>
          <w:rFonts w:hint="eastAsia" w:eastAsia="仿宋"/>
          <w:color w:val="auto"/>
          <w:sz w:val="24"/>
          <w:highlight w:val="none"/>
          <w:lang w:bidi="en-US"/>
        </w:rPr>
        <w:t>需要补充的其他内容</w:t>
      </w:r>
      <w:bookmarkEnd w:id="736"/>
      <w:bookmarkEnd w:id="737"/>
      <w:bookmarkEnd w:id="738"/>
      <w:bookmarkEnd w:id="739"/>
      <w:bookmarkEnd w:id="740"/>
      <w:r>
        <w:rPr>
          <w:rFonts w:hint="eastAsia" w:eastAsia="仿宋"/>
          <w:color w:val="auto"/>
          <w:sz w:val="24"/>
          <w:highlight w:val="none"/>
          <w:lang w:bidi="en-US"/>
        </w:rPr>
        <w:t>：见投标人须知前附表。</w:t>
      </w:r>
    </w:p>
    <w:p w14:paraId="41B50146">
      <w:pPr>
        <w:pStyle w:val="3"/>
        <w:jc w:val="center"/>
        <w:rPr>
          <w:rFonts w:eastAsia="黑体"/>
          <w:color w:val="auto"/>
          <w:highlight w:val="none"/>
        </w:rPr>
      </w:pPr>
      <w:r>
        <w:rPr>
          <w:rFonts w:ascii="宋体" w:hAnsi="宋体" w:eastAsia="仿宋"/>
          <w:color w:val="auto"/>
          <w:szCs w:val="21"/>
          <w:highlight w:val="none"/>
        </w:rPr>
        <w:br w:type="page"/>
      </w:r>
      <w:bookmarkStart w:id="741" w:name="_Toc24418"/>
      <w:bookmarkStart w:id="742" w:name="_Hlk44246314"/>
      <w:r>
        <w:rPr>
          <w:rFonts w:eastAsia="黑体"/>
          <w:color w:val="auto"/>
          <w:highlight w:val="none"/>
        </w:rPr>
        <w:t>附件</w:t>
      </w:r>
      <w:r>
        <w:rPr>
          <w:rFonts w:hint="eastAsia" w:eastAsia="黑体"/>
          <w:color w:val="auto"/>
          <w:highlight w:val="none"/>
        </w:rPr>
        <w:t>一</w:t>
      </w:r>
      <w:r>
        <w:rPr>
          <w:rFonts w:eastAsia="黑体"/>
          <w:color w:val="auto"/>
          <w:highlight w:val="none"/>
        </w:rPr>
        <w:t>：</w:t>
      </w:r>
      <w:r>
        <w:rPr>
          <w:rFonts w:hint="eastAsia" w:eastAsia="黑体"/>
          <w:color w:val="auto"/>
          <w:highlight w:val="none"/>
        </w:rPr>
        <w:t>全流程电子招标采购</w:t>
      </w:r>
      <w:r>
        <w:rPr>
          <w:rFonts w:eastAsia="黑体"/>
          <w:color w:val="auto"/>
          <w:highlight w:val="none"/>
        </w:rPr>
        <w:t>具体要求</w:t>
      </w:r>
      <w:bookmarkEnd w:id="741"/>
    </w:p>
    <w:bookmarkEnd w:id="742"/>
    <w:p w14:paraId="6FDE4C7E">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color w:val="auto"/>
          <w:highlight w:val="none"/>
        </w:rPr>
        <w:t>评标委员会</w:t>
      </w:r>
      <w:r>
        <w:rPr>
          <w:rFonts w:hint="eastAsia" w:ascii="黑体" w:hAnsi="黑体" w:eastAsia="黑体"/>
          <w:color w:val="auto"/>
          <w:highlight w:val="none"/>
        </w:rPr>
        <w:t>”按“评审小组”理解，“投标无效”按“响应文件无效”理解。</w:t>
      </w:r>
    </w:p>
    <w:p w14:paraId="6ABC6AC7">
      <w:pPr>
        <w:spacing w:line="400" w:lineRule="exact"/>
        <w:ind w:firstLine="420" w:firstLineChars="200"/>
        <w:rPr>
          <w:rFonts w:ascii="黑体" w:hAnsi="黑体" w:eastAsia="黑体"/>
          <w:color w:val="auto"/>
          <w:highlight w:val="none"/>
        </w:rPr>
      </w:pPr>
    </w:p>
    <w:p w14:paraId="4D322428">
      <w:pPr>
        <w:spacing w:line="400" w:lineRule="exact"/>
        <w:ind w:firstLine="420" w:firstLineChars="200"/>
        <w:rPr>
          <w:rFonts w:hint="eastAsia" w:ascii="黑体" w:hAnsi="黑体" w:eastAsia="黑体"/>
          <w:color w:val="auto"/>
          <w:highlight w:val="none"/>
        </w:rPr>
      </w:pPr>
      <w:r>
        <w:rPr>
          <w:rFonts w:hint="eastAsia" w:ascii="黑体" w:hAnsi="黑体" w:eastAsia="黑体"/>
          <w:color w:val="auto"/>
          <w:highlight w:val="none"/>
        </w:rPr>
        <w:t>一</w:t>
      </w:r>
      <w:r>
        <w:rPr>
          <w:rFonts w:ascii="黑体" w:hAnsi="黑体" w:eastAsia="黑体"/>
          <w:color w:val="auto"/>
          <w:highlight w:val="none"/>
        </w:rPr>
        <w:t>、</w:t>
      </w:r>
      <w:r>
        <w:rPr>
          <w:rFonts w:hint="eastAsia"/>
          <w:color w:val="auto"/>
          <w:highlight w:val="none"/>
        </w:rPr>
        <w:t>CA</w:t>
      </w:r>
      <w:r>
        <w:rPr>
          <w:rFonts w:hint="eastAsia" w:ascii="黑体" w:hAnsi="黑体" w:eastAsia="黑体"/>
          <w:color w:val="auto"/>
          <w:highlight w:val="none"/>
        </w:rPr>
        <w:t>证书办理和</w:t>
      </w:r>
      <w:r>
        <w:rPr>
          <w:rFonts w:ascii="黑体" w:hAnsi="黑体" w:eastAsia="黑体"/>
          <w:color w:val="auto"/>
          <w:highlight w:val="none"/>
        </w:rPr>
        <w:t>注意事项</w:t>
      </w:r>
    </w:p>
    <w:p w14:paraId="1FE2B4D3">
      <w:pPr>
        <w:spacing w:line="400" w:lineRule="exact"/>
        <w:ind w:firstLine="420" w:firstLineChars="200"/>
        <w:rPr>
          <w:color w:val="auto"/>
          <w:highlight w:val="none"/>
        </w:rPr>
      </w:pPr>
      <w:r>
        <w:rPr>
          <w:rFonts w:ascii="宋体" w:hAnsi="宋体"/>
          <w:color w:val="auto"/>
          <w:highlight w:val="none"/>
        </w:rPr>
        <w:t>1.</w:t>
      </w:r>
      <w:r>
        <w:rPr>
          <w:rFonts w:hint="eastAsia" w:ascii="宋体" w:hAnsi="宋体"/>
          <w:color w:val="auto"/>
          <w:highlight w:val="none"/>
        </w:rPr>
        <w:t>本项目采用全流程电子招标采购方式，</w:t>
      </w:r>
      <w:r>
        <w:rPr>
          <w:rFonts w:hint="eastAsia"/>
          <w:color w:val="auto"/>
          <w:highlight w:val="none"/>
        </w:rPr>
        <w:t>潜在投标人应及时办理CA证书，用于对投标文件进行电子签章及加、解密。</w:t>
      </w:r>
    </w:p>
    <w:p w14:paraId="5CAA80B5">
      <w:pPr>
        <w:spacing w:line="400" w:lineRule="exact"/>
        <w:ind w:firstLine="420" w:firstLineChars="200"/>
        <w:rPr>
          <w:bCs/>
          <w:color w:val="auto"/>
          <w:highlight w:val="none"/>
        </w:rPr>
      </w:pPr>
      <w:r>
        <w:rPr>
          <w:rFonts w:ascii="宋体" w:hAnsi="宋体"/>
          <w:color w:val="auto"/>
          <w:highlight w:val="none"/>
        </w:rPr>
        <w:t>2.</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办理详见</w:t>
      </w:r>
      <w:r>
        <w:rPr>
          <w:rFonts w:hint="eastAsia"/>
          <w:bCs/>
          <w:color w:val="auto"/>
          <w:highlight w:val="none"/>
        </w:rPr>
        <w:t>《优质采平台CA数字证书办理说明》：</w:t>
      </w:r>
    </w:p>
    <w:p w14:paraId="1CAB620E">
      <w:pPr>
        <w:spacing w:line="400" w:lineRule="exact"/>
        <w:rPr>
          <w:rFonts w:hint="eastAsia"/>
          <w:b/>
          <w:bCs/>
          <w:color w:val="auto"/>
          <w:highlight w:val="none"/>
        </w:rPr>
      </w:pPr>
      <w:r>
        <w:rPr>
          <w:bCs/>
          <w:color w:val="auto"/>
          <w:highlight w:val="none"/>
          <w:u w:val="single"/>
        </w:rPr>
        <w:fldChar w:fldCharType="begin"/>
      </w:r>
      <w:r>
        <w:rPr>
          <w:bCs/>
          <w:color w:val="auto"/>
          <w:highlight w:val="none"/>
          <w:u w:val="single"/>
        </w:rPr>
        <w:instrText xml:space="preserve"> HYPERLINK "http://www.youzhicai.com/ActivityTopic/AdviceDetail/8f80a7ec-911f-4c4d-a123-f8849880f045" </w:instrText>
      </w:r>
      <w:r>
        <w:rPr>
          <w:bCs/>
          <w:color w:val="auto"/>
          <w:highlight w:val="none"/>
          <w:u w:val="single"/>
        </w:rPr>
        <w:fldChar w:fldCharType="separate"/>
      </w:r>
      <w:r>
        <w:rPr>
          <w:rStyle w:val="21"/>
          <w:bCs/>
          <w:color w:val="auto"/>
          <w:highlight w:val="none"/>
        </w:rPr>
        <w:t>http://www.youzhicai.com/ActivityTopic/AdviceDetail/8f80a7ec-911f-4c4d-a123-f</w:t>
      </w:r>
      <w:bookmarkStart w:id="743" w:name="_Hlt105085547"/>
      <w:bookmarkStart w:id="744" w:name="_Hlt105085548"/>
      <w:r>
        <w:rPr>
          <w:rStyle w:val="21"/>
          <w:bCs/>
          <w:color w:val="auto"/>
          <w:highlight w:val="none"/>
        </w:rPr>
        <w:t>8</w:t>
      </w:r>
      <w:bookmarkEnd w:id="743"/>
      <w:bookmarkEnd w:id="744"/>
      <w:r>
        <w:rPr>
          <w:rStyle w:val="21"/>
          <w:bCs/>
          <w:color w:val="auto"/>
          <w:highlight w:val="none"/>
        </w:rPr>
        <w:t>849880f045</w:t>
      </w:r>
      <w:r>
        <w:rPr>
          <w:bCs/>
          <w:color w:val="auto"/>
          <w:highlight w:val="none"/>
          <w:u w:val="single"/>
        </w:rPr>
        <w:fldChar w:fldCharType="end"/>
      </w:r>
      <w:r>
        <w:rPr>
          <w:bCs/>
          <w:color w:val="auto"/>
          <w:highlight w:val="none"/>
        </w:rPr>
        <w:t>。</w:t>
      </w:r>
    </w:p>
    <w:p w14:paraId="27AD2AA0">
      <w:pPr>
        <w:spacing w:line="400" w:lineRule="exact"/>
        <w:ind w:firstLine="420" w:firstLineChars="200"/>
        <w:rPr>
          <w:color w:val="auto"/>
          <w:highlight w:val="none"/>
        </w:rPr>
      </w:pPr>
      <w:r>
        <w:rPr>
          <w:rFonts w:ascii="宋体" w:hAnsi="宋体"/>
          <w:color w:val="auto"/>
          <w:highlight w:val="none"/>
        </w:rPr>
        <w:t>3.</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到期或即将到期，须在递交投标文件前办理续期。</w:t>
      </w:r>
    </w:p>
    <w:p w14:paraId="69C2F5B2">
      <w:pPr>
        <w:spacing w:line="400" w:lineRule="exact"/>
        <w:ind w:firstLine="420"/>
        <w:rPr>
          <w:color w:val="auto"/>
          <w:highlight w:val="none"/>
        </w:rPr>
      </w:pPr>
      <w:r>
        <w:rPr>
          <w:rFonts w:hint="eastAsia" w:ascii="宋体" w:hAnsi="宋体"/>
          <w:color w:val="auto"/>
          <w:highlight w:val="none"/>
        </w:rPr>
        <w:t>4</w:t>
      </w:r>
      <w:r>
        <w:rPr>
          <w:rFonts w:ascii="宋体" w:hAnsi="宋体"/>
          <w:color w:val="auto"/>
          <w:highlight w:val="none"/>
        </w:rPr>
        <w:t>.</w:t>
      </w:r>
      <w:r>
        <w:rPr>
          <w:rFonts w:hint="eastAsia" w:ascii="宋体" w:hAnsi="宋体"/>
          <w:color w:val="auto"/>
          <w:highlight w:val="none"/>
        </w:rPr>
        <w:t>CA锁</w:t>
      </w:r>
      <w:r>
        <w:rPr>
          <w:rFonts w:hint="eastAsia"/>
          <w:color w:val="auto"/>
          <w:highlight w:val="none"/>
        </w:rPr>
        <w:t>遗失、损坏等无法使用，须在递交投标文件前补办CA锁。</w:t>
      </w:r>
    </w:p>
    <w:p w14:paraId="0D2CC090">
      <w:pPr>
        <w:spacing w:line="400" w:lineRule="exact"/>
        <w:ind w:firstLine="420"/>
        <w:rPr>
          <w:color w:val="auto"/>
          <w:highlight w:val="none"/>
        </w:rPr>
      </w:pPr>
      <w:r>
        <w:rPr>
          <w:rFonts w:ascii="宋体" w:hAnsi="宋体"/>
          <w:color w:val="auto"/>
          <w:highlight w:val="none"/>
        </w:rPr>
        <w:t>5.</w:t>
      </w:r>
      <w:r>
        <w:rPr>
          <w:rFonts w:hint="eastAsia" w:ascii="宋体" w:hAnsi="宋体"/>
          <w:color w:val="auto"/>
          <w:highlight w:val="none"/>
        </w:rPr>
        <w:t>企业</w:t>
      </w:r>
      <w:r>
        <w:rPr>
          <w:rFonts w:hint="eastAsia"/>
          <w:color w:val="auto"/>
          <w:highlight w:val="none"/>
        </w:rPr>
        <w:t>信息（包括但不限于企业名称和法定代表人信息）发生变更的，须在递交投标文件前变更CA证书。</w:t>
      </w:r>
    </w:p>
    <w:p w14:paraId="6B215C4B">
      <w:pPr>
        <w:spacing w:line="400" w:lineRule="exact"/>
        <w:rPr>
          <w:rFonts w:ascii="宋体" w:hAnsi="宋体"/>
          <w:color w:val="auto"/>
          <w:highlight w:val="none"/>
        </w:rPr>
      </w:pPr>
      <w:r>
        <w:rPr>
          <w:rFonts w:ascii="宋体" w:hAnsi="宋体"/>
          <w:color w:val="auto"/>
          <w:highlight w:val="none"/>
        </w:rPr>
        <w:tab/>
      </w:r>
      <w:r>
        <w:rPr>
          <w:rFonts w:ascii="宋体" w:hAnsi="宋体"/>
          <w:color w:val="auto"/>
          <w:highlight w:val="none"/>
        </w:rPr>
        <w:t>6.</w:t>
      </w:r>
      <w:r>
        <w:rPr>
          <w:rFonts w:hint="eastAsia" w:ascii="宋体" w:hAnsi="宋体"/>
          <w:color w:val="auto"/>
          <w:highlight w:val="none"/>
        </w:rPr>
        <w:t>投标人由于</w:t>
      </w:r>
      <w:r>
        <w:rPr>
          <w:rFonts w:hint="eastAsia"/>
          <w:color w:val="auto"/>
          <w:highlight w:val="none"/>
        </w:rPr>
        <w:t>CA证书</w:t>
      </w:r>
      <w:r>
        <w:rPr>
          <w:rFonts w:hint="eastAsia" w:ascii="宋体" w:hAnsi="宋体"/>
          <w:color w:val="auto"/>
          <w:highlight w:val="none"/>
        </w:rPr>
        <w:t>遗失、损坏、更换、续期、企业信息变更等情况导致投标文件无法解密的，由投标人自行承担责任；</w:t>
      </w:r>
    </w:p>
    <w:p w14:paraId="751F9825">
      <w:pPr>
        <w:spacing w:line="400" w:lineRule="exact"/>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加密和解密投标文件</w:t>
      </w:r>
      <w:r>
        <w:rPr>
          <w:rFonts w:hint="eastAsia"/>
          <w:color w:val="auto"/>
          <w:highlight w:val="none"/>
        </w:rPr>
        <w:t>必须使用同一个CA证书</w:t>
      </w:r>
      <w:r>
        <w:rPr>
          <w:rFonts w:hint="eastAsia" w:ascii="宋体" w:hAnsi="宋体"/>
          <w:color w:val="auto"/>
          <w:highlight w:val="none"/>
        </w:rPr>
        <w:t>。</w:t>
      </w:r>
    </w:p>
    <w:p w14:paraId="7114A521">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二</w:t>
      </w:r>
      <w:r>
        <w:rPr>
          <w:rFonts w:ascii="黑体" w:hAnsi="黑体" w:eastAsia="黑体"/>
          <w:color w:val="auto"/>
          <w:highlight w:val="none"/>
        </w:rPr>
        <w:t>、制作、签章、加密、上传电子投标文件</w:t>
      </w:r>
    </w:p>
    <w:p w14:paraId="05A68DB4">
      <w:pPr>
        <w:spacing w:line="400" w:lineRule="exact"/>
        <w:ind w:firstLine="420" w:firstLineChars="200"/>
        <w:rPr>
          <w:rStyle w:val="21"/>
          <w:color w:val="auto"/>
          <w:highlight w:val="none"/>
        </w:rPr>
      </w:pPr>
      <w:r>
        <w:rPr>
          <w:rFonts w:ascii="宋体" w:hAnsi="宋体"/>
          <w:color w:val="auto"/>
          <w:highlight w:val="none"/>
        </w:rPr>
        <w:t>8.</w:t>
      </w:r>
      <w:r>
        <w:rPr>
          <w:rFonts w:hint="eastAsia" w:ascii="宋体" w:hAnsi="宋体"/>
          <w:color w:val="auto"/>
          <w:highlight w:val="none"/>
        </w:rPr>
        <w:t>本项目采用全流程电子化招标采购方式，潜在</w:t>
      </w:r>
      <w:r>
        <w:rPr>
          <w:rFonts w:hint="eastAsia"/>
          <w:color w:val="auto"/>
          <w:highlight w:val="none"/>
        </w:rPr>
        <w:t>投标人需使用</w:t>
      </w:r>
      <w:r>
        <w:rPr>
          <w:rFonts w:hint="eastAsia" w:ascii="宋体" w:hAnsi="宋体"/>
          <w:color w:val="auto"/>
          <w:highlight w:val="none"/>
        </w:rPr>
        <w:t>“</w:t>
      </w:r>
      <w:r>
        <w:rPr>
          <w:rFonts w:ascii="宋体" w:hAnsi="宋体"/>
          <w:color w:val="auto"/>
          <w:highlight w:val="none"/>
        </w:rPr>
        <w:t>优质采投标工具</w:t>
      </w:r>
      <w:r>
        <w:rPr>
          <w:rFonts w:hint="eastAsia" w:ascii="宋体" w:hAnsi="宋体"/>
          <w:color w:val="auto"/>
          <w:highlight w:val="none"/>
        </w:rPr>
        <w:t>客户端”（以下简称“投标工具”）制作</w:t>
      </w:r>
      <w:r>
        <w:rPr>
          <w:color w:val="auto"/>
          <w:highlight w:val="none"/>
        </w:rPr>
        <w:t>电子投标文件</w:t>
      </w:r>
      <w:r>
        <w:rPr>
          <w:rFonts w:hint="eastAsia"/>
          <w:color w:val="auto"/>
          <w:highlight w:val="none"/>
        </w:rPr>
        <w:t>，</w:t>
      </w:r>
      <w:r>
        <w:rPr>
          <w:rFonts w:hint="eastAsia" w:ascii="宋体" w:hAnsi="宋体"/>
          <w:color w:val="auto"/>
          <w:highlight w:val="none"/>
        </w:rPr>
        <w:t>投标工具及操作说明下载地址：</w:t>
      </w:r>
      <w:r>
        <w:rPr>
          <w:rStyle w:val="21"/>
          <w:rFonts w:hint="eastAsia"/>
          <w:color w:val="auto"/>
          <w:highlight w:val="none"/>
        </w:rPr>
        <w:fldChar w:fldCharType="begin"/>
      </w:r>
      <w:r>
        <w:rPr>
          <w:rStyle w:val="21"/>
          <w:rFonts w:hint="eastAsia"/>
          <w:color w:val="auto"/>
          <w:highlight w:val="none"/>
        </w:rPr>
        <w:instrText xml:space="preserve"> HYPERLINK "https://toolcdn.youzhicai.com/tools/BidderTools.zip" </w:instrText>
      </w:r>
      <w:r>
        <w:rPr>
          <w:rStyle w:val="21"/>
          <w:rFonts w:hint="eastAsia"/>
          <w:color w:val="auto"/>
          <w:highlight w:val="none"/>
        </w:rPr>
        <w:fldChar w:fldCharType="separate"/>
      </w:r>
      <w:r>
        <w:rPr>
          <w:rStyle w:val="21"/>
          <w:rFonts w:hint="eastAsia"/>
          <w:color w:val="auto"/>
          <w:highlight w:val="none"/>
        </w:rPr>
        <w:t>https://toolcdn.youzhicai.com/tools/BidderTools.zip</w:t>
      </w:r>
      <w:r>
        <w:rPr>
          <w:rStyle w:val="21"/>
          <w:rFonts w:hint="eastAsia"/>
          <w:color w:val="auto"/>
          <w:highlight w:val="none"/>
        </w:rPr>
        <w:fldChar w:fldCharType="end"/>
      </w:r>
      <w:r>
        <w:rPr>
          <w:rStyle w:val="21"/>
          <w:rFonts w:hint="eastAsia"/>
          <w:color w:val="auto"/>
          <w:highlight w:val="none"/>
        </w:rPr>
        <w:t>。</w:t>
      </w:r>
    </w:p>
    <w:p w14:paraId="0290F1A0">
      <w:pPr>
        <w:spacing w:line="400" w:lineRule="exact"/>
        <w:ind w:firstLine="420" w:firstLineChars="200"/>
        <w:rPr>
          <w:rStyle w:val="21"/>
          <w:color w:val="auto"/>
          <w:highlight w:val="none"/>
        </w:rPr>
      </w:pPr>
      <w:r>
        <w:rPr>
          <w:rStyle w:val="21"/>
          <w:color w:val="auto"/>
          <w:highlight w:val="none"/>
        </w:rPr>
        <w:tab/>
      </w:r>
      <w:r>
        <w:rPr>
          <w:rStyle w:val="21"/>
          <w:color w:val="auto"/>
          <w:highlight w:val="none"/>
        </w:rPr>
        <w:t>8.1.投标工具建议在window7或windows10操作系统下使用；</w:t>
      </w:r>
    </w:p>
    <w:p w14:paraId="6702AFAC">
      <w:pPr>
        <w:spacing w:line="400" w:lineRule="exact"/>
        <w:ind w:firstLine="420" w:firstLineChars="200"/>
        <w:rPr>
          <w:rFonts w:hint="eastAsia"/>
          <w:bCs/>
          <w:color w:val="auto"/>
          <w:sz w:val="18"/>
          <w:highlight w:val="none"/>
        </w:rPr>
      </w:pPr>
      <w:r>
        <w:rPr>
          <w:rStyle w:val="21"/>
          <w:color w:val="auto"/>
          <w:highlight w:val="none"/>
        </w:rPr>
        <w:tab/>
      </w:r>
      <w:r>
        <w:rPr>
          <w:rStyle w:val="21"/>
          <w:color w:val="auto"/>
          <w:highlight w:val="none"/>
        </w:rPr>
        <w:t>8.2.电子投标文件编制建议使用</w:t>
      </w:r>
      <w:r>
        <w:rPr>
          <w:color w:val="auto"/>
          <w:highlight w:val="none"/>
        </w:rPr>
        <w:t>office2010版本。</w:t>
      </w:r>
    </w:p>
    <w:p w14:paraId="23A14EAB">
      <w:pPr>
        <w:wordWrap w:val="0"/>
        <w:spacing w:line="400" w:lineRule="exact"/>
        <w:rPr>
          <w:bCs/>
          <w:color w:val="auto"/>
          <w:highlight w:val="none"/>
          <w:u w:val="single"/>
        </w:rPr>
      </w:pPr>
      <w:r>
        <w:rPr>
          <w:rFonts w:ascii="宋体" w:hAnsi="宋体"/>
          <w:color w:val="auto"/>
          <w:highlight w:val="none"/>
        </w:rPr>
        <w:tab/>
      </w:r>
      <w:r>
        <w:rPr>
          <w:rFonts w:hint="eastAsia" w:ascii="宋体" w:hAnsi="宋体"/>
          <w:color w:val="auto"/>
          <w:highlight w:val="none"/>
        </w:rPr>
        <w:t>9</w:t>
      </w:r>
      <w:r>
        <w:rPr>
          <w:rFonts w:ascii="宋体" w:hAnsi="宋体"/>
          <w:color w:val="auto"/>
          <w:highlight w:val="none"/>
        </w:rPr>
        <w:t>.</w:t>
      </w:r>
      <w:r>
        <w:rPr>
          <w:rFonts w:hint="eastAsia"/>
          <w:color w:val="auto"/>
          <w:highlight w:val="none"/>
        </w:rPr>
        <w:t>潜在投标人制作电子投标文件后，需在</w:t>
      </w:r>
      <w:r>
        <w:rPr>
          <w:rFonts w:hint="eastAsia" w:ascii="宋体" w:hAnsi="宋体"/>
          <w:color w:val="auto"/>
          <w:highlight w:val="none"/>
        </w:rPr>
        <w:t>投标工具</w:t>
      </w:r>
      <w:r>
        <w:rPr>
          <w:rFonts w:hint="eastAsia"/>
          <w:color w:val="auto"/>
          <w:highlight w:val="none"/>
        </w:rPr>
        <w:t>对</w:t>
      </w:r>
      <w:r>
        <w:rPr>
          <w:color w:val="auto"/>
          <w:highlight w:val="none"/>
        </w:rPr>
        <w:t>电子</w:t>
      </w:r>
      <w:r>
        <w:rPr>
          <w:rFonts w:hint="eastAsia"/>
          <w:color w:val="auto"/>
          <w:highlight w:val="none"/>
        </w:rPr>
        <w:t>投标文件进行电子签章（项目有特殊说明的除外），并使用CA</w:t>
      </w:r>
      <w:r>
        <w:rPr>
          <w:rFonts w:hint="eastAsia" w:ascii="宋体" w:hAnsi="宋体"/>
          <w:color w:val="auto"/>
          <w:highlight w:val="none"/>
        </w:rPr>
        <w:t>证书进行</w:t>
      </w:r>
      <w:r>
        <w:rPr>
          <w:rFonts w:hint="eastAsia"/>
          <w:color w:val="auto"/>
          <w:highlight w:val="none"/>
        </w:rPr>
        <w:t>加密。在</w:t>
      </w:r>
      <w:r>
        <w:rPr>
          <w:rFonts w:hint="eastAsia" w:ascii="宋体" w:hAnsi="宋体"/>
          <w:color w:val="auto"/>
          <w:highlight w:val="none"/>
        </w:rPr>
        <w:t>投标工具使用</w:t>
      </w:r>
      <w:r>
        <w:rPr>
          <w:rFonts w:ascii="宋体" w:hAnsi="宋体"/>
          <w:color w:val="auto"/>
          <w:highlight w:val="none"/>
        </w:rPr>
        <w:t>CA证书</w:t>
      </w:r>
      <w:r>
        <w:rPr>
          <w:rFonts w:hint="eastAsia"/>
          <w:color w:val="auto"/>
          <w:highlight w:val="none"/>
        </w:rPr>
        <w:t>时需安装“优质采数字证书助手”</w:t>
      </w:r>
      <w:r>
        <w:rPr>
          <w:rFonts w:hint="eastAsia" w:ascii="宋体" w:hAnsi="宋体"/>
          <w:color w:val="auto"/>
          <w:highlight w:val="none"/>
        </w:rPr>
        <w:t xml:space="preserve"> （即数字证书驱动）</w:t>
      </w:r>
      <w:r>
        <w:rPr>
          <w:rFonts w:hint="eastAsia"/>
          <w:color w:val="auto"/>
          <w:highlight w:val="none"/>
        </w:rPr>
        <w:t>，下载地址：</w:t>
      </w:r>
      <w:r>
        <w:rPr>
          <w:rStyle w:val="21"/>
          <w:rFonts w:hint="eastAsia"/>
          <w:color w:val="auto"/>
          <w:highlight w:val="none"/>
        </w:rPr>
        <w:fldChar w:fldCharType="begin"/>
      </w:r>
      <w:r>
        <w:rPr>
          <w:rStyle w:val="21"/>
          <w:rFonts w:hint="eastAsia"/>
          <w:color w:val="auto"/>
          <w:highlight w:val="none"/>
        </w:rPr>
        <w:instrText xml:space="preserve"> HYPERLINK "https://toolcdn.youzhicai.com/ca.zip" </w:instrText>
      </w:r>
      <w:r>
        <w:rPr>
          <w:rStyle w:val="21"/>
          <w:rFonts w:hint="eastAsia"/>
          <w:color w:val="auto"/>
          <w:highlight w:val="none"/>
        </w:rPr>
        <w:fldChar w:fldCharType="separate"/>
      </w:r>
      <w:r>
        <w:rPr>
          <w:rStyle w:val="21"/>
          <w:rFonts w:hint="eastAsia"/>
          <w:color w:val="auto"/>
          <w:highlight w:val="none"/>
        </w:rPr>
        <w:t>https://toolcdn.youzhicai.com/ca.zip</w:t>
      </w:r>
      <w:r>
        <w:rPr>
          <w:rStyle w:val="21"/>
          <w:rFonts w:hint="eastAsia"/>
          <w:color w:val="auto"/>
          <w:highlight w:val="none"/>
        </w:rPr>
        <w:fldChar w:fldCharType="end"/>
      </w:r>
      <w:r>
        <w:rPr>
          <w:rStyle w:val="21"/>
          <w:rFonts w:hint="eastAsia"/>
          <w:color w:val="auto"/>
          <w:highlight w:val="none"/>
        </w:rPr>
        <w:t>。</w:t>
      </w:r>
    </w:p>
    <w:p w14:paraId="3DCFA30E">
      <w:pPr>
        <w:wordWrap w:val="0"/>
        <w:spacing w:line="400" w:lineRule="exact"/>
        <w:rPr>
          <w:rFonts w:ascii="宋体" w:hAnsi="宋体"/>
          <w:color w:val="auto"/>
          <w:highlight w:val="none"/>
        </w:rPr>
      </w:pPr>
      <w:r>
        <w:rPr>
          <w:color w:val="auto"/>
          <w:highlight w:val="none"/>
        </w:rPr>
        <w:tab/>
      </w:r>
      <w:r>
        <w:rPr>
          <w:rFonts w:ascii="宋体" w:hAnsi="宋体"/>
          <w:color w:val="auto"/>
          <w:highlight w:val="none"/>
        </w:rPr>
        <w:t>10.</w:t>
      </w:r>
      <w:r>
        <w:rPr>
          <w:rFonts w:hint="eastAsia" w:ascii="宋体" w:hAnsi="宋体"/>
          <w:color w:val="auto"/>
          <w:highlight w:val="none"/>
        </w:rPr>
        <w:t>潜在投标人完成制作、签章、加密投标文件后，需在</w:t>
      </w:r>
      <w:r>
        <w:rPr>
          <w:rFonts w:hint="eastAsia"/>
          <w:color w:val="auto"/>
          <w:highlight w:val="none"/>
        </w:rPr>
        <w:t>招标文件规定的投标截止时间前在</w:t>
      </w:r>
      <w:r>
        <w:rPr>
          <w:rFonts w:hint="eastAsia" w:ascii="宋体" w:hAnsi="宋体"/>
          <w:color w:val="auto"/>
          <w:highlight w:val="none"/>
        </w:rPr>
        <w:t>投标工具</w:t>
      </w:r>
      <w:r>
        <w:rPr>
          <w:rFonts w:hint="eastAsia"/>
          <w:color w:val="auto"/>
          <w:highlight w:val="none"/>
        </w:rPr>
        <w:t>完成上传。</w:t>
      </w:r>
      <w:r>
        <w:rPr>
          <w:rFonts w:hint="eastAsia" w:ascii="宋体" w:hAnsi="宋体"/>
          <w:color w:val="auto"/>
          <w:highlight w:val="none"/>
        </w:rPr>
        <w:t>投标截止时间以优质采云采购平台（</w:t>
      </w:r>
      <w:r>
        <w:rPr>
          <w:rFonts w:ascii="宋体" w:hAnsi="宋体"/>
          <w:color w:val="auto"/>
          <w:highlight w:val="none"/>
        </w:rPr>
        <w:t>www.youzhicai.com</w:t>
      </w:r>
      <w:r>
        <w:rPr>
          <w:rFonts w:hint="eastAsia" w:ascii="宋体" w:hAnsi="宋体"/>
          <w:color w:val="auto"/>
          <w:highlight w:val="none"/>
        </w:rPr>
        <w:t>）系统的时间为准，如未在投标截止时间前完成电子投标文件上传，系统将自动关闭上传通道。潜在投标人未完成电子投标文件上传的，视为没有递交投标文件。</w:t>
      </w:r>
    </w:p>
    <w:p w14:paraId="2BE2AB9D">
      <w:pPr>
        <w:wordWrap w:val="0"/>
        <w:spacing w:line="400" w:lineRule="exact"/>
        <w:ind w:firstLine="420"/>
        <w:rPr>
          <w:rFonts w:ascii="宋体" w:hAnsi="宋体"/>
          <w:color w:val="auto"/>
          <w:highlight w:val="none"/>
        </w:rPr>
      </w:pPr>
      <w:r>
        <w:rPr>
          <w:rFonts w:hint="eastAsia" w:ascii="宋体" w:hAnsi="宋体"/>
          <w:color w:val="auto"/>
          <w:highlight w:val="none"/>
        </w:rPr>
        <w:t>1</w:t>
      </w:r>
      <w:r>
        <w:rPr>
          <w:rFonts w:ascii="宋体" w:hAnsi="宋体"/>
          <w:color w:val="auto"/>
          <w:highlight w:val="none"/>
        </w:rPr>
        <w:t>1.</w:t>
      </w:r>
      <w:r>
        <w:rPr>
          <w:rFonts w:hint="eastAsia" w:ascii="宋体" w:hAnsi="宋体"/>
          <w:color w:val="auto"/>
          <w:highlight w:val="none"/>
        </w:rPr>
        <w:t>潜在投标人在投标文件递交截止时间前，可以对其所递交的电子投标文件进行撤回，修改后重新上传。</w:t>
      </w:r>
    </w:p>
    <w:p w14:paraId="629939C5">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2.</w:t>
      </w:r>
      <w:r>
        <w:rPr>
          <w:rFonts w:hint="eastAsia" w:ascii="宋体" w:hAnsi="宋体"/>
          <w:color w:val="auto"/>
          <w:highlight w:val="none"/>
        </w:rPr>
        <w:t>潜在投标人在制作、签章、加密、上传电子投标文件过程中，若存在技术操作问题，请及时联系优质采云采购平台客服人员，客服电话：</w:t>
      </w:r>
      <w:r>
        <w:rPr>
          <w:rFonts w:ascii="宋体" w:hAnsi="宋体"/>
          <w:color w:val="auto"/>
          <w:highlight w:val="none"/>
        </w:rPr>
        <w:t>400-0099-555</w:t>
      </w:r>
      <w:r>
        <w:rPr>
          <w:rFonts w:hint="eastAsia" w:ascii="宋体" w:hAnsi="宋体"/>
          <w:color w:val="auto"/>
          <w:highlight w:val="none"/>
        </w:rPr>
        <w:t>，</w:t>
      </w:r>
      <w:r>
        <w:rPr>
          <w:rFonts w:ascii="宋体" w:hAnsi="宋体"/>
          <w:color w:val="auto"/>
          <w:highlight w:val="none"/>
        </w:rPr>
        <w:t>0551-62220164</w:t>
      </w:r>
      <w:r>
        <w:rPr>
          <w:rFonts w:hint="eastAsia" w:ascii="宋体" w:hAnsi="宋体"/>
          <w:color w:val="auto"/>
          <w:highlight w:val="none"/>
        </w:rPr>
        <w:t>。</w:t>
      </w:r>
    </w:p>
    <w:p w14:paraId="21A3411C">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三</w:t>
      </w:r>
      <w:r>
        <w:rPr>
          <w:rFonts w:ascii="黑体" w:hAnsi="黑体" w:eastAsia="黑体"/>
          <w:color w:val="auto"/>
          <w:highlight w:val="none"/>
        </w:rPr>
        <w:t>、</w:t>
      </w:r>
      <w:r>
        <w:rPr>
          <w:rFonts w:hint="eastAsia" w:ascii="黑体" w:hAnsi="黑体" w:eastAsia="黑体"/>
          <w:color w:val="auto"/>
          <w:highlight w:val="none"/>
        </w:rPr>
        <w:t>开标</w:t>
      </w:r>
      <w:r>
        <w:rPr>
          <w:rFonts w:ascii="黑体" w:hAnsi="黑体" w:eastAsia="黑体"/>
          <w:color w:val="auto"/>
          <w:highlight w:val="none"/>
        </w:rPr>
        <w:t>和解密</w:t>
      </w:r>
    </w:p>
    <w:p w14:paraId="0F8B3CB6">
      <w:pPr>
        <w:spacing w:line="400" w:lineRule="exact"/>
        <w:ind w:firstLine="420" w:firstLineChars="200"/>
        <w:rPr>
          <w:rFonts w:ascii="宋体" w:hAnsi="宋体"/>
          <w:color w:val="auto"/>
          <w:highlight w:val="none"/>
        </w:rPr>
      </w:pPr>
      <w:r>
        <w:rPr>
          <w:rFonts w:ascii="宋体" w:hAnsi="宋体"/>
          <w:color w:val="auto"/>
          <w:highlight w:val="none"/>
        </w:rPr>
        <w:t>13.</w:t>
      </w:r>
      <w:r>
        <w:rPr>
          <w:rFonts w:hint="eastAsia" w:ascii="宋体" w:hAnsi="宋体"/>
          <w:color w:val="auto"/>
          <w:highlight w:val="none"/>
        </w:rPr>
        <w:t>招标人或招标代理机构工作人员（以下简称工作人员）根据有关规定登录系统组织开标。投标文件递交截止时间后由投标人使用</w:t>
      </w:r>
      <w:r>
        <w:rPr>
          <w:rFonts w:hint="eastAsia"/>
          <w:color w:val="auto"/>
          <w:highlight w:val="none"/>
        </w:rPr>
        <w:t>CA证书</w:t>
      </w:r>
      <w:r>
        <w:rPr>
          <w:rFonts w:hint="eastAsia" w:ascii="宋体" w:hAnsi="宋体"/>
          <w:color w:val="auto"/>
          <w:highlight w:val="none"/>
        </w:rPr>
        <w:t>解密投标文件，工作人员导入已解密投标文件并公布开标结果。</w:t>
      </w:r>
    </w:p>
    <w:p w14:paraId="71861622">
      <w:pPr>
        <w:spacing w:line="400" w:lineRule="exact"/>
        <w:ind w:firstLine="420" w:firstLineChars="200"/>
        <w:rPr>
          <w:rFonts w:ascii="宋体" w:hAnsi="宋体"/>
          <w:color w:val="auto"/>
          <w:highlight w:val="none"/>
        </w:rPr>
      </w:pPr>
      <w:r>
        <w:rPr>
          <w:rFonts w:ascii="宋体" w:hAnsi="宋体"/>
          <w:color w:val="auto"/>
          <w:highlight w:val="none"/>
        </w:rPr>
        <w:t>14.</w:t>
      </w:r>
      <w:r>
        <w:rPr>
          <w:rFonts w:hint="eastAsia" w:ascii="宋体" w:hAnsi="宋体"/>
          <w:color w:val="auto"/>
          <w:highlight w:val="none"/>
        </w:rPr>
        <w:t>投标文件可远程解密，投标人无需到达开标现场。招标文件“投标人须知”中另有规定的，从其规定。</w:t>
      </w:r>
    </w:p>
    <w:p w14:paraId="7DC12BDF">
      <w:pPr>
        <w:spacing w:line="400" w:lineRule="exact"/>
        <w:ind w:firstLine="420" w:firstLineChars="200"/>
        <w:rPr>
          <w:rFonts w:ascii="宋体" w:hAnsi="宋体"/>
          <w:color w:val="auto"/>
          <w:highlight w:val="none"/>
        </w:rPr>
      </w:pPr>
      <w:r>
        <w:rPr>
          <w:rFonts w:ascii="宋体" w:hAnsi="宋体"/>
          <w:color w:val="auto"/>
          <w:highlight w:val="none"/>
        </w:rPr>
        <w:t>15.</w:t>
      </w:r>
      <w:r>
        <w:rPr>
          <w:rFonts w:hint="eastAsia" w:ascii="宋体" w:hAnsi="宋体"/>
          <w:color w:val="auto"/>
          <w:highlight w:val="none"/>
        </w:rPr>
        <w:t>潜在投标人须按照招标文件的要求在投标文件递交截止时间前登录投标工具并保持在线，关注开标互动大厅消息直到项目评审结束。</w:t>
      </w:r>
    </w:p>
    <w:p w14:paraId="44CC7F54">
      <w:pPr>
        <w:spacing w:line="400" w:lineRule="exact"/>
        <w:ind w:firstLine="420" w:firstLineChars="200"/>
        <w:rPr>
          <w:rFonts w:ascii="宋体" w:hAnsi="宋体"/>
          <w:color w:val="auto"/>
          <w:highlight w:val="none"/>
        </w:rPr>
      </w:pPr>
      <w:r>
        <w:rPr>
          <w:rFonts w:ascii="宋体" w:hAnsi="宋体"/>
          <w:color w:val="auto"/>
          <w:highlight w:val="none"/>
        </w:rPr>
        <w:t>16.</w:t>
      </w:r>
      <w:r>
        <w:rPr>
          <w:rFonts w:hint="eastAsia" w:ascii="宋体" w:hAnsi="宋体"/>
          <w:color w:val="auto"/>
          <w:highlight w:val="none"/>
        </w:rPr>
        <w:t>投标文件解密时限为投标文件递交截止时间后</w:t>
      </w:r>
      <w:r>
        <w:rPr>
          <w:rFonts w:ascii="宋体" w:hAnsi="宋体"/>
          <w:color w:val="auto"/>
          <w:highlight w:val="none"/>
        </w:rPr>
        <w:t>30</w:t>
      </w:r>
      <w:r>
        <w:rPr>
          <w:rFonts w:hint="eastAsia" w:ascii="宋体" w:hAnsi="宋体"/>
          <w:color w:val="auto"/>
          <w:highlight w:val="none"/>
        </w:rPr>
        <w:t>分钟（招标文件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中另有规定的，从其规定）。潜在投标人须在投标文件解密时限内完成投标文件解密，未能成功解密的视为放弃投标。招标文件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中对投标文件解密设有线下补救方案的，执行该补救方案。</w:t>
      </w:r>
    </w:p>
    <w:p w14:paraId="1279AD32">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四</w:t>
      </w:r>
      <w:r>
        <w:rPr>
          <w:rFonts w:ascii="黑体" w:hAnsi="黑体" w:eastAsia="黑体"/>
          <w:color w:val="auto"/>
          <w:highlight w:val="none"/>
        </w:rPr>
        <w:t>、</w:t>
      </w:r>
      <w:r>
        <w:rPr>
          <w:rFonts w:hint="eastAsia" w:ascii="黑体" w:hAnsi="黑体" w:eastAsia="黑体"/>
          <w:color w:val="auto"/>
          <w:highlight w:val="none"/>
        </w:rPr>
        <w:t>评标</w:t>
      </w:r>
      <w:r>
        <w:rPr>
          <w:rFonts w:ascii="黑体" w:hAnsi="黑体" w:eastAsia="黑体"/>
          <w:color w:val="auto"/>
          <w:highlight w:val="none"/>
        </w:rPr>
        <w:t>和询标</w:t>
      </w:r>
    </w:p>
    <w:p w14:paraId="5CEBB323">
      <w:pPr>
        <w:spacing w:line="400" w:lineRule="exact"/>
        <w:ind w:firstLine="420" w:firstLineChars="200"/>
        <w:rPr>
          <w:rFonts w:ascii="宋体" w:hAnsi="宋体"/>
          <w:color w:val="auto"/>
          <w:highlight w:val="none"/>
        </w:rPr>
      </w:pPr>
      <w:r>
        <w:rPr>
          <w:rFonts w:ascii="宋体" w:hAnsi="宋体"/>
          <w:color w:val="auto"/>
          <w:highlight w:val="none"/>
        </w:rPr>
        <w:t>17.</w:t>
      </w:r>
      <w:r>
        <w:rPr>
          <w:rFonts w:hint="eastAsia" w:ascii="宋体" w:hAnsi="宋体"/>
          <w:color w:val="auto"/>
          <w:highlight w:val="none"/>
        </w:rPr>
        <w:t>评标委员会通过优质采电子评标工具将需要澄清、说明或补正的内容以询标函的形式发送给投标人，投标人</w:t>
      </w:r>
      <w:r>
        <w:rPr>
          <w:rFonts w:ascii="宋体" w:hAnsi="宋体"/>
          <w:color w:val="auto"/>
          <w:highlight w:val="none"/>
        </w:rPr>
        <w:t>/</w:t>
      </w:r>
      <w:r>
        <w:rPr>
          <w:rFonts w:hint="eastAsia" w:ascii="宋体" w:hAnsi="宋体"/>
          <w:color w:val="auto"/>
          <w:highlight w:val="none"/>
        </w:rPr>
        <w:t>供应商应登录投标工具并保持在线状态，以便及时接收评标委员会可能发出的询标函，并在询标函载明的时间内回复，若投标人未及时回复，视为放弃澄清。</w:t>
      </w:r>
    </w:p>
    <w:p w14:paraId="4A30879D">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五、异常情形</w:t>
      </w:r>
    </w:p>
    <w:p w14:paraId="3FB459FF">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8</w:t>
      </w:r>
      <w:r>
        <w:rPr>
          <w:rFonts w:hint="eastAsia" w:ascii="宋体" w:hAnsi="宋体"/>
          <w:color w:val="auto"/>
          <w:highlight w:val="none"/>
        </w:rPr>
        <w:t>.出现下列情形导致电子交易系统无法正常运行，影响招投标过程的公平、公正和信息安全，经第三方机构认定后，各方当事人免责：</w:t>
      </w:r>
    </w:p>
    <w:p w14:paraId="175013E7">
      <w:pPr>
        <w:spacing w:line="400" w:lineRule="exact"/>
        <w:ind w:firstLine="420" w:firstLineChars="200"/>
        <w:rPr>
          <w:rFonts w:ascii="宋体" w:hAnsi="宋体"/>
          <w:color w:val="auto"/>
          <w:highlight w:val="none"/>
        </w:rPr>
      </w:pPr>
      <w:r>
        <w:rPr>
          <w:rFonts w:hint="eastAsia" w:ascii="宋体" w:hAnsi="宋体"/>
          <w:color w:val="auto"/>
          <w:highlight w:val="none"/>
        </w:rPr>
        <w:t>(1)网络、服务器、数据库发生故障造成无法访问或使用的；</w:t>
      </w:r>
    </w:p>
    <w:p w14:paraId="50671568">
      <w:pPr>
        <w:spacing w:line="400" w:lineRule="exact"/>
        <w:ind w:firstLine="420" w:firstLineChars="200"/>
        <w:rPr>
          <w:rFonts w:ascii="宋体" w:hAnsi="宋体"/>
          <w:color w:val="auto"/>
          <w:highlight w:val="none"/>
        </w:rPr>
      </w:pPr>
      <w:r>
        <w:rPr>
          <w:rFonts w:hint="eastAsia" w:ascii="宋体" w:hAnsi="宋体"/>
          <w:color w:val="auto"/>
          <w:highlight w:val="none"/>
        </w:rPr>
        <w:t>(2)电力系统发生故障导致电子服务系统或电子交易系统无法运行；</w:t>
      </w:r>
    </w:p>
    <w:p w14:paraId="56049C7D">
      <w:pPr>
        <w:spacing w:line="400" w:lineRule="exact"/>
        <w:ind w:firstLine="420" w:firstLineChars="200"/>
        <w:rPr>
          <w:rFonts w:ascii="宋体" w:hAnsi="宋体"/>
          <w:color w:val="auto"/>
          <w:highlight w:val="none"/>
        </w:rPr>
      </w:pPr>
      <w:r>
        <w:rPr>
          <w:rFonts w:hint="eastAsia" w:ascii="宋体" w:hAnsi="宋体"/>
          <w:color w:val="auto"/>
          <w:highlight w:val="none"/>
        </w:rPr>
        <w:t>(3)出现网络攻击、病毒入侵以及电子服务系统或电子交易系统安全漏洞导致无法正常提供服务的；</w:t>
      </w:r>
    </w:p>
    <w:p w14:paraId="5F73D737">
      <w:pPr>
        <w:spacing w:line="400" w:lineRule="exact"/>
        <w:ind w:firstLine="420" w:firstLineChars="200"/>
        <w:rPr>
          <w:rFonts w:ascii="宋体" w:hAnsi="宋体"/>
          <w:color w:val="auto"/>
          <w:highlight w:val="none"/>
        </w:rPr>
      </w:pPr>
      <w:r>
        <w:rPr>
          <w:rFonts w:hint="eastAsia" w:ascii="宋体" w:hAnsi="宋体"/>
          <w:color w:val="auto"/>
          <w:highlight w:val="none"/>
        </w:rPr>
        <w:t>(4)其他无法保证招投标过程公平、公正和信息安全的情形。</w:t>
      </w:r>
    </w:p>
    <w:p w14:paraId="51734807">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六、异常情形处理</w:t>
      </w:r>
    </w:p>
    <w:p w14:paraId="2531AE0B">
      <w:pPr>
        <w:spacing w:line="400" w:lineRule="exact"/>
        <w:ind w:firstLine="420" w:firstLineChars="200"/>
        <w:rPr>
          <w:color w:val="auto"/>
          <w:highlight w:val="none"/>
        </w:rPr>
      </w:pPr>
      <w:r>
        <w:rPr>
          <w:rFonts w:hint="eastAsia"/>
          <w:color w:val="auto"/>
          <w:highlight w:val="none"/>
        </w:rPr>
        <w:t>1</w:t>
      </w:r>
      <w:r>
        <w:rPr>
          <w:color w:val="auto"/>
          <w:highlight w:val="none"/>
        </w:rPr>
        <w:t>9</w:t>
      </w:r>
      <w:r>
        <w:rPr>
          <w:rFonts w:hint="eastAsia"/>
          <w:color w:val="auto"/>
          <w:highlight w:val="none"/>
        </w:rPr>
        <w:t>.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08D3F08D">
      <w:pPr>
        <w:spacing w:line="400" w:lineRule="exact"/>
        <w:ind w:firstLine="420" w:firstLineChars="200"/>
        <w:rPr>
          <w:color w:val="auto"/>
          <w:highlight w:val="none"/>
        </w:rPr>
      </w:pPr>
      <w:r>
        <w:rPr>
          <w:rFonts w:hint="eastAsia"/>
          <w:color w:val="auto"/>
          <w:highlight w:val="none"/>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49125EAE">
      <w:pPr>
        <w:spacing w:line="400" w:lineRule="exact"/>
        <w:ind w:firstLine="420" w:firstLineChars="200"/>
        <w:rPr>
          <w:color w:val="auto"/>
          <w:highlight w:val="none"/>
        </w:rPr>
      </w:pPr>
      <w:r>
        <w:rPr>
          <w:rFonts w:hint="eastAsia"/>
          <w:color w:val="auto"/>
          <w:highlight w:val="none"/>
        </w:rPr>
        <w:t>（2）项目恢复，导致项目中止的情形消除后，招标人或代理机构应当尽快恢复招投标程序，向投标人发出恢复交易通知，并发布公布；已发出延长中止期限通知的，按通知执行。</w:t>
      </w:r>
    </w:p>
    <w:p w14:paraId="65A39E2A">
      <w:pPr>
        <w:widowControl/>
        <w:adjustRightInd w:val="0"/>
        <w:snapToGrid w:val="0"/>
        <w:spacing w:line="360" w:lineRule="auto"/>
        <w:ind w:firstLine="420" w:firstLineChars="200"/>
        <w:rPr>
          <w:rFonts w:hint="eastAsia" w:ascii="宋体" w:hAnsi="宋体" w:eastAsia="仿宋"/>
          <w:color w:val="auto"/>
          <w:szCs w:val="21"/>
          <w:highlight w:val="none"/>
        </w:rPr>
      </w:pPr>
    </w:p>
    <w:p w14:paraId="7C1E4FCF">
      <w:pPr>
        <w:spacing w:line="360" w:lineRule="auto"/>
        <w:jc w:val="center"/>
        <w:outlineLvl w:val="1"/>
        <w:rPr>
          <w:rFonts w:hint="eastAsia" w:ascii="Cambria" w:hAnsi="Cambria" w:eastAsia="黑体"/>
          <w:b/>
          <w:bCs/>
          <w:color w:val="auto"/>
          <w:sz w:val="32"/>
          <w:szCs w:val="32"/>
          <w:highlight w:val="none"/>
        </w:rPr>
      </w:pPr>
      <w:r>
        <w:rPr>
          <w:rFonts w:hint="eastAsia" w:ascii="宋体" w:hAnsi="宋体" w:eastAsia="仿宋"/>
          <w:color w:val="auto"/>
          <w:szCs w:val="21"/>
          <w:highlight w:val="none"/>
        </w:rPr>
        <w:br w:type="page"/>
      </w:r>
      <w:r>
        <w:rPr>
          <w:rFonts w:ascii="Cambria" w:hAnsi="Cambria" w:eastAsia="黑体"/>
          <w:b/>
          <w:bCs/>
          <w:color w:val="auto"/>
          <w:sz w:val="32"/>
          <w:szCs w:val="32"/>
          <w:highlight w:val="none"/>
        </w:rPr>
        <w:t>附件</w:t>
      </w:r>
      <w:r>
        <w:rPr>
          <w:rFonts w:hint="eastAsia" w:ascii="Cambria" w:hAnsi="Cambria" w:eastAsia="黑体"/>
          <w:b/>
          <w:bCs/>
          <w:color w:val="auto"/>
          <w:sz w:val="32"/>
          <w:szCs w:val="32"/>
          <w:highlight w:val="none"/>
        </w:rPr>
        <w:t>二</w:t>
      </w:r>
      <w:r>
        <w:rPr>
          <w:rFonts w:ascii="Cambria" w:hAnsi="Cambria" w:eastAsia="黑体"/>
          <w:b/>
          <w:bCs/>
          <w:color w:val="auto"/>
          <w:sz w:val="32"/>
          <w:szCs w:val="32"/>
          <w:highlight w:val="none"/>
        </w:rPr>
        <w:t>：</w:t>
      </w:r>
      <w:r>
        <w:rPr>
          <w:rFonts w:hint="eastAsia" w:ascii="Cambria" w:hAnsi="Cambria" w:eastAsia="黑体"/>
          <w:b/>
          <w:bCs/>
          <w:color w:val="auto"/>
          <w:sz w:val="32"/>
          <w:szCs w:val="32"/>
          <w:highlight w:val="none"/>
        </w:rPr>
        <w:t>政府采购供应商询问函和质疑函范本</w:t>
      </w:r>
    </w:p>
    <w:p w14:paraId="49F25755">
      <w:pPr>
        <w:spacing w:line="360" w:lineRule="auto"/>
        <w:jc w:val="cente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询问函范本</w:t>
      </w:r>
    </w:p>
    <w:p w14:paraId="26F2B1C0">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ascii="宋体" w:hAnsi="宋体" w:cs="仿宋"/>
          <w:i/>
          <w:iCs/>
          <w:color w:val="auto"/>
          <w:sz w:val="24"/>
          <w:highlight w:val="none"/>
        </w:rPr>
        <w:t>（如为对采购文件或采购程序的询问或疑问，请按询问函范本或电子交易系统中网上询问格式附件进行提交）</w:t>
      </w:r>
    </w:p>
    <w:p w14:paraId="5ED363F8">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某采购单位、某代理机构：</w:t>
      </w:r>
    </w:p>
    <w:p w14:paraId="3EE1AF1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我单位拟参与某项目(某编号)的采购活动，现有以下内容(或条款)存在疑问(或无法理解)，特提出询问。</w:t>
      </w:r>
    </w:p>
    <w:p w14:paraId="6E721F8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一、(事项一)</w:t>
      </w:r>
    </w:p>
    <w:p w14:paraId="4678A65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1、(内容或条款)</w:t>
      </w:r>
    </w:p>
    <w:p w14:paraId="74F01B9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2、(说明疑问或无法理解原因)</w:t>
      </w:r>
    </w:p>
    <w:p w14:paraId="72D4100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3、(建议)</w:t>
      </w:r>
    </w:p>
    <w:p w14:paraId="2358B50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二、(事项二)</w:t>
      </w:r>
    </w:p>
    <w:p w14:paraId="5940797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34FBC8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随附相关证明材料如下： </w:t>
      </w:r>
    </w:p>
    <w:p w14:paraId="2D10A3FF">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p>
    <w:p w14:paraId="48D8284A">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p>
    <w:p w14:paraId="39F1C598">
      <w:pPr>
        <w:tabs>
          <w:tab w:val="left" w:pos="630"/>
        </w:tabs>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3F33A3FE">
      <w:pPr>
        <w:rPr>
          <w:rFonts w:ascii="宋体" w:hAnsi="宋体"/>
          <w:b/>
          <w:color w:val="auto"/>
          <w:sz w:val="52"/>
          <w:highlight w:val="none"/>
        </w:rPr>
      </w:pPr>
      <w:r>
        <w:rPr>
          <w:rFonts w:hint="eastAsia" w:ascii="仿宋" w:hAnsi="仿宋" w:eastAsia="仿宋" w:cs="仿宋"/>
          <w:b/>
          <w:bCs/>
          <w:color w:val="auto"/>
          <w:sz w:val="32"/>
          <w:szCs w:val="44"/>
          <w:highlight w:val="none"/>
        </w:rPr>
        <w:br w:type="page"/>
      </w:r>
    </w:p>
    <w:p w14:paraId="43F8A612">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DF72F73">
      <w:pPr>
        <w:adjustRightInd w:val="0"/>
        <w:snapToGrid w:val="0"/>
        <w:spacing w:before="240" w:beforeLines="100"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一、质疑供应商基本信息</w:t>
      </w:r>
    </w:p>
    <w:p w14:paraId="4157FD46">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1077967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36A22F86">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6788F3B">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7DDCB101">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1A10315">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7F755339">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二、质疑项目基本情况</w:t>
      </w:r>
    </w:p>
    <w:p w14:paraId="01592B1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5F95EC40">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466C5329">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196EA3CD">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0E4BF27D">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三、质疑事项具体内容</w:t>
      </w:r>
    </w:p>
    <w:p w14:paraId="70283DAB">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646EA563">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664E68FE">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231BB887">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0F01E269">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40E2AD2C">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0B29E59C">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A2E9A6D">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四、与质疑事项相关的质疑请求</w:t>
      </w:r>
    </w:p>
    <w:p w14:paraId="6FB5F313">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48CAD15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49FCBDD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7726939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6724C18">
      <w:pPr>
        <w:rPr>
          <w:rFonts w:hint="eastAsia" w:ascii="仿宋" w:hAnsi="仿宋" w:eastAsia="仿宋" w:cs="仿宋"/>
          <w:b/>
          <w:color w:val="auto"/>
          <w:sz w:val="28"/>
          <w:szCs w:val="32"/>
          <w:highlight w:val="none"/>
        </w:rPr>
      </w:pPr>
      <w:bookmarkStart w:id="745" w:name="_Toc11441"/>
      <w:r>
        <w:rPr>
          <w:rFonts w:hint="eastAsia" w:ascii="仿宋" w:hAnsi="仿宋" w:eastAsia="仿宋" w:cs="仿宋"/>
          <w:b/>
          <w:color w:val="auto"/>
          <w:sz w:val="28"/>
          <w:szCs w:val="32"/>
          <w:highlight w:val="none"/>
        </w:rPr>
        <w:t>质疑函制作说明：</w:t>
      </w:r>
      <w:bookmarkEnd w:id="745"/>
    </w:p>
    <w:p w14:paraId="0749D90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2439511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授权代表进行质疑的，质疑函应按要求列明“授权代表”的有关内容，并在附件中提交由质疑供应商签署的授权委托书。授权委托书应载明授权代表的姓名或者名称、代理事项、具体权限、期限和相关事项。</w:t>
      </w:r>
    </w:p>
    <w:p w14:paraId="35BE4E5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3.质疑供应商若对项目的某一采购包进行质疑，质疑函中应列明具体包号。</w:t>
      </w:r>
    </w:p>
    <w:p w14:paraId="2CED9B7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5BD0EF5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6CCF7C11">
      <w:pPr>
        <w:spacing w:line="360" w:lineRule="auto"/>
        <w:ind w:firstLine="435"/>
        <w:rPr>
          <w:rFonts w:hint="eastAsia" w:ascii="宋体" w:hAnsi="宋体" w:cs="宋体"/>
          <w:color w:val="auto"/>
          <w:szCs w:val="28"/>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6.质疑供应商为自然人的，质疑函应由本人签字；质疑供应商为法人或者其他组织的，质疑函应由法定代表人/主要负责人/其授权代表签字或者盖签字章，并加盖公章。</w:t>
      </w:r>
    </w:p>
    <w:p w14:paraId="78A1ECBD">
      <w:pPr>
        <w:widowControl/>
        <w:adjustRightInd w:val="0"/>
        <w:snapToGrid w:val="0"/>
        <w:spacing w:line="360" w:lineRule="auto"/>
        <w:ind w:firstLine="420" w:firstLineChars="200"/>
        <w:rPr>
          <w:rFonts w:hint="eastAsia" w:ascii="宋体" w:hAnsi="宋体" w:eastAsia="仿宋"/>
          <w:color w:val="auto"/>
          <w:szCs w:val="21"/>
          <w:highlight w:val="none"/>
        </w:rPr>
      </w:pPr>
    </w:p>
    <w:p w14:paraId="10294E7A">
      <w:pPr>
        <w:widowControl/>
        <w:adjustRightInd w:val="0"/>
        <w:snapToGrid w:val="0"/>
        <w:spacing w:line="360" w:lineRule="auto"/>
        <w:ind w:firstLine="420" w:firstLineChars="200"/>
        <w:rPr>
          <w:rFonts w:hint="eastAsia" w:ascii="宋体" w:hAnsi="宋体" w:eastAsia="仿宋"/>
          <w:color w:val="auto"/>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C025B2C">
      <w:pPr>
        <w:pStyle w:val="2"/>
        <w:widowControl/>
        <w:snapToGrid w:val="0"/>
        <w:spacing w:before="0" w:after="0" w:line="360" w:lineRule="auto"/>
        <w:jc w:val="center"/>
        <w:rPr>
          <w:rFonts w:hint="eastAsia" w:ascii="宋体" w:hAnsi="宋体" w:eastAsia="仿宋"/>
          <w:color w:val="auto"/>
          <w:highlight w:val="none"/>
        </w:rPr>
      </w:pPr>
      <w:bookmarkStart w:id="746" w:name="_Toc24366"/>
      <w:bookmarkStart w:id="747" w:name="_Toc445554746"/>
      <w:bookmarkStart w:id="748" w:name="_Toc466024555"/>
      <w:bookmarkStart w:id="749" w:name="_Toc144974565"/>
      <w:bookmarkStart w:id="750" w:name="_Toc152042375"/>
      <w:bookmarkStart w:id="751" w:name="_Toc342297699"/>
      <w:bookmarkStart w:id="752" w:name="_Toc241459648"/>
      <w:bookmarkStart w:id="753" w:name="_Toc152045598"/>
      <w:bookmarkStart w:id="754" w:name="_Toc179632616"/>
      <w:bookmarkStart w:id="755" w:name="_Toc342296244"/>
      <w:bookmarkStart w:id="756" w:name="_Toc342297701"/>
      <w:bookmarkStart w:id="757" w:name="_Toc342296242"/>
      <w:r>
        <w:rPr>
          <w:rFonts w:hint="eastAsia" w:ascii="宋体" w:hAnsi="宋体" w:eastAsia="仿宋"/>
          <w:color w:val="auto"/>
          <w:highlight w:val="none"/>
        </w:rPr>
        <w:t>第三章  采购需求</w:t>
      </w:r>
      <w:bookmarkEnd w:id="746"/>
      <w:bookmarkEnd w:id="747"/>
      <w:bookmarkEnd w:id="748"/>
    </w:p>
    <w:p w14:paraId="63A1604C">
      <w:pPr>
        <w:pStyle w:val="3"/>
        <w:rPr>
          <w:rStyle w:val="23"/>
          <w:rFonts w:ascii="宋体" w:hAnsi="宋体" w:eastAsia="仿宋"/>
          <w:b/>
          <w:bCs/>
          <w:color w:val="auto"/>
          <w:sz w:val="24"/>
          <w:szCs w:val="24"/>
          <w:highlight w:val="none"/>
        </w:rPr>
      </w:pPr>
      <w:bookmarkStart w:id="758" w:name="_Toc455587089"/>
      <w:bookmarkStart w:id="759" w:name="_Toc455587273"/>
      <w:bookmarkStart w:id="760" w:name="_Toc466024556"/>
      <w:bookmarkStart w:id="761" w:name="_Toc445554747"/>
      <w:r>
        <w:rPr>
          <w:rStyle w:val="23"/>
          <w:rFonts w:hint="eastAsia" w:ascii="宋体" w:hAnsi="宋体" w:eastAsia="仿宋"/>
          <w:b/>
          <w:bCs/>
          <w:color w:val="auto"/>
          <w:sz w:val="24"/>
          <w:szCs w:val="24"/>
          <w:highlight w:val="none"/>
        </w:rPr>
        <w:t xml:space="preserve">1. </w:t>
      </w:r>
      <w:bookmarkEnd w:id="758"/>
      <w:bookmarkEnd w:id="759"/>
      <w:bookmarkEnd w:id="760"/>
      <w:r>
        <w:rPr>
          <w:rStyle w:val="23"/>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23"/>
          <w:rFonts w:hint="eastAsia" w:ascii="宋体" w:hAnsi="宋体" w:eastAsia="仿宋"/>
          <w:b/>
          <w:bCs/>
          <w:color w:val="auto"/>
          <w:sz w:val="24"/>
          <w:szCs w:val="24"/>
          <w:highlight w:val="none"/>
        </w:rPr>
      </w:pPr>
      <w:bookmarkStart w:id="762" w:name="_Toc466024557"/>
      <w:bookmarkStart w:id="763" w:name="_Toc455587090"/>
      <w:bookmarkStart w:id="764" w:name="_Toc455587274"/>
      <w:r>
        <w:rPr>
          <w:rStyle w:val="23"/>
          <w:rFonts w:hint="eastAsia" w:ascii="宋体" w:hAnsi="宋体" w:eastAsia="仿宋"/>
          <w:b/>
          <w:bCs/>
          <w:color w:val="auto"/>
          <w:sz w:val="24"/>
          <w:szCs w:val="24"/>
          <w:highlight w:val="none"/>
        </w:rPr>
        <w:t>2. 采购内容及范围</w:t>
      </w:r>
      <w:bookmarkEnd w:id="762"/>
      <w:bookmarkEnd w:id="763"/>
      <w:bookmarkEnd w:id="764"/>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17"/>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379"/>
        <w:gridCol w:w="825"/>
        <w:gridCol w:w="1935"/>
        <w:gridCol w:w="1228"/>
        <w:gridCol w:w="1725"/>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5DD40437">
            <w:pPr>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97C17CE">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遥测心电监护仪（1拖8）</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890C3C">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28套</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57DB629">
            <w:pPr>
              <w:widowControl/>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672</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17D1280">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B5A5C0">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widowControl/>
              <w:jc w:val="center"/>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1FE0A5EF">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10"/>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25"/>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25"/>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25"/>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北京安贞医院安徽医院，招标人指定地点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25"/>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017768D4">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762077DA">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25"/>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5年</w:t>
            </w:r>
            <w:r>
              <w:rPr>
                <w:rFonts w:hint="eastAsia" w:ascii="宋体" w:hAnsi="宋体" w:eastAsia="仿宋" w:cs="Calibri"/>
                <w:color w:val="auto"/>
                <w:sz w:val="24"/>
                <w:highlight w:val="none"/>
                <w:lang w:val="en-US" w:eastAsia="zh-CN"/>
              </w:rPr>
              <w:t>整机原厂质保，</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25"/>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25"/>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25"/>
        <w:ind w:firstLine="480"/>
        <w:rPr>
          <w:rFonts w:ascii="宋体" w:hAnsi="宋体" w:eastAsia="仿宋"/>
          <w:color w:val="auto"/>
          <w:sz w:val="24"/>
          <w:highlight w:val="none"/>
        </w:rPr>
      </w:pPr>
    </w:p>
    <w:bookmarkEnd w:id="761"/>
    <w:p w14:paraId="34A467BB">
      <w:pPr>
        <w:pStyle w:val="10"/>
        <w:widowControl/>
        <w:snapToGrid w:val="0"/>
        <w:spacing w:line="360" w:lineRule="auto"/>
        <w:outlineLvl w:val="1"/>
        <w:rPr>
          <w:rStyle w:val="23"/>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765" w:name="_Toc455587275"/>
      <w:bookmarkStart w:id="766" w:name="_Toc466024558"/>
      <w:bookmarkStart w:id="767" w:name="_Toc445554749"/>
      <w:bookmarkStart w:id="768" w:name="_Toc455587091"/>
      <w:r>
        <w:rPr>
          <w:rStyle w:val="23"/>
          <w:rFonts w:hint="eastAsia" w:ascii="宋体" w:hAnsi="宋体" w:eastAsia="仿宋"/>
          <w:color w:val="auto"/>
          <w:sz w:val="24"/>
          <w:szCs w:val="24"/>
          <w:highlight w:val="none"/>
        </w:rPr>
        <w:t>4. 技术要求</w:t>
      </w:r>
      <w:bookmarkEnd w:id="765"/>
      <w:bookmarkEnd w:id="766"/>
      <w:bookmarkEnd w:id="767"/>
      <w:bookmarkEnd w:id="768"/>
    </w:p>
    <w:p w14:paraId="297E5F3D">
      <w:pPr>
        <w:pStyle w:val="10"/>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17"/>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530"/>
        <w:gridCol w:w="6185"/>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10"/>
        <w:widowControl/>
        <w:snapToGrid w:val="0"/>
        <w:spacing w:line="360" w:lineRule="auto"/>
        <w:ind w:firstLine="480" w:firstLineChars="200"/>
        <w:rPr>
          <w:rFonts w:hint="eastAsia" w:hAnsi="宋体" w:eastAsia="仿宋"/>
          <w:color w:val="auto"/>
          <w:sz w:val="24"/>
          <w:szCs w:val="24"/>
          <w:highlight w:val="none"/>
        </w:rPr>
      </w:pPr>
    </w:p>
    <w:p w14:paraId="65DCF522">
      <w:pPr>
        <w:pStyle w:val="10"/>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4E6E35B4">
      <w:pPr>
        <w:numPr>
          <w:ilvl w:val="0"/>
          <w:numId w:val="0"/>
        </w:numPr>
        <w:spacing w:line="360" w:lineRule="auto"/>
        <w:jc w:val="center"/>
        <w:rPr>
          <w:rFonts w:hint="eastAsia" w:ascii="Times New Roman" w:hAnsi="Times New Roman" w:eastAsia="宋体" w:cs="Times New Roman"/>
          <w:b/>
          <w:bCs/>
          <w:color w:val="auto"/>
          <w:sz w:val="24"/>
          <w:szCs w:val="24"/>
          <w:highlight w:val="none"/>
          <w:lang w:val="en-US" w:eastAsia="zh-CN"/>
        </w:rPr>
      </w:pPr>
      <w:bookmarkStart w:id="769" w:name="_Toc9357"/>
      <w:bookmarkStart w:id="770" w:name="_Toc466024564"/>
      <w:bookmarkStart w:id="771" w:name="_Toc445554765"/>
      <w:r>
        <w:rPr>
          <w:rFonts w:hint="eastAsia" w:ascii="仿宋" w:hAnsi="仿宋" w:eastAsia="仿宋" w:cs="仿宋"/>
          <w:color w:val="auto"/>
          <w:sz w:val="24"/>
          <w:highlight w:val="none"/>
        </w:rPr>
        <w:t>▲</w:t>
      </w:r>
      <w:r>
        <w:rPr>
          <w:rFonts w:hint="eastAsia" w:cs="Times New Roman"/>
          <w:b/>
          <w:bCs/>
          <w:color w:val="auto"/>
          <w:sz w:val="24"/>
          <w:szCs w:val="24"/>
          <w:highlight w:val="none"/>
          <w:lang w:val="en-US" w:eastAsia="zh-CN"/>
        </w:rPr>
        <w:t>遥测心电监护仪（1拖8）</w:t>
      </w:r>
    </w:p>
    <w:tbl>
      <w:tblPr>
        <w:tblStyle w:val="18"/>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838"/>
        <w:gridCol w:w="7105"/>
      </w:tblGrid>
      <w:tr w14:paraId="6F21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7" w:type="dxa"/>
            <w:vAlign w:val="center"/>
          </w:tcPr>
          <w:p w14:paraId="4855007B">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序号</w:t>
            </w:r>
          </w:p>
        </w:tc>
        <w:tc>
          <w:tcPr>
            <w:tcW w:w="1838" w:type="dxa"/>
            <w:vAlign w:val="center"/>
          </w:tcPr>
          <w:p w14:paraId="18E394CE">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技术规格</w:t>
            </w:r>
          </w:p>
        </w:tc>
        <w:tc>
          <w:tcPr>
            <w:tcW w:w="7105" w:type="dxa"/>
            <w:vAlign w:val="center"/>
          </w:tcPr>
          <w:p w14:paraId="14C40E7D">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技术要求</w:t>
            </w:r>
          </w:p>
        </w:tc>
      </w:tr>
      <w:tr w14:paraId="39DD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DF40936">
            <w:pPr>
              <w:spacing w:line="276" w:lineRule="auto"/>
              <w:jc w:val="both"/>
              <w:rPr>
                <w:rFonts w:hint="eastAsia" w:ascii="宋体" w:hAnsi="宋体"/>
                <w:bCs/>
                <w:sz w:val="24"/>
                <w:highlight w:val="none"/>
              </w:rPr>
            </w:pPr>
            <w:r>
              <w:rPr>
                <w:rFonts w:hint="eastAsia" w:ascii="宋体" w:hAnsi="宋体"/>
                <w:bCs/>
                <w:sz w:val="24"/>
                <w:highlight w:val="none"/>
              </w:rPr>
              <w:t>1</w:t>
            </w:r>
          </w:p>
        </w:tc>
        <w:tc>
          <w:tcPr>
            <w:tcW w:w="1838" w:type="dxa"/>
            <w:vAlign w:val="center"/>
          </w:tcPr>
          <w:p w14:paraId="6A2BAF13">
            <w:pPr>
              <w:spacing w:line="276" w:lineRule="auto"/>
              <w:jc w:val="both"/>
              <w:rPr>
                <w:rFonts w:hint="eastAsia" w:ascii="宋体" w:hAnsi="宋体"/>
                <w:bCs/>
                <w:sz w:val="24"/>
                <w:highlight w:val="none"/>
              </w:rPr>
            </w:pPr>
            <w:r>
              <w:rPr>
                <w:rFonts w:hint="eastAsia" w:ascii="宋体" w:hAnsi="宋体"/>
                <w:bCs/>
                <w:sz w:val="24"/>
                <w:highlight w:val="none"/>
              </w:rPr>
              <w:t>用途</w:t>
            </w:r>
          </w:p>
        </w:tc>
        <w:tc>
          <w:tcPr>
            <w:tcW w:w="7105" w:type="dxa"/>
            <w:vAlign w:val="center"/>
          </w:tcPr>
          <w:p w14:paraId="58B0EB30">
            <w:pPr>
              <w:spacing w:line="276" w:lineRule="auto"/>
              <w:jc w:val="both"/>
              <w:rPr>
                <w:rFonts w:hint="eastAsia" w:ascii="宋体" w:hAnsi="宋体"/>
                <w:bCs/>
                <w:sz w:val="24"/>
                <w:highlight w:val="none"/>
              </w:rPr>
            </w:pPr>
            <w:r>
              <w:rPr>
                <w:rFonts w:hint="eastAsia" w:ascii="宋体" w:hAnsi="宋体"/>
                <w:bCs/>
                <w:sz w:val="24"/>
                <w:highlight w:val="none"/>
              </w:rPr>
              <w:t>对患者的生命体征进行远距离的监测，并在较大范围内同时对多个患者进行连续监测。</w:t>
            </w:r>
          </w:p>
        </w:tc>
      </w:tr>
      <w:tr w14:paraId="752A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2BED265">
            <w:pPr>
              <w:spacing w:line="276" w:lineRule="auto"/>
              <w:jc w:val="both"/>
              <w:rPr>
                <w:rFonts w:hint="eastAsia" w:ascii="宋体" w:hAnsi="宋体" w:eastAsia="宋体"/>
                <w:bCs/>
                <w:strike/>
                <w:sz w:val="24"/>
                <w:highlight w:val="none"/>
                <w:lang w:eastAsia="zh-CN"/>
              </w:rPr>
            </w:pPr>
            <w:r>
              <w:rPr>
                <w:rFonts w:hint="eastAsia" w:ascii="宋体" w:hAnsi="宋体"/>
                <w:bCs/>
                <w:sz w:val="24"/>
                <w:highlight w:val="none"/>
              </w:rPr>
              <w:t>*</w:t>
            </w:r>
            <w:r>
              <w:rPr>
                <w:rFonts w:hint="eastAsia" w:ascii="宋体" w:hAnsi="宋体"/>
                <w:bCs/>
                <w:sz w:val="24"/>
                <w:highlight w:val="none"/>
                <w:lang w:val="en-US" w:eastAsia="zh-CN"/>
              </w:rPr>
              <w:t>2</w:t>
            </w:r>
          </w:p>
        </w:tc>
        <w:tc>
          <w:tcPr>
            <w:tcW w:w="1838" w:type="dxa"/>
            <w:vAlign w:val="center"/>
          </w:tcPr>
          <w:p w14:paraId="00C72F31">
            <w:pPr>
              <w:spacing w:line="276" w:lineRule="auto"/>
              <w:jc w:val="both"/>
              <w:rPr>
                <w:rFonts w:hint="eastAsia" w:ascii="宋体" w:hAnsi="宋体"/>
                <w:bCs/>
                <w:strike/>
                <w:sz w:val="24"/>
                <w:highlight w:val="none"/>
              </w:rPr>
            </w:pPr>
            <w:r>
              <w:rPr>
                <w:rFonts w:hint="eastAsia" w:ascii="宋体" w:hAnsi="宋体"/>
                <w:bCs/>
                <w:sz w:val="24"/>
                <w:highlight w:val="none"/>
              </w:rPr>
              <w:t>配置</w:t>
            </w:r>
            <w:r>
              <w:rPr>
                <w:rFonts w:hint="eastAsia" w:ascii="宋体" w:hAnsi="宋体"/>
                <w:bCs/>
                <w:sz w:val="24"/>
                <w:highlight w:val="none"/>
                <w:lang w:eastAsia="zh-CN"/>
              </w:rPr>
              <w:t>（</w:t>
            </w:r>
            <w:r>
              <w:rPr>
                <w:rFonts w:hint="eastAsia" w:ascii="宋体" w:hAnsi="宋体"/>
                <w:bCs/>
                <w:sz w:val="24"/>
                <w:highlight w:val="none"/>
                <w:lang w:val="en-US" w:eastAsia="zh-CN"/>
              </w:rPr>
              <w:t>单套</w:t>
            </w:r>
            <w:r>
              <w:rPr>
                <w:rFonts w:hint="eastAsia" w:ascii="宋体" w:hAnsi="宋体"/>
                <w:bCs/>
                <w:sz w:val="24"/>
                <w:highlight w:val="none"/>
                <w:lang w:eastAsia="zh-CN"/>
              </w:rPr>
              <w:t>）</w:t>
            </w:r>
          </w:p>
        </w:tc>
        <w:tc>
          <w:tcPr>
            <w:tcW w:w="7105" w:type="dxa"/>
            <w:vAlign w:val="center"/>
          </w:tcPr>
          <w:p w14:paraId="40ED9EF6">
            <w:pPr>
              <w:spacing w:line="276" w:lineRule="auto"/>
              <w:jc w:val="both"/>
              <w:rPr>
                <w:rFonts w:hint="eastAsia" w:ascii="宋体" w:hAnsi="宋体"/>
                <w:bCs/>
                <w:strike/>
                <w:sz w:val="24"/>
                <w:highlight w:val="none"/>
                <w:lang w:eastAsia="zh-CN"/>
              </w:rPr>
            </w:pPr>
            <w:r>
              <w:rPr>
                <w:rFonts w:hint="eastAsia" w:ascii="宋体" w:hAnsi="宋体"/>
                <w:bCs/>
                <w:sz w:val="24"/>
                <w:highlight w:val="none"/>
              </w:rPr>
              <w:t>主机1套， 显示屏2个，激光打印机1台，（ECG，Resp）遥测发射盒7个，（ECG，Resp，SpO2）遥测发射盒1个。</w:t>
            </w:r>
          </w:p>
        </w:tc>
      </w:tr>
      <w:tr w14:paraId="7849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6FD850EA">
            <w:pPr>
              <w:spacing w:line="276" w:lineRule="auto"/>
              <w:jc w:val="both"/>
              <w:rPr>
                <w:rFonts w:hint="eastAsia" w:ascii="宋体" w:hAnsi="宋体"/>
                <w:bCs/>
                <w:sz w:val="24"/>
                <w:highlight w:val="none"/>
              </w:rPr>
            </w:pPr>
            <w:r>
              <w:rPr>
                <w:rFonts w:hint="eastAsia" w:ascii="宋体" w:hAnsi="宋体"/>
                <w:bCs/>
                <w:sz w:val="24"/>
                <w:highlight w:val="none"/>
              </w:rPr>
              <w:t>3</w:t>
            </w:r>
          </w:p>
        </w:tc>
        <w:tc>
          <w:tcPr>
            <w:tcW w:w="1838" w:type="dxa"/>
            <w:vAlign w:val="center"/>
          </w:tcPr>
          <w:p w14:paraId="6E727FBC">
            <w:pPr>
              <w:spacing w:line="276" w:lineRule="auto"/>
              <w:jc w:val="both"/>
              <w:rPr>
                <w:rFonts w:hint="eastAsia" w:ascii="宋体" w:hAnsi="宋体"/>
                <w:bCs/>
                <w:sz w:val="24"/>
                <w:highlight w:val="none"/>
              </w:rPr>
            </w:pPr>
            <w:r>
              <w:rPr>
                <w:rFonts w:hint="eastAsia" w:ascii="宋体" w:hAnsi="宋体"/>
                <w:bCs/>
                <w:sz w:val="24"/>
                <w:highlight w:val="none"/>
              </w:rPr>
              <w:t>遥测中央监护系统</w:t>
            </w:r>
          </w:p>
        </w:tc>
        <w:tc>
          <w:tcPr>
            <w:tcW w:w="7105" w:type="dxa"/>
            <w:vAlign w:val="center"/>
          </w:tcPr>
          <w:p w14:paraId="1F70D953">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3AF2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26F5159A">
            <w:pPr>
              <w:spacing w:line="276" w:lineRule="auto"/>
              <w:jc w:val="both"/>
              <w:rPr>
                <w:rFonts w:hint="eastAsia" w:ascii="宋体" w:hAnsi="宋体"/>
                <w:bCs/>
                <w:sz w:val="24"/>
                <w:highlight w:val="none"/>
              </w:rPr>
            </w:pPr>
            <w:r>
              <w:rPr>
                <w:rFonts w:hint="eastAsia" w:ascii="宋体" w:hAnsi="宋体"/>
                <w:bCs/>
                <w:sz w:val="24"/>
                <w:highlight w:val="none"/>
              </w:rPr>
              <w:t>3.1</w:t>
            </w:r>
          </w:p>
        </w:tc>
        <w:tc>
          <w:tcPr>
            <w:tcW w:w="1838" w:type="dxa"/>
            <w:vAlign w:val="center"/>
          </w:tcPr>
          <w:p w14:paraId="0DE4D8D5">
            <w:pPr>
              <w:spacing w:line="276" w:lineRule="auto"/>
              <w:jc w:val="both"/>
              <w:rPr>
                <w:rFonts w:hint="eastAsia" w:ascii="宋体" w:hAnsi="宋体"/>
                <w:bCs/>
                <w:sz w:val="24"/>
                <w:highlight w:val="none"/>
              </w:rPr>
            </w:pPr>
            <w:r>
              <w:rPr>
                <w:rFonts w:hint="eastAsia" w:ascii="宋体" w:hAnsi="宋体"/>
                <w:bCs/>
                <w:sz w:val="24"/>
                <w:highlight w:val="none"/>
              </w:rPr>
              <w:t>整机要求</w:t>
            </w:r>
          </w:p>
        </w:tc>
        <w:tc>
          <w:tcPr>
            <w:tcW w:w="7105" w:type="dxa"/>
            <w:vAlign w:val="center"/>
          </w:tcPr>
          <w:p w14:paraId="0B77ECAF">
            <w:pPr>
              <w:spacing w:line="276" w:lineRule="auto"/>
              <w:jc w:val="both"/>
              <w:rPr>
                <w:rFonts w:hint="eastAsia" w:ascii="宋体" w:hAnsi="宋体"/>
                <w:bCs/>
                <w:sz w:val="24"/>
                <w:highlight w:val="none"/>
              </w:rPr>
            </w:pPr>
            <w:r>
              <w:rPr>
                <w:rFonts w:hint="eastAsia" w:ascii="宋体" w:hAnsi="宋体"/>
                <w:bCs/>
                <w:sz w:val="24"/>
                <w:highlight w:val="none"/>
              </w:rPr>
              <w:t>中央监护整机(硬件及软件)都通过国家注册认证,Windows10操作系统。</w:t>
            </w:r>
          </w:p>
        </w:tc>
      </w:tr>
      <w:tr w14:paraId="2EA1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0C37C3B">
            <w:pPr>
              <w:spacing w:line="276" w:lineRule="auto"/>
              <w:jc w:val="both"/>
              <w:rPr>
                <w:rFonts w:hint="eastAsia" w:ascii="宋体" w:hAnsi="宋体"/>
                <w:bCs/>
                <w:sz w:val="24"/>
                <w:highlight w:val="none"/>
              </w:rPr>
            </w:pPr>
            <w:r>
              <w:rPr>
                <w:rFonts w:hint="eastAsia" w:ascii="宋体" w:hAnsi="宋体"/>
                <w:bCs/>
                <w:sz w:val="24"/>
                <w:highlight w:val="none"/>
              </w:rPr>
              <w:t>*3.2</w:t>
            </w:r>
          </w:p>
        </w:tc>
        <w:tc>
          <w:tcPr>
            <w:tcW w:w="1838" w:type="dxa"/>
            <w:vAlign w:val="center"/>
          </w:tcPr>
          <w:p w14:paraId="4D851DEB">
            <w:pPr>
              <w:spacing w:line="276" w:lineRule="auto"/>
              <w:jc w:val="both"/>
              <w:rPr>
                <w:rFonts w:hint="eastAsia" w:ascii="宋体" w:hAnsi="宋体"/>
                <w:bCs/>
                <w:sz w:val="24"/>
                <w:highlight w:val="none"/>
              </w:rPr>
            </w:pPr>
            <w:r>
              <w:rPr>
                <w:rFonts w:hint="eastAsia" w:ascii="宋体" w:hAnsi="宋体"/>
                <w:bCs/>
                <w:sz w:val="24"/>
                <w:highlight w:val="none"/>
              </w:rPr>
              <w:t>显示</w:t>
            </w:r>
          </w:p>
        </w:tc>
        <w:tc>
          <w:tcPr>
            <w:tcW w:w="7105" w:type="dxa"/>
            <w:vAlign w:val="center"/>
          </w:tcPr>
          <w:p w14:paraId="499F9995">
            <w:pPr>
              <w:spacing w:line="276" w:lineRule="auto"/>
              <w:jc w:val="both"/>
              <w:rPr>
                <w:rFonts w:hint="eastAsia" w:ascii="宋体" w:hAnsi="宋体"/>
                <w:bCs/>
                <w:sz w:val="24"/>
                <w:highlight w:val="none"/>
              </w:rPr>
            </w:pPr>
            <w:r>
              <w:rPr>
                <w:rFonts w:hint="eastAsia" w:ascii="宋体" w:hAnsi="宋体"/>
                <w:bCs/>
                <w:sz w:val="24"/>
                <w:highlight w:val="none"/>
              </w:rPr>
              <w:t>≥23英寸宽屏显示，主副屏或双主屏模式，分辨率≥1920×1080，可同时显示≥32个床位。</w:t>
            </w:r>
          </w:p>
        </w:tc>
      </w:tr>
      <w:tr w14:paraId="1D8B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448E6C81">
            <w:pPr>
              <w:spacing w:line="276" w:lineRule="auto"/>
              <w:jc w:val="both"/>
              <w:rPr>
                <w:rFonts w:hint="eastAsia" w:ascii="宋体" w:hAnsi="宋体"/>
                <w:bCs/>
                <w:sz w:val="24"/>
                <w:highlight w:val="none"/>
              </w:rPr>
            </w:pPr>
            <w:r>
              <w:rPr>
                <w:rFonts w:hint="eastAsia" w:ascii="宋体" w:hAnsi="宋体"/>
                <w:bCs/>
                <w:sz w:val="24"/>
                <w:highlight w:val="none"/>
              </w:rPr>
              <w:t>*3.3</w:t>
            </w:r>
          </w:p>
        </w:tc>
        <w:tc>
          <w:tcPr>
            <w:tcW w:w="1838" w:type="dxa"/>
            <w:vAlign w:val="center"/>
          </w:tcPr>
          <w:p w14:paraId="57A297B9">
            <w:pPr>
              <w:spacing w:line="276" w:lineRule="auto"/>
              <w:jc w:val="both"/>
              <w:rPr>
                <w:rFonts w:hint="eastAsia" w:ascii="宋体" w:hAnsi="宋体"/>
                <w:bCs/>
                <w:sz w:val="24"/>
                <w:highlight w:val="none"/>
              </w:rPr>
            </w:pPr>
            <w:r>
              <w:rPr>
                <w:rFonts w:hint="eastAsia" w:ascii="宋体" w:hAnsi="宋体"/>
                <w:bCs/>
                <w:sz w:val="24"/>
                <w:highlight w:val="none"/>
              </w:rPr>
              <w:t>心律失常监测方法</w:t>
            </w:r>
          </w:p>
        </w:tc>
        <w:tc>
          <w:tcPr>
            <w:tcW w:w="7105" w:type="dxa"/>
            <w:vAlign w:val="center"/>
          </w:tcPr>
          <w:p w14:paraId="6838E1BA">
            <w:pPr>
              <w:spacing w:line="276" w:lineRule="auto"/>
              <w:jc w:val="both"/>
              <w:rPr>
                <w:rFonts w:hint="eastAsia" w:ascii="宋体" w:hAnsi="宋体"/>
                <w:bCs/>
                <w:sz w:val="24"/>
                <w:highlight w:val="none"/>
              </w:rPr>
            </w:pPr>
            <w:r>
              <w:rPr>
                <w:rFonts w:hint="eastAsia" w:ascii="宋体" w:hAnsi="宋体"/>
                <w:bCs/>
                <w:sz w:val="24"/>
                <w:highlight w:val="none"/>
              </w:rPr>
              <w:t>支持心律失常分析种类≥22种，可适用于成人，儿童和新生儿。</w:t>
            </w:r>
          </w:p>
        </w:tc>
      </w:tr>
      <w:tr w14:paraId="0823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12C772D1">
            <w:pPr>
              <w:spacing w:line="276" w:lineRule="auto"/>
              <w:jc w:val="both"/>
              <w:rPr>
                <w:rFonts w:hint="eastAsia" w:ascii="宋体" w:hAnsi="宋体"/>
                <w:bCs/>
                <w:sz w:val="24"/>
                <w:highlight w:val="none"/>
              </w:rPr>
            </w:pPr>
            <w:r>
              <w:rPr>
                <w:rFonts w:hint="eastAsia" w:ascii="宋体" w:hAnsi="宋体"/>
                <w:bCs/>
                <w:sz w:val="24"/>
                <w:highlight w:val="none"/>
              </w:rPr>
              <w:t>*3.4</w:t>
            </w:r>
          </w:p>
        </w:tc>
        <w:tc>
          <w:tcPr>
            <w:tcW w:w="1838" w:type="dxa"/>
            <w:vAlign w:val="center"/>
          </w:tcPr>
          <w:p w14:paraId="004A4BC2">
            <w:pPr>
              <w:spacing w:line="276" w:lineRule="auto"/>
              <w:jc w:val="both"/>
              <w:rPr>
                <w:rFonts w:hint="eastAsia" w:ascii="宋体" w:hAnsi="宋体"/>
                <w:bCs/>
                <w:sz w:val="24"/>
                <w:highlight w:val="none"/>
              </w:rPr>
            </w:pPr>
            <w:r>
              <w:rPr>
                <w:rFonts w:hint="eastAsia" w:ascii="宋体" w:hAnsi="宋体"/>
                <w:bCs/>
                <w:sz w:val="24"/>
                <w:highlight w:val="none"/>
              </w:rPr>
              <w:t>数据存储与回顾</w:t>
            </w:r>
          </w:p>
        </w:tc>
        <w:tc>
          <w:tcPr>
            <w:tcW w:w="7105" w:type="dxa"/>
            <w:vAlign w:val="center"/>
          </w:tcPr>
          <w:p w14:paraId="54072F19">
            <w:pPr>
              <w:spacing w:line="276" w:lineRule="auto"/>
              <w:jc w:val="both"/>
              <w:rPr>
                <w:rFonts w:hint="eastAsia" w:ascii="宋体" w:hAnsi="宋体"/>
                <w:bCs/>
                <w:sz w:val="24"/>
                <w:highlight w:val="none"/>
              </w:rPr>
            </w:pPr>
            <w:r>
              <w:rPr>
                <w:rFonts w:hint="eastAsia" w:ascii="宋体" w:hAnsi="宋体"/>
                <w:bCs/>
                <w:sz w:val="24"/>
                <w:highlight w:val="none"/>
              </w:rPr>
              <w:t>每床位可存储≥120小时，最多8通道全息波形回顾，≥120小时数据回顾画面。</w:t>
            </w:r>
          </w:p>
        </w:tc>
      </w:tr>
      <w:tr w14:paraId="3C74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0771629">
            <w:pPr>
              <w:spacing w:line="276" w:lineRule="auto"/>
              <w:jc w:val="both"/>
              <w:rPr>
                <w:rFonts w:hint="eastAsia" w:ascii="宋体" w:hAnsi="宋体"/>
                <w:bCs/>
                <w:sz w:val="24"/>
                <w:highlight w:val="none"/>
              </w:rPr>
            </w:pPr>
            <w:r>
              <w:rPr>
                <w:rFonts w:hint="eastAsia" w:ascii="宋体" w:hAnsi="宋体"/>
                <w:bCs/>
                <w:sz w:val="24"/>
                <w:highlight w:val="none"/>
              </w:rPr>
              <w:t>■3.5</w:t>
            </w:r>
          </w:p>
        </w:tc>
        <w:tc>
          <w:tcPr>
            <w:tcW w:w="1838" w:type="dxa"/>
            <w:vAlign w:val="center"/>
          </w:tcPr>
          <w:p w14:paraId="76441E43">
            <w:pPr>
              <w:spacing w:line="276" w:lineRule="auto"/>
              <w:jc w:val="both"/>
              <w:rPr>
                <w:rFonts w:hint="eastAsia" w:ascii="宋体" w:hAnsi="宋体"/>
                <w:bCs/>
                <w:sz w:val="24"/>
                <w:highlight w:val="none"/>
              </w:rPr>
            </w:pPr>
            <w:r>
              <w:rPr>
                <w:rFonts w:hint="eastAsia" w:ascii="宋体" w:hAnsi="宋体"/>
                <w:bCs/>
                <w:sz w:val="24"/>
                <w:highlight w:val="none"/>
              </w:rPr>
              <w:t>ECG波形测量功能</w:t>
            </w:r>
          </w:p>
        </w:tc>
        <w:tc>
          <w:tcPr>
            <w:tcW w:w="7105" w:type="dxa"/>
            <w:vAlign w:val="center"/>
          </w:tcPr>
          <w:p w14:paraId="6FC792EB">
            <w:pPr>
              <w:spacing w:line="276" w:lineRule="auto"/>
              <w:jc w:val="both"/>
              <w:rPr>
                <w:rFonts w:hint="eastAsia" w:ascii="宋体" w:hAnsi="宋体"/>
                <w:bCs/>
                <w:sz w:val="24"/>
                <w:highlight w:val="none"/>
              </w:rPr>
            </w:pPr>
            <w:r>
              <w:rPr>
                <w:rFonts w:hint="eastAsia" w:ascii="宋体" w:hAnsi="宋体"/>
                <w:bCs/>
                <w:sz w:val="24"/>
                <w:highlight w:val="none"/>
              </w:rPr>
              <w:t>具备，自动计算RR，PR，QT，ST等心电图相关参数。</w:t>
            </w:r>
          </w:p>
        </w:tc>
      </w:tr>
      <w:tr w14:paraId="391A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5707B0F3">
            <w:pPr>
              <w:spacing w:line="276" w:lineRule="auto"/>
              <w:jc w:val="both"/>
              <w:rPr>
                <w:rFonts w:hint="eastAsia" w:ascii="宋体" w:hAnsi="宋体"/>
                <w:bCs/>
                <w:sz w:val="24"/>
                <w:highlight w:val="none"/>
              </w:rPr>
            </w:pPr>
            <w:r>
              <w:rPr>
                <w:rFonts w:hint="eastAsia" w:ascii="宋体" w:hAnsi="宋体"/>
                <w:bCs/>
                <w:sz w:val="24"/>
                <w:highlight w:val="none"/>
              </w:rPr>
              <w:t>3.6</w:t>
            </w:r>
          </w:p>
        </w:tc>
        <w:tc>
          <w:tcPr>
            <w:tcW w:w="1838" w:type="dxa"/>
            <w:vAlign w:val="center"/>
          </w:tcPr>
          <w:p w14:paraId="6486A257">
            <w:pPr>
              <w:spacing w:line="276" w:lineRule="auto"/>
              <w:jc w:val="both"/>
              <w:rPr>
                <w:rFonts w:hint="eastAsia" w:ascii="宋体" w:hAnsi="宋体"/>
                <w:bCs/>
                <w:sz w:val="24"/>
                <w:highlight w:val="none"/>
              </w:rPr>
            </w:pPr>
            <w:r>
              <w:rPr>
                <w:rFonts w:hint="eastAsia" w:ascii="宋体" w:hAnsi="宋体"/>
                <w:bCs/>
                <w:sz w:val="24"/>
                <w:highlight w:val="none"/>
              </w:rPr>
              <w:t>脑电</w:t>
            </w:r>
          </w:p>
        </w:tc>
        <w:tc>
          <w:tcPr>
            <w:tcW w:w="7105" w:type="dxa"/>
            <w:vAlign w:val="center"/>
          </w:tcPr>
          <w:p w14:paraId="73DA8120">
            <w:pPr>
              <w:spacing w:line="276" w:lineRule="auto"/>
              <w:jc w:val="both"/>
              <w:rPr>
                <w:rFonts w:hint="eastAsia" w:ascii="宋体" w:hAnsi="宋体"/>
                <w:bCs/>
                <w:sz w:val="24"/>
                <w:highlight w:val="none"/>
              </w:rPr>
            </w:pPr>
            <w:r>
              <w:rPr>
                <w:rFonts w:hint="eastAsia" w:ascii="宋体" w:hAnsi="宋体"/>
                <w:bCs/>
                <w:sz w:val="24"/>
                <w:highlight w:val="none"/>
              </w:rPr>
              <w:t>可支持8通道脑电同屏显示功能（提供证明文件）</w:t>
            </w:r>
          </w:p>
        </w:tc>
      </w:tr>
      <w:tr w14:paraId="0667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4042DDE6">
            <w:pPr>
              <w:spacing w:line="276" w:lineRule="auto"/>
              <w:jc w:val="both"/>
              <w:rPr>
                <w:rFonts w:hint="eastAsia" w:ascii="宋体" w:hAnsi="宋体"/>
                <w:bCs/>
                <w:sz w:val="24"/>
                <w:highlight w:val="none"/>
              </w:rPr>
            </w:pPr>
            <w:r>
              <w:rPr>
                <w:rFonts w:hint="eastAsia" w:ascii="宋体" w:hAnsi="宋体"/>
                <w:bCs/>
                <w:sz w:val="24"/>
                <w:highlight w:val="none"/>
              </w:rPr>
              <w:t>■3.7</w:t>
            </w:r>
          </w:p>
        </w:tc>
        <w:tc>
          <w:tcPr>
            <w:tcW w:w="1838" w:type="dxa"/>
            <w:vAlign w:val="center"/>
          </w:tcPr>
          <w:p w14:paraId="3E28272F">
            <w:pPr>
              <w:spacing w:line="276" w:lineRule="auto"/>
              <w:jc w:val="both"/>
              <w:rPr>
                <w:rFonts w:hint="eastAsia" w:ascii="宋体" w:hAnsi="宋体"/>
                <w:bCs/>
                <w:sz w:val="24"/>
                <w:highlight w:val="none"/>
              </w:rPr>
            </w:pPr>
            <w:r>
              <w:rPr>
                <w:rFonts w:hint="eastAsia" w:ascii="宋体" w:hAnsi="宋体"/>
                <w:bCs/>
                <w:sz w:val="24"/>
                <w:highlight w:val="none"/>
              </w:rPr>
              <w:t>遥测信号强度检测</w:t>
            </w:r>
          </w:p>
        </w:tc>
        <w:tc>
          <w:tcPr>
            <w:tcW w:w="7105" w:type="dxa"/>
            <w:vAlign w:val="center"/>
          </w:tcPr>
          <w:p w14:paraId="6242EF3F">
            <w:pPr>
              <w:spacing w:line="276" w:lineRule="auto"/>
              <w:jc w:val="both"/>
              <w:rPr>
                <w:rFonts w:hint="eastAsia" w:ascii="宋体" w:hAnsi="宋体"/>
                <w:bCs/>
                <w:sz w:val="24"/>
                <w:highlight w:val="none"/>
              </w:rPr>
            </w:pPr>
            <w:r>
              <w:rPr>
                <w:rFonts w:hint="eastAsia" w:ascii="宋体" w:hAnsi="宋体"/>
                <w:bCs/>
                <w:sz w:val="24"/>
                <w:highlight w:val="none"/>
              </w:rPr>
              <w:t>具备遥测信号强度检测功能，可同时同屏显示8个床位信号强度。</w:t>
            </w:r>
          </w:p>
        </w:tc>
      </w:tr>
      <w:tr w14:paraId="03D7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54BB813D">
            <w:pPr>
              <w:spacing w:line="276" w:lineRule="auto"/>
              <w:jc w:val="both"/>
              <w:rPr>
                <w:rFonts w:hint="eastAsia" w:ascii="宋体" w:hAnsi="宋体"/>
                <w:bCs/>
                <w:sz w:val="24"/>
                <w:highlight w:val="none"/>
              </w:rPr>
            </w:pPr>
            <w:r>
              <w:rPr>
                <w:rFonts w:hint="eastAsia" w:ascii="宋体" w:hAnsi="宋体"/>
                <w:bCs/>
                <w:sz w:val="24"/>
                <w:highlight w:val="none"/>
              </w:rPr>
              <w:t>■3.8</w:t>
            </w:r>
          </w:p>
        </w:tc>
        <w:tc>
          <w:tcPr>
            <w:tcW w:w="1838" w:type="dxa"/>
            <w:vAlign w:val="center"/>
          </w:tcPr>
          <w:p w14:paraId="1B068CA8">
            <w:pPr>
              <w:spacing w:line="276" w:lineRule="auto"/>
              <w:jc w:val="both"/>
              <w:rPr>
                <w:rFonts w:hint="eastAsia" w:ascii="宋体" w:hAnsi="宋体"/>
                <w:bCs/>
                <w:sz w:val="24"/>
                <w:highlight w:val="none"/>
              </w:rPr>
            </w:pPr>
            <w:r>
              <w:rPr>
                <w:rFonts w:hint="eastAsia" w:ascii="宋体" w:hAnsi="宋体"/>
                <w:bCs/>
                <w:sz w:val="24"/>
                <w:highlight w:val="none"/>
              </w:rPr>
              <w:t>数据接口</w:t>
            </w:r>
          </w:p>
        </w:tc>
        <w:tc>
          <w:tcPr>
            <w:tcW w:w="7105" w:type="dxa"/>
            <w:vAlign w:val="center"/>
          </w:tcPr>
          <w:p w14:paraId="2B5FCAB6">
            <w:pPr>
              <w:spacing w:line="276" w:lineRule="auto"/>
              <w:jc w:val="both"/>
              <w:rPr>
                <w:rFonts w:hint="eastAsia" w:ascii="宋体" w:hAnsi="宋体"/>
                <w:bCs/>
                <w:sz w:val="24"/>
                <w:highlight w:val="none"/>
              </w:rPr>
            </w:pPr>
            <w:r>
              <w:rPr>
                <w:rFonts w:hint="eastAsia" w:ascii="宋体" w:hAnsi="宋体"/>
                <w:bCs/>
                <w:sz w:val="24"/>
                <w:highlight w:val="none"/>
              </w:rPr>
              <w:t>具备网络接口、USB接口、VGA视频输出端口，数据接口免费。</w:t>
            </w:r>
          </w:p>
        </w:tc>
      </w:tr>
      <w:tr w14:paraId="17CA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1ABF128">
            <w:pPr>
              <w:spacing w:line="276" w:lineRule="auto"/>
              <w:jc w:val="both"/>
              <w:rPr>
                <w:rFonts w:hint="eastAsia" w:ascii="宋体" w:hAnsi="宋体"/>
                <w:bCs/>
                <w:sz w:val="24"/>
                <w:highlight w:val="none"/>
              </w:rPr>
            </w:pPr>
            <w:r>
              <w:rPr>
                <w:rFonts w:hint="eastAsia" w:ascii="宋体" w:hAnsi="宋体"/>
                <w:bCs/>
                <w:sz w:val="24"/>
                <w:highlight w:val="none"/>
              </w:rPr>
              <w:t>3.9</w:t>
            </w:r>
          </w:p>
        </w:tc>
        <w:tc>
          <w:tcPr>
            <w:tcW w:w="1838" w:type="dxa"/>
            <w:vAlign w:val="center"/>
          </w:tcPr>
          <w:p w14:paraId="41F1F67C">
            <w:pPr>
              <w:spacing w:line="276" w:lineRule="auto"/>
              <w:jc w:val="both"/>
              <w:rPr>
                <w:rFonts w:hint="eastAsia" w:ascii="宋体" w:hAnsi="宋体"/>
                <w:bCs/>
                <w:sz w:val="24"/>
                <w:highlight w:val="none"/>
              </w:rPr>
            </w:pPr>
            <w:r>
              <w:rPr>
                <w:rFonts w:hint="eastAsia" w:ascii="宋体" w:hAnsi="宋体"/>
                <w:bCs/>
                <w:sz w:val="24"/>
                <w:highlight w:val="none"/>
              </w:rPr>
              <w:t>记录与打印</w:t>
            </w:r>
          </w:p>
        </w:tc>
        <w:tc>
          <w:tcPr>
            <w:tcW w:w="7105" w:type="dxa"/>
            <w:vAlign w:val="center"/>
          </w:tcPr>
          <w:p w14:paraId="54C33244">
            <w:pPr>
              <w:spacing w:line="276" w:lineRule="auto"/>
              <w:jc w:val="both"/>
              <w:rPr>
                <w:rFonts w:hint="eastAsia" w:ascii="宋体" w:hAnsi="宋体"/>
                <w:bCs/>
                <w:sz w:val="24"/>
                <w:highlight w:val="none"/>
              </w:rPr>
            </w:pPr>
            <w:r>
              <w:rPr>
                <w:rFonts w:hint="eastAsia" w:ascii="宋体" w:hAnsi="宋体"/>
                <w:bCs/>
                <w:sz w:val="24"/>
                <w:highlight w:val="none"/>
              </w:rPr>
              <w:t>配置激光打印机</w:t>
            </w:r>
          </w:p>
        </w:tc>
      </w:tr>
      <w:tr w14:paraId="3142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4C2FCBA8">
            <w:pPr>
              <w:spacing w:line="276" w:lineRule="auto"/>
              <w:jc w:val="both"/>
              <w:rPr>
                <w:rFonts w:hint="eastAsia" w:ascii="宋体" w:hAnsi="宋体"/>
                <w:bCs/>
                <w:sz w:val="24"/>
                <w:highlight w:val="none"/>
              </w:rPr>
            </w:pPr>
            <w:r>
              <w:rPr>
                <w:rFonts w:hint="eastAsia" w:ascii="宋体" w:hAnsi="宋体"/>
                <w:bCs/>
                <w:sz w:val="24"/>
                <w:highlight w:val="none"/>
              </w:rPr>
              <w:t>■3.10</w:t>
            </w:r>
          </w:p>
        </w:tc>
        <w:tc>
          <w:tcPr>
            <w:tcW w:w="1838" w:type="dxa"/>
            <w:vAlign w:val="center"/>
          </w:tcPr>
          <w:p w14:paraId="2351BEE0">
            <w:pPr>
              <w:spacing w:line="276" w:lineRule="auto"/>
              <w:jc w:val="both"/>
              <w:rPr>
                <w:rFonts w:hint="eastAsia" w:ascii="宋体" w:hAnsi="宋体"/>
                <w:bCs/>
                <w:sz w:val="24"/>
                <w:highlight w:val="none"/>
              </w:rPr>
            </w:pPr>
            <w:r>
              <w:rPr>
                <w:rFonts w:hint="eastAsia" w:ascii="宋体" w:hAnsi="宋体"/>
                <w:bCs/>
                <w:sz w:val="24"/>
                <w:highlight w:val="none"/>
              </w:rPr>
              <w:t>联网方式</w:t>
            </w:r>
          </w:p>
        </w:tc>
        <w:tc>
          <w:tcPr>
            <w:tcW w:w="7105" w:type="dxa"/>
            <w:vAlign w:val="center"/>
          </w:tcPr>
          <w:p w14:paraId="090023AD">
            <w:pPr>
              <w:spacing w:line="276" w:lineRule="auto"/>
              <w:jc w:val="both"/>
              <w:rPr>
                <w:rFonts w:hint="eastAsia" w:ascii="宋体" w:hAnsi="宋体"/>
                <w:bCs/>
                <w:sz w:val="24"/>
                <w:highlight w:val="none"/>
              </w:rPr>
            </w:pPr>
            <w:r>
              <w:rPr>
                <w:rFonts w:hint="eastAsia" w:ascii="宋体" w:hAnsi="宋体"/>
                <w:bCs/>
                <w:sz w:val="24"/>
                <w:highlight w:val="none"/>
              </w:rPr>
              <w:t>具有通过有线、无线、遥测等多种方式混合组建网络的能力，可以与床边监护仪、遥测监护仪、遥测发射盒组成监护网络</w:t>
            </w:r>
          </w:p>
        </w:tc>
      </w:tr>
      <w:tr w14:paraId="3E16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7824175">
            <w:pPr>
              <w:spacing w:line="276" w:lineRule="auto"/>
              <w:jc w:val="both"/>
              <w:rPr>
                <w:rFonts w:hint="eastAsia" w:ascii="宋体" w:hAnsi="宋体"/>
                <w:bCs/>
                <w:sz w:val="24"/>
                <w:highlight w:val="none"/>
              </w:rPr>
            </w:pPr>
            <w:r>
              <w:rPr>
                <w:rFonts w:hint="eastAsia" w:ascii="宋体" w:hAnsi="宋体"/>
                <w:bCs/>
                <w:sz w:val="24"/>
                <w:highlight w:val="none"/>
              </w:rPr>
              <w:t>4</w:t>
            </w:r>
          </w:p>
        </w:tc>
        <w:tc>
          <w:tcPr>
            <w:tcW w:w="1838" w:type="dxa"/>
            <w:vAlign w:val="center"/>
          </w:tcPr>
          <w:p w14:paraId="5862EDDE">
            <w:pPr>
              <w:spacing w:line="276" w:lineRule="auto"/>
              <w:jc w:val="both"/>
              <w:rPr>
                <w:rFonts w:hint="eastAsia" w:ascii="宋体" w:hAnsi="宋体"/>
                <w:bCs/>
                <w:sz w:val="24"/>
                <w:highlight w:val="none"/>
              </w:rPr>
            </w:pPr>
            <w:r>
              <w:rPr>
                <w:rFonts w:hint="eastAsia" w:ascii="宋体" w:hAnsi="宋体"/>
                <w:bCs/>
                <w:sz w:val="24"/>
                <w:highlight w:val="none"/>
              </w:rPr>
              <w:t>多通道遥测信号接收器</w:t>
            </w:r>
          </w:p>
        </w:tc>
        <w:tc>
          <w:tcPr>
            <w:tcW w:w="7105" w:type="dxa"/>
            <w:vAlign w:val="center"/>
          </w:tcPr>
          <w:p w14:paraId="18D234B3">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2BE9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5330CFDA">
            <w:pPr>
              <w:spacing w:line="276" w:lineRule="auto"/>
              <w:jc w:val="both"/>
              <w:rPr>
                <w:rFonts w:hint="eastAsia" w:ascii="宋体" w:hAnsi="宋体"/>
                <w:bCs/>
                <w:sz w:val="24"/>
                <w:highlight w:val="none"/>
              </w:rPr>
            </w:pPr>
            <w:r>
              <w:rPr>
                <w:rFonts w:hint="eastAsia" w:ascii="宋体" w:hAnsi="宋体"/>
                <w:bCs/>
                <w:sz w:val="24"/>
                <w:highlight w:val="none"/>
              </w:rPr>
              <w:t>4.1</w:t>
            </w:r>
          </w:p>
        </w:tc>
        <w:tc>
          <w:tcPr>
            <w:tcW w:w="1838" w:type="dxa"/>
            <w:vAlign w:val="center"/>
          </w:tcPr>
          <w:p w14:paraId="58E43E9C">
            <w:pPr>
              <w:spacing w:line="276" w:lineRule="auto"/>
              <w:jc w:val="both"/>
              <w:rPr>
                <w:rFonts w:hint="eastAsia" w:ascii="宋体" w:hAnsi="宋体"/>
                <w:bCs/>
                <w:sz w:val="24"/>
                <w:highlight w:val="none"/>
              </w:rPr>
            </w:pPr>
            <w:r>
              <w:rPr>
                <w:rFonts w:hint="eastAsia" w:ascii="宋体" w:hAnsi="宋体"/>
                <w:bCs/>
                <w:sz w:val="24"/>
                <w:highlight w:val="none"/>
              </w:rPr>
              <w:t>遥测接收方式</w:t>
            </w:r>
          </w:p>
        </w:tc>
        <w:tc>
          <w:tcPr>
            <w:tcW w:w="7105" w:type="dxa"/>
            <w:vAlign w:val="center"/>
          </w:tcPr>
          <w:p w14:paraId="191EB4A6">
            <w:pPr>
              <w:spacing w:line="276" w:lineRule="auto"/>
              <w:jc w:val="both"/>
              <w:rPr>
                <w:rFonts w:hint="eastAsia" w:ascii="宋体" w:hAnsi="宋体"/>
                <w:bCs/>
                <w:sz w:val="24"/>
                <w:highlight w:val="none"/>
              </w:rPr>
            </w:pPr>
            <w:r>
              <w:rPr>
                <w:rFonts w:hint="eastAsia" w:ascii="宋体" w:hAnsi="宋体"/>
                <w:bCs/>
                <w:sz w:val="24"/>
                <w:highlight w:val="none"/>
              </w:rPr>
              <w:t>420MHz～ 472MHz，频道间隔≤12.5kHz/档，接收灵敏度 ≤ 10dBμVemf</w:t>
            </w:r>
          </w:p>
        </w:tc>
      </w:tr>
      <w:tr w14:paraId="6FC9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C0E6B87">
            <w:pPr>
              <w:spacing w:line="276" w:lineRule="auto"/>
              <w:jc w:val="both"/>
              <w:rPr>
                <w:rFonts w:hint="eastAsia" w:ascii="宋体" w:hAnsi="宋体"/>
                <w:bCs/>
                <w:sz w:val="24"/>
                <w:highlight w:val="none"/>
              </w:rPr>
            </w:pPr>
            <w:r>
              <w:rPr>
                <w:rFonts w:hint="eastAsia" w:ascii="宋体" w:hAnsi="宋体"/>
                <w:bCs/>
                <w:sz w:val="24"/>
                <w:highlight w:val="none"/>
              </w:rPr>
              <w:t>4.2</w:t>
            </w:r>
          </w:p>
        </w:tc>
        <w:tc>
          <w:tcPr>
            <w:tcW w:w="1838" w:type="dxa"/>
            <w:vAlign w:val="center"/>
          </w:tcPr>
          <w:p w14:paraId="01C3F0D0">
            <w:pPr>
              <w:spacing w:line="276" w:lineRule="auto"/>
              <w:jc w:val="both"/>
              <w:rPr>
                <w:rFonts w:hint="eastAsia" w:ascii="宋体" w:hAnsi="宋体"/>
                <w:bCs/>
                <w:sz w:val="24"/>
                <w:highlight w:val="none"/>
              </w:rPr>
            </w:pPr>
            <w:r>
              <w:rPr>
                <w:rFonts w:hint="eastAsia" w:ascii="宋体" w:hAnsi="宋体"/>
                <w:bCs/>
                <w:sz w:val="24"/>
                <w:highlight w:val="none"/>
              </w:rPr>
              <w:t>心率计数范围</w:t>
            </w:r>
          </w:p>
        </w:tc>
        <w:tc>
          <w:tcPr>
            <w:tcW w:w="7105" w:type="dxa"/>
            <w:vAlign w:val="center"/>
          </w:tcPr>
          <w:p w14:paraId="51CAA7B1">
            <w:pPr>
              <w:spacing w:line="276" w:lineRule="auto"/>
              <w:jc w:val="both"/>
              <w:rPr>
                <w:rFonts w:hint="eastAsia" w:ascii="宋体" w:hAnsi="宋体"/>
                <w:bCs/>
                <w:sz w:val="24"/>
                <w:highlight w:val="none"/>
              </w:rPr>
            </w:pPr>
            <w:r>
              <w:rPr>
                <w:rFonts w:hint="eastAsia" w:ascii="宋体" w:hAnsi="宋体"/>
                <w:bCs/>
                <w:sz w:val="24"/>
                <w:highlight w:val="none"/>
              </w:rPr>
              <w:t>10 ～300 次/分钟（±2 次/分钟）</w:t>
            </w:r>
          </w:p>
        </w:tc>
      </w:tr>
      <w:tr w14:paraId="49D4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4BE582BF">
            <w:pPr>
              <w:spacing w:line="276" w:lineRule="auto"/>
              <w:jc w:val="both"/>
              <w:rPr>
                <w:rFonts w:hint="eastAsia" w:ascii="宋体" w:hAnsi="宋体"/>
                <w:bCs/>
                <w:sz w:val="24"/>
                <w:highlight w:val="none"/>
              </w:rPr>
            </w:pPr>
            <w:r>
              <w:rPr>
                <w:rFonts w:hint="eastAsia" w:ascii="宋体" w:hAnsi="宋体"/>
                <w:bCs/>
                <w:sz w:val="24"/>
                <w:highlight w:val="none"/>
              </w:rPr>
              <w:t>4.3</w:t>
            </w:r>
          </w:p>
        </w:tc>
        <w:tc>
          <w:tcPr>
            <w:tcW w:w="1838" w:type="dxa"/>
            <w:vAlign w:val="center"/>
          </w:tcPr>
          <w:p w14:paraId="62CF0B1A">
            <w:pPr>
              <w:spacing w:line="276" w:lineRule="auto"/>
              <w:jc w:val="both"/>
              <w:rPr>
                <w:rFonts w:hint="eastAsia" w:ascii="宋体" w:hAnsi="宋体"/>
                <w:bCs/>
                <w:sz w:val="24"/>
                <w:highlight w:val="none"/>
              </w:rPr>
            </w:pPr>
            <w:r>
              <w:rPr>
                <w:rFonts w:hint="eastAsia" w:ascii="宋体" w:hAnsi="宋体"/>
                <w:bCs/>
                <w:sz w:val="24"/>
                <w:highlight w:val="none"/>
              </w:rPr>
              <w:t>心律失常计数范围</w:t>
            </w:r>
          </w:p>
        </w:tc>
        <w:tc>
          <w:tcPr>
            <w:tcW w:w="7105" w:type="dxa"/>
            <w:vAlign w:val="center"/>
          </w:tcPr>
          <w:p w14:paraId="5A20E0B6">
            <w:pPr>
              <w:spacing w:line="276" w:lineRule="auto"/>
              <w:jc w:val="both"/>
              <w:rPr>
                <w:rFonts w:hint="eastAsia" w:ascii="宋体" w:hAnsi="宋体"/>
                <w:bCs/>
                <w:sz w:val="24"/>
                <w:highlight w:val="none"/>
              </w:rPr>
            </w:pPr>
            <w:r>
              <w:rPr>
                <w:rFonts w:hint="eastAsia" w:ascii="宋体" w:hAnsi="宋体"/>
                <w:bCs/>
                <w:sz w:val="24"/>
                <w:highlight w:val="none"/>
              </w:rPr>
              <w:t>0～99 个/分钟</w:t>
            </w:r>
          </w:p>
        </w:tc>
      </w:tr>
      <w:tr w14:paraId="2054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64FBCB96">
            <w:pPr>
              <w:spacing w:line="276" w:lineRule="auto"/>
              <w:jc w:val="both"/>
              <w:rPr>
                <w:rFonts w:hint="eastAsia" w:ascii="宋体" w:hAnsi="宋体"/>
                <w:bCs/>
                <w:sz w:val="24"/>
                <w:highlight w:val="none"/>
              </w:rPr>
            </w:pPr>
            <w:r>
              <w:rPr>
                <w:rFonts w:hint="eastAsia" w:ascii="宋体" w:hAnsi="宋体"/>
                <w:bCs/>
                <w:sz w:val="24"/>
                <w:highlight w:val="none"/>
              </w:rPr>
              <w:t>4.4</w:t>
            </w:r>
          </w:p>
        </w:tc>
        <w:tc>
          <w:tcPr>
            <w:tcW w:w="1838" w:type="dxa"/>
            <w:vAlign w:val="center"/>
          </w:tcPr>
          <w:p w14:paraId="513E6040">
            <w:pPr>
              <w:spacing w:line="276" w:lineRule="auto"/>
              <w:jc w:val="both"/>
              <w:rPr>
                <w:rFonts w:hint="eastAsia" w:ascii="宋体" w:hAnsi="宋体"/>
                <w:bCs/>
                <w:sz w:val="24"/>
                <w:highlight w:val="none"/>
              </w:rPr>
            </w:pPr>
            <w:r>
              <w:rPr>
                <w:rFonts w:hint="eastAsia" w:ascii="宋体" w:hAnsi="宋体"/>
                <w:bCs/>
                <w:sz w:val="24"/>
                <w:highlight w:val="none"/>
              </w:rPr>
              <w:t>ST 水平</w:t>
            </w:r>
          </w:p>
        </w:tc>
        <w:tc>
          <w:tcPr>
            <w:tcW w:w="7105" w:type="dxa"/>
            <w:vAlign w:val="center"/>
          </w:tcPr>
          <w:p w14:paraId="4A0C4042">
            <w:pPr>
              <w:spacing w:line="276" w:lineRule="auto"/>
              <w:jc w:val="both"/>
              <w:rPr>
                <w:rFonts w:hint="eastAsia" w:ascii="宋体" w:hAnsi="宋体"/>
                <w:bCs/>
                <w:sz w:val="24"/>
                <w:highlight w:val="none"/>
              </w:rPr>
            </w:pPr>
            <w:r>
              <w:rPr>
                <w:rFonts w:hint="eastAsia" w:ascii="宋体" w:hAnsi="宋体"/>
                <w:bCs/>
                <w:sz w:val="24"/>
                <w:highlight w:val="none"/>
              </w:rPr>
              <w:t>计数范围：±2.5 mV（±25.0 mm）</w:t>
            </w:r>
          </w:p>
        </w:tc>
      </w:tr>
      <w:tr w14:paraId="79F0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181077E0">
            <w:pPr>
              <w:spacing w:line="276" w:lineRule="auto"/>
              <w:jc w:val="both"/>
              <w:rPr>
                <w:rFonts w:hint="eastAsia" w:ascii="宋体" w:hAnsi="宋体"/>
                <w:bCs/>
                <w:sz w:val="24"/>
                <w:highlight w:val="none"/>
              </w:rPr>
            </w:pPr>
            <w:r>
              <w:rPr>
                <w:rFonts w:hint="eastAsia" w:ascii="宋体" w:hAnsi="宋体"/>
                <w:bCs/>
                <w:sz w:val="24"/>
                <w:highlight w:val="none"/>
              </w:rPr>
              <w:t>4.5</w:t>
            </w:r>
          </w:p>
        </w:tc>
        <w:tc>
          <w:tcPr>
            <w:tcW w:w="1838" w:type="dxa"/>
            <w:vAlign w:val="center"/>
          </w:tcPr>
          <w:p w14:paraId="13732BE2">
            <w:pPr>
              <w:spacing w:line="276" w:lineRule="auto"/>
              <w:jc w:val="both"/>
              <w:rPr>
                <w:rFonts w:hint="eastAsia" w:ascii="宋体" w:hAnsi="宋体"/>
                <w:bCs/>
                <w:sz w:val="24"/>
                <w:highlight w:val="none"/>
              </w:rPr>
            </w:pPr>
            <w:r>
              <w:rPr>
                <w:rFonts w:hint="eastAsia" w:ascii="宋体" w:hAnsi="宋体"/>
                <w:bCs/>
                <w:sz w:val="24"/>
                <w:highlight w:val="none"/>
              </w:rPr>
              <w:t>呼吸计数</w:t>
            </w:r>
          </w:p>
        </w:tc>
        <w:tc>
          <w:tcPr>
            <w:tcW w:w="7105" w:type="dxa"/>
            <w:vAlign w:val="center"/>
          </w:tcPr>
          <w:p w14:paraId="61BA6C90">
            <w:pPr>
              <w:spacing w:line="276" w:lineRule="auto"/>
              <w:jc w:val="both"/>
              <w:rPr>
                <w:rFonts w:hint="eastAsia" w:ascii="宋体" w:hAnsi="宋体"/>
                <w:bCs/>
                <w:sz w:val="24"/>
                <w:highlight w:val="none"/>
              </w:rPr>
            </w:pPr>
            <w:r>
              <w:rPr>
                <w:rFonts w:hint="eastAsia" w:ascii="宋体" w:hAnsi="宋体"/>
                <w:bCs/>
                <w:sz w:val="24"/>
                <w:highlight w:val="none"/>
              </w:rPr>
              <w:t>范围：0 ～150 次/分钟，精度：±2 次/分钟</w:t>
            </w:r>
          </w:p>
        </w:tc>
      </w:tr>
      <w:tr w14:paraId="79BC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2EE49188">
            <w:pPr>
              <w:spacing w:line="276" w:lineRule="auto"/>
              <w:jc w:val="both"/>
              <w:rPr>
                <w:rFonts w:hint="eastAsia" w:ascii="宋体" w:hAnsi="宋体"/>
                <w:bCs/>
                <w:sz w:val="24"/>
                <w:highlight w:val="none"/>
              </w:rPr>
            </w:pPr>
            <w:r>
              <w:rPr>
                <w:rFonts w:hint="eastAsia" w:ascii="宋体" w:hAnsi="宋体"/>
                <w:bCs/>
                <w:sz w:val="24"/>
                <w:highlight w:val="none"/>
              </w:rPr>
              <w:t>■4.6</w:t>
            </w:r>
          </w:p>
        </w:tc>
        <w:tc>
          <w:tcPr>
            <w:tcW w:w="1838" w:type="dxa"/>
            <w:vAlign w:val="center"/>
          </w:tcPr>
          <w:p w14:paraId="46A6132F">
            <w:pPr>
              <w:spacing w:line="276" w:lineRule="auto"/>
              <w:jc w:val="both"/>
              <w:rPr>
                <w:rFonts w:hint="eastAsia" w:ascii="宋体" w:hAnsi="宋体"/>
                <w:bCs/>
                <w:sz w:val="24"/>
                <w:highlight w:val="none"/>
              </w:rPr>
            </w:pPr>
            <w:r>
              <w:rPr>
                <w:rFonts w:hint="eastAsia" w:ascii="宋体" w:hAnsi="宋体"/>
                <w:bCs/>
                <w:sz w:val="24"/>
                <w:highlight w:val="none"/>
              </w:rPr>
              <w:t>无创血压接收范围</w:t>
            </w:r>
          </w:p>
        </w:tc>
        <w:tc>
          <w:tcPr>
            <w:tcW w:w="7105" w:type="dxa"/>
            <w:vAlign w:val="center"/>
          </w:tcPr>
          <w:p w14:paraId="24F6D3CA">
            <w:pPr>
              <w:spacing w:line="276" w:lineRule="auto"/>
              <w:jc w:val="both"/>
              <w:rPr>
                <w:rFonts w:hint="eastAsia" w:ascii="宋体" w:hAnsi="宋体"/>
                <w:bCs/>
                <w:sz w:val="24"/>
                <w:highlight w:val="none"/>
              </w:rPr>
            </w:pPr>
            <w:r>
              <w:rPr>
                <w:rFonts w:hint="eastAsia" w:ascii="宋体" w:hAnsi="宋体"/>
                <w:bCs/>
                <w:sz w:val="24"/>
                <w:highlight w:val="none"/>
              </w:rPr>
              <w:t>0～300 mmHg</w:t>
            </w:r>
          </w:p>
        </w:tc>
      </w:tr>
      <w:tr w14:paraId="4F6E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1525268C">
            <w:pPr>
              <w:spacing w:line="276" w:lineRule="auto"/>
              <w:jc w:val="both"/>
              <w:rPr>
                <w:rFonts w:hint="eastAsia" w:ascii="宋体" w:hAnsi="宋体"/>
                <w:bCs/>
                <w:sz w:val="24"/>
                <w:highlight w:val="none"/>
              </w:rPr>
            </w:pPr>
            <w:r>
              <w:rPr>
                <w:rFonts w:hint="eastAsia" w:ascii="宋体" w:hAnsi="宋体"/>
                <w:bCs/>
                <w:sz w:val="24"/>
                <w:highlight w:val="none"/>
              </w:rPr>
              <w:t>4.7</w:t>
            </w:r>
          </w:p>
        </w:tc>
        <w:tc>
          <w:tcPr>
            <w:tcW w:w="1838" w:type="dxa"/>
            <w:vAlign w:val="center"/>
          </w:tcPr>
          <w:p w14:paraId="019E8E91">
            <w:pPr>
              <w:spacing w:line="276" w:lineRule="auto"/>
              <w:jc w:val="both"/>
              <w:rPr>
                <w:rFonts w:hint="eastAsia" w:ascii="宋体" w:hAnsi="宋体"/>
                <w:bCs/>
                <w:sz w:val="24"/>
                <w:highlight w:val="none"/>
              </w:rPr>
            </w:pPr>
            <w:r>
              <w:rPr>
                <w:rFonts w:hint="eastAsia" w:ascii="宋体" w:hAnsi="宋体"/>
                <w:bCs/>
                <w:sz w:val="24"/>
                <w:highlight w:val="none"/>
              </w:rPr>
              <w:t>血氧（SpO2）接收范围</w:t>
            </w:r>
          </w:p>
        </w:tc>
        <w:tc>
          <w:tcPr>
            <w:tcW w:w="7105" w:type="dxa"/>
            <w:vAlign w:val="center"/>
          </w:tcPr>
          <w:p w14:paraId="24F82C22">
            <w:pPr>
              <w:spacing w:line="276" w:lineRule="auto"/>
              <w:jc w:val="both"/>
              <w:rPr>
                <w:rFonts w:hint="eastAsia" w:ascii="宋体" w:hAnsi="宋体"/>
                <w:bCs/>
                <w:sz w:val="24"/>
                <w:highlight w:val="none"/>
              </w:rPr>
            </w:pPr>
            <w:r>
              <w:rPr>
                <w:rFonts w:hint="eastAsia" w:ascii="宋体" w:hAnsi="宋体"/>
                <w:bCs/>
                <w:sz w:val="24"/>
                <w:highlight w:val="none"/>
              </w:rPr>
              <w:t>0～100%</w:t>
            </w:r>
          </w:p>
        </w:tc>
      </w:tr>
      <w:tr w14:paraId="428C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1A2E545">
            <w:pPr>
              <w:spacing w:line="276" w:lineRule="auto"/>
              <w:jc w:val="both"/>
              <w:rPr>
                <w:rFonts w:hint="eastAsia" w:ascii="宋体" w:hAnsi="宋体"/>
                <w:bCs/>
                <w:sz w:val="24"/>
                <w:highlight w:val="none"/>
              </w:rPr>
            </w:pPr>
            <w:r>
              <w:rPr>
                <w:rFonts w:hint="eastAsia" w:ascii="宋体" w:hAnsi="宋体"/>
                <w:bCs/>
                <w:sz w:val="24"/>
                <w:highlight w:val="none"/>
              </w:rPr>
              <w:t>4.8</w:t>
            </w:r>
          </w:p>
        </w:tc>
        <w:tc>
          <w:tcPr>
            <w:tcW w:w="1838" w:type="dxa"/>
            <w:vAlign w:val="center"/>
          </w:tcPr>
          <w:p w14:paraId="57C326E2">
            <w:pPr>
              <w:spacing w:line="276" w:lineRule="auto"/>
              <w:jc w:val="both"/>
              <w:rPr>
                <w:rFonts w:hint="eastAsia" w:ascii="宋体" w:hAnsi="宋体"/>
                <w:bCs/>
                <w:sz w:val="24"/>
                <w:highlight w:val="none"/>
              </w:rPr>
            </w:pPr>
            <w:r>
              <w:rPr>
                <w:rFonts w:hint="eastAsia" w:ascii="宋体" w:hAnsi="宋体"/>
                <w:bCs/>
                <w:sz w:val="24"/>
                <w:highlight w:val="none"/>
              </w:rPr>
              <w:t>脉搏率计数范围</w:t>
            </w:r>
          </w:p>
        </w:tc>
        <w:tc>
          <w:tcPr>
            <w:tcW w:w="7105" w:type="dxa"/>
            <w:vAlign w:val="center"/>
          </w:tcPr>
          <w:p w14:paraId="56AD0677">
            <w:pPr>
              <w:spacing w:line="276" w:lineRule="auto"/>
              <w:jc w:val="both"/>
              <w:rPr>
                <w:rFonts w:hint="eastAsia" w:ascii="宋体" w:hAnsi="宋体"/>
                <w:bCs/>
                <w:sz w:val="24"/>
                <w:highlight w:val="none"/>
              </w:rPr>
            </w:pPr>
            <w:r>
              <w:rPr>
                <w:rFonts w:hint="eastAsia" w:ascii="宋体" w:hAnsi="宋体"/>
                <w:bCs/>
                <w:sz w:val="24"/>
                <w:highlight w:val="none"/>
              </w:rPr>
              <w:t>30 ～300 次/分钟（±2 次/分钟）</w:t>
            </w:r>
          </w:p>
        </w:tc>
      </w:tr>
      <w:tr w14:paraId="3128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45C96D4">
            <w:pPr>
              <w:spacing w:line="276" w:lineRule="auto"/>
              <w:jc w:val="both"/>
              <w:rPr>
                <w:rFonts w:hint="eastAsia" w:ascii="宋体" w:hAnsi="宋体"/>
                <w:bCs/>
                <w:sz w:val="24"/>
                <w:highlight w:val="none"/>
              </w:rPr>
            </w:pPr>
            <w:r>
              <w:rPr>
                <w:rFonts w:hint="eastAsia" w:ascii="宋体" w:hAnsi="宋体"/>
                <w:bCs/>
                <w:sz w:val="24"/>
                <w:highlight w:val="none"/>
              </w:rPr>
              <w:t>5</w:t>
            </w:r>
          </w:p>
        </w:tc>
        <w:tc>
          <w:tcPr>
            <w:tcW w:w="1838" w:type="dxa"/>
            <w:vAlign w:val="center"/>
          </w:tcPr>
          <w:p w14:paraId="59C1AB49">
            <w:pPr>
              <w:spacing w:line="276" w:lineRule="auto"/>
              <w:jc w:val="both"/>
              <w:rPr>
                <w:rFonts w:hint="eastAsia" w:ascii="宋体" w:hAnsi="宋体"/>
                <w:bCs/>
                <w:sz w:val="24"/>
                <w:highlight w:val="none"/>
              </w:rPr>
            </w:pPr>
            <w:r>
              <w:rPr>
                <w:rFonts w:hint="eastAsia" w:ascii="宋体" w:hAnsi="宋体"/>
                <w:bCs/>
                <w:sz w:val="24"/>
                <w:highlight w:val="none"/>
              </w:rPr>
              <w:t>遥测发射盒（ECG，Resp）</w:t>
            </w:r>
          </w:p>
        </w:tc>
        <w:tc>
          <w:tcPr>
            <w:tcW w:w="7105" w:type="dxa"/>
            <w:vAlign w:val="center"/>
          </w:tcPr>
          <w:p w14:paraId="10E2524C">
            <w:pPr>
              <w:spacing w:line="276" w:lineRule="auto"/>
              <w:jc w:val="both"/>
              <w:rPr>
                <w:rFonts w:hint="eastAsia" w:ascii="宋体" w:hAnsi="宋体"/>
                <w:bCs/>
                <w:sz w:val="24"/>
                <w:highlight w:val="none"/>
              </w:rPr>
            </w:pPr>
            <w:r>
              <w:rPr>
                <w:rFonts w:hint="eastAsia" w:ascii="宋体" w:hAnsi="宋体"/>
                <w:bCs/>
                <w:sz w:val="24"/>
                <w:highlight w:val="none"/>
              </w:rPr>
              <w:t>数量：7个。可显示ECG波形。</w:t>
            </w:r>
          </w:p>
        </w:tc>
      </w:tr>
      <w:tr w14:paraId="5F7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B690D94">
            <w:pPr>
              <w:spacing w:line="276" w:lineRule="auto"/>
              <w:jc w:val="both"/>
              <w:rPr>
                <w:rFonts w:hint="eastAsia" w:ascii="宋体" w:hAnsi="宋体"/>
                <w:bCs/>
                <w:sz w:val="24"/>
                <w:highlight w:val="none"/>
              </w:rPr>
            </w:pPr>
            <w:r>
              <w:rPr>
                <w:rFonts w:hint="eastAsia" w:ascii="宋体" w:hAnsi="宋体"/>
                <w:bCs/>
                <w:sz w:val="24"/>
                <w:highlight w:val="none"/>
              </w:rPr>
              <w:t>■5.1</w:t>
            </w:r>
          </w:p>
        </w:tc>
        <w:tc>
          <w:tcPr>
            <w:tcW w:w="1838" w:type="dxa"/>
            <w:vAlign w:val="center"/>
          </w:tcPr>
          <w:p w14:paraId="565FF68A">
            <w:pPr>
              <w:spacing w:line="276" w:lineRule="auto"/>
              <w:jc w:val="both"/>
              <w:rPr>
                <w:rFonts w:hint="eastAsia" w:ascii="宋体" w:hAnsi="宋体"/>
                <w:bCs/>
                <w:sz w:val="24"/>
                <w:highlight w:val="none"/>
              </w:rPr>
            </w:pPr>
            <w:r>
              <w:rPr>
                <w:rFonts w:hint="eastAsia" w:ascii="宋体" w:hAnsi="宋体"/>
                <w:bCs/>
                <w:sz w:val="24"/>
                <w:highlight w:val="none"/>
              </w:rPr>
              <w:t>液晶屏幕显示</w:t>
            </w:r>
          </w:p>
        </w:tc>
        <w:tc>
          <w:tcPr>
            <w:tcW w:w="7105" w:type="dxa"/>
            <w:vAlign w:val="center"/>
          </w:tcPr>
          <w:p w14:paraId="3D2708DC">
            <w:pPr>
              <w:spacing w:line="276" w:lineRule="auto"/>
              <w:jc w:val="both"/>
              <w:rPr>
                <w:rFonts w:hint="eastAsia" w:ascii="宋体" w:hAnsi="宋体"/>
                <w:bCs/>
                <w:sz w:val="24"/>
                <w:highlight w:val="none"/>
              </w:rPr>
            </w:pPr>
            <w:r>
              <w:rPr>
                <w:rFonts w:hint="eastAsia" w:ascii="宋体" w:hAnsi="宋体"/>
                <w:bCs/>
                <w:sz w:val="24"/>
                <w:highlight w:val="none"/>
              </w:rPr>
              <w:t>具备，可显示心电波形。</w:t>
            </w:r>
          </w:p>
        </w:tc>
      </w:tr>
      <w:tr w14:paraId="0325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612EBF28">
            <w:pPr>
              <w:spacing w:line="276" w:lineRule="auto"/>
              <w:jc w:val="both"/>
              <w:rPr>
                <w:rFonts w:hint="eastAsia" w:ascii="宋体" w:hAnsi="宋体"/>
                <w:bCs/>
                <w:sz w:val="24"/>
                <w:highlight w:val="none"/>
              </w:rPr>
            </w:pPr>
            <w:r>
              <w:rPr>
                <w:rFonts w:hint="eastAsia" w:ascii="宋体" w:hAnsi="宋体"/>
                <w:bCs/>
                <w:sz w:val="24"/>
                <w:highlight w:val="none"/>
              </w:rPr>
              <w:t>■5.2</w:t>
            </w:r>
          </w:p>
        </w:tc>
        <w:tc>
          <w:tcPr>
            <w:tcW w:w="1838" w:type="dxa"/>
            <w:vAlign w:val="center"/>
          </w:tcPr>
          <w:p w14:paraId="2E52EFE7">
            <w:pPr>
              <w:spacing w:line="276" w:lineRule="auto"/>
              <w:jc w:val="both"/>
              <w:rPr>
                <w:rFonts w:hint="eastAsia" w:ascii="宋体" w:hAnsi="宋体"/>
                <w:bCs/>
                <w:sz w:val="24"/>
                <w:highlight w:val="none"/>
              </w:rPr>
            </w:pPr>
            <w:r>
              <w:rPr>
                <w:rFonts w:hint="eastAsia" w:ascii="宋体" w:hAnsi="宋体"/>
                <w:bCs/>
                <w:sz w:val="24"/>
                <w:highlight w:val="none"/>
              </w:rPr>
              <w:t>呼叫医务人员实体按键</w:t>
            </w:r>
          </w:p>
        </w:tc>
        <w:tc>
          <w:tcPr>
            <w:tcW w:w="7105" w:type="dxa"/>
            <w:vAlign w:val="center"/>
          </w:tcPr>
          <w:p w14:paraId="33E6F5D8">
            <w:pPr>
              <w:spacing w:line="276" w:lineRule="auto"/>
              <w:jc w:val="both"/>
              <w:rPr>
                <w:rFonts w:hint="eastAsia" w:ascii="宋体" w:hAnsi="宋体"/>
                <w:bCs/>
                <w:sz w:val="24"/>
                <w:highlight w:val="none"/>
              </w:rPr>
            </w:pPr>
            <w:r>
              <w:rPr>
                <w:rFonts w:hint="eastAsia" w:ascii="宋体" w:hAnsi="宋体"/>
                <w:bCs/>
                <w:sz w:val="24"/>
                <w:highlight w:val="none"/>
              </w:rPr>
              <w:t>具备实体按键（非触摸屏按键），按下后可以发送呼叫信号给护士站中央站</w:t>
            </w:r>
          </w:p>
        </w:tc>
      </w:tr>
      <w:tr w14:paraId="646A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5C75410">
            <w:pPr>
              <w:spacing w:line="276" w:lineRule="auto"/>
              <w:jc w:val="both"/>
              <w:rPr>
                <w:rFonts w:hint="eastAsia" w:ascii="宋体" w:hAnsi="宋体"/>
                <w:bCs/>
                <w:sz w:val="24"/>
                <w:highlight w:val="none"/>
              </w:rPr>
            </w:pPr>
            <w:r>
              <w:rPr>
                <w:rFonts w:hint="eastAsia" w:ascii="宋体" w:hAnsi="宋体"/>
                <w:bCs/>
                <w:sz w:val="24"/>
                <w:highlight w:val="none"/>
              </w:rPr>
              <w:t>5.3</w:t>
            </w:r>
          </w:p>
        </w:tc>
        <w:tc>
          <w:tcPr>
            <w:tcW w:w="1838" w:type="dxa"/>
            <w:vAlign w:val="center"/>
          </w:tcPr>
          <w:p w14:paraId="1A81CF9A">
            <w:pPr>
              <w:spacing w:line="276" w:lineRule="auto"/>
              <w:jc w:val="both"/>
              <w:rPr>
                <w:rFonts w:hint="eastAsia" w:ascii="宋体" w:hAnsi="宋体"/>
                <w:bCs/>
                <w:sz w:val="24"/>
                <w:highlight w:val="none"/>
              </w:rPr>
            </w:pPr>
            <w:r>
              <w:rPr>
                <w:rFonts w:hint="eastAsia" w:ascii="宋体" w:hAnsi="宋体"/>
                <w:bCs/>
                <w:sz w:val="24"/>
                <w:highlight w:val="none"/>
              </w:rPr>
              <w:t>报警暂停</w:t>
            </w:r>
          </w:p>
        </w:tc>
        <w:tc>
          <w:tcPr>
            <w:tcW w:w="7105" w:type="dxa"/>
            <w:vAlign w:val="center"/>
          </w:tcPr>
          <w:p w14:paraId="3231D19D">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7675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AB88DA7">
            <w:pPr>
              <w:spacing w:line="276" w:lineRule="auto"/>
              <w:jc w:val="both"/>
              <w:rPr>
                <w:rFonts w:hint="eastAsia" w:ascii="宋体" w:hAnsi="宋体"/>
                <w:bCs/>
                <w:sz w:val="24"/>
                <w:highlight w:val="none"/>
              </w:rPr>
            </w:pPr>
            <w:r>
              <w:rPr>
                <w:rFonts w:hint="eastAsia" w:ascii="宋体" w:hAnsi="宋体"/>
                <w:bCs/>
                <w:sz w:val="24"/>
                <w:highlight w:val="none"/>
              </w:rPr>
              <w:t>■5.4</w:t>
            </w:r>
          </w:p>
        </w:tc>
        <w:tc>
          <w:tcPr>
            <w:tcW w:w="1838" w:type="dxa"/>
            <w:vAlign w:val="center"/>
          </w:tcPr>
          <w:p w14:paraId="2B338EA2">
            <w:pPr>
              <w:spacing w:line="276" w:lineRule="auto"/>
              <w:jc w:val="both"/>
              <w:rPr>
                <w:rFonts w:hint="eastAsia" w:ascii="宋体" w:hAnsi="宋体"/>
                <w:bCs/>
                <w:sz w:val="24"/>
                <w:highlight w:val="none"/>
              </w:rPr>
            </w:pPr>
            <w:r>
              <w:rPr>
                <w:rFonts w:hint="eastAsia" w:ascii="宋体" w:hAnsi="宋体"/>
                <w:bCs/>
                <w:sz w:val="24"/>
                <w:highlight w:val="none"/>
              </w:rPr>
              <w:t>工作电压及连续工作时间</w:t>
            </w:r>
          </w:p>
        </w:tc>
        <w:tc>
          <w:tcPr>
            <w:tcW w:w="7105" w:type="dxa"/>
            <w:vAlign w:val="center"/>
          </w:tcPr>
          <w:p w14:paraId="39453CD3">
            <w:pPr>
              <w:spacing w:line="276" w:lineRule="auto"/>
              <w:jc w:val="both"/>
              <w:rPr>
                <w:rFonts w:hint="eastAsia" w:ascii="宋体" w:hAnsi="宋体"/>
                <w:bCs/>
                <w:sz w:val="24"/>
                <w:highlight w:val="none"/>
              </w:rPr>
            </w:pPr>
            <w:r>
              <w:rPr>
                <w:rFonts w:hint="eastAsia" w:ascii="宋体" w:hAnsi="宋体"/>
                <w:bCs/>
                <w:sz w:val="24"/>
                <w:highlight w:val="none"/>
              </w:rPr>
              <w:t>额定工作电压≤1.8V，支持≥6天连续监护（提供证明文件）</w:t>
            </w:r>
          </w:p>
        </w:tc>
      </w:tr>
      <w:tr w14:paraId="3A85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95609A6">
            <w:pPr>
              <w:spacing w:line="276" w:lineRule="auto"/>
              <w:jc w:val="both"/>
              <w:rPr>
                <w:rFonts w:hint="eastAsia" w:ascii="宋体" w:hAnsi="宋体"/>
                <w:bCs/>
                <w:sz w:val="24"/>
                <w:highlight w:val="none"/>
              </w:rPr>
            </w:pPr>
            <w:r>
              <w:rPr>
                <w:rFonts w:hint="eastAsia" w:ascii="宋体" w:hAnsi="宋体"/>
                <w:bCs/>
                <w:sz w:val="24"/>
                <w:highlight w:val="none"/>
              </w:rPr>
              <w:t>5.5</w:t>
            </w:r>
          </w:p>
        </w:tc>
        <w:tc>
          <w:tcPr>
            <w:tcW w:w="1838" w:type="dxa"/>
            <w:vAlign w:val="center"/>
          </w:tcPr>
          <w:p w14:paraId="3A57D304">
            <w:pPr>
              <w:spacing w:line="276" w:lineRule="auto"/>
              <w:jc w:val="both"/>
              <w:rPr>
                <w:rFonts w:hint="eastAsia" w:ascii="宋体" w:hAnsi="宋体"/>
                <w:bCs/>
                <w:sz w:val="24"/>
                <w:highlight w:val="none"/>
              </w:rPr>
            </w:pPr>
            <w:r>
              <w:rPr>
                <w:rFonts w:hint="eastAsia" w:ascii="宋体" w:hAnsi="宋体"/>
                <w:bCs/>
                <w:sz w:val="24"/>
                <w:highlight w:val="none"/>
              </w:rPr>
              <w:t>心电（ECG）</w:t>
            </w:r>
          </w:p>
        </w:tc>
        <w:tc>
          <w:tcPr>
            <w:tcW w:w="7105" w:type="dxa"/>
            <w:vAlign w:val="center"/>
          </w:tcPr>
          <w:p w14:paraId="06E38895">
            <w:pPr>
              <w:spacing w:line="276" w:lineRule="auto"/>
              <w:jc w:val="both"/>
              <w:rPr>
                <w:rFonts w:hint="eastAsia" w:ascii="宋体" w:hAnsi="宋体"/>
                <w:bCs/>
                <w:sz w:val="24"/>
                <w:highlight w:val="none"/>
              </w:rPr>
            </w:pPr>
            <w:r>
              <w:rPr>
                <w:rFonts w:hint="eastAsia" w:ascii="宋体" w:hAnsi="宋体"/>
                <w:bCs/>
                <w:sz w:val="24"/>
                <w:highlight w:val="none"/>
              </w:rPr>
              <w:t>输入阻抗≥5MΩ，CMRR≥95dB，起搏脉冲检测：±2到700mV</w:t>
            </w:r>
          </w:p>
        </w:tc>
      </w:tr>
      <w:tr w14:paraId="0B8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EF42B06">
            <w:pPr>
              <w:spacing w:line="276" w:lineRule="auto"/>
              <w:jc w:val="both"/>
              <w:rPr>
                <w:rFonts w:hint="eastAsia" w:ascii="宋体" w:hAnsi="宋体"/>
                <w:bCs/>
                <w:sz w:val="24"/>
                <w:highlight w:val="none"/>
              </w:rPr>
            </w:pPr>
            <w:r>
              <w:rPr>
                <w:rFonts w:hint="eastAsia" w:ascii="宋体" w:hAnsi="宋体"/>
                <w:bCs/>
                <w:sz w:val="24"/>
                <w:highlight w:val="none"/>
              </w:rPr>
              <w:t>5.6</w:t>
            </w:r>
          </w:p>
        </w:tc>
        <w:tc>
          <w:tcPr>
            <w:tcW w:w="1838" w:type="dxa"/>
            <w:vAlign w:val="center"/>
          </w:tcPr>
          <w:p w14:paraId="1896FBD1">
            <w:pPr>
              <w:spacing w:line="276" w:lineRule="auto"/>
              <w:jc w:val="both"/>
              <w:rPr>
                <w:rFonts w:hint="eastAsia" w:ascii="宋体" w:hAnsi="宋体"/>
                <w:bCs/>
                <w:sz w:val="24"/>
                <w:highlight w:val="none"/>
              </w:rPr>
            </w:pPr>
            <w:r>
              <w:rPr>
                <w:rFonts w:hint="eastAsia" w:ascii="宋体" w:hAnsi="宋体"/>
                <w:bCs/>
                <w:sz w:val="24"/>
                <w:highlight w:val="none"/>
              </w:rPr>
              <w:t>呼吸（Resp）</w:t>
            </w:r>
          </w:p>
        </w:tc>
        <w:tc>
          <w:tcPr>
            <w:tcW w:w="7105" w:type="dxa"/>
            <w:vAlign w:val="center"/>
          </w:tcPr>
          <w:p w14:paraId="0BD65582">
            <w:pPr>
              <w:spacing w:line="276" w:lineRule="auto"/>
              <w:jc w:val="both"/>
              <w:rPr>
                <w:rFonts w:hint="eastAsia" w:ascii="宋体" w:hAnsi="宋体"/>
                <w:bCs/>
                <w:sz w:val="24"/>
                <w:highlight w:val="none"/>
              </w:rPr>
            </w:pPr>
            <w:r>
              <w:rPr>
                <w:rFonts w:hint="eastAsia" w:ascii="宋体" w:hAnsi="宋体"/>
                <w:bCs/>
                <w:sz w:val="24"/>
                <w:highlight w:val="none"/>
              </w:rPr>
              <w:t>R-F导联，阻抗范围：220Ω～2KΩ</w:t>
            </w:r>
          </w:p>
        </w:tc>
      </w:tr>
      <w:tr w14:paraId="4E3B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43801177">
            <w:pPr>
              <w:spacing w:line="276" w:lineRule="auto"/>
              <w:jc w:val="both"/>
              <w:rPr>
                <w:rFonts w:hint="eastAsia" w:ascii="宋体" w:hAnsi="宋体"/>
                <w:bCs/>
                <w:sz w:val="24"/>
                <w:highlight w:val="none"/>
              </w:rPr>
            </w:pPr>
            <w:r>
              <w:rPr>
                <w:rFonts w:hint="eastAsia" w:ascii="宋体" w:hAnsi="宋体"/>
                <w:bCs/>
                <w:sz w:val="24"/>
                <w:highlight w:val="none"/>
              </w:rPr>
              <w:t>■5.7</w:t>
            </w:r>
          </w:p>
        </w:tc>
        <w:tc>
          <w:tcPr>
            <w:tcW w:w="1838" w:type="dxa"/>
            <w:vAlign w:val="center"/>
          </w:tcPr>
          <w:p w14:paraId="15DEB66D">
            <w:pPr>
              <w:spacing w:line="276" w:lineRule="auto"/>
              <w:jc w:val="both"/>
              <w:rPr>
                <w:rFonts w:hint="eastAsia" w:ascii="宋体" w:hAnsi="宋体"/>
                <w:bCs/>
                <w:sz w:val="24"/>
                <w:highlight w:val="none"/>
              </w:rPr>
            </w:pPr>
            <w:r>
              <w:rPr>
                <w:rFonts w:hint="eastAsia" w:ascii="宋体" w:hAnsi="宋体"/>
                <w:bCs/>
                <w:sz w:val="24"/>
                <w:highlight w:val="none"/>
              </w:rPr>
              <w:t>无创血压(NIBP)功能</w:t>
            </w:r>
          </w:p>
        </w:tc>
        <w:tc>
          <w:tcPr>
            <w:tcW w:w="7105" w:type="dxa"/>
            <w:vAlign w:val="center"/>
          </w:tcPr>
          <w:p w14:paraId="360EC6EF">
            <w:pPr>
              <w:spacing w:line="276" w:lineRule="auto"/>
              <w:jc w:val="both"/>
              <w:rPr>
                <w:rFonts w:hint="eastAsia" w:ascii="宋体" w:hAnsi="宋体"/>
                <w:bCs/>
                <w:sz w:val="24"/>
                <w:highlight w:val="none"/>
              </w:rPr>
            </w:pPr>
            <w:r>
              <w:rPr>
                <w:rFonts w:hint="eastAsia" w:ascii="宋体" w:hAnsi="宋体"/>
                <w:bCs/>
                <w:sz w:val="24"/>
                <w:highlight w:val="none"/>
              </w:rPr>
              <w:t>可选配NIBP测量的发射盒。一体机设计，在一台发射盒上可同时监测：ECG，Resp，SpO2(含PR)，NIBP，血压测量模块内置，患者只需佩戴一个盒子即可测量无创血压（提供证明文件）</w:t>
            </w:r>
          </w:p>
        </w:tc>
      </w:tr>
      <w:tr w14:paraId="5CFE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309F428">
            <w:pPr>
              <w:spacing w:line="276" w:lineRule="auto"/>
              <w:jc w:val="both"/>
              <w:rPr>
                <w:rFonts w:hint="eastAsia" w:ascii="宋体" w:hAnsi="宋体"/>
                <w:bCs/>
                <w:sz w:val="24"/>
                <w:highlight w:val="none"/>
              </w:rPr>
            </w:pPr>
            <w:r>
              <w:rPr>
                <w:rFonts w:hint="eastAsia" w:ascii="宋体" w:hAnsi="宋体"/>
                <w:bCs/>
                <w:sz w:val="24"/>
                <w:highlight w:val="none"/>
              </w:rPr>
              <w:t>5.8</w:t>
            </w:r>
          </w:p>
        </w:tc>
        <w:tc>
          <w:tcPr>
            <w:tcW w:w="1838" w:type="dxa"/>
            <w:vAlign w:val="center"/>
          </w:tcPr>
          <w:p w14:paraId="0E793CD1">
            <w:pPr>
              <w:spacing w:line="276" w:lineRule="auto"/>
              <w:jc w:val="both"/>
              <w:rPr>
                <w:rFonts w:hint="eastAsia" w:ascii="宋体" w:hAnsi="宋体"/>
                <w:bCs/>
                <w:sz w:val="24"/>
                <w:highlight w:val="none"/>
              </w:rPr>
            </w:pPr>
            <w:r>
              <w:rPr>
                <w:rFonts w:hint="eastAsia" w:ascii="宋体" w:hAnsi="宋体"/>
                <w:bCs/>
                <w:sz w:val="24"/>
                <w:highlight w:val="none"/>
              </w:rPr>
              <w:t>功耗</w:t>
            </w:r>
          </w:p>
        </w:tc>
        <w:tc>
          <w:tcPr>
            <w:tcW w:w="7105" w:type="dxa"/>
            <w:vAlign w:val="center"/>
          </w:tcPr>
          <w:p w14:paraId="181F7967">
            <w:pPr>
              <w:spacing w:line="276" w:lineRule="auto"/>
              <w:jc w:val="both"/>
              <w:rPr>
                <w:rFonts w:hint="eastAsia" w:ascii="宋体" w:hAnsi="宋体"/>
                <w:bCs/>
                <w:sz w:val="24"/>
                <w:highlight w:val="none"/>
              </w:rPr>
            </w:pPr>
            <w:r>
              <w:rPr>
                <w:rFonts w:hint="eastAsia" w:ascii="宋体" w:hAnsi="宋体"/>
                <w:bCs/>
                <w:sz w:val="24"/>
                <w:highlight w:val="none"/>
              </w:rPr>
              <w:t>≤0.35W（最高负荷条件下）</w:t>
            </w:r>
          </w:p>
        </w:tc>
      </w:tr>
      <w:tr w14:paraId="29D3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5EDCC5FA">
            <w:pPr>
              <w:spacing w:line="276" w:lineRule="auto"/>
              <w:jc w:val="both"/>
              <w:rPr>
                <w:rFonts w:hint="eastAsia" w:ascii="宋体" w:hAnsi="宋体"/>
                <w:bCs/>
                <w:sz w:val="24"/>
                <w:highlight w:val="none"/>
              </w:rPr>
            </w:pPr>
            <w:r>
              <w:rPr>
                <w:rFonts w:hint="eastAsia" w:ascii="宋体" w:hAnsi="宋体"/>
                <w:bCs/>
                <w:sz w:val="24"/>
                <w:highlight w:val="none"/>
              </w:rPr>
              <w:t>5.9</w:t>
            </w:r>
          </w:p>
        </w:tc>
        <w:tc>
          <w:tcPr>
            <w:tcW w:w="1838" w:type="dxa"/>
            <w:vAlign w:val="center"/>
          </w:tcPr>
          <w:p w14:paraId="1644752E">
            <w:pPr>
              <w:spacing w:line="276" w:lineRule="auto"/>
              <w:jc w:val="both"/>
              <w:rPr>
                <w:rFonts w:hint="eastAsia" w:ascii="宋体" w:hAnsi="宋体"/>
                <w:bCs/>
                <w:sz w:val="24"/>
                <w:highlight w:val="none"/>
              </w:rPr>
            </w:pPr>
            <w:r>
              <w:rPr>
                <w:rFonts w:hint="eastAsia" w:ascii="宋体" w:hAnsi="宋体"/>
                <w:bCs/>
                <w:sz w:val="24"/>
                <w:highlight w:val="none"/>
              </w:rPr>
              <w:t>防水等级</w:t>
            </w:r>
          </w:p>
        </w:tc>
        <w:tc>
          <w:tcPr>
            <w:tcW w:w="7105" w:type="dxa"/>
            <w:vAlign w:val="center"/>
          </w:tcPr>
          <w:p w14:paraId="7E1B5D1E">
            <w:pPr>
              <w:spacing w:line="276" w:lineRule="auto"/>
              <w:jc w:val="both"/>
              <w:rPr>
                <w:rFonts w:hint="eastAsia" w:ascii="宋体" w:hAnsi="宋体"/>
                <w:bCs/>
                <w:sz w:val="24"/>
                <w:highlight w:val="none"/>
              </w:rPr>
            </w:pPr>
            <w:r>
              <w:rPr>
                <w:rFonts w:hint="eastAsia" w:ascii="宋体" w:hAnsi="宋体"/>
                <w:bCs/>
                <w:sz w:val="24"/>
                <w:highlight w:val="none"/>
              </w:rPr>
              <w:t>≥IPX7（提供证明文件）</w:t>
            </w:r>
          </w:p>
        </w:tc>
      </w:tr>
      <w:tr w14:paraId="5B26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6B01AC4">
            <w:pPr>
              <w:spacing w:line="276" w:lineRule="auto"/>
              <w:jc w:val="both"/>
              <w:rPr>
                <w:rFonts w:hint="eastAsia" w:ascii="宋体" w:hAnsi="宋体"/>
                <w:bCs/>
                <w:sz w:val="24"/>
                <w:highlight w:val="none"/>
              </w:rPr>
            </w:pPr>
            <w:r>
              <w:rPr>
                <w:rFonts w:hint="eastAsia" w:ascii="宋体" w:hAnsi="宋体"/>
                <w:bCs/>
                <w:sz w:val="24"/>
                <w:highlight w:val="none"/>
              </w:rPr>
              <w:t>6</w:t>
            </w:r>
          </w:p>
        </w:tc>
        <w:tc>
          <w:tcPr>
            <w:tcW w:w="1838" w:type="dxa"/>
            <w:vAlign w:val="center"/>
          </w:tcPr>
          <w:p w14:paraId="14ECA70F">
            <w:pPr>
              <w:spacing w:line="276" w:lineRule="auto"/>
              <w:jc w:val="both"/>
              <w:rPr>
                <w:rFonts w:hint="eastAsia" w:ascii="宋体" w:hAnsi="宋体"/>
                <w:bCs/>
                <w:sz w:val="24"/>
                <w:highlight w:val="none"/>
              </w:rPr>
            </w:pPr>
            <w:r>
              <w:rPr>
                <w:rFonts w:hint="eastAsia" w:ascii="宋体" w:hAnsi="宋体"/>
                <w:bCs/>
                <w:sz w:val="24"/>
                <w:highlight w:val="none"/>
              </w:rPr>
              <w:t>遥测发射盒（ECG，Resp，SpO2）</w:t>
            </w:r>
          </w:p>
        </w:tc>
        <w:tc>
          <w:tcPr>
            <w:tcW w:w="7105" w:type="dxa"/>
            <w:vAlign w:val="center"/>
          </w:tcPr>
          <w:p w14:paraId="1DBE4DAC">
            <w:pPr>
              <w:spacing w:line="276" w:lineRule="auto"/>
              <w:jc w:val="both"/>
              <w:rPr>
                <w:rFonts w:hint="eastAsia" w:ascii="宋体" w:hAnsi="宋体"/>
                <w:bCs/>
                <w:sz w:val="24"/>
                <w:highlight w:val="none"/>
              </w:rPr>
            </w:pPr>
            <w:r>
              <w:rPr>
                <w:rFonts w:hint="eastAsia" w:ascii="宋体" w:hAnsi="宋体"/>
                <w:bCs/>
                <w:sz w:val="24"/>
                <w:highlight w:val="none"/>
              </w:rPr>
              <w:t>数量：1个。可显示ECG波形和SpO2数值。</w:t>
            </w:r>
          </w:p>
        </w:tc>
      </w:tr>
      <w:tr w14:paraId="7A14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7" w:type="dxa"/>
            <w:vAlign w:val="center"/>
          </w:tcPr>
          <w:p w14:paraId="6467AA27">
            <w:pPr>
              <w:spacing w:line="276" w:lineRule="auto"/>
              <w:jc w:val="both"/>
              <w:rPr>
                <w:rFonts w:hint="eastAsia" w:ascii="宋体" w:hAnsi="宋体"/>
                <w:bCs/>
                <w:sz w:val="24"/>
                <w:highlight w:val="none"/>
              </w:rPr>
            </w:pPr>
            <w:r>
              <w:rPr>
                <w:rFonts w:hint="eastAsia" w:ascii="宋体" w:hAnsi="宋体"/>
                <w:bCs/>
                <w:sz w:val="24"/>
                <w:highlight w:val="none"/>
              </w:rPr>
              <w:t>6.1</w:t>
            </w:r>
          </w:p>
        </w:tc>
        <w:tc>
          <w:tcPr>
            <w:tcW w:w="1838" w:type="dxa"/>
            <w:vAlign w:val="center"/>
          </w:tcPr>
          <w:p w14:paraId="32C30591">
            <w:pPr>
              <w:spacing w:line="276" w:lineRule="auto"/>
              <w:jc w:val="both"/>
              <w:rPr>
                <w:rFonts w:hint="eastAsia" w:ascii="宋体" w:hAnsi="宋体"/>
                <w:bCs/>
                <w:sz w:val="24"/>
                <w:highlight w:val="none"/>
              </w:rPr>
            </w:pPr>
            <w:r>
              <w:rPr>
                <w:rFonts w:hint="eastAsia" w:ascii="宋体" w:hAnsi="宋体"/>
                <w:bCs/>
                <w:sz w:val="24"/>
                <w:highlight w:val="none"/>
              </w:rPr>
              <w:t>血氧（SpO2）检测范围</w:t>
            </w:r>
          </w:p>
        </w:tc>
        <w:tc>
          <w:tcPr>
            <w:tcW w:w="7105" w:type="dxa"/>
            <w:vAlign w:val="center"/>
          </w:tcPr>
          <w:p w14:paraId="27C449DF">
            <w:pPr>
              <w:spacing w:line="276" w:lineRule="auto"/>
              <w:jc w:val="both"/>
              <w:rPr>
                <w:rFonts w:hint="eastAsia" w:ascii="宋体" w:hAnsi="宋体"/>
                <w:bCs/>
                <w:sz w:val="24"/>
                <w:highlight w:val="none"/>
              </w:rPr>
            </w:pPr>
            <w:r>
              <w:rPr>
                <w:rFonts w:hint="eastAsia" w:ascii="宋体" w:hAnsi="宋体"/>
                <w:bCs/>
                <w:sz w:val="24"/>
                <w:highlight w:val="none"/>
              </w:rPr>
              <w:t>0～100%，PR检测范围：30～300bpm</w:t>
            </w:r>
          </w:p>
        </w:tc>
      </w:tr>
      <w:tr w14:paraId="4D4E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30D920A2">
            <w:pPr>
              <w:spacing w:line="276" w:lineRule="auto"/>
              <w:jc w:val="both"/>
              <w:rPr>
                <w:rFonts w:hint="eastAsia" w:ascii="宋体" w:hAnsi="宋体"/>
                <w:bCs/>
                <w:sz w:val="24"/>
                <w:highlight w:val="none"/>
              </w:rPr>
            </w:pPr>
            <w:r>
              <w:rPr>
                <w:rFonts w:hint="eastAsia" w:ascii="宋体" w:hAnsi="宋体"/>
                <w:bCs/>
                <w:sz w:val="24"/>
                <w:highlight w:val="none"/>
              </w:rPr>
              <w:t>6.2</w:t>
            </w:r>
          </w:p>
        </w:tc>
        <w:tc>
          <w:tcPr>
            <w:tcW w:w="1838" w:type="dxa"/>
            <w:vAlign w:val="center"/>
          </w:tcPr>
          <w:p w14:paraId="0D33EF46">
            <w:pPr>
              <w:spacing w:line="276" w:lineRule="auto"/>
              <w:jc w:val="both"/>
              <w:rPr>
                <w:rFonts w:hint="eastAsia" w:ascii="宋体" w:hAnsi="宋体"/>
                <w:bCs/>
                <w:sz w:val="24"/>
                <w:highlight w:val="none"/>
              </w:rPr>
            </w:pPr>
            <w:r>
              <w:rPr>
                <w:rFonts w:hint="eastAsia" w:ascii="宋体" w:hAnsi="宋体"/>
                <w:bCs/>
                <w:sz w:val="24"/>
                <w:highlight w:val="none"/>
              </w:rPr>
              <w:t>SPO2测量模式</w:t>
            </w:r>
          </w:p>
        </w:tc>
        <w:tc>
          <w:tcPr>
            <w:tcW w:w="7105" w:type="dxa"/>
            <w:vAlign w:val="center"/>
          </w:tcPr>
          <w:p w14:paraId="7A846EF8">
            <w:pPr>
              <w:spacing w:line="276" w:lineRule="auto"/>
              <w:jc w:val="both"/>
              <w:rPr>
                <w:rFonts w:hint="eastAsia" w:ascii="宋体" w:hAnsi="宋体"/>
                <w:bCs/>
                <w:sz w:val="24"/>
                <w:highlight w:val="none"/>
              </w:rPr>
            </w:pPr>
            <w:r>
              <w:rPr>
                <w:rFonts w:hint="eastAsia" w:ascii="宋体" w:hAnsi="宋体"/>
                <w:bCs/>
                <w:sz w:val="24"/>
                <w:highlight w:val="none"/>
              </w:rPr>
              <w:t>支持快速，中速和慢速三种监测模式</w:t>
            </w:r>
          </w:p>
        </w:tc>
      </w:tr>
      <w:tr w14:paraId="7061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02A7FBAA">
            <w:pPr>
              <w:spacing w:line="276" w:lineRule="auto"/>
              <w:jc w:val="both"/>
              <w:rPr>
                <w:rFonts w:hint="eastAsia" w:ascii="宋体" w:hAnsi="宋体"/>
                <w:bCs/>
                <w:sz w:val="24"/>
                <w:highlight w:val="none"/>
              </w:rPr>
            </w:pPr>
            <w:r>
              <w:rPr>
                <w:rFonts w:hint="eastAsia" w:ascii="宋体" w:hAnsi="宋体"/>
                <w:bCs/>
                <w:sz w:val="24"/>
                <w:highlight w:val="none"/>
              </w:rPr>
              <w:t>■6.3</w:t>
            </w:r>
          </w:p>
        </w:tc>
        <w:tc>
          <w:tcPr>
            <w:tcW w:w="1838" w:type="dxa"/>
            <w:vAlign w:val="center"/>
          </w:tcPr>
          <w:p w14:paraId="7E598E9D">
            <w:pPr>
              <w:spacing w:line="276" w:lineRule="auto"/>
              <w:jc w:val="both"/>
              <w:rPr>
                <w:rFonts w:hint="eastAsia" w:ascii="宋体" w:hAnsi="宋体"/>
                <w:bCs/>
                <w:sz w:val="24"/>
                <w:highlight w:val="none"/>
              </w:rPr>
            </w:pPr>
            <w:r>
              <w:rPr>
                <w:rFonts w:hint="eastAsia" w:ascii="宋体" w:hAnsi="宋体"/>
                <w:bCs/>
                <w:sz w:val="24"/>
                <w:highlight w:val="none"/>
              </w:rPr>
              <w:t>工作电压及连续监测时间</w:t>
            </w:r>
          </w:p>
        </w:tc>
        <w:tc>
          <w:tcPr>
            <w:tcW w:w="7105" w:type="dxa"/>
            <w:vAlign w:val="center"/>
          </w:tcPr>
          <w:p w14:paraId="72426E54">
            <w:pPr>
              <w:spacing w:line="276" w:lineRule="auto"/>
              <w:jc w:val="both"/>
              <w:rPr>
                <w:rFonts w:hint="eastAsia" w:ascii="宋体" w:hAnsi="宋体"/>
                <w:bCs/>
                <w:sz w:val="24"/>
                <w:highlight w:val="none"/>
              </w:rPr>
            </w:pPr>
            <w:r>
              <w:rPr>
                <w:rFonts w:hint="eastAsia" w:ascii="宋体" w:hAnsi="宋体"/>
                <w:bCs/>
                <w:sz w:val="24"/>
                <w:highlight w:val="none"/>
              </w:rPr>
              <w:t>额定工作电压≤3.6V，连续监测ECG和SpO2≥5天；连续监测ECG≥8天（提供证明文件）</w:t>
            </w:r>
          </w:p>
        </w:tc>
      </w:tr>
      <w:tr w14:paraId="6766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B0172BD">
            <w:pPr>
              <w:spacing w:line="276" w:lineRule="auto"/>
              <w:jc w:val="both"/>
              <w:rPr>
                <w:rFonts w:hint="eastAsia" w:ascii="宋体" w:hAnsi="宋体"/>
                <w:bCs/>
                <w:sz w:val="24"/>
                <w:highlight w:val="none"/>
              </w:rPr>
            </w:pPr>
            <w:r>
              <w:rPr>
                <w:rFonts w:hint="eastAsia" w:ascii="宋体" w:hAnsi="宋体"/>
                <w:bCs/>
                <w:sz w:val="24"/>
                <w:highlight w:val="none"/>
              </w:rPr>
              <w:t>6.4</w:t>
            </w:r>
          </w:p>
        </w:tc>
        <w:tc>
          <w:tcPr>
            <w:tcW w:w="1838" w:type="dxa"/>
            <w:vAlign w:val="center"/>
          </w:tcPr>
          <w:p w14:paraId="7E4F8631">
            <w:pPr>
              <w:spacing w:line="276" w:lineRule="auto"/>
              <w:jc w:val="both"/>
              <w:rPr>
                <w:rFonts w:hint="eastAsia" w:ascii="宋体" w:hAnsi="宋体"/>
                <w:bCs/>
                <w:sz w:val="24"/>
                <w:highlight w:val="none"/>
              </w:rPr>
            </w:pPr>
            <w:r>
              <w:rPr>
                <w:rFonts w:hint="eastAsia" w:ascii="宋体" w:hAnsi="宋体"/>
                <w:bCs/>
                <w:sz w:val="24"/>
                <w:highlight w:val="none"/>
              </w:rPr>
              <w:t>防水等级</w:t>
            </w:r>
          </w:p>
        </w:tc>
        <w:tc>
          <w:tcPr>
            <w:tcW w:w="7105" w:type="dxa"/>
            <w:vAlign w:val="center"/>
          </w:tcPr>
          <w:p w14:paraId="7C2B5FDB">
            <w:pPr>
              <w:spacing w:line="276" w:lineRule="auto"/>
              <w:jc w:val="both"/>
              <w:rPr>
                <w:rFonts w:hint="eastAsia" w:ascii="宋体" w:hAnsi="宋体"/>
                <w:bCs/>
                <w:sz w:val="24"/>
                <w:highlight w:val="none"/>
              </w:rPr>
            </w:pPr>
            <w:r>
              <w:rPr>
                <w:rFonts w:hint="eastAsia" w:ascii="宋体" w:hAnsi="宋体"/>
                <w:bCs/>
                <w:sz w:val="24"/>
                <w:highlight w:val="none"/>
              </w:rPr>
              <w:t>≥IPX8（提供证明文件）</w:t>
            </w:r>
          </w:p>
        </w:tc>
      </w:tr>
      <w:tr w14:paraId="5909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vAlign w:val="center"/>
          </w:tcPr>
          <w:p w14:paraId="70B0B649">
            <w:pPr>
              <w:spacing w:line="276" w:lineRule="auto"/>
              <w:jc w:val="both"/>
              <w:rPr>
                <w:rFonts w:hint="eastAsia" w:ascii="宋体" w:hAnsi="宋体"/>
                <w:bCs/>
                <w:sz w:val="24"/>
                <w:highlight w:val="none"/>
              </w:rPr>
            </w:pPr>
            <w:r>
              <w:rPr>
                <w:rFonts w:hint="eastAsia" w:ascii="宋体" w:hAnsi="宋体"/>
                <w:bCs/>
                <w:sz w:val="24"/>
                <w:highlight w:val="none"/>
              </w:rPr>
              <w:t>■7</w:t>
            </w:r>
          </w:p>
        </w:tc>
        <w:tc>
          <w:tcPr>
            <w:tcW w:w="1838" w:type="dxa"/>
            <w:vAlign w:val="center"/>
          </w:tcPr>
          <w:p w14:paraId="472DDE6B">
            <w:pPr>
              <w:spacing w:line="276" w:lineRule="auto"/>
              <w:jc w:val="both"/>
              <w:rPr>
                <w:rFonts w:hint="eastAsia" w:ascii="宋体" w:hAnsi="宋体"/>
                <w:bCs/>
                <w:sz w:val="24"/>
                <w:highlight w:val="none"/>
              </w:rPr>
            </w:pPr>
            <w:r>
              <w:rPr>
                <w:rFonts w:hint="eastAsia" w:ascii="宋体" w:hAnsi="宋体"/>
                <w:bCs/>
                <w:sz w:val="24"/>
                <w:highlight w:val="none"/>
              </w:rPr>
              <w:t>天线系统</w:t>
            </w:r>
          </w:p>
        </w:tc>
        <w:tc>
          <w:tcPr>
            <w:tcW w:w="7105" w:type="dxa"/>
            <w:vAlign w:val="center"/>
          </w:tcPr>
          <w:p w14:paraId="559D931C">
            <w:pPr>
              <w:spacing w:line="276" w:lineRule="auto"/>
              <w:jc w:val="both"/>
              <w:rPr>
                <w:rFonts w:hint="eastAsia" w:ascii="宋体" w:hAnsi="宋体"/>
                <w:bCs/>
                <w:sz w:val="24"/>
                <w:highlight w:val="none"/>
              </w:rPr>
            </w:pPr>
            <w:r>
              <w:rPr>
                <w:rFonts w:hint="eastAsia" w:ascii="宋体" w:hAnsi="宋体"/>
                <w:bCs/>
                <w:sz w:val="24"/>
                <w:highlight w:val="none"/>
              </w:rPr>
              <w:t>具备</w:t>
            </w:r>
          </w:p>
        </w:tc>
      </w:tr>
    </w:tbl>
    <w:p w14:paraId="3FA0D47E">
      <w:pPr>
        <w:pStyle w:val="35"/>
        <w:keepNext w:val="0"/>
        <w:keepLines w:val="0"/>
        <w:pageBreakBefore w:val="0"/>
        <w:widowControl w:val="0"/>
        <w:numPr>
          <w:ilvl w:val="0"/>
          <w:numId w:val="0"/>
        </w:numPr>
        <w:tabs>
          <w:tab w:val="left" w:pos="426"/>
        </w:tabs>
        <w:kinsoku/>
        <w:wordWrap/>
        <w:topLinePunct w:val="0"/>
        <w:bidi w:val="0"/>
        <w:snapToGrid/>
        <w:spacing w:line="360" w:lineRule="auto"/>
        <w:ind w:right="0" w:rightChars="0"/>
        <w:jc w:val="left"/>
        <w:rPr>
          <w:rFonts w:hint="default" w:ascii="仿宋" w:hAnsi="仿宋" w:eastAsia="仿宋" w:cs="仿宋"/>
          <w:bCs/>
          <w:color w:val="auto"/>
          <w:sz w:val="24"/>
          <w:highlight w:val="none"/>
          <w:lang w:val="en-US" w:eastAsia="zh-CN"/>
        </w:rPr>
      </w:pPr>
    </w:p>
    <w:p w14:paraId="72540685">
      <w:pPr>
        <w:pStyle w:val="10"/>
        <w:widowControl/>
        <w:snapToGrid w:val="0"/>
        <w:spacing w:line="360" w:lineRule="auto"/>
        <w:outlineLvl w:val="1"/>
        <w:rPr>
          <w:rFonts w:hint="eastAsia" w:ascii="仿宋" w:hAnsi="仿宋" w:eastAsia="仿宋" w:cs="仿宋"/>
          <w:b/>
          <w:bCs/>
          <w:color w:val="000000" w:themeColor="text1"/>
          <w:sz w:val="24"/>
          <w:highlight w:val="none"/>
          <w14:textFill>
            <w14:solidFill>
              <w14:schemeClr w14:val="tx1"/>
            </w14:solidFill>
          </w14:textFill>
        </w:rPr>
      </w:pPr>
      <w:r>
        <w:rPr>
          <w:rStyle w:val="23"/>
          <w:rFonts w:hint="eastAsia" w:ascii="宋体" w:hAnsi="宋体" w:eastAsia="仿宋"/>
          <w:color w:val="auto"/>
          <w:sz w:val="24"/>
          <w:szCs w:val="24"/>
          <w:highlight w:val="none"/>
          <w:lang w:val="en-US" w:eastAsia="zh-CN"/>
        </w:rPr>
        <w:t>5、</w:t>
      </w:r>
      <w:r>
        <w:rPr>
          <w:rStyle w:val="23"/>
          <w:rFonts w:hint="eastAsia" w:ascii="宋体" w:hAnsi="宋体" w:eastAsia="仿宋"/>
          <w:color w:val="auto"/>
          <w:sz w:val="24"/>
          <w:szCs w:val="24"/>
          <w:highlight w:val="none"/>
        </w:rPr>
        <w:t>售后</w:t>
      </w:r>
      <w:r>
        <w:rPr>
          <w:rStyle w:val="23"/>
          <w:rFonts w:hint="eastAsia" w:ascii="宋体" w:hAnsi="宋体" w:eastAsia="仿宋"/>
          <w:color w:val="auto"/>
          <w:sz w:val="24"/>
          <w:szCs w:val="24"/>
          <w:highlight w:val="none"/>
          <w:lang w:val="en-US" w:eastAsia="zh-CN"/>
        </w:rPr>
        <w:t>要求</w:t>
      </w:r>
      <w:r>
        <w:rPr>
          <w:rStyle w:val="23"/>
          <w:rFonts w:hint="eastAsia" w:ascii="宋体" w:hAnsi="宋体" w:eastAsia="仿宋"/>
          <w:color w:val="auto"/>
          <w:sz w:val="24"/>
          <w:szCs w:val="24"/>
          <w:highlight w:val="none"/>
        </w:rPr>
        <w:t>：</w:t>
      </w:r>
    </w:p>
    <w:p w14:paraId="281DD33A">
      <w:pPr>
        <w:pStyle w:val="35"/>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5.1.</w:t>
      </w:r>
      <w:r>
        <w:rPr>
          <w:rFonts w:hint="eastAsia" w:ascii="仿宋" w:hAnsi="仿宋" w:eastAsia="仿宋" w:cs="仿宋"/>
          <w:bCs/>
          <w:color w:val="000000" w:themeColor="text1"/>
          <w:sz w:val="24"/>
          <w:highlight w:val="none"/>
          <w14:textFill>
            <w14:solidFill>
              <w14:schemeClr w14:val="tx1"/>
            </w14:solidFill>
          </w14:textFill>
        </w:rPr>
        <w:t>整机原厂质保≥</w:t>
      </w:r>
      <w:r>
        <w:rPr>
          <w:rFonts w:hint="eastAsia" w:ascii="仿宋" w:hAnsi="仿宋" w:eastAsia="仿宋" w:cs="仿宋"/>
          <w:bCs/>
          <w:color w:val="000000" w:themeColor="text1"/>
          <w:sz w:val="24"/>
          <w:highlight w:val="none"/>
          <w:lang w:eastAsia="zh-CN"/>
          <w14:textFill>
            <w14:solidFill>
              <w14:schemeClr w14:val="tx1"/>
            </w14:solidFill>
          </w14:textFill>
        </w:rPr>
        <w:t>5年。</w:t>
      </w:r>
      <w:r>
        <w:rPr>
          <w:rFonts w:hint="eastAsia" w:ascii="仿宋" w:hAnsi="仿宋" w:eastAsia="仿宋" w:cs="仿宋"/>
          <w:bCs/>
          <w:color w:val="000000" w:themeColor="text1"/>
          <w:sz w:val="24"/>
          <w:highlight w:val="none"/>
          <w14:textFill>
            <w14:solidFill>
              <w14:schemeClr w14:val="tx1"/>
            </w14:solidFill>
          </w14:textFill>
        </w:rPr>
        <w:t>合同签订前，中标人须提供所投产品制造商出具的质保承诺函（承诺函格式内容须与投标文件中一致），并加盖所投产品制造商公章，否则，取消其中标资格。</w:t>
      </w:r>
    </w:p>
    <w:p w14:paraId="7FF0946F">
      <w:pPr>
        <w:pStyle w:val="10"/>
        <w:widowControl/>
        <w:numPr>
          <w:ilvl w:val="-1"/>
          <w:numId w:val="0"/>
        </w:numPr>
        <w:snapToGrid w:val="0"/>
        <w:spacing w:line="360" w:lineRule="auto"/>
        <w:ind w:firstLine="482" w:firstLineChars="200"/>
        <w:outlineLvl w:val="2"/>
        <w:rPr>
          <w:rFonts w:hint="eastAsia" w:hAnsi="宋体" w:eastAsia="仿宋"/>
          <w:b/>
          <w:bCs/>
          <w:sz w:val="24"/>
          <w:szCs w:val="24"/>
          <w:highlight w:val="none"/>
        </w:rPr>
      </w:pPr>
      <w:bookmarkStart w:id="772" w:name="_Toc512611689"/>
      <w:bookmarkStart w:id="773" w:name="_Toc493440975"/>
      <w:bookmarkStart w:id="774" w:name="_Toc493440807"/>
      <w:bookmarkStart w:id="775" w:name="_Toc517011814"/>
      <w:bookmarkStart w:id="776" w:name="_Toc515539872"/>
      <w:bookmarkStart w:id="777" w:name="_Toc512544434"/>
      <w:bookmarkStart w:id="778" w:name="_Toc526265691"/>
      <w:bookmarkStart w:id="779" w:name="_Toc493432670"/>
      <w:bookmarkStart w:id="780" w:name="_Toc525819967"/>
      <w:r>
        <w:rPr>
          <w:rFonts w:hint="eastAsia" w:hAnsi="宋体" w:eastAsia="仿宋"/>
          <w:b/>
          <w:bCs/>
          <w:sz w:val="24"/>
          <w:szCs w:val="24"/>
          <w:highlight w:val="none"/>
          <w:lang w:val="en-US" w:eastAsia="zh-CN"/>
        </w:rPr>
        <w:t>5.2.</w:t>
      </w:r>
      <w:r>
        <w:rPr>
          <w:rFonts w:hint="eastAsia" w:hAnsi="宋体" w:eastAsia="仿宋"/>
          <w:b/>
          <w:bCs/>
          <w:sz w:val="24"/>
          <w:szCs w:val="24"/>
          <w:highlight w:val="none"/>
        </w:rPr>
        <w:t>质量要求与验收标准</w:t>
      </w:r>
      <w:bookmarkEnd w:id="772"/>
      <w:bookmarkEnd w:id="773"/>
      <w:bookmarkEnd w:id="774"/>
      <w:bookmarkEnd w:id="775"/>
      <w:bookmarkEnd w:id="776"/>
      <w:bookmarkEnd w:id="777"/>
      <w:bookmarkEnd w:id="778"/>
      <w:bookmarkEnd w:id="779"/>
      <w:bookmarkEnd w:id="780"/>
    </w:p>
    <w:p w14:paraId="5B7653E7">
      <w:pPr>
        <w:adjustRightInd w:val="0"/>
        <w:snapToGrid w:val="0"/>
        <w:spacing w:before="120" w:after="120" w:line="360" w:lineRule="auto"/>
        <w:ind w:firstLine="480" w:firstLineChars="200"/>
        <w:rPr>
          <w:rFonts w:eastAsia="仿宋"/>
          <w:sz w:val="24"/>
          <w:highlight w:val="none"/>
        </w:rPr>
      </w:pPr>
      <w:r>
        <w:rPr>
          <w:rFonts w:hint="eastAsia" w:eastAsia="仿宋"/>
          <w:sz w:val="24"/>
          <w:highlight w:val="none"/>
        </w:rPr>
        <w:t>符合国家、省、市法律法规及行业标准。</w:t>
      </w:r>
    </w:p>
    <w:p w14:paraId="7B86A939">
      <w:pPr>
        <w:pStyle w:val="10"/>
        <w:widowControl/>
        <w:snapToGrid w:val="0"/>
        <w:spacing w:line="360" w:lineRule="auto"/>
        <w:ind w:firstLine="482" w:firstLineChars="200"/>
        <w:outlineLvl w:val="2"/>
        <w:rPr>
          <w:rFonts w:hint="eastAsia" w:hAnsi="宋体" w:eastAsia="仿宋"/>
          <w:b/>
          <w:bCs/>
          <w:sz w:val="24"/>
          <w:szCs w:val="24"/>
          <w:highlight w:val="none"/>
        </w:rPr>
      </w:pPr>
      <w:bookmarkStart w:id="781" w:name="_Toc515539874"/>
      <w:bookmarkStart w:id="782" w:name="_Toc493440977"/>
      <w:bookmarkStart w:id="783" w:name="_Toc526265693"/>
      <w:bookmarkStart w:id="784" w:name="_Toc493432672"/>
      <w:bookmarkStart w:id="785" w:name="_Toc525819969"/>
      <w:bookmarkStart w:id="786" w:name="_Toc512611691"/>
      <w:bookmarkStart w:id="787" w:name="_Toc493440809"/>
      <w:bookmarkStart w:id="788" w:name="_Toc517011816"/>
      <w:bookmarkStart w:id="789" w:name="_Toc512544436"/>
      <w:r>
        <w:rPr>
          <w:rFonts w:hint="eastAsia" w:hAnsi="宋体" w:eastAsia="仿宋"/>
          <w:b/>
          <w:bCs/>
          <w:sz w:val="24"/>
          <w:szCs w:val="24"/>
          <w:highlight w:val="none"/>
          <w:lang w:val="en-US" w:eastAsia="zh-CN"/>
        </w:rPr>
        <w:t>5.3.</w:t>
      </w:r>
      <w:r>
        <w:rPr>
          <w:rFonts w:hint="eastAsia" w:hAnsi="宋体" w:eastAsia="仿宋"/>
          <w:b/>
          <w:bCs/>
          <w:sz w:val="24"/>
          <w:szCs w:val="24"/>
          <w:highlight w:val="none"/>
        </w:rPr>
        <w:t xml:space="preserve"> 质量保证期服务要求</w:t>
      </w:r>
      <w:bookmarkEnd w:id="781"/>
      <w:bookmarkEnd w:id="782"/>
      <w:bookmarkEnd w:id="783"/>
      <w:bookmarkEnd w:id="784"/>
      <w:bookmarkEnd w:id="785"/>
      <w:bookmarkEnd w:id="786"/>
      <w:bookmarkEnd w:id="787"/>
      <w:bookmarkEnd w:id="788"/>
      <w:bookmarkEnd w:id="789"/>
    </w:p>
    <w:p w14:paraId="11739137">
      <w:pPr>
        <w:adjustRightInd w:val="0"/>
        <w:snapToGrid w:val="0"/>
        <w:spacing w:line="360" w:lineRule="auto"/>
        <w:ind w:firstLine="480" w:firstLineChars="200"/>
        <w:rPr>
          <w:rFonts w:hint="eastAsia" w:ascii="Times New Roman" w:hAnsi="Times New Roman" w:eastAsia="仿宋" w:cs="Times New Roman"/>
          <w:sz w:val="24"/>
          <w:highlight w:val="none"/>
          <w:lang w:val="en-US" w:eastAsia="zh-CN"/>
        </w:rPr>
      </w:pPr>
      <w:r>
        <w:rPr>
          <w:rFonts w:hint="eastAsia" w:eastAsia="仿宋"/>
          <w:sz w:val="24"/>
          <w:highlight w:val="none"/>
        </w:rPr>
        <w:t>中标人</w:t>
      </w:r>
      <w:r>
        <w:rPr>
          <w:rFonts w:eastAsia="仿宋"/>
          <w:sz w:val="24"/>
          <w:highlight w:val="none"/>
        </w:rPr>
        <w:t>提供的技术人员、工具、备件和联系方式，质量保证期服务响应、到达现场和解决问题的时限</w:t>
      </w:r>
      <w:r>
        <w:rPr>
          <w:rFonts w:ascii="Times New Roman" w:hAnsi="Times New Roman" w:eastAsia="仿宋" w:cs="Times New Roman"/>
          <w:sz w:val="24"/>
          <w:highlight w:val="none"/>
        </w:rPr>
        <w:t>，</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技术人员的交通、食宿费用承担主体，</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sz w:val="24"/>
          <w:szCs w:val="24"/>
          <w:highlight w:val="none"/>
          <w:lang w:val="en-US" w:eastAsia="zh-CN"/>
        </w:rPr>
      </w:pPr>
      <w:r>
        <w:rPr>
          <w:rFonts w:hint="eastAsia" w:ascii="宋体" w:hAnsi="宋体" w:eastAsia="仿宋" w:cs="Times New Roman"/>
          <w:b/>
          <w:bCs/>
          <w:sz w:val="24"/>
          <w:szCs w:val="24"/>
          <w:highlight w:val="none"/>
          <w:lang w:val="en-US" w:eastAsia="zh-CN"/>
        </w:rPr>
        <w:t>5.4.</w:t>
      </w:r>
      <w:r>
        <w:rPr>
          <w:rFonts w:hint="eastAsia" w:ascii="宋体" w:hAnsi="宋体" w:eastAsia="仿宋" w:cs="Times New Roman"/>
          <w:b/>
          <w:bCs/>
          <w:sz w:val="24"/>
          <w:szCs w:val="24"/>
          <w:highlight w:val="none"/>
        </w:rPr>
        <w:t xml:space="preserve"> </w:t>
      </w:r>
      <w:r>
        <w:rPr>
          <w:rFonts w:hint="eastAsia" w:ascii="宋体" w:hAnsi="宋体" w:eastAsia="仿宋" w:cs="Times New Roman"/>
          <w:b/>
          <w:bCs/>
          <w:sz w:val="24"/>
          <w:szCs w:val="24"/>
          <w:highlight w:val="none"/>
          <w:lang w:val="en-US" w:eastAsia="zh-CN"/>
        </w:rPr>
        <w:t>技术培训</w:t>
      </w:r>
      <w:r>
        <w:rPr>
          <w:rFonts w:hint="eastAsia" w:ascii="宋体" w:hAnsi="宋体" w:eastAsia="仿宋" w:cs="Times New Roman"/>
          <w:b/>
          <w:bCs/>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中标人应提供现场技术培训，及远程技术支持等，为使用人员提供技术指导，保证使用人员正常操作设备各种功能。</w:t>
      </w:r>
    </w:p>
    <w:p w14:paraId="290BDBC0">
      <w:pPr>
        <w:pStyle w:val="10"/>
        <w:widowControl/>
        <w:snapToGrid w:val="0"/>
        <w:spacing w:line="360" w:lineRule="auto"/>
        <w:outlineLvl w:val="1"/>
        <w:rPr>
          <w:rStyle w:val="23"/>
          <w:rFonts w:hint="eastAsia" w:ascii="宋体" w:hAnsi="宋体" w:eastAsia="仿宋"/>
          <w:color w:val="auto"/>
          <w:sz w:val="24"/>
          <w:szCs w:val="24"/>
          <w:highlight w:val="none"/>
          <w:lang w:val="en-US" w:eastAsia="zh-CN"/>
        </w:rPr>
      </w:pPr>
      <w:r>
        <w:rPr>
          <w:rStyle w:val="23"/>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sz w:val="24"/>
          <w:highlight w:val="none"/>
        </w:rPr>
      </w:pPr>
      <w:r>
        <w:rPr>
          <w:rFonts w:hint="eastAsia" w:eastAsia="仿宋"/>
          <w:sz w:val="24"/>
          <w:highlight w:val="none"/>
          <w:lang w:val="en-US" w:eastAsia="zh-CN"/>
        </w:rPr>
        <w:t>6.1.</w:t>
      </w:r>
      <w:r>
        <w:rPr>
          <w:rFonts w:hint="eastAsia" w:eastAsia="仿宋"/>
          <w:sz w:val="24"/>
          <w:highlight w:val="none"/>
        </w:rPr>
        <w:t xml:space="preserve"> 本项目如涉及与</w:t>
      </w:r>
      <w:r>
        <w:rPr>
          <w:rFonts w:hint="eastAsia" w:eastAsia="仿宋"/>
          <w:sz w:val="24"/>
          <w:highlight w:val="none"/>
          <w:lang w:val="en-US" w:eastAsia="zh-CN"/>
        </w:rPr>
        <w:t>院方</w:t>
      </w:r>
      <w:r>
        <w:rPr>
          <w:rFonts w:hint="eastAsia" w:eastAsia="仿宋"/>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sz w:val="24"/>
          <w:highlight w:val="none"/>
          <w:lang w:val="en-US" w:eastAsia="zh-CN"/>
        </w:rPr>
        <w:t>院方</w:t>
      </w:r>
      <w:r>
        <w:rPr>
          <w:rFonts w:hint="eastAsia" w:eastAsia="仿宋"/>
          <w:sz w:val="24"/>
          <w:highlight w:val="none"/>
        </w:rPr>
        <w:t>不再为此支付任何费用。</w:t>
      </w:r>
    </w:p>
    <w:p w14:paraId="3C3BB827">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6.2.</w:t>
      </w:r>
      <w:r>
        <w:rPr>
          <w:rFonts w:hint="eastAsia" w:eastAsia="仿宋"/>
          <w:sz w:val="24"/>
          <w:highlight w:val="none"/>
        </w:rPr>
        <w:t xml:space="preserve"> 履约验收方式</w:t>
      </w:r>
    </w:p>
    <w:p w14:paraId="4A71A863">
      <w:pPr>
        <w:spacing w:line="360" w:lineRule="auto"/>
        <w:ind w:firstLine="480" w:firstLineChars="200"/>
        <w:jc w:val="left"/>
        <w:rPr>
          <w:rFonts w:eastAsia="仿宋"/>
          <w:sz w:val="24"/>
          <w:highlight w:val="none"/>
        </w:rPr>
      </w:pPr>
      <w:r>
        <w:rPr>
          <w:rFonts w:hint="eastAsia" w:eastAsia="仿宋"/>
          <w:sz w:val="24"/>
          <w:highlight w:val="none"/>
          <w:lang w:val="en-US" w:eastAsia="zh-CN"/>
        </w:rPr>
        <w:t>6.2.1</w:t>
      </w:r>
      <w:r>
        <w:rPr>
          <w:rFonts w:eastAsia="仿宋"/>
          <w:sz w:val="24"/>
          <w:highlight w:val="none"/>
        </w:rPr>
        <w:t>履约验收主体：设备使用</w:t>
      </w:r>
      <w:r>
        <w:rPr>
          <w:rFonts w:hint="eastAsia" w:eastAsia="仿宋"/>
          <w:sz w:val="24"/>
          <w:highlight w:val="none"/>
        </w:rPr>
        <w:t>单位</w:t>
      </w:r>
      <w:r>
        <w:rPr>
          <w:rFonts w:eastAsia="仿宋"/>
          <w:sz w:val="24"/>
          <w:highlight w:val="none"/>
        </w:rPr>
        <w:t>、中标人。同时使用</w:t>
      </w:r>
      <w:r>
        <w:rPr>
          <w:rFonts w:hint="eastAsia" w:eastAsia="仿宋"/>
          <w:sz w:val="24"/>
          <w:highlight w:val="none"/>
        </w:rPr>
        <w:t>单位</w:t>
      </w:r>
      <w:r>
        <w:rPr>
          <w:rFonts w:eastAsia="仿宋"/>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.2</w:t>
      </w:r>
      <w:r>
        <w:rPr>
          <w:rFonts w:eastAsia="仿宋"/>
          <w:sz w:val="24"/>
          <w:highlight w:val="none"/>
        </w:rPr>
        <w:t>履约验收时间及程序：</w:t>
      </w:r>
    </w:p>
    <w:p w14:paraId="307D7150">
      <w:pPr>
        <w:spacing w:line="360" w:lineRule="auto"/>
        <w:ind w:firstLine="480" w:firstLineChars="200"/>
        <w:jc w:val="left"/>
        <w:rPr>
          <w:rFonts w:eastAsia="仿宋"/>
          <w:sz w:val="24"/>
          <w:highlight w:val="none"/>
        </w:rPr>
      </w:pPr>
      <w:r>
        <w:rPr>
          <w:rFonts w:eastAsia="仿宋"/>
          <w:sz w:val="24"/>
          <w:highlight w:val="none"/>
        </w:rPr>
        <w:t>（1）到货检验：货物运抵使用</w:t>
      </w:r>
      <w:r>
        <w:rPr>
          <w:rFonts w:hint="eastAsia" w:eastAsia="仿宋"/>
          <w:sz w:val="24"/>
          <w:highlight w:val="none"/>
        </w:rPr>
        <w:t>单位所在地点或使用单位指定地点</w:t>
      </w:r>
      <w:r>
        <w:rPr>
          <w:rFonts w:eastAsia="仿宋"/>
          <w:sz w:val="24"/>
          <w:highlight w:val="none"/>
        </w:rPr>
        <w:t>后，由使用</w:t>
      </w:r>
      <w:r>
        <w:rPr>
          <w:rFonts w:hint="eastAsia" w:eastAsia="仿宋"/>
          <w:sz w:val="24"/>
          <w:highlight w:val="none"/>
        </w:rPr>
        <w:t>单位</w:t>
      </w:r>
      <w:r>
        <w:rPr>
          <w:rFonts w:eastAsia="仿宋"/>
          <w:sz w:val="24"/>
          <w:highlight w:val="none"/>
        </w:rPr>
        <w:t>及中标人共同开箱对照采购清单进行到货验收。</w:t>
      </w:r>
    </w:p>
    <w:p w14:paraId="6B76DCFD">
      <w:pPr>
        <w:spacing w:line="360" w:lineRule="auto"/>
        <w:ind w:firstLine="480" w:firstLineChars="200"/>
        <w:jc w:val="left"/>
        <w:rPr>
          <w:rFonts w:eastAsia="仿宋"/>
          <w:sz w:val="24"/>
          <w:highlight w:val="none"/>
        </w:rPr>
      </w:pPr>
      <w:r>
        <w:rPr>
          <w:rFonts w:eastAsia="仿宋"/>
          <w:sz w:val="24"/>
          <w:highlight w:val="none"/>
        </w:rPr>
        <w:t>（2）安装调试检验：中标人将设备安装、调试完成后，由使用</w:t>
      </w:r>
      <w:r>
        <w:rPr>
          <w:rFonts w:hint="eastAsia" w:eastAsia="仿宋"/>
          <w:sz w:val="24"/>
          <w:highlight w:val="none"/>
        </w:rPr>
        <w:t>单位</w:t>
      </w:r>
      <w:r>
        <w:rPr>
          <w:rFonts w:eastAsia="仿宋"/>
          <w:sz w:val="24"/>
          <w:highlight w:val="none"/>
        </w:rPr>
        <w:t>组织验收人员对安装调试情况进行验收。</w:t>
      </w:r>
    </w:p>
    <w:p w14:paraId="6DE51484">
      <w:pPr>
        <w:spacing w:line="360" w:lineRule="auto"/>
        <w:ind w:firstLine="480" w:firstLineChars="200"/>
        <w:jc w:val="left"/>
        <w:rPr>
          <w:rFonts w:eastAsia="仿宋"/>
          <w:sz w:val="24"/>
          <w:highlight w:val="none"/>
        </w:rPr>
      </w:pPr>
      <w:r>
        <w:rPr>
          <w:rFonts w:eastAsia="仿宋"/>
          <w:sz w:val="24"/>
          <w:highlight w:val="none"/>
        </w:rPr>
        <w:t>（3）最终验收：由使用</w:t>
      </w:r>
      <w:r>
        <w:rPr>
          <w:rFonts w:hint="eastAsia" w:eastAsia="仿宋"/>
          <w:sz w:val="24"/>
          <w:highlight w:val="none"/>
        </w:rPr>
        <w:t>单位</w:t>
      </w:r>
      <w:r>
        <w:rPr>
          <w:rFonts w:eastAsia="仿宋"/>
          <w:sz w:val="24"/>
          <w:highlight w:val="none"/>
        </w:rPr>
        <w:t>组织验收人员进行最终验收。</w:t>
      </w:r>
    </w:p>
    <w:p w14:paraId="541A0037">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.3</w:t>
      </w:r>
      <w:r>
        <w:rPr>
          <w:rFonts w:eastAsia="仿宋"/>
          <w:sz w:val="24"/>
          <w:highlight w:val="none"/>
        </w:rPr>
        <w:t>履约验收内容</w:t>
      </w:r>
    </w:p>
    <w:p w14:paraId="61F40DC6">
      <w:pPr>
        <w:spacing w:line="360" w:lineRule="auto"/>
        <w:ind w:firstLine="480" w:firstLineChars="200"/>
        <w:jc w:val="left"/>
        <w:rPr>
          <w:rFonts w:eastAsia="仿宋"/>
          <w:sz w:val="24"/>
          <w:highlight w:val="none"/>
        </w:rPr>
      </w:pPr>
      <w:r>
        <w:rPr>
          <w:rFonts w:eastAsia="仿宋"/>
          <w:sz w:val="24"/>
          <w:highlight w:val="none"/>
        </w:rPr>
        <w:t>验收内容包括招标文件中的每一项技术和商务要求的履约情况。</w:t>
      </w:r>
    </w:p>
    <w:p w14:paraId="46B31F9F">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.4</w:t>
      </w:r>
      <w:r>
        <w:rPr>
          <w:rFonts w:eastAsia="仿宋"/>
          <w:sz w:val="24"/>
          <w:highlight w:val="none"/>
        </w:rPr>
        <w:t>履约验收验收标准</w:t>
      </w:r>
    </w:p>
    <w:p w14:paraId="4D6FC694">
      <w:pPr>
        <w:spacing w:line="360" w:lineRule="auto"/>
        <w:ind w:firstLine="480" w:firstLineChars="200"/>
        <w:jc w:val="left"/>
        <w:rPr>
          <w:rFonts w:hint="eastAsia" w:eastAsia="仿宋"/>
          <w:sz w:val="24"/>
          <w:highlight w:val="none"/>
        </w:rPr>
      </w:pPr>
      <w:r>
        <w:rPr>
          <w:rFonts w:eastAsia="仿宋"/>
          <w:sz w:val="24"/>
          <w:highlight w:val="none"/>
        </w:rPr>
        <w:t>招标文件、中标人的投标文件、合同及国家有关的质量标准规定，均为验收标准及依据</w:t>
      </w:r>
      <w:r>
        <w:rPr>
          <w:rFonts w:hint="eastAsia" w:eastAsia="仿宋"/>
          <w:sz w:val="24"/>
          <w:highlight w:val="none"/>
        </w:rPr>
        <w:t>。</w:t>
      </w:r>
    </w:p>
    <w:p w14:paraId="47E9196E">
      <w:pPr>
        <w:spacing w:line="360" w:lineRule="auto"/>
        <w:ind w:firstLine="480" w:firstLineChars="200"/>
        <w:jc w:val="left"/>
        <w:rPr>
          <w:rFonts w:hint="default" w:eastAsia="仿宋"/>
          <w:sz w:val="24"/>
          <w:highlight w:val="none"/>
          <w:lang w:val="en-US" w:eastAsia="zh-CN"/>
        </w:rPr>
      </w:pPr>
      <w:r>
        <w:rPr>
          <w:rFonts w:hint="eastAsia" w:eastAsia="仿宋"/>
          <w:sz w:val="24"/>
          <w:highlight w:val="none"/>
          <w:lang w:val="en-US" w:eastAsia="zh-CN"/>
        </w:rPr>
        <w:t>6.3</w:t>
      </w:r>
      <w:r>
        <w:rPr>
          <w:rFonts w:hint="eastAsia" w:eastAsia="仿宋"/>
          <w:sz w:val="24"/>
          <w:highlight w:val="none"/>
          <w:lang w:eastAsia="zh-CN"/>
        </w:rPr>
        <w:t>.</w:t>
      </w:r>
      <w:r>
        <w:rPr>
          <w:rFonts w:hint="eastAsia" w:eastAsia="仿宋"/>
          <w:sz w:val="24"/>
          <w:highlight w:val="none"/>
          <w:lang w:val="en-US" w:eastAsia="zh-CN"/>
        </w:rPr>
        <w:t>应急服务要求：中标人</w:t>
      </w:r>
      <w:r>
        <w:rPr>
          <w:rFonts w:hint="eastAsia" w:eastAsia="仿宋"/>
          <w:sz w:val="24"/>
          <w:highlight w:val="none"/>
        </w:rPr>
        <w:t>应在中国境内方便的地点设置备件库，存入必须的备件，保证10年</w:t>
      </w:r>
      <w:r>
        <w:rPr>
          <w:rFonts w:hint="eastAsia" w:eastAsia="仿宋"/>
          <w:sz w:val="24"/>
          <w:highlight w:val="none"/>
          <w:lang w:val="en-US" w:eastAsia="zh-CN"/>
        </w:rPr>
        <w:t>以上</w:t>
      </w:r>
      <w:r>
        <w:rPr>
          <w:rFonts w:hint="eastAsia" w:eastAsia="仿宋"/>
          <w:sz w:val="24"/>
          <w:highlight w:val="none"/>
        </w:rPr>
        <w:t>零部件供应期</w:t>
      </w:r>
      <w:r>
        <w:rPr>
          <w:rFonts w:hint="eastAsia" w:eastAsia="仿宋"/>
          <w:sz w:val="24"/>
          <w:highlight w:val="none"/>
          <w:lang w:eastAsia="zh-CN"/>
        </w:rPr>
        <w:t>，</w:t>
      </w:r>
      <w:r>
        <w:rPr>
          <w:rFonts w:hint="eastAsia" w:eastAsia="仿宋"/>
          <w:sz w:val="24"/>
          <w:highlight w:val="none"/>
          <w:lang w:val="en-US" w:eastAsia="zh-CN"/>
        </w:rPr>
        <w:t>中标人应对设备故障等突发状况及时响应。</w:t>
      </w:r>
      <w:r>
        <w:rPr>
          <w:rFonts w:hint="eastAsia" w:ascii="Times New Roman" w:hAnsi="Times New Roman" w:eastAsia="仿宋" w:cs="Times New Roman"/>
          <w:sz w:val="24"/>
          <w:highlight w:val="none"/>
        </w:rPr>
        <w:t>若24小时内未修复设备故障，提供备用设备</w:t>
      </w:r>
      <w:r>
        <w:rPr>
          <w:rFonts w:hint="eastAsia" w:ascii="Times New Roman" w:hAnsi="Times New Roman" w:eastAsia="仿宋" w:cs="Times New Roman"/>
          <w:sz w:val="24"/>
          <w:highlight w:val="none"/>
          <w:lang w:val="en-US" w:eastAsia="zh-CN"/>
        </w:rPr>
        <w:t>供院方使用。</w:t>
      </w:r>
    </w:p>
    <w:p w14:paraId="6F5B6E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6.4 </w:t>
      </w:r>
      <w:r>
        <w:rPr>
          <w:rFonts w:hint="eastAsia" w:eastAsia="仿宋"/>
          <w:sz w:val="24"/>
          <w:highlight w:val="none"/>
        </w:rPr>
        <w:t>安装调试、验收试验及质量保证</w:t>
      </w:r>
    </w:p>
    <w:p w14:paraId="661D6D14">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6.4.1</w:t>
      </w:r>
      <w:r>
        <w:rPr>
          <w:rFonts w:hint="eastAsia" w:eastAsia="仿宋"/>
          <w:sz w:val="24"/>
          <w:highlight w:val="none"/>
        </w:rPr>
        <w:t>中标人在设备安装地点负责安装、调试。</w:t>
      </w:r>
    </w:p>
    <w:p w14:paraId="0A8E27A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6.4.2</w:t>
      </w:r>
      <w:r>
        <w:rPr>
          <w:rFonts w:hint="eastAsia" w:eastAsia="仿宋"/>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1）</w:t>
      </w:r>
      <w:r>
        <w:rPr>
          <w:rFonts w:hint="eastAsia" w:eastAsia="仿宋"/>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2）</w:t>
      </w:r>
      <w:r>
        <w:rPr>
          <w:rFonts w:hint="eastAsia" w:eastAsia="仿宋"/>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3）</w:t>
      </w:r>
      <w:r>
        <w:rPr>
          <w:rFonts w:hint="eastAsia" w:eastAsia="仿宋"/>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4）</w:t>
      </w:r>
      <w:r>
        <w:rPr>
          <w:rFonts w:hint="eastAsia" w:eastAsia="仿宋"/>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5）</w:t>
      </w:r>
      <w:r>
        <w:rPr>
          <w:rFonts w:hint="eastAsia" w:eastAsia="仿宋"/>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6.4.3</w:t>
      </w:r>
      <w:r>
        <w:rPr>
          <w:rFonts w:hint="eastAsia" w:eastAsia="仿宋"/>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6.5. </w:t>
      </w:r>
      <w:r>
        <w:rPr>
          <w:rFonts w:hint="eastAsia" w:eastAsia="仿宋"/>
          <w:sz w:val="24"/>
          <w:highlight w:val="none"/>
        </w:rPr>
        <w:t>包装运输</w:t>
      </w:r>
    </w:p>
    <w:p w14:paraId="273164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6.5.1</w:t>
      </w:r>
      <w:r>
        <w:rPr>
          <w:rFonts w:hint="eastAsia" w:eastAsia="仿宋"/>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6.5.2</w:t>
      </w:r>
      <w:r>
        <w:rPr>
          <w:rFonts w:hint="eastAsia" w:eastAsia="仿宋"/>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6.5.3</w:t>
      </w:r>
      <w:r>
        <w:rPr>
          <w:rFonts w:hint="eastAsia" w:eastAsia="仿宋"/>
          <w:sz w:val="24"/>
          <w:highlight w:val="none"/>
        </w:rPr>
        <w:t>在包装箱外应标明采购人的订货号、发货号。</w:t>
      </w:r>
    </w:p>
    <w:p w14:paraId="0BE10648">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6.5.4</w:t>
      </w:r>
      <w:r>
        <w:rPr>
          <w:rFonts w:hint="eastAsia" w:eastAsia="仿宋"/>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6.5.5</w:t>
      </w:r>
      <w:r>
        <w:rPr>
          <w:rFonts w:hint="eastAsia" w:eastAsia="仿宋"/>
          <w:sz w:val="24"/>
          <w:highlight w:val="none"/>
        </w:rPr>
        <w:t>包装箱上应有明显的包装储运图示标志。</w:t>
      </w:r>
    </w:p>
    <w:p w14:paraId="28B526F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6.5.6</w:t>
      </w:r>
      <w:r>
        <w:rPr>
          <w:rFonts w:hint="eastAsia" w:eastAsia="仿宋"/>
          <w:sz w:val="24"/>
          <w:highlight w:val="none"/>
        </w:rPr>
        <w:t>整体产品或分别运输的部件都要适应运输和装载的要求。</w:t>
      </w:r>
    </w:p>
    <w:p w14:paraId="0D0F3561">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6.5.7</w:t>
      </w:r>
      <w:r>
        <w:rPr>
          <w:rFonts w:hint="eastAsia" w:eastAsia="仿宋"/>
          <w:sz w:val="24"/>
          <w:highlight w:val="none"/>
        </w:rPr>
        <w:t>随产品提供的技术资料应完整无缺。</w:t>
      </w:r>
    </w:p>
    <w:p w14:paraId="7AA39B5B">
      <w:pPr>
        <w:spacing w:line="360" w:lineRule="auto"/>
        <w:ind w:firstLine="480" w:firstLineChars="200"/>
        <w:jc w:val="left"/>
        <w:rPr>
          <w:rFonts w:hint="eastAsia" w:eastAsia="仿宋"/>
          <w:sz w:val="24"/>
          <w:highlight w:val="none"/>
          <w:lang w:val="en-US" w:eastAsia="zh-CN"/>
        </w:rPr>
      </w:pPr>
      <w:r>
        <w:rPr>
          <w:rFonts w:hint="eastAsia" w:eastAsia="仿宋"/>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053C5F48">
      <w:pPr>
        <w:pStyle w:val="2"/>
        <w:widowControl/>
        <w:spacing w:before="0" w:after="0" w:line="360" w:lineRule="auto"/>
        <w:jc w:val="center"/>
        <w:rPr>
          <w:rFonts w:hint="eastAsia" w:ascii="宋体" w:hAnsi="宋体" w:eastAsia="仿宋"/>
          <w:color w:val="auto"/>
          <w:highlight w:val="none"/>
        </w:rPr>
      </w:pPr>
      <w:r>
        <w:rPr>
          <w:rFonts w:hint="eastAsia" w:ascii="宋体" w:hAnsi="宋体" w:eastAsia="仿宋"/>
          <w:color w:val="auto"/>
          <w:highlight w:val="none"/>
        </w:rPr>
        <w:br w:type="page"/>
      </w:r>
      <w:r>
        <w:rPr>
          <w:rFonts w:hint="eastAsia" w:ascii="宋体" w:hAnsi="宋体" w:eastAsia="仿宋"/>
          <w:color w:val="auto"/>
          <w:highlight w:val="none"/>
        </w:rPr>
        <w:t>第四章  资格审查和评标办法（综合评分法）</w:t>
      </w:r>
      <w:bookmarkEnd w:id="769"/>
    </w:p>
    <w:bookmarkEnd w:id="749"/>
    <w:bookmarkEnd w:id="750"/>
    <w:bookmarkEnd w:id="751"/>
    <w:bookmarkEnd w:id="752"/>
    <w:bookmarkEnd w:id="753"/>
    <w:bookmarkEnd w:id="754"/>
    <w:bookmarkEnd w:id="755"/>
    <w:bookmarkEnd w:id="756"/>
    <w:bookmarkEnd w:id="757"/>
    <w:bookmarkEnd w:id="770"/>
    <w:bookmarkEnd w:id="771"/>
    <w:p w14:paraId="5FEF09C7">
      <w:pPr>
        <w:pStyle w:val="3"/>
        <w:jc w:val="center"/>
        <w:rPr>
          <w:rFonts w:hint="eastAsia" w:eastAsia="仿宋"/>
          <w:color w:val="auto"/>
          <w:highlight w:val="none"/>
        </w:rPr>
      </w:pPr>
      <w:r>
        <w:rPr>
          <w:rFonts w:hint="eastAsia" w:eastAsia="仿宋"/>
          <w:color w:val="auto"/>
          <w:highlight w:val="none"/>
        </w:rPr>
        <w:t>第一节  资格审查</w:t>
      </w:r>
    </w:p>
    <w:p w14:paraId="0D29E616">
      <w:pPr>
        <w:spacing w:line="360" w:lineRule="auto"/>
        <w:jc w:val="center"/>
        <w:rPr>
          <w:rFonts w:hint="eastAsia" w:eastAsia="仿宋"/>
          <w:b/>
          <w:color w:val="auto"/>
          <w:sz w:val="28"/>
          <w:szCs w:val="28"/>
          <w:highlight w:val="none"/>
        </w:rPr>
      </w:pPr>
      <w:r>
        <w:rPr>
          <w:rFonts w:hint="eastAsia" w:eastAsia="仿宋"/>
          <w:b/>
          <w:color w:val="auto"/>
          <w:sz w:val="28"/>
          <w:szCs w:val="28"/>
          <w:highlight w:val="none"/>
        </w:rPr>
        <w:t>资格审查办法前附表</w:t>
      </w:r>
    </w:p>
    <w:p w14:paraId="0B282A5B">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本《资格审查办法前附表》是对本节《资格审查》的具体补充和修改，如有不一致，以本《资格审查办法前附表》为准。</w:t>
      </w:r>
    </w:p>
    <w:tbl>
      <w:tblPr>
        <w:tblStyle w:val="17"/>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99"/>
        <w:gridCol w:w="4798"/>
        <w:gridCol w:w="2503"/>
      </w:tblGrid>
      <w:tr w14:paraId="5EAD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35DFDEDC">
            <w:pPr>
              <w:adjustRightInd w:val="0"/>
              <w:snapToGrid w:val="0"/>
              <w:ind w:right="-10"/>
              <w:jc w:val="center"/>
              <w:rPr>
                <w:rFonts w:hint="eastAsia" w:ascii="宋体" w:hAnsi="宋体"/>
                <w:color w:val="auto"/>
                <w:sz w:val="24"/>
                <w:highlight w:val="none"/>
              </w:rPr>
            </w:pPr>
            <w:r>
              <w:rPr>
                <w:rFonts w:hint="eastAsia" w:ascii="宋体" w:hAnsi="宋体"/>
                <w:b/>
                <w:color w:val="auto"/>
                <w:sz w:val="24"/>
                <w:szCs w:val="22"/>
                <w:highlight w:val="none"/>
              </w:rPr>
              <w:t>资格审查办法前附表</w:t>
            </w:r>
          </w:p>
        </w:tc>
      </w:tr>
      <w:tr w14:paraId="469A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799C1364">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序号</w:t>
            </w:r>
          </w:p>
        </w:tc>
        <w:tc>
          <w:tcPr>
            <w:tcW w:w="997" w:type="pct"/>
            <w:tcBorders>
              <w:bottom w:val="single" w:color="auto" w:sz="4" w:space="0"/>
            </w:tcBorders>
            <w:noWrap w:val="0"/>
            <w:vAlign w:val="center"/>
          </w:tcPr>
          <w:p w14:paraId="7D16675E">
            <w:pPr>
              <w:pStyle w:val="30"/>
              <w:pBdr>
                <w:bottom w:val="none" w:color="auto" w:sz="0" w:space="0"/>
              </w:pBdr>
              <w:tabs>
                <w:tab w:val="clear" w:pos="4153"/>
                <w:tab w:val="clear" w:pos="8306"/>
              </w:tabs>
              <w:snapToGrid w:val="0"/>
              <w:spacing w:line="24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审查因素</w:t>
            </w:r>
          </w:p>
        </w:tc>
        <w:tc>
          <w:tcPr>
            <w:tcW w:w="2393" w:type="pct"/>
            <w:tcBorders>
              <w:bottom w:val="single" w:color="auto" w:sz="4" w:space="0"/>
            </w:tcBorders>
            <w:noWrap w:val="0"/>
            <w:vAlign w:val="center"/>
          </w:tcPr>
          <w:p w14:paraId="6C5EB0B3">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审查标准</w:t>
            </w:r>
          </w:p>
        </w:tc>
        <w:tc>
          <w:tcPr>
            <w:tcW w:w="1246" w:type="pct"/>
            <w:tcBorders>
              <w:bottom w:val="single" w:color="auto" w:sz="4" w:space="0"/>
            </w:tcBorders>
            <w:noWrap w:val="0"/>
            <w:vAlign w:val="center"/>
          </w:tcPr>
          <w:p w14:paraId="2D582CA0">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格式及材料要求</w:t>
            </w:r>
          </w:p>
        </w:tc>
      </w:tr>
      <w:tr w14:paraId="77B3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2" w:type="pct"/>
            <w:tcBorders>
              <w:bottom w:val="single" w:color="auto" w:sz="4" w:space="0"/>
            </w:tcBorders>
            <w:noWrap w:val="0"/>
            <w:vAlign w:val="center"/>
          </w:tcPr>
          <w:p w14:paraId="41CF35D9">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1</w:t>
            </w:r>
          </w:p>
        </w:tc>
        <w:tc>
          <w:tcPr>
            <w:tcW w:w="997" w:type="pct"/>
            <w:tcBorders>
              <w:bottom w:val="single" w:color="auto" w:sz="4" w:space="0"/>
            </w:tcBorders>
            <w:noWrap w:val="0"/>
            <w:vAlign w:val="center"/>
          </w:tcPr>
          <w:p w14:paraId="300D8421">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营业执照等证明材料</w:t>
            </w:r>
          </w:p>
        </w:tc>
        <w:tc>
          <w:tcPr>
            <w:tcW w:w="2393" w:type="pct"/>
            <w:tcBorders>
              <w:bottom w:val="single" w:color="auto" w:sz="4" w:space="0"/>
            </w:tcBorders>
            <w:noWrap w:val="0"/>
            <w:vAlign w:val="center"/>
          </w:tcPr>
          <w:p w14:paraId="55D10A6B">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投标人为企业（包括公司、合伙企业、个人独资企业）的，提供有效的营业执照；</w:t>
            </w:r>
          </w:p>
          <w:p w14:paraId="40235634">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投标人为事业单位的，提供有效的事业单位法人证书；</w:t>
            </w:r>
          </w:p>
          <w:p w14:paraId="59242B27">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投标人为社会团体的，提供有效的社会团体法人登记证书；</w:t>
            </w:r>
          </w:p>
          <w:p w14:paraId="1F7AA709">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投标人为个体工商户的，提供有效的营业执照；</w:t>
            </w:r>
          </w:p>
          <w:p w14:paraId="04C1E256">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投标人为不具法人资格的专业服务机构的，提供有效的执业许可证等证明材料；</w:t>
            </w:r>
          </w:p>
          <w:p w14:paraId="5F6C45A3">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投标人为自然人的，提供有效的自然人身份证明；</w:t>
            </w:r>
          </w:p>
          <w:p w14:paraId="36B6FD3D">
            <w:pPr>
              <w:spacing w:after="50"/>
              <w:ind w:right="-10"/>
              <w:jc w:val="left"/>
              <w:rPr>
                <w:rFonts w:ascii="宋体" w:hAnsi="宋体"/>
                <w:color w:val="auto"/>
                <w:sz w:val="24"/>
                <w:szCs w:val="28"/>
                <w:highlight w:val="none"/>
              </w:rPr>
            </w:pPr>
            <w:r>
              <w:rPr>
                <w:rFonts w:hint="eastAsia" w:ascii="仿宋" w:hAnsi="仿宋" w:eastAsia="仿宋" w:cs="仿宋"/>
                <w:color w:val="auto"/>
                <w:sz w:val="24"/>
                <w:szCs w:val="28"/>
                <w:highlight w:val="none"/>
              </w:rPr>
              <w:t>其他投标人应按照有关法律、法规和规章规定，提供有效的相应证明材料。</w:t>
            </w:r>
          </w:p>
        </w:tc>
        <w:tc>
          <w:tcPr>
            <w:tcW w:w="1246" w:type="pct"/>
            <w:noWrap w:val="0"/>
            <w:vAlign w:val="center"/>
          </w:tcPr>
          <w:p w14:paraId="7E904236">
            <w:pPr>
              <w:spacing w:after="50"/>
              <w:ind w:right="-10"/>
              <w:jc w:val="left"/>
              <w:rPr>
                <w:rFonts w:hint="eastAsia" w:ascii="宋体" w:hAnsi="宋体"/>
                <w:color w:val="auto"/>
                <w:sz w:val="24"/>
                <w:highlight w:val="none"/>
              </w:rPr>
            </w:pPr>
            <w:r>
              <w:rPr>
                <w:rFonts w:hint="eastAsia" w:ascii="仿宋" w:hAnsi="仿宋" w:eastAsia="仿宋" w:cs="仿宋"/>
                <w:color w:val="auto"/>
                <w:sz w:val="24"/>
                <w:highlight w:val="none"/>
              </w:rPr>
              <w:t>提供原件扫描件或电子证照</w:t>
            </w:r>
          </w:p>
        </w:tc>
      </w:tr>
      <w:tr w14:paraId="4876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5DC1BB17">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2</w:t>
            </w:r>
          </w:p>
        </w:tc>
        <w:tc>
          <w:tcPr>
            <w:tcW w:w="997" w:type="pct"/>
            <w:tcBorders>
              <w:bottom w:val="single" w:color="auto" w:sz="4" w:space="0"/>
            </w:tcBorders>
            <w:noWrap w:val="0"/>
            <w:vAlign w:val="center"/>
          </w:tcPr>
          <w:p w14:paraId="308EEC96">
            <w:pPr>
              <w:spacing w:after="50"/>
              <w:ind w:right="-10"/>
              <w:jc w:val="center"/>
              <w:rPr>
                <w:rFonts w:ascii="宋体" w:hAnsi="宋体"/>
                <w:color w:val="auto"/>
                <w:sz w:val="24"/>
                <w:szCs w:val="28"/>
                <w:highlight w:val="none"/>
              </w:rPr>
            </w:pPr>
            <w:r>
              <w:rPr>
                <w:rFonts w:hint="eastAsia" w:ascii="宋体" w:hAnsi="宋体" w:eastAsia="仿宋"/>
                <w:color w:val="auto"/>
                <w:sz w:val="24"/>
                <w:highlight w:val="none"/>
              </w:rPr>
              <w:t>信用状况</w:t>
            </w:r>
          </w:p>
        </w:tc>
        <w:tc>
          <w:tcPr>
            <w:tcW w:w="2393" w:type="pct"/>
            <w:tcBorders>
              <w:bottom w:val="single" w:color="auto" w:sz="4" w:space="0"/>
            </w:tcBorders>
            <w:noWrap w:val="0"/>
            <w:vAlign w:val="center"/>
          </w:tcPr>
          <w:p w14:paraId="4690371C">
            <w:pPr>
              <w:spacing w:after="50"/>
              <w:ind w:right="-10"/>
              <w:jc w:val="left"/>
              <w:rPr>
                <w:rFonts w:hint="eastAsia" w:ascii="宋体" w:hAnsi="宋体" w:eastAsia="仿宋"/>
                <w:color w:val="auto"/>
                <w:sz w:val="24"/>
                <w:highlight w:val="none"/>
              </w:rPr>
            </w:pPr>
            <w:r>
              <w:rPr>
                <w:rFonts w:hint="eastAsia" w:ascii="宋体" w:hAnsi="宋体" w:eastAsia="仿宋"/>
                <w:color w:val="auto"/>
                <w:kern w:val="0"/>
                <w:sz w:val="24"/>
                <w:highlight w:val="none"/>
              </w:rPr>
              <w:t>符合第二章“投标人须知”正文第1.3.3项要求，</w:t>
            </w:r>
            <w:r>
              <w:rPr>
                <w:rFonts w:hint="eastAsia" w:ascii="宋体" w:hAnsi="宋体" w:eastAsia="仿宋"/>
                <w:color w:val="auto"/>
                <w:sz w:val="24"/>
                <w:highlight w:val="none"/>
              </w:rPr>
              <w:t>信用状况只依据下述查询平台（网址）发布的信息：</w:t>
            </w:r>
          </w:p>
          <w:p w14:paraId="18BA52B9">
            <w:pPr>
              <w:pStyle w:val="31"/>
              <w:overflowPunct w:val="0"/>
              <w:autoSpaceDE w:val="0"/>
              <w:autoSpaceDN w:val="0"/>
              <w:adjustRightInd w:val="0"/>
              <w:rPr>
                <w:rFonts w:eastAsia="仿宋"/>
                <w:color w:val="auto"/>
                <w:sz w:val="24"/>
                <w:szCs w:val="24"/>
                <w:highlight w:val="none"/>
              </w:rPr>
            </w:pPr>
            <w:r>
              <w:rPr>
                <w:rFonts w:hint="eastAsia" w:ascii="宋体" w:hAnsi="宋体" w:eastAsia="仿宋"/>
                <w:color w:val="auto"/>
                <w:sz w:val="24"/>
                <w:szCs w:val="24"/>
                <w:highlight w:val="none"/>
              </w:rPr>
              <w:t>（</w:t>
            </w:r>
            <w:r>
              <w:rPr>
                <w:rFonts w:eastAsia="仿宋"/>
                <w:color w:val="auto"/>
                <w:sz w:val="24"/>
                <w:szCs w:val="24"/>
                <w:highlight w:val="none"/>
              </w:rPr>
              <w:t>1</w:t>
            </w:r>
            <w:r>
              <w:rPr>
                <w:rFonts w:hint="eastAsia" w:ascii="宋体" w:hAnsi="宋体" w:eastAsia="仿宋"/>
                <w:color w:val="auto"/>
                <w:sz w:val="24"/>
                <w:szCs w:val="24"/>
                <w:highlight w:val="none"/>
              </w:rPr>
              <w:t>）信用中国</w:t>
            </w:r>
            <w:r>
              <w:rPr>
                <w:rFonts w:eastAsia="仿宋"/>
                <w:color w:val="auto"/>
                <w:sz w:val="24"/>
                <w:szCs w:val="24"/>
                <w:highlight w:val="none"/>
              </w:rPr>
              <w:t>网站</w:t>
            </w:r>
          </w:p>
          <w:p w14:paraId="09255057">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（www.creditchina.gov.cn）；</w:t>
            </w:r>
          </w:p>
          <w:p w14:paraId="56AB4C30">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（2）中国执行信息公开网</w:t>
            </w:r>
          </w:p>
          <w:p w14:paraId="2C066120">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（http://zxgk.court.gov.cn/）</w:t>
            </w:r>
            <w:r>
              <w:rPr>
                <w:rFonts w:hint="eastAsia" w:eastAsia="仿宋"/>
                <w:color w:val="auto"/>
                <w:sz w:val="24"/>
                <w:szCs w:val="24"/>
                <w:highlight w:val="none"/>
              </w:rPr>
              <w:t>；</w:t>
            </w:r>
          </w:p>
          <w:p w14:paraId="4E81F431">
            <w:pPr>
              <w:pStyle w:val="31"/>
              <w:overflowPunct w:val="0"/>
              <w:autoSpaceDE w:val="0"/>
              <w:autoSpaceDN w:val="0"/>
              <w:adjustRightInd w:val="0"/>
              <w:rPr>
                <w:rFonts w:eastAsia="仿宋"/>
                <w:color w:val="auto"/>
                <w:sz w:val="24"/>
                <w:szCs w:val="24"/>
                <w:highlight w:val="none"/>
              </w:rPr>
            </w:pPr>
            <w:r>
              <w:rPr>
                <w:rFonts w:hint="eastAsia" w:eastAsia="仿宋"/>
                <w:color w:val="auto"/>
                <w:sz w:val="24"/>
                <w:szCs w:val="24"/>
                <w:highlight w:val="none"/>
              </w:rPr>
              <w:t>（3）</w:t>
            </w:r>
            <w:r>
              <w:rPr>
                <w:rFonts w:eastAsia="仿宋"/>
                <w:color w:val="auto"/>
                <w:sz w:val="24"/>
                <w:szCs w:val="24"/>
                <w:highlight w:val="none"/>
              </w:rPr>
              <w:t>中国政府采购网</w:t>
            </w:r>
          </w:p>
          <w:p w14:paraId="6FCC7632">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（http://www.ccgp.gov.cn/）</w:t>
            </w:r>
            <w:r>
              <w:rPr>
                <w:rFonts w:hint="eastAsia" w:eastAsia="仿宋"/>
                <w:color w:val="auto"/>
                <w:sz w:val="24"/>
                <w:szCs w:val="24"/>
                <w:highlight w:val="none"/>
              </w:rPr>
              <w:t>；</w:t>
            </w:r>
          </w:p>
          <w:p w14:paraId="6EFEFC89">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（4）国家企业信用信息公示系统</w:t>
            </w:r>
          </w:p>
          <w:p w14:paraId="35A0A0D9">
            <w:pPr>
              <w:pStyle w:val="4"/>
              <w:spacing w:line="240" w:lineRule="auto"/>
              <w:outlineLvl w:val="2"/>
              <w:rPr>
                <w:color w:val="auto"/>
                <w:highlight w:val="none"/>
              </w:rPr>
            </w:pPr>
            <w:r>
              <w:rPr>
                <w:rFonts w:ascii="Times New Roman" w:hAnsi="Times New Roman" w:eastAsia="仿宋"/>
                <w:b w:val="0"/>
                <w:bCs w:val="0"/>
                <w:color w:val="auto"/>
                <w:sz w:val="24"/>
                <w:highlight w:val="none"/>
                <w:lang w:eastAsia="zh-CN" w:bidi="ar-SA"/>
              </w:rPr>
              <w:t>（http://www.gsxt.gov.cn/）</w:t>
            </w:r>
            <w:r>
              <w:rPr>
                <w:rFonts w:hint="eastAsia" w:ascii="Times New Roman" w:hAnsi="Times New Roman" w:eastAsia="仿宋"/>
                <w:b w:val="0"/>
                <w:bCs w:val="0"/>
                <w:color w:val="auto"/>
                <w:sz w:val="24"/>
                <w:highlight w:val="none"/>
                <w:lang w:eastAsia="zh-CN" w:bidi="ar-SA"/>
              </w:rPr>
              <w:t>。</w:t>
            </w:r>
          </w:p>
        </w:tc>
        <w:tc>
          <w:tcPr>
            <w:tcW w:w="1246" w:type="pct"/>
            <w:tcBorders>
              <w:bottom w:val="single" w:color="auto" w:sz="4" w:space="0"/>
            </w:tcBorders>
            <w:noWrap w:val="0"/>
            <w:vAlign w:val="center"/>
          </w:tcPr>
          <w:p w14:paraId="4D3BE83A">
            <w:pPr>
              <w:widowControl/>
              <w:adjustRightInd w:val="0"/>
              <w:snapToGrid w:val="0"/>
              <w:rPr>
                <w:rFonts w:hint="eastAsia" w:ascii="宋体" w:hAnsi="宋体"/>
                <w:color w:val="auto"/>
                <w:sz w:val="24"/>
                <w:highlight w:val="none"/>
              </w:rPr>
            </w:pPr>
            <w:r>
              <w:rPr>
                <w:rFonts w:hint="eastAsia" w:ascii="宋体" w:hAnsi="宋体" w:eastAsia="仿宋" w:cs="宋体"/>
                <w:color w:val="auto"/>
                <w:sz w:val="24"/>
                <w:highlight w:val="none"/>
              </w:rPr>
              <w:t>采购人或采购代理机构查询</w:t>
            </w:r>
          </w:p>
        </w:tc>
      </w:tr>
      <w:tr w14:paraId="5560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BCF3C8A">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3</w:t>
            </w:r>
          </w:p>
        </w:tc>
        <w:tc>
          <w:tcPr>
            <w:tcW w:w="997" w:type="pct"/>
            <w:tcBorders>
              <w:bottom w:val="single" w:color="auto" w:sz="4" w:space="0"/>
            </w:tcBorders>
            <w:noWrap w:val="0"/>
            <w:vAlign w:val="center"/>
          </w:tcPr>
          <w:p w14:paraId="75AA9256">
            <w:pPr>
              <w:spacing w:after="50"/>
              <w:ind w:right="-10"/>
              <w:jc w:val="center"/>
              <w:rPr>
                <w:rFonts w:ascii="宋体" w:hAnsi="宋体"/>
                <w:color w:val="auto"/>
                <w:sz w:val="24"/>
                <w:szCs w:val="18"/>
                <w:highlight w:val="none"/>
              </w:rPr>
            </w:pPr>
            <w:r>
              <w:rPr>
                <w:rFonts w:hint="eastAsia" w:ascii="宋体" w:hAnsi="宋体" w:eastAsia="仿宋"/>
                <w:color w:val="auto"/>
                <w:sz w:val="24"/>
                <w:highlight w:val="none"/>
              </w:rPr>
              <w:t>政府采购供应商资格承诺函</w:t>
            </w:r>
          </w:p>
        </w:tc>
        <w:tc>
          <w:tcPr>
            <w:tcW w:w="2393" w:type="pct"/>
            <w:tcBorders>
              <w:bottom w:val="single" w:color="auto" w:sz="4" w:space="0"/>
            </w:tcBorders>
            <w:noWrap w:val="0"/>
            <w:vAlign w:val="center"/>
          </w:tcPr>
          <w:p w14:paraId="1D89D177">
            <w:pPr>
              <w:spacing w:after="50"/>
              <w:ind w:right="-10"/>
              <w:jc w:val="left"/>
              <w:rPr>
                <w:rFonts w:hint="eastAsia" w:ascii="宋体" w:hAnsi="宋体" w:eastAsia="仿宋"/>
                <w:color w:val="auto"/>
                <w:sz w:val="24"/>
                <w:szCs w:val="28"/>
                <w:highlight w:val="none"/>
              </w:rPr>
            </w:pPr>
            <w:r>
              <w:rPr>
                <w:rFonts w:hint="eastAsia" w:ascii="宋体" w:hAnsi="宋体" w:eastAsia="仿宋"/>
                <w:color w:val="auto"/>
                <w:sz w:val="24"/>
                <w:highlight w:val="none"/>
              </w:rPr>
              <w:t>格式、填写要求符合招标文件规定并加盖投标人电子签章。</w:t>
            </w:r>
          </w:p>
        </w:tc>
        <w:tc>
          <w:tcPr>
            <w:tcW w:w="1246" w:type="pct"/>
            <w:tcBorders>
              <w:bottom w:val="single" w:color="auto" w:sz="4" w:space="0"/>
            </w:tcBorders>
            <w:noWrap w:val="0"/>
            <w:vAlign w:val="center"/>
          </w:tcPr>
          <w:p w14:paraId="17BC7219">
            <w:pPr>
              <w:adjustRightInd w:val="0"/>
              <w:snapToGrid w:val="0"/>
              <w:ind w:right="-10"/>
              <w:jc w:val="left"/>
              <w:rPr>
                <w:rFonts w:hint="eastAsia" w:ascii="宋体" w:hAnsi="宋体"/>
                <w:color w:val="auto"/>
                <w:sz w:val="24"/>
                <w:highlight w:val="none"/>
              </w:rPr>
            </w:pPr>
            <w:r>
              <w:rPr>
                <w:rFonts w:hint="eastAsia" w:ascii="宋体" w:hAnsi="宋体" w:eastAsia="仿宋"/>
                <w:color w:val="auto"/>
                <w:sz w:val="24"/>
                <w:highlight w:val="none"/>
              </w:rPr>
              <w:t>详见第六章投标文件格式九（二）</w:t>
            </w:r>
          </w:p>
        </w:tc>
      </w:tr>
      <w:tr w14:paraId="7C43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1B0D2E38">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4</w:t>
            </w:r>
          </w:p>
        </w:tc>
        <w:tc>
          <w:tcPr>
            <w:tcW w:w="997" w:type="pct"/>
            <w:tcBorders>
              <w:bottom w:val="single" w:color="auto" w:sz="4" w:space="0"/>
            </w:tcBorders>
            <w:noWrap w:val="0"/>
            <w:vAlign w:val="center"/>
          </w:tcPr>
          <w:p w14:paraId="394F2C74">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中小企业声明函</w:t>
            </w:r>
          </w:p>
          <w:p w14:paraId="59F9EB1E">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（专门面向中小企业采购项目/采购包适用）</w:t>
            </w:r>
          </w:p>
        </w:tc>
        <w:tc>
          <w:tcPr>
            <w:tcW w:w="2393" w:type="pct"/>
            <w:tcBorders>
              <w:bottom w:val="single" w:color="auto" w:sz="4" w:space="0"/>
            </w:tcBorders>
            <w:noWrap w:val="0"/>
            <w:vAlign w:val="center"/>
          </w:tcPr>
          <w:p w14:paraId="59557011">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符合招标公告中落实政府采购政策需满足的资格要求。</w:t>
            </w:r>
          </w:p>
        </w:tc>
        <w:tc>
          <w:tcPr>
            <w:tcW w:w="1246" w:type="pct"/>
            <w:tcBorders>
              <w:bottom w:val="single" w:color="auto" w:sz="4" w:space="0"/>
            </w:tcBorders>
            <w:noWrap w:val="0"/>
            <w:vAlign w:val="center"/>
          </w:tcPr>
          <w:p w14:paraId="11B05BF4">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详见第六章投标文件格式五</w:t>
            </w:r>
          </w:p>
        </w:tc>
      </w:tr>
      <w:tr w14:paraId="5F39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362" w:type="pct"/>
            <w:vMerge w:val="restart"/>
            <w:noWrap w:val="0"/>
            <w:vAlign w:val="center"/>
          </w:tcPr>
          <w:p w14:paraId="39FD37D3">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5</w:t>
            </w:r>
          </w:p>
        </w:tc>
        <w:tc>
          <w:tcPr>
            <w:tcW w:w="997" w:type="pct"/>
            <w:vMerge w:val="restart"/>
            <w:noWrap w:val="0"/>
            <w:vAlign w:val="center"/>
          </w:tcPr>
          <w:p w14:paraId="7523CD76">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中小企业承揽份额（如有）</w:t>
            </w:r>
          </w:p>
        </w:tc>
        <w:tc>
          <w:tcPr>
            <w:tcW w:w="2393" w:type="pct"/>
            <w:tcBorders>
              <w:bottom w:val="single" w:color="auto" w:sz="4" w:space="0"/>
            </w:tcBorders>
            <w:noWrap w:val="0"/>
            <w:vAlign w:val="center"/>
          </w:tcPr>
          <w:p w14:paraId="174D7B79">
            <w:pPr>
              <w:jc w:val="left"/>
              <w:rPr>
                <w:rFonts w:hint="eastAsia" w:ascii="宋体" w:hAnsi="宋体" w:eastAsia="仿宋"/>
                <w:color w:val="auto"/>
                <w:sz w:val="24"/>
                <w:highlight w:val="none"/>
              </w:rPr>
            </w:pPr>
            <w:r>
              <w:rPr>
                <w:rFonts w:hint="eastAsia" w:ascii="宋体" w:hAnsi="宋体" w:eastAsia="仿宋"/>
                <w:color w:val="auto"/>
                <w:sz w:val="24"/>
                <w:highlight w:val="none"/>
              </w:rPr>
              <w:t>如本项目（包）允许通过组成联合体预留部分采购份额面向中小企业采购、且投标人因落实政府采购政策拟组成联合体的，必须提供。</w:t>
            </w:r>
          </w:p>
          <w:p w14:paraId="25E0ACF0">
            <w:pPr>
              <w:jc w:val="left"/>
              <w:rPr>
                <w:rFonts w:ascii="宋体" w:hAnsi="宋体" w:eastAsia="仿宋"/>
                <w:color w:val="auto"/>
                <w:sz w:val="24"/>
                <w:highlight w:val="none"/>
              </w:rPr>
            </w:pPr>
            <w:r>
              <w:rPr>
                <w:rFonts w:hint="eastAsia" w:ascii="宋体" w:hAnsi="宋体" w:eastAsia="仿宋"/>
                <w:color w:val="auto"/>
                <w:sz w:val="24"/>
                <w:highlight w:val="none"/>
              </w:rPr>
              <w:t>中小企业承揽份额须满足招标文件要求。</w:t>
            </w:r>
          </w:p>
        </w:tc>
        <w:tc>
          <w:tcPr>
            <w:tcW w:w="1246" w:type="pct"/>
            <w:tcBorders>
              <w:bottom w:val="single" w:color="auto" w:sz="4" w:space="0"/>
            </w:tcBorders>
            <w:noWrap w:val="0"/>
            <w:vAlign w:val="center"/>
          </w:tcPr>
          <w:p w14:paraId="4DD7F104">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详见第六章投标文件格式七</w:t>
            </w:r>
          </w:p>
        </w:tc>
      </w:tr>
      <w:tr w14:paraId="4E70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362" w:type="pct"/>
            <w:vMerge w:val="continue"/>
            <w:noWrap w:val="0"/>
            <w:vAlign w:val="center"/>
          </w:tcPr>
          <w:p w14:paraId="2EEDCD60">
            <w:pPr>
              <w:adjustRightInd w:val="0"/>
              <w:snapToGrid w:val="0"/>
              <w:ind w:right="-10"/>
              <w:jc w:val="center"/>
              <w:rPr>
                <w:rFonts w:ascii="宋体" w:hAnsi="宋体"/>
                <w:color w:val="auto"/>
                <w:sz w:val="24"/>
                <w:highlight w:val="none"/>
              </w:rPr>
            </w:pPr>
          </w:p>
        </w:tc>
        <w:tc>
          <w:tcPr>
            <w:tcW w:w="997" w:type="pct"/>
            <w:vMerge w:val="continue"/>
            <w:noWrap w:val="0"/>
            <w:vAlign w:val="center"/>
          </w:tcPr>
          <w:p w14:paraId="01070BFC">
            <w:pPr>
              <w:spacing w:after="50"/>
              <w:ind w:right="-10"/>
              <w:jc w:val="center"/>
              <w:rPr>
                <w:rFonts w:hint="eastAsia" w:ascii="宋体" w:hAnsi="宋体" w:eastAsia="仿宋"/>
                <w:color w:val="auto"/>
                <w:sz w:val="24"/>
                <w:highlight w:val="none"/>
              </w:rPr>
            </w:pPr>
          </w:p>
        </w:tc>
        <w:tc>
          <w:tcPr>
            <w:tcW w:w="2393" w:type="pct"/>
            <w:noWrap w:val="0"/>
            <w:vAlign w:val="center"/>
          </w:tcPr>
          <w:p w14:paraId="18A9065C">
            <w:pPr>
              <w:jc w:val="left"/>
              <w:rPr>
                <w:rFonts w:hint="eastAsia" w:ascii="宋体" w:hAnsi="宋体" w:eastAsia="仿宋"/>
                <w:color w:val="auto"/>
                <w:sz w:val="24"/>
                <w:highlight w:val="none"/>
              </w:rPr>
            </w:pPr>
            <w:r>
              <w:rPr>
                <w:rFonts w:hint="eastAsia" w:ascii="宋体" w:hAnsi="宋体" w:eastAsia="仿宋"/>
                <w:color w:val="auto"/>
                <w:sz w:val="24"/>
                <w:highlight w:val="none"/>
              </w:rPr>
              <w:t>如本项目（包）允许通过分包措施预留部分采购份额面向中小企业采购、且投标人因落实政府采购政策拟进行分包的，必须提供。</w:t>
            </w:r>
          </w:p>
          <w:p w14:paraId="0F2C8EAB">
            <w:pPr>
              <w:jc w:val="left"/>
              <w:rPr>
                <w:rFonts w:hint="eastAsia" w:ascii="宋体" w:hAnsi="宋体" w:eastAsia="仿宋"/>
                <w:color w:val="auto"/>
                <w:sz w:val="24"/>
                <w:highlight w:val="none"/>
              </w:rPr>
            </w:pPr>
            <w:r>
              <w:rPr>
                <w:rFonts w:hint="eastAsia" w:ascii="宋体" w:hAnsi="宋体" w:eastAsia="仿宋"/>
                <w:color w:val="auto"/>
                <w:sz w:val="24"/>
                <w:highlight w:val="none"/>
              </w:rPr>
              <w:t>中小企业承揽份额须满足招标文件要求。</w:t>
            </w:r>
          </w:p>
        </w:tc>
        <w:tc>
          <w:tcPr>
            <w:tcW w:w="1246" w:type="pct"/>
            <w:noWrap w:val="0"/>
            <w:vAlign w:val="center"/>
          </w:tcPr>
          <w:p w14:paraId="4ACD485C">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详见第六章投标文件格式八</w:t>
            </w:r>
          </w:p>
        </w:tc>
      </w:tr>
      <w:tr w14:paraId="4B61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286652B5">
            <w:pPr>
              <w:adjustRightInd w:val="0"/>
              <w:snapToGrid w:val="0"/>
              <w:ind w:right="-10"/>
              <w:jc w:val="center"/>
              <w:rPr>
                <w:rFonts w:ascii="宋体" w:hAnsi="宋体"/>
                <w:color w:val="auto"/>
                <w:sz w:val="24"/>
                <w:highlight w:val="none"/>
              </w:rPr>
            </w:pPr>
            <w:r>
              <w:rPr>
                <w:rFonts w:ascii="宋体" w:hAnsi="宋体"/>
                <w:color w:val="auto"/>
                <w:sz w:val="24"/>
                <w:highlight w:val="none"/>
              </w:rPr>
              <w:t>6</w:t>
            </w:r>
          </w:p>
        </w:tc>
        <w:tc>
          <w:tcPr>
            <w:tcW w:w="997" w:type="pct"/>
            <w:noWrap w:val="0"/>
            <w:vAlign w:val="center"/>
          </w:tcPr>
          <w:p w14:paraId="2EC6FC57">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资质要求</w:t>
            </w:r>
          </w:p>
          <w:p w14:paraId="56729F2B">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（如有）</w:t>
            </w:r>
          </w:p>
        </w:tc>
        <w:tc>
          <w:tcPr>
            <w:tcW w:w="2393" w:type="pct"/>
            <w:noWrap w:val="0"/>
            <w:vAlign w:val="center"/>
          </w:tcPr>
          <w:p w14:paraId="1EB01F7F">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符合招标公告中资格要求。</w:t>
            </w:r>
          </w:p>
        </w:tc>
        <w:tc>
          <w:tcPr>
            <w:tcW w:w="1246" w:type="pct"/>
            <w:noWrap w:val="0"/>
            <w:vAlign w:val="center"/>
          </w:tcPr>
          <w:p w14:paraId="68905615">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提供符合投标人资格中要求的资质证书扫描件或电子证照</w:t>
            </w:r>
          </w:p>
        </w:tc>
      </w:tr>
      <w:tr w14:paraId="086D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71899100">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7</w:t>
            </w:r>
          </w:p>
        </w:tc>
        <w:tc>
          <w:tcPr>
            <w:tcW w:w="997" w:type="pct"/>
            <w:noWrap w:val="0"/>
            <w:vAlign w:val="center"/>
          </w:tcPr>
          <w:p w14:paraId="7C85633D">
            <w:pPr>
              <w:pStyle w:val="31"/>
              <w:adjustRightInd w:val="0"/>
              <w:jc w:val="center"/>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业绩要求</w:t>
            </w:r>
          </w:p>
          <w:p w14:paraId="05EC2FC2">
            <w:pPr>
              <w:pStyle w:val="31"/>
              <w:adjustRightInd w:val="0"/>
              <w:jc w:val="center"/>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（如有）</w:t>
            </w:r>
          </w:p>
        </w:tc>
        <w:tc>
          <w:tcPr>
            <w:tcW w:w="2393" w:type="pct"/>
            <w:noWrap w:val="0"/>
            <w:vAlign w:val="center"/>
          </w:tcPr>
          <w:p w14:paraId="339BA6EE">
            <w:pPr>
              <w:pStyle w:val="31"/>
              <w:adjustRightInd w:val="0"/>
              <w:jc w:val="left"/>
              <w:rPr>
                <w:rFonts w:hint="eastAsia" w:ascii="宋体" w:hAnsi="宋体" w:eastAsia="仿宋"/>
                <w:color w:val="auto"/>
                <w:sz w:val="24"/>
                <w:szCs w:val="28"/>
                <w:highlight w:val="none"/>
              </w:rPr>
            </w:pPr>
            <w:r>
              <w:rPr>
                <w:rFonts w:hint="eastAsia" w:ascii="宋体" w:hAnsi="宋体" w:eastAsia="仿宋"/>
                <w:color w:val="auto"/>
                <w:sz w:val="24"/>
                <w:szCs w:val="24"/>
                <w:highlight w:val="none"/>
              </w:rPr>
              <w:t>符合招标公告中资格要求。</w:t>
            </w:r>
          </w:p>
        </w:tc>
        <w:tc>
          <w:tcPr>
            <w:tcW w:w="1246" w:type="pct"/>
            <w:noWrap w:val="0"/>
            <w:vAlign w:val="center"/>
          </w:tcPr>
          <w:p w14:paraId="7E19014F">
            <w:pPr>
              <w:widowControl/>
              <w:adjustRightInd w:val="0"/>
              <w:jc w:val="left"/>
              <w:rPr>
                <w:rFonts w:hint="eastAsia" w:ascii="宋体" w:hAnsi="宋体" w:eastAsia="仿宋"/>
                <w:color w:val="auto"/>
                <w:kern w:val="0"/>
                <w:sz w:val="24"/>
                <w:highlight w:val="none"/>
              </w:rPr>
            </w:pPr>
            <w:r>
              <w:rPr>
                <w:rFonts w:hint="eastAsia" w:ascii="宋体" w:hAnsi="宋体" w:eastAsia="仿宋"/>
                <w:color w:val="auto"/>
                <w:kern w:val="0"/>
                <w:sz w:val="24"/>
                <w:highlight w:val="none"/>
              </w:rPr>
              <w:t>提供合同原件扫描件</w:t>
            </w:r>
          </w:p>
          <w:p w14:paraId="0FAF6332">
            <w:pPr>
              <w:pStyle w:val="4"/>
              <w:spacing w:line="240" w:lineRule="auto"/>
              <w:outlineLvl w:val="2"/>
              <w:rPr>
                <w:rFonts w:hint="eastAsia"/>
                <w:color w:val="auto"/>
                <w:highlight w:val="none"/>
              </w:rPr>
            </w:pPr>
            <w:r>
              <w:rPr>
                <w:rFonts w:hint="eastAsia" w:eastAsia="仿宋"/>
                <w:b w:val="0"/>
                <w:bCs w:val="0"/>
                <w:color w:val="auto"/>
                <w:kern w:val="2"/>
                <w:sz w:val="24"/>
                <w:highlight w:val="none"/>
                <w:lang w:eastAsia="zh-CN" w:bidi="ar-SA"/>
              </w:rPr>
              <w:t>详见第六章投标文件格式九（三）</w:t>
            </w:r>
          </w:p>
        </w:tc>
      </w:tr>
    </w:tbl>
    <w:p w14:paraId="7D10A008">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p>
    <w:p w14:paraId="4B69BDA5">
      <w:pPr>
        <w:pStyle w:val="32"/>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02EC0A0">
      <w:pPr>
        <w:pStyle w:val="3"/>
        <w:rPr>
          <w:rStyle w:val="23"/>
          <w:rFonts w:hint="eastAsia" w:ascii="宋体" w:hAnsi="宋体" w:eastAsia="仿宋"/>
          <w:b/>
          <w:bCs/>
          <w:color w:val="auto"/>
          <w:sz w:val="24"/>
          <w:szCs w:val="24"/>
          <w:highlight w:val="none"/>
        </w:rPr>
      </w:pPr>
      <w:bookmarkStart w:id="790" w:name="_Toc324404867"/>
      <w:bookmarkStart w:id="791" w:name="_Toc417623587"/>
      <w:r>
        <w:rPr>
          <w:rStyle w:val="23"/>
          <w:rFonts w:hint="eastAsia" w:ascii="宋体" w:hAnsi="宋体" w:eastAsia="仿宋"/>
          <w:b/>
          <w:bCs/>
          <w:color w:val="auto"/>
          <w:sz w:val="24"/>
          <w:szCs w:val="24"/>
          <w:highlight w:val="none"/>
        </w:rPr>
        <w:t>1. 资格审查办法</w:t>
      </w:r>
      <w:bookmarkEnd w:id="790"/>
      <w:bookmarkEnd w:id="791"/>
    </w:p>
    <w:p w14:paraId="69DBFF83">
      <w:pPr>
        <w:snapToGrid w:val="0"/>
        <w:spacing w:line="360" w:lineRule="auto"/>
        <w:ind w:firstLine="480" w:firstLineChars="200"/>
        <w:rPr>
          <w:rFonts w:hint="eastAsia" w:ascii="宋体" w:hAnsi="宋体" w:eastAsia="仿宋"/>
          <w:color w:val="auto"/>
          <w:sz w:val="24"/>
          <w:highlight w:val="none"/>
        </w:rPr>
      </w:pPr>
      <w:bookmarkStart w:id="792" w:name="_Hlk44246459"/>
      <w:r>
        <w:rPr>
          <w:rFonts w:hint="eastAsia" w:ascii="宋体" w:hAnsi="宋体" w:eastAsia="仿宋"/>
          <w:color w:val="auto"/>
          <w:sz w:val="24"/>
          <w:highlight w:val="none"/>
        </w:rPr>
        <w:t>公开</w:t>
      </w:r>
      <w:r>
        <w:rPr>
          <w:rFonts w:hint="eastAsia" w:ascii="宋体" w:hAnsi="宋体" w:eastAsia="仿宋"/>
          <w:color w:val="auto"/>
          <w:sz w:val="24"/>
          <w:highlight w:val="none"/>
          <w:lang w:eastAsia="zh-CN"/>
        </w:rPr>
        <w:t>采购项目</w:t>
      </w:r>
      <w:r>
        <w:rPr>
          <w:rFonts w:hint="eastAsia" w:ascii="宋体" w:hAnsi="宋体" w:eastAsia="仿宋"/>
          <w:color w:val="auto"/>
          <w:sz w:val="24"/>
          <w:highlight w:val="none"/>
        </w:rPr>
        <w:t>开标结束后，采购人或者采购代理机构应当依法组建资格审查小组，按资格审查办法前附表中的审查标准对投标人的资格进行审查。符合本章第一节第2条规定审查标准的申请人均通过资格审查。</w:t>
      </w:r>
    </w:p>
    <w:bookmarkEnd w:id="792"/>
    <w:p w14:paraId="3AA2C700">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2. 资格审查标准</w:t>
      </w:r>
    </w:p>
    <w:p w14:paraId="545E6CAA">
      <w:pPr>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审查标准：见资格审查办法前附表。</w:t>
      </w:r>
    </w:p>
    <w:p w14:paraId="6DE6165C">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3. 资格审查程序</w:t>
      </w:r>
    </w:p>
    <w:p w14:paraId="22D8899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3.1 资格审查</w:t>
      </w:r>
    </w:p>
    <w:p w14:paraId="58750754">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3.1.1 资格审查小组按照规定的资格审查标准，对各投标人依次进行审查。有一项不符合审查标准的，资格审查不合格，其投标无效。</w:t>
      </w:r>
    </w:p>
    <w:p w14:paraId="15CFE686">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1.</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投标人有以下情形之一的，</w:t>
      </w:r>
      <w:r>
        <w:rPr>
          <w:rFonts w:hint="eastAsia" w:ascii="宋体" w:hAnsi="宋体" w:eastAsia="仿宋"/>
          <w:color w:val="auto"/>
          <w:sz w:val="24"/>
          <w:highlight w:val="none"/>
        </w:rPr>
        <w:t>资格审查不合格，其投标无效</w:t>
      </w:r>
      <w:r>
        <w:rPr>
          <w:rFonts w:ascii="宋体" w:hAnsi="宋体" w:eastAsia="仿宋"/>
          <w:color w:val="auto"/>
          <w:sz w:val="24"/>
          <w:highlight w:val="none"/>
        </w:rPr>
        <w:t>：</w:t>
      </w:r>
    </w:p>
    <w:p w14:paraId="3B84BFC6">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w:t>
      </w:r>
      <w:r>
        <w:rPr>
          <w:rFonts w:hint="eastAsia" w:ascii="宋体" w:hAnsi="宋体" w:eastAsia="仿宋"/>
          <w:color w:val="auto"/>
          <w:sz w:val="24"/>
          <w:highlight w:val="none"/>
        </w:rPr>
        <w:t>1</w:t>
      </w:r>
      <w:r>
        <w:rPr>
          <w:rFonts w:ascii="宋体" w:hAnsi="宋体" w:eastAsia="仿宋"/>
          <w:color w:val="auto"/>
          <w:sz w:val="24"/>
          <w:highlight w:val="none"/>
        </w:rPr>
        <w:t>）有弄虚作假、</w:t>
      </w:r>
      <w:r>
        <w:rPr>
          <w:rFonts w:hint="eastAsia" w:ascii="宋体" w:hAnsi="宋体" w:eastAsia="仿宋"/>
          <w:color w:val="auto"/>
          <w:sz w:val="24"/>
          <w:highlight w:val="none"/>
        </w:rPr>
        <w:t>向资格审查小组</w:t>
      </w:r>
      <w:r>
        <w:rPr>
          <w:rFonts w:ascii="宋体" w:hAnsi="宋体" w:eastAsia="仿宋"/>
          <w:color w:val="auto"/>
          <w:sz w:val="24"/>
          <w:highlight w:val="none"/>
        </w:rPr>
        <w:t>行贿等违法行为</w:t>
      </w:r>
      <w:r>
        <w:rPr>
          <w:rFonts w:hint="eastAsia" w:ascii="宋体" w:hAnsi="宋体" w:eastAsia="仿宋"/>
          <w:color w:val="auto"/>
          <w:sz w:val="24"/>
          <w:highlight w:val="none"/>
        </w:rPr>
        <w:t>；</w:t>
      </w:r>
    </w:p>
    <w:p w14:paraId="02EEBF79">
      <w:pPr>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（2）不按照资格审查小组要求澄清、补正的</w:t>
      </w:r>
      <w:r>
        <w:rPr>
          <w:rFonts w:ascii="宋体" w:hAnsi="宋体" w:eastAsia="仿宋"/>
          <w:color w:val="auto"/>
          <w:sz w:val="24"/>
          <w:highlight w:val="none"/>
        </w:rPr>
        <w:t>。</w:t>
      </w:r>
    </w:p>
    <w:p w14:paraId="39F5F8BA">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3.2 投标文件澄清</w:t>
      </w:r>
    </w:p>
    <w:p w14:paraId="7F680932">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ascii="宋体" w:hAnsi="宋体" w:eastAsia="仿宋"/>
          <w:color w:val="auto"/>
          <w:sz w:val="24"/>
          <w:highlight w:val="none"/>
        </w:rPr>
        <w:t>在</w:t>
      </w:r>
      <w:r>
        <w:rPr>
          <w:rFonts w:hint="eastAsia" w:ascii="宋体" w:hAnsi="宋体" w:eastAsia="仿宋"/>
          <w:color w:val="auto"/>
          <w:sz w:val="24"/>
          <w:highlight w:val="none"/>
        </w:rPr>
        <w:t>资格审查</w:t>
      </w:r>
      <w:r>
        <w:rPr>
          <w:rFonts w:ascii="宋体" w:hAnsi="宋体" w:eastAsia="仿宋"/>
          <w:color w:val="auto"/>
          <w:sz w:val="24"/>
          <w:highlight w:val="none"/>
        </w:rPr>
        <w:t>过程中，</w:t>
      </w:r>
      <w:r>
        <w:rPr>
          <w:rFonts w:hint="eastAsia" w:ascii="宋体" w:hAnsi="宋体" w:eastAsia="仿宋"/>
          <w:color w:val="auto"/>
          <w:sz w:val="24"/>
          <w:highlight w:val="none"/>
        </w:rPr>
        <w:t>资格审查小组</w:t>
      </w:r>
      <w:r>
        <w:rPr>
          <w:rFonts w:ascii="宋体" w:hAnsi="宋体" w:eastAsia="仿宋"/>
          <w:color w:val="auto"/>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auto"/>
          <w:sz w:val="24"/>
          <w:highlight w:val="none"/>
        </w:rPr>
        <w:t>资格审查小组</w:t>
      </w:r>
      <w:r>
        <w:rPr>
          <w:rFonts w:ascii="宋体" w:hAnsi="宋体" w:eastAsia="仿宋"/>
          <w:color w:val="auto"/>
          <w:sz w:val="24"/>
          <w:highlight w:val="none"/>
        </w:rPr>
        <w:t>不接受投标人主动提出的澄清、说明或补正。</w:t>
      </w:r>
    </w:p>
    <w:p w14:paraId="6222BEFA">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澄清、说明或补正不得超出投标文件的范围且不得改变投标文件的实质性内容，并构成投标文件的组成部分。</w:t>
      </w:r>
    </w:p>
    <w:p w14:paraId="30E8056B">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.3</w:t>
      </w:r>
      <w:r>
        <w:rPr>
          <w:rFonts w:hint="eastAsia" w:ascii="宋体" w:hAnsi="宋体" w:eastAsia="仿宋"/>
          <w:color w:val="auto"/>
          <w:sz w:val="24"/>
          <w:highlight w:val="none"/>
        </w:rPr>
        <w:t xml:space="preserve"> 资格审查小组</w:t>
      </w:r>
      <w:r>
        <w:rPr>
          <w:rFonts w:ascii="宋体" w:hAnsi="宋体" w:eastAsia="仿宋"/>
          <w:color w:val="auto"/>
          <w:sz w:val="24"/>
          <w:highlight w:val="none"/>
        </w:rPr>
        <w:t>对投标人提交的澄清、说明或补正有疑问的，可以要求投标人进一步澄清、说明或补正，直至满足</w:t>
      </w:r>
      <w:r>
        <w:rPr>
          <w:rFonts w:hint="eastAsia" w:ascii="宋体" w:hAnsi="宋体" w:eastAsia="仿宋"/>
          <w:color w:val="auto"/>
          <w:sz w:val="24"/>
          <w:highlight w:val="none"/>
        </w:rPr>
        <w:t>资格审查小组</w:t>
      </w:r>
      <w:r>
        <w:rPr>
          <w:rFonts w:ascii="宋体" w:hAnsi="宋体" w:eastAsia="仿宋"/>
          <w:color w:val="auto"/>
          <w:sz w:val="24"/>
          <w:highlight w:val="none"/>
        </w:rPr>
        <w:t>的要求。</w:t>
      </w:r>
    </w:p>
    <w:p w14:paraId="2DC2542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3.3 资格审查结果</w:t>
      </w:r>
    </w:p>
    <w:p w14:paraId="4E2CA5AA">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.1</w:t>
      </w:r>
      <w:r>
        <w:rPr>
          <w:rFonts w:hint="eastAsia" w:ascii="宋体" w:hAnsi="宋体" w:eastAsia="仿宋"/>
          <w:color w:val="auto"/>
          <w:sz w:val="24"/>
          <w:highlight w:val="none"/>
        </w:rPr>
        <w:t xml:space="preserve"> 资格审查完成后，资格审查小组应当出具各投标人资格审查结果的书面意见</w:t>
      </w:r>
      <w:r>
        <w:rPr>
          <w:rFonts w:ascii="宋体" w:hAnsi="宋体" w:eastAsia="仿宋"/>
          <w:color w:val="auto"/>
          <w:sz w:val="24"/>
          <w:highlight w:val="none"/>
        </w:rPr>
        <w:t>。</w:t>
      </w:r>
    </w:p>
    <w:p w14:paraId="054F03AD">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.2</w:t>
      </w:r>
      <w:r>
        <w:rPr>
          <w:rFonts w:hint="eastAsia" w:ascii="宋体" w:hAnsi="宋体" w:eastAsia="仿宋"/>
          <w:color w:val="auto"/>
          <w:sz w:val="24"/>
          <w:highlight w:val="none"/>
        </w:rPr>
        <w:t xml:space="preserve"> 只有通过资格审查的投标人才能进入下一步的评标程序</w:t>
      </w:r>
      <w:r>
        <w:rPr>
          <w:rFonts w:ascii="宋体" w:hAnsi="宋体" w:eastAsia="仿宋"/>
          <w:color w:val="auto"/>
          <w:sz w:val="24"/>
          <w:highlight w:val="none"/>
        </w:rPr>
        <w:t>。</w:t>
      </w:r>
    </w:p>
    <w:p w14:paraId="6DE45D51">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3.3.3 合格投标人不足3家的，按废标处理。</w:t>
      </w:r>
    </w:p>
    <w:p w14:paraId="70A7E358">
      <w:pPr>
        <w:pStyle w:val="32"/>
        <w:adjustRightInd w:val="0"/>
        <w:snapToGrid w:val="0"/>
        <w:spacing w:before="0" w:line="360" w:lineRule="auto"/>
        <w:ind w:firstLine="482" w:firstLineChars="200"/>
        <w:jc w:val="center"/>
        <w:rPr>
          <w:rFonts w:hint="eastAsia" w:ascii="宋体" w:hAnsi="宋体" w:eastAsia="仿宋"/>
          <w:b/>
          <w:color w:val="auto"/>
          <w:sz w:val="24"/>
          <w:szCs w:val="24"/>
          <w:highlight w:val="none"/>
        </w:rPr>
      </w:pPr>
    </w:p>
    <w:p w14:paraId="31CAA587">
      <w:pPr>
        <w:pStyle w:val="32"/>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71A8FE5">
      <w:pPr>
        <w:pStyle w:val="3"/>
        <w:jc w:val="center"/>
        <w:rPr>
          <w:rFonts w:hint="eastAsia" w:eastAsia="仿宋"/>
          <w:color w:val="auto"/>
          <w:highlight w:val="none"/>
        </w:rPr>
      </w:pPr>
      <w:r>
        <w:rPr>
          <w:rFonts w:hint="eastAsia" w:eastAsia="仿宋"/>
          <w:color w:val="auto"/>
          <w:highlight w:val="none"/>
        </w:rPr>
        <w:t>第二节  评标办法</w:t>
      </w:r>
    </w:p>
    <w:p w14:paraId="0FA62642">
      <w:pPr>
        <w:pStyle w:val="32"/>
        <w:adjustRightInd w:val="0"/>
        <w:snapToGrid w:val="0"/>
        <w:spacing w:before="0" w:line="360" w:lineRule="auto"/>
        <w:ind w:firstLine="562" w:firstLineChars="200"/>
        <w:jc w:val="center"/>
        <w:rPr>
          <w:rFonts w:hint="eastAsia" w:ascii="宋体" w:hAnsi="宋体" w:eastAsia="仿宋"/>
          <w:b/>
          <w:color w:val="auto"/>
          <w:highlight w:val="none"/>
        </w:rPr>
      </w:pPr>
      <w:r>
        <w:rPr>
          <w:rFonts w:hint="eastAsia" w:ascii="宋体" w:hAnsi="宋体" w:eastAsia="仿宋"/>
          <w:b/>
          <w:color w:val="auto"/>
          <w:highlight w:val="none"/>
        </w:rPr>
        <w:t>评标办法前附表</w:t>
      </w:r>
    </w:p>
    <w:p w14:paraId="35D4E9F8">
      <w:pPr>
        <w:widowControl/>
        <w:adjustRightInd w:val="0"/>
        <w:snapToGrid w:val="0"/>
        <w:spacing w:before="240" w:beforeLines="100" w:after="120" w:afterLines="50" w:line="360" w:lineRule="auto"/>
        <w:ind w:firstLine="482" w:firstLineChars="200"/>
        <w:rPr>
          <w:rFonts w:hint="eastAsia" w:ascii="宋体" w:hAnsi="宋体" w:eastAsia="仿宋"/>
          <w:b/>
          <w:color w:val="auto"/>
          <w:sz w:val="28"/>
          <w:szCs w:val="28"/>
          <w:highlight w:val="none"/>
        </w:rPr>
      </w:pPr>
      <w:r>
        <w:rPr>
          <w:rFonts w:hint="eastAsia" w:ascii="宋体" w:hAnsi="宋体" w:eastAsia="仿宋"/>
          <w:b/>
          <w:bCs/>
          <w:color w:val="auto"/>
          <w:sz w:val="24"/>
          <w:highlight w:val="none"/>
        </w:rPr>
        <w:t>本《评标办法前附表》是对本节《评标办法》的具体补充和修改，如有不一致，以本《评标办法前附表》为准。</w:t>
      </w:r>
    </w:p>
    <w:p w14:paraId="0E7E0E1A">
      <w:pPr>
        <w:pStyle w:val="32"/>
        <w:adjustRightInd w:val="0"/>
        <w:snapToGrid w:val="0"/>
        <w:spacing w:before="0" w:line="360" w:lineRule="auto"/>
        <w:ind w:firstLine="482" w:firstLineChars="200"/>
        <w:rPr>
          <w:rFonts w:hint="eastAsia" w:ascii="楷体_GB2312" w:hAnsi="宋体" w:eastAsia="楷体_GB2312"/>
          <w:b/>
          <w:i/>
          <w:color w:val="auto"/>
          <w:sz w:val="24"/>
          <w:szCs w:val="24"/>
          <w:highlight w:val="none"/>
        </w:rPr>
      </w:pPr>
      <w:r>
        <w:rPr>
          <w:rFonts w:hint="eastAsia" w:ascii="宋体" w:hAnsi="宋体" w:eastAsia="仿宋"/>
          <w:b/>
          <w:color w:val="auto"/>
          <w:sz w:val="24"/>
          <w:szCs w:val="24"/>
          <w:highlight w:val="none"/>
        </w:rPr>
        <w:t>1. 符合性审查表</w:t>
      </w:r>
    </w:p>
    <w:tbl>
      <w:tblPr>
        <w:tblStyle w:val="17"/>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3A51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315BF0ED">
            <w:pPr>
              <w:widowControl/>
              <w:jc w:val="center"/>
              <w:rPr>
                <w:rFonts w:hint="eastAsia" w:ascii="宋体" w:hAnsi="宋体"/>
                <w:b/>
                <w:color w:val="auto"/>
                <w:kern w:val="0"/>
                <w:sz w:val="24"/>
                <w:highlight w:val="none"/>
              </w:rPr>
            </w:pPr>
            <w:r>
              <w:rPr>
                <w:rFonts w:hint="eastAsia" w:ascii="宋体" w:hAnsi="宋体" w:eastAsia="仿宋"/>
                <w:b/>
                <w:color w:val="auto"/>
                <w:kern w:val="0"/>
                <w:sz w:val="24"/>
                <w:highlight w:val="none"/>
              </w:rPr>
              <w:t>条款号</w:t>
            </w:r>
          </w:p>
        </w:tc>
        <w:tc>
          <w:tcPr>
            <w:tcW w:w="1843" w:type="dxa"/>
            <w:noWrap w:val="0"/>
            <w:vAlign w:val="center"/>
          </w:tcPr>
          <w:p w14:paraId="234C860D">
            <w:pPr>
              <w:widowControl/>
              <w:jc w:val="center"/>
              <w:rPr>
                <w:rFonts w:ascii="宋体" w:hAnsi="宋体"/>
                <w:b/>
                <w:color w:val="auto"/>
                <w:kern w:val="0"/>
                <w:sz w:val="24"/>
                <w:highlight w:val="none"/>
              </w:rPr>
            </w:pPr>
            <w:r>
              <w:rPr>
                <w:rFonts w:hint="eastAsia" w:ascii="宋体" w:hAnsi="宋体" w:eastAsia="仿宋"/>
                <w:b/>
                <w:color w:val="auto"/>
                <w:kern w:val="0"/>
                <w:sz w:val="24"/>
                <w:highlight w:val="none"/>
              </w:rPr>
              <w:t>审查因素</w:t>
            </w:r>
          </w:p>
        </w:tc>
        <w:tc>
          <w:tcPr>
            <w:tcW w:w="6533" w:type="dxa"/>
            <w:noWrap w:val="0"/>
            <w:vAlign w:val="center"/>
          </w:tcPr>
          <w:p w14:paraId="27B2BE9D">
            <w:pPr>
              <w:widowControl/>
              <w:jc w:val="center"/>
              <w:rPr>
                <w:rFonts w:ascii="宋体" w:hAnsi="宋体"/>
                <w:b/>
                <w:color w:val="auto"/>
                <w:kern w:val="0"/>
                <w:sz w:val="24"/>
                <w:highlight w:val="none"/>
              </w:rPr>
            </w:pPr>
            <w:r>
              <w:rPr>
                <w:rFonts w:hint="eastAsia" w:ascii="宋体" w:hAnsi="宋体" w:eastAsia="仿宋"/>
                <w:b/>
                <w:color w:val="auto"/>
                <w:kern w:val="0"/>
                <w:sz w:val="24"/>
                <w:highlight w:val="none"/>
              </w:rPr>
              <w:t>审查标准</w:t>
            </w:r>
          </w:p>
        </w:tc>
      </w:tr>
      <w:tr w14:paraId="452AB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1869630E">
            <w:pPr>
              <w:widowControl/>
              <w:jc w:val="center"/>
              <w:rPr>
                <w:rFonts w:ascii="宋体" w:hAnsi="宋体" w:eastAsia="仿宋"/>
                <w:color w:val="auto"/>
                <w:kern w:val="0"/>
                <w:sz w:val="24"/>
                <w:highlight w:val="none"/>
              </w:rPr>
            </w:pPr>
            <w:r>
              <w:rPr>
                <w:rFonts w:hint="eastAsia" w:ascii="宋体" w:hAnsi="宋体" w:eastAsia="仿宋"/>
                <w:color w:val="auto"/>
                <w:kern w:val="0"/>
                <w:sz w:val="24"/>
                <w:highlight w:val="none"/>
              </w:rPr>
              <w:t>3.1.2</w:t>
            </w:r>
          </w:p>
        </w:tc>
        <w:tc>
          <w:tcPr>
            <w:tcW w:w="1843" w:type="dxa"/>
            <w:noWrap w:val="0"/>
            <w:vAlign w:val="center"/>
          </w:tcPr>
          <w:p w14:paraId="298A2445">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投标人名称</w:t>
            </w:r>
          </w:p>
        </w:tc>
        <w:tc>
          <w:tcPr>
            <w:tcW w:w="6533" w:type="dxa"/>
            <w:noWrap w:val="0"/>
            <w:vAlign w:val="center"/>
          </w:tcPr>
          <w:p w14:paraId="429B34F1">
            <w:pPr>
              <w:widowControl/>
              <w:jc w:val="left"/>
              <w:rPr>
                <w:rFonts w:ascii="宋体" w:hAnsi="宋体"/>
                <w:color w:val="auto"/>
                <w:kern w:val="0"/>
                <w:sz w:val="24"/>
                <w:highlight w:val="none"/>
              </w:rPr>
            </w:pPr>
            <w:r>
              <w:rPr>
                <w:rFonts w:hint="eastAsia" w:ascii="宋体" w:hAnsi="宋体" w:eastAsia="仿宋"/>
                <w:color w:val="auto"/>
                <w:kern w:val="0"/>
                <w:sz w:val="24"/>
                <w:highlight w:val="none"/>
              </w:rPr>
              <w:t>与营业执照（或事业单位法人证书等证明材料）一致</w:t>
            </w:r>
          </w:p>
        </w:tc>
      </w:tr>
      <w:tr w14:paraId="05A89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324404B">
            <w:pPr>
              <w:widowControl/>
              <w:jc w:val="center"/>
              <w:rPr>
                <w:rFonts w:hint="eastAsia" w:ascii="宋体" w:hAnsi="宋体"/>
                <w:color w:val="auto"/>
                <w:kern w:val="0"/>
                <w:sz w:val="24"/>
                <w:highlight w:val="none"/>
              </w:rPr>
            </w:pPr>
          </w:p>
        </w:tc>
        <w:tc>
          <w:tcPr>
            <w:tcW w:w="1843" w:type="dxa"/>
            <w:noWrap w:val="0"/>
            <w:vAlign w:val="center"/>
          </w:tcPr>
          <w:p w14:paraId="665B013A">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投标文件签署</w:t>
            </w:r>
          </w:p>
        </w:tc>
        <w:tc>
          <w:tcPr>
            <w:tcW w:w="6533" w:type="dxa"/>
            <w:noWrap w:val="0"/>
            <w:vAlign w:val="center"/>
          </w:tcPr>
          <w:p w14:paraId="1072B461">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投标文件签字盖章符合招标文件规定</w:t>
            </w:r>
          </w:p>
        </w:tc>
      </w:tr>
      <w:tr w14:paraId="2EBF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CBD2251">
            <w:pPr>
              <w:widowControl/>
              <w:jc w:val="center"/>
              <w:rPr>
                <w:rFonts w:hint="eastAsia" w:ascii="宋体" w:hAnsi="宋体"/>
                <w:color w:val="auto"/>
                <w:kern w:val="0"/>
                <w:sz w:val="24"/>
                <w:highlight w:val="none"/>
              </w:rPr>
            </w:pPr>
          </w:p>
        </w:tc>
        <w:tc>
          <w:tcPr>
            <w:tcW w:w="1843" w:type="dxa"/>
            <w:noWrap w:val="0"/>
            <w:vAlign w:val="center"/>
          </w:tcPr>
          <w:p w14:paraId="409D74A7">
            <w:pPr>
              <w:spacing w:line="240" w:lineRule="exact"/>
              <w:rPr>
                <w:rFonts w:hint="eastAsia" w:ascii="宋体" w:hAnsi="宋体"/>
                <w:color w:val="auto"/>
                <w:sz w:val="24"/>
                <w:highlight w:val="none"/>
              </w:rPr>
            </w:pPr>
            <w:r>
              <w:rPr>
                <w:rFonts w:hint="eastAsia" w:ascii="宋体" w:hAnsi="宋体" w:eastAsia="仿宋"/>
                <w:color w:val="auto"/>
                <w:sz w:val="24"/>
                <w:highlight w:val="none"/>
              </w:rPr>
              <w:t>法定代表人（单位负责人）身份证明及授权委托书</w:t>
            </w:r>
          </w:p>
        </w:tc>
        <w:tc>
          <w:tcPr>
            <w:tcW w:w="6533" w:type="dxa"/>
            <w:noWrap w:val="0"/>
            <w:vAlign w:val="center"/>
          </w:tcPr>
          <w:p w14:paraId="749FF6D5">
            <w:pPr>
              <w:spacing w:line="240" w:lineRule="exact"/>
              <w:rPr>
                <w:rFonts w:hint="eastAsia" w:ascii="宋体" w:hAnsi="宋体"/>
                <w:color w:val="auto"/>
                <w:sz w:val="24"/>
                <w:highlight w:val="none"/>
              </w:rPr>
            </w:pPr>
            <w:r>
              <w:rPr>
                <w:rFonts w:hint="eastAsia" w:ascii="宋体" w:hAnsi="宋体" w:eastAsia="仿宋"/>
                <w:color w:val="auto"/>
                <w:sz w:val="24"/>
                <w:highlight w:val="none"/>
              </w:rPr>
              <w:t>法定代表人（单位负责人）身份证明及授权委托书符合招标文件规定的格式，按规定格式签字盖章</w:t>
            </w:r>
          </w:p>
        </w:tc>
      </w:tr>
      <w:tr w14:paraId="6E623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7F3E707">
            <w:pPr>
              <w:widowControl/>
              <w:jc w:val="center"/>
              <w:rPr>
                <w:rFonts w:hint="eastAsia" w:ascii="宋体" w:hAnsi="宋体"/>
                <w:color w:val="auto"/>
                <w:kern w:val="0"/>
                <w:sz w:val="24"/>
                <w:highlight w:val="none"/>
              </w:rPr>
            </w:pPr>
          </w:p>
        </w:tc>
        <w:tc>
          <w:tcPr>
            <w:tcW w:w="1843" w:type="dxa"/>
            <w:noWrap w:val="0"/>
            <w:vAlign w:val="center"/>
          </w:tcPr>
          <w:p w14:paraId="07D83CF7">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投标文件格式</w:t>
            </w:r>
          </w:p>
        </w:tc>
        <w:tc>
          <w:tcPr>
            <w:tcW w:w="6533" w:type="dxa"/>
            <w:noWrap w:val="0"/>
            <w:vAlign w:val="center"/>
          </w:tcPr>
          <w:p w14:paraId="0C86F1D8">
            <w:pPr>
              <w:widowControl/>
              <w:jc w:val="left"/>
              <w:rPr>
                <w:rFonts w:ascii="宋体" w:hAnsi="宋体"/>
                <w:color w:val="auto"/>
                <w:kern w:val="0"/>
                <w:sz w:val="24"/>
                <w:highlight w:val="none"/>
              </w:rPr>
            </w:pPr>
            <w:r>
              <w:rPr>
                <w:rFonts w:hint="eastAsia" w:ascii="宋体" w:hAnsi="宋体" w:eastAsia="仿宋"/>
                <w:color w:val="auto"/>
                <w:kern w:val="0"/>
                <w:sz w:val="24"/>
                <w:highlight w:val="none"/>
              </w:rPr>
              <w:t>符合招标文件给定格式要求，实质性内容齐全，关键内容、字迹清晰可辨</w:t>
            </w:r>
          </w:p>
        </w:tc>
      </w:tr>
      <w:tr w14:paraId="242E7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DA0ECEF">
            <w:pPr>
              <w:widowControl/>
              <w:jc w:val="center"/>
              <w:rPr>
                <w:rFonts w:hint="eastAsia" w:ascii="宋体" w:hAnsi="宋体"/>
                <w:color w:val="auto"/>
                <w:kern w:val="0"/>
                <w:sz w:val="24"/>
                <w:highlight w:val="none"/>
              </w:rPr>
            </w:pPr>
          </w:p>
        </w:tc>
        <w:tc>
          <w:tcPr>
            <w:tcW w:w="1843" w:type="dxa"/>
            <w:noWrap w:val="0"/>
            <w:vAlign w:val="center"/>
          </w:tcPr>
          <w:p w14:paraId="13ADCF52">
            <w:pPr>
              <w:widowControl/>
              <w:jc w:val="left"/>
              <w:rPr>
                <w:rFonts w:hint="eastAsia" w:ascii="宋体" w:hAnsi="宋体" w:eastAsia="仿宋"/>
                <w:color w:val="auto"/>
                <w:kern w:val="0"/>
                <w:sz w:val="24"/>
                <w:highlight w:val="none"/>
              </w:rPr>
            </w:pPr>
            <w:r>
              <w:rPr>
                <w:rFonts w:hint="eastAsia" w:ascii="宋体" w:hAnsi="宋体" w:eastAsia="仿宋"/>
                <w:color w:val="auto"/>
                <w:kern w:val="0"/>
                <w:sz w:val="24"/>
                <w:highlight w:val="none"/>
              </w:rPr>
              <w:t>联合体投标</w:t>
            </w:r>
          </w:p>
          <w:p w14:paraId="6822A02C">
            <w:pPr>
              <w:widowControl/>
              <w:jc w:val="left"/>
              <w:rPr>
                <w:rFonts w:ascii="宋体" w:hAnsi="宋体"/>
                <w:color w:val="auto"/>
                <w:kern w:val="0"/>
                <w:sz w:val="24"/>
                <w:highlight w:val="none"/>
              </w:rPr>
            </w:pPr>
            <w:r>
              <w:rPr>
                <w:rFonts w:hint="eastAsia" w:ascii="宋体" w:hAnsi="宋体" w:eastAsia="仿宋"/>
                <w:color w:val="auto"/>
                <w:kern w:val="0"/>
                <w:sz w:val="24"/>
                <w:highlight w:val="none"/>
              </w:rPr>
              <w:t>（如适用）</w:t>
            </w:r>
          </w:p>
        </w:tc>
        <w:tc>
          <w:tcPr>
            <w:tcW w:w="6533" w:type="dxa"/>
            <w:noWrap w:val="0"/>
            <w:vAlign w:val="center"/>
          </w:tcPr>
          <w:p w14:paraId="069D24B4">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提供联合体协议书，并明确联合体牵头人</w:t>
            </w:r>
          </w:p>
        </w:tc>
      </w:tr>
      <w:tr w14:paraId="14E5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01E6716">
            <w:pPr>
              <w:widowControl/>
              <w:jc w:val="center"/>
              <w:rPr>
                <w:rFonts w:hint="eastAsia" w:ascii="宋体" w:hAnsi="宋体"/>
                <w:color w:val="auto"/>
                <w:kern w:val="0"/>
                <w:sz w:val="24"/>
                <w:highlight w:val="none"/>
              </w:rPr>
            </w:pPr>
          </w:p>
        </w:tc>
        <w:tc>
          <w:tcPr>
            <w:tcW w:w="1843" w:type="dxa"/>
            <w:noWrap w:val="0"/>
            <w:vAlign w:val="center"/>
          </w:tcPr>
          <w:p w14:paraId="7BD80DCE">
            <w:pPr>
              <w:widowControl/>
              <w:rPr>
                <w:rFonts w:hint="eastAsia" w:ascii="宋体" w:hAnsi="宋体" w:eastAsia="仿宋"/>
                <w:color w:val="auto"/>
                <w:kern w:val="0"/>
                <w:sz w:val="24"/>
                <w:highlight w:val="none"/>
              </w:rPr>
            </w:pPr>
            <w:r>
              <w:rPr>
                <w:rFonts w:hint="eastAsia" w:ascii="宋体" w:hAnsi="宋体" w:eastAsia="仿宋"/>
                <w:color w:val="auto"/>
                <w:kern w:val="0"/>
                <w:sz w:val="24"/>
                <w:highlight w:val="none"/>
              </w:rPr>
              <w:t>投标范围</w:t>
            </w:r>
          </w:p>
        </w:tc>
        <w:tc>
          <w:tcPr>
            <w:tcW w:w="6533" w:type="dxa"/>
            <w:noWrap w:val="0"/>
            <w:vAlign w:val="center"/>
          </w:tcPr>
          <w:p w14:paraId="3296C4F4">
            <w:pPr>
              <w:widowControl/>
              <w:jc w:val="left"/>
              <w:rPr>
                <w:rFonts w:hint="eastAsia" w:ascii="宋体" w:hAnsi="宋体"/>
                <w:color w:val="auto"/>
                <w:kern w:val="0"/>
                <w:sz w:val="24"/>
                <w:highlight w:val="none"/>
              </w:rPr>
            </w:pPr>
            <w:r>
              <w:rPr>
                <w:rFonts w:hint="eastAsia" w:ascii="宋体" w:hAnsi="宋体" w:eastAsia="仿宋"/>
                <w:color w:val="auto"/>
                <w:kern w:val="0"/>
                <w:sz w:val="24"/>
                <w:highlight w:val="none"/>
              </w:rPr>
              <w:t>符合招标文件要求</w:t>
            </w:r>
          </w:p>
        </w:tc>
      </w:tr>
      <w:tr w14:paraId="0BDFE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C7C6BEF">
            <w:pPr>
              <w:widowControl/>
              <w:jc w:val="center"/>
              <w:rPr>
                <w:rFonts w:hint="eastAsia" w:ascii="宋体" w:hAnsi="宋体"/>
                <w:color w:val="auto"/>
                <w:kern w:val="0"/>
                <w:sz w:val="24"/>
                <w:highlight w:val="none"/>
              </w:rPr>
            </w:pPr>
          </w:p>
        </w:tc>
        <w:tc>
          <w:tcPr>
            <w:tcW w:w="1843" w:type="dxa"/>
            <w:noWrap w:val="0"/>
            <w:vAlign w:val="center"/>
          </w:tcPr>
          <w:p w14:paraId="4EE4DB23">
            <w:pPr>
              <w:widowControl/>
              <w:rPr>
                <w:rFonts w:ascii="宋体" w:hAnsi="宋体"/>
                <w:color w:val="auto"/>
                <w:kern w:val="0"/>
                <w:sz w:val="24"/>
                <w:highlight w:val="none"/>
              </w:rPr>
            </w:pPr>
            <w:r>
              <w:rPr>
                <w:rFonts w:hint="eastAsia" w:ascii="宋体" w:hAnsi="宋体" w:eastAsia="仿宋"/>
                <w:color w:val="auto"/>
                <w:kern w:val="0"/>
                <w:sz w:val="24"/>
                <w:highlight w:val="none"/>
              </w:rPr>
              <w:t>投标报价</w:t>
            </w:r>
          </w:p>
        </w:tc>
        <w:tc>
          <w:tcPr>
            <w:tcW w:w="6533" w:type="dxa"/>
            <w:noWrap w:val="0"/>
            <w:vAlign w:val="top"/>
          </w:tcPr>
          <w:p w14:paraId="4BBFDA28">
            <w:pPr>
              <w:widowControl/>
              <w:jc w:val="left"/>
              <w:rPr>
                <w:rFonts w:hint="eastAsia" w:ascii="宋体" w:hAnsi="宋体" w:eastAsia="仿宋"/>
                <w:color w:val="auto"/>
                <w:kern w:val="0"/>
                <w:sz w:val="24"/>
                <w:highlight w:val="none"/>
              </w:rPr>
            </w:pPr>
            <w:r>
              <w:rPr>
                <w:rFonts w:hint="eastAsia" w:ascii="宋体" w:hAnsi="宋体" w:eastAsia="仿宋" w:cs="仿宋_GB2312"/>
                <w:color w:val="auto"/>
                <w:sz w:val="24"/>
                <w:highlight w:val="none"/>
                <w:lang w:val="zh-CN"/>
              </w:rPr>
              <w:t>投标报价不得超过</w:t>
            </w:r>
            <w:r>
              <w:rPr>
                <w:rFonts w:hint="eastAsia" w:ascii="宋体" w:hAnsi="宋体" w:eastAsia="仿宋" w:cs="仿宋_GB2312"/>
                <w:color w:val="auto"/>
                <w:sz w:val="24"/>
                <w:highlight w:val="none"/>
              </w:rPr>
              <w:t>预算金额或</w:t>
            </w:r>
            <w:r>
              <w:rPr>
                <w:rFonts w:hint="eastAsia" w:ascii="宋体" w:hAnsi="宋体" w:eastAsia="仿宋" w:cs="仿宋_GB2312"/>
                <w:color w:val="auto"/>
                <w:sz w:val="24"/>
                <w:highlight w:val="none"/>
                <w:lang w:val="zh-CN"/>
              </w:rPr>
              <w:t>最高限价，</w:t>
            </w:r>
            <w:r>
              <w:rPr>
                <w:rFonts w:hint="eastAsia" w:ascii="宋体" w:hAnsi="宋体" w:eastAsia="仿宋"/>
                <w:color w:val="auto"/>
                <w:sz w:val="24"/>
                <w:highlight w:val="none"/>
              </w:rPr>
              <w:t>只能有一个有效报价，不得提交选择性报价（按招标文件规定提交备选投标方案的除外），</w:t>
            </w:r>
            <w:r>
              <w:rPr>
                <w:rFonts w:hint="eastAsia" w:ascii="宋体" w:hAnsi="宋体" w:eastAsia="仿宋"/>
                <w:color w:val="auto"/>
                <w:sz w:val="24"/>
                <w:highlight w:val="none"/>
                <w:lang w:bidi="ar"/>
              </w:rPr>
              <w:t>符合第二章投标人须知第3.2款要求</w:t>
            </w:r>
          </w:p>
        </w:tc>
      </w:tr>
      <w:tr w14:paraId="2DD35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1B2BF40">
            <w:pPr>
              <w:widowControl/>
              <w:jc w:val="center"/>
              <w:rPr>
                <w:rFonts w:hint="eastAsia" w:ascii="宋体" w:hAnsi="宋体"/>
                <w:color w:val="auto"/>
                <w:kern w:val="0"/>
                <w:sz w:val="24"/>
                <w:highlight w:val="none"/>
              </w:rPr>
            </w:pPr>
          </w:p>
        </w:tc>
        <w:tc>
          <w:tcPr>
            <w:tcW w:w="1843" w:type="dxa"/>
            <w:noWrap w:val="0"/>
            <w:vAlign w:val="center"/>
          </w:tcPr>
          <w:p w14:paraId="2A924C89">
            <w:pPr>
              <w:pStyle w:val="31"/>
              <w:rPr>
                <w:rFonts w:ascii="宋体" w:hAnsi="宋体" w:eastAsia="仿宋"/>
                <w:color w:val="auto"/>
                <w:sz w:val="24"/>
                <w:szCs w:val="24"/>
                <w:highlight w:val="none"/>
              </w:rPr>
            </w:pPr>
            <w:r>
              <w:rPr>
                <w:rFonts w:hint="eastAsia" w:ascii="宋体" w:hAnsi="宋体" w:eastAsia="仿宋"/>
                <w:color w:val="auto"/>
                <w:sz w:val="24"/>
                <w:szCs w:val="24"/>
                <w:highlight w:val="none"/>
              </w:rPr>
              <w:t>商务要求</w:t>
            </w:r>
          </w:p>
        </w:tc>
        <w:tc>
          <w:tcPr>
            <w:tcW w:w="6533" w:type="dxa"/>
            <w:noWrap w:val="0"/>
            <w:vAlign w:val="center"/>
          </w:tcPr>
          <w:p w14:paraId="37C60B78">
            <w:pPr>
              <w:pStyle w:val="31"/>
              <w:rPr>
                <w:rFonts w:ascii="宋体" w:hAnsi="宋体" w:eastAsia="仿宋"/>
                <w:color w:val="auto"/>
                <w:sz w:val="24"/>
                <w:szCs w:val="24"/>
                <w:highlight w:val="none"/>
              </w:rPr>
            </w:pPr>
            <w:r>
              <w:rPr>
                <w:rFonts w:hint="eastAsia" w:ascii="宋体" w:hAnsi="宋体" w:eastAsia="仿宋"/>
                <w:color w:val="auto"/>
                <w:sz w:val="24"/>
                <w:highlight w:val="none"/>
              </w:rPr>
              <w:t>符合实质性要求，偏离范围和项数符合招标文件规定</w:t>
            </w:r>
          </w:p>
        </w:tc>
      </w:tr>
      <w:tr w14:paraId="0531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AC614F4">
            <w:pPr>
              <w:widowControl/>
              <w:jc w:val="center"/>
              <w:rPr>
                <w:rFonts w:hint="eastAsia" w:ascii="宋体" w:hAnsi="宋体"/>
                <w:color w:val="auto"/>
                <w:kern w:val="0"/>
                <w:sz w:val="24"/>
                <w:highlight w:val="none"/>
              </w:rPr>
            </w:pPr>
          </w:p>
        </w:tc>
        <w:tc>
          <w:tcPr>
            <w:tcW w:w="1843" w:type="dxa"/>
            <w:noWrap w:val="0"/>
            <w:vAlign w:val="center"/>
          </w:tcPr>
          <w:p w14:paraId="63454AFB">
            <w:pPr>
              <w:widowControl/>
              <w:rPr>
                <w:rFonts w:hint="eastAsia" w:ascii="宋体" w:hAnsi="宋体" w:eastAsia="仿宋"/>
                <w:color w:val="auto"/>
                <w:kern w:val="0"/>
                <w:sz w:val="24"/>
                <w:highlight w:val="none"/>
              </w:rPr>
            </w:pPr>
            <w:r>
              <w:rPr>
                <w:rFonts w:hint="eastAsia" w:ascii="宋体" w:hAnsi="宋体" w:eastAsia="仿宋"/>
                <w:color w:val="auto"/>
                <w:kern w:val="0"/>
                <w:sz w:val="24"/>
                <w:highlight w:val="none"/>
              </w:rPr>
              <w:t>技术要求</w:t>
            </w:r>
          </w:p>
        </w:tc>
        <w:tc>
          <w:tcPr>
            <w:tcW w:w="6533" w:type="dxa"/>
            <w:noWrap w:val="0"/>
            <w:vAlign w:val="center"/>
          </w:tcPr>
          <w:p w14:paraId="16143B32">
            <w:pPr>
              <w:widowControl/>
              <w:jc w:val="left"/>
              <w:rPr>
                <w:rFonts w:ascii="宋体" w:hAnsi="宋体"/>
                <w:color w:val="auto"/>
                <w:kern w:val="0"/>
                <w:sz w:val="24"/>
                <w:highlight w:val="none"/>
              </w:rPr>
            </w:pPr>
            <w:r>
              <w:rPr>
                <w:rFonts w:hint="eastAsia" w:ascii="宋体" w:hAnsi="宋体" w:eastAsia="仿宋"/>
                <w:color w:val="auto"/>
                <w:kern w:val="0"/>
                <w:sz w:val="24"/>
                <w:highlight w:val="none"/>
              </w:rPr>
              <w:t>符合实质性要求，偏离范围和项数符合招标文件规定</w:t>
            </w:r>
          </w:p>
        </w:tc>
      </w:tr>
      <w:tr w14:paraId="0303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47A5AC8">
            <w:pPr>
              <w:widowControl/>
              <w:jc w:val="center"/>
              <w:rPr>
                <w:rFonts w:hint="eastAsia" w:ascii="宋体" w:hAnsi="宋体"/>
                <w:color w:val="auto"/>
                <w:kern w:val="0"/>
                <w:sz w:val="24"/>
                <w:highlight w:val="none"/>
              </w:rPr>
            </w:pPr>
          </w:p>
        </w:tc>
        <w:tc>
          <w:tcPr>
            <w:tcW w:w="1843" w:type="dxa"/>
            <w:noWrap w:val="0"/>
            <w:vAlign w:val="center"/>
          </w:tcPr>
          <w:p w14:paraId="5DDD78D4">
            <w:pPr>
              <w:widowControl/>
              <w:rPr>
                <w:rFonts w:ascii="宋体" w:hAnsi="宋体"/>
                <w:color w:val="auto"/>
                <w:kern w:val="0"/>
                <w:sz w:val="24"/>
                <w:highlight w:val="none"/>
              </w:rPr>
            </w:pPr>
            <w:r>
              <w:rPr>
                <w:rFonts w:hint="eastAsia" w:ascii="宋体" w:hAnsi="宋体" w:eastAsia="仿宋"/>
                <w:color w:val="auto"/>
                <w:kern w:val="0"/>
                <w:sz w:val="24"/>
                <w:highlight w:val="none"/>
              </w:rPr>
              <w:t>投标有效期</w:t>
            </w:r>
          </w:p>
        </w:tc>
        <w:tc>
          <w:tcPr>
            <w:tcW w:w="6533" w:type="dxa"/>
            <w:noWrap w:val="0"/>
            <w:vAlign w:val="center"/>
          </w:tcPr>
          <w:p w14:paraId="32067ECA">
            <w:pPr>
              <w:widowControl/>
              <w:jc w:val="left"/>
              <w:rPr>
                <w:rFonts w:hint="eastAsia" w:ascii="宋体" w:hAnsi="宋体"/>
                <w:color w:val="auto"/>
                <w:kern w:val="0"/>
                <w:sz w:val="24"/>
                <w:highlight w:val="none"/>
              </w:rPr>
            </w:pPr>
            <w:r>
              <w:rPr>
                <w:rFonts w:hint="eastAsia" w:ascii="宋体" w:hAnsi="宋体" w:eastAsia="仿宋"/>
                <w:color w:val="auto"/>
                <w:kern w:val="0"/>
                <w:sz w:val="24"/>
                <w:highlight w:val="none"/>
              </w:rPr>
              <w:t>符合招标文件要求</w:t>
            </w:r>
          </w:p>
        </w:tc>
      </w:tr>
      <w:tr w14:paraId="5F39C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A55A32F">
            <w:pPr>
              <w:widowControl/>
              <w:jc w:val="center"/>
              <w:rPr>
                <w:rFonts w:hint="eastAsia" w:ascii="宋体" w:hAnsi="宋体"/>
                <w:color w:val="auto"/>
                <w:kern w:val="0"/>
                <w:sz w:val="24"/>
                <w:highlight w:val="none"/>
              </w:rPr>
            </w:pPr>
          </w:p>
        </w:tc>
        <w:tc>
          <w:tcPr>
            <w:tcW w:w="1843" w:type="dxa"/>
            <w:noWrap w:val="0"/>
            <w:vAlign w:val="center"/>
          </w:tcPr>
          <w:p w14:paraId="07B9819A">
            <w:pPr>
              <w:pStyle w:val="31"/>
              <w:adjustRightInd w:val="0"/>
              <w:rPr>
                <w:rFonts w:hint="eastAsia" w:ascii="宋体" w:hAnsi="宋体"/>
                <w:color w:val="auto"/>
                <w:sz w:val="24"/>
                <w:szCs w:val="24"/>
                <w:highlight w:val="none"/>
              </w:rPr>
            </w:pPr>
            <w:r>
              <w:rPr>
                <w:rFonts w:hint="eastAsia" w:ascii="宋体" w:hAnsi="宋体" w:eastAsia="仿宋"/>
                <w:color w:val="auto"/>
                <w:sz w:val="24"/>
                <w:szCs w:val="24"/>
                <w:highlight w:val="none"/>
              </w:rPr>
              <w:t>进口产品</w:t>
            </w:r>
          </w:p>
        </w:tc>
        <w:tc>
          <w:tcPr>
            <w:tcW w:w="6533" w:type="dxa"/>
            <w:noWrap w:val="0"/>
            <w:vAlign w:val="center"/>
          </w:tcPr>
          <w:p w14:paraId="36051EDC">
            <w:pPr>
              <w:pStyle w:val="31"/>
              <w:adjustRightInd w:val="0"/>
              <w:rPr>
                <w:rFonts w:hint="eastAsia" w:ascii="宋体" w:hAnsi="宋体"/>
                <w:color w:val="auto"/>
                <w:sz w:val="24"/>
                <w:szCs w:val="24"/>
                <w:highlight w:val="none"/>
              </w:rPr>
            </w:pPr>
            <w:r>
              <w:rPr>
                <w:rFonts w:hint="eastAsia" w:ascii="宋体" w:hAnsi="宋体" w:eastAsia="仿宋"/>
                <w:color w:val="auto"/>
                <w:sz w:val="24"/>
                <w:szCs w:val="24"/>
                <w:highlight w:val="none"/>
              </w:rPr>
              <w:t>不接受进口产品投标的，投标产品不得为进口产品（执行</w:t>
            </w:r>
            <w:r>
              <w:rPr>
                <w:rFonts w:ascii="宋体" w:hAnsi="宋体" w:eastAsia="仿宋"/>
                <w:color w:val="auto"/>
                <w:sz w:val="24"/>
                <w:szCs w:val="24"/>
                <w:highlight w:val="none"/>
              </w:rPr>
              <w:t>财办库</w:t>
            </w:r>
            <w:r>
              <w:rPr>
                <w:rFonts w:hint="eastAsia" w:ascii="宋体" w:hAnsi="宋体" w:eastAsia="仿宋"/>
                <w:color w:val="auto"/>
                <w:sz w:val="24"/>
                <w:szCs w:val="24"/>
                <w:highlight w:val="none"/>
              </w:rPr>
              <w:t>〔2008〕</w:t>
            </w:r>
            <w:r>
              <w:rPr>
                <w:rFonts w:ascii="宋体" w:hAnsi="宋体" w:eastAsia="仿宋"/>
                <w:color w:val="auto"/>
                <w:sz w:val="24"/>
                <w:szCs w:val="24"/>
                <w:highlight w:val="none"/>
              </w:rPr>
              <w:t>248号</w:t>
            </w:r>
            <w:r>
              <w:rPr>
                <w:rFonts w:hint="eastAsia" w:ascii="宋体" w:hAnsi="宋体" w:eastAsia="仿宋"/>
                <w:color w:val="auto"/>
                <w:sz w:val="24"/>
                <w:szCs w:val="24"/>
                <w:highlight w:val="none"/>
              </w:rPr>
              <w:t>文件规定）</w:t>
            </w:r>
          </w:p>
        </w:tc>
      </w:tr>
      <w:tr w14:paraId="63EFF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6AB4A77">
            <w:pPr>
              <w:widowControl/>
              <w:jc w:val="center"/>
              <w:rPr>
                <w:rFonts w:hint="eastAsia" w:ascii="宋体" w:hAnsi="宋体"/>
                <w:color w:val="auto"/>
                <w:kern w:val="0"/>
                <w:sz w:val="24"/>
                <w:highlight w:val="none"/>
              </w:rPr>
            </w:pPr>
          </w:p>
        </w:tc>
        <w:tc>
          <w:tcPr>
            <w:tcW w:w="1843" w:type="dxa"/>
            <w:noWrap w:val="0"/>
            <w:vAlign w:val="center"/>
          </w:tcPr>
          <w:p w14:paraId="0FDCB874">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强制采购节能产品</w:t>
            </w:r>
          </w:p>
        </w:tc>
        <w:tc>
          <w:tcPr>
            <w:tcW w:w="6533" w:type="dxa"/>
            <w:noWrap w:val="0"/>
            <w:vAlign w:val="center"/>
          </w:tcPr>
          <w:p w14:paraId="772316A6">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采购标的若属于《节能产品政府采购品目清单》范围中政府强制采购产品，则投标人提供产品须获得国家确定的认证机构出具的、处于有效期之内的节能（水）产品认证证书</w:t>
            </w:r>
          </w:p>
        </w:tc>
      </w:tr>
      <w:tr w14:paraId="4EC2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399B315">
            <w:pPr>
              <w:widowControl/>
              <w:jc w:val="center"/>
              <w:rPr>
                <w:rFonts w:hint="eastAsia" w:ascii="宋体" w:hAnsi="宋体"/>
                <w:color w:val="auto"/>
                <w:kern w:val="0"/>
                <w:sz w:val="24"/>
                <w:highlight w:val="none"/>
              </w:rPr>
            </w:pPr>
          </w:p>
        </w:tc>
        <w:tc>
          <w:tcPr>
            <w:tcW w:w="1843" w:type="dxa"/>
            <w:noWrap w:val="0"/>
            <w:vAlign w:val="center"/>
          </w:tcPr>
          <w:p w14:paraId="64B19479">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投标文件制作机器识别码</w:t>
            </w:r>
          </w:p>
        </w:tc>
        <w:tc>
          <w:tcPr>
            <w:tcW w:w="6533" w:type="dxa"/>
            <w:noWrap w:val="0"/>
            <w:vAlign w:val="center"/>
          </w:tcPr>
          <w:p w14:paraId="6DDD96B5">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不同投标人未出现使用相同的投标文件制作机器识别码进行投标的情形</w:t>
            </w:r>
          </w:p>
        </w:tc>
      </w:tr>
      <w:tr w14:paraId="1D879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8082165">
            <w:pPr>
              <w:widowControl/>
              <w:jc w:val="center"/>
              <w:rPr>
                <w:rFonts w:hint="eastAsia" w:ascii="宋体" w:hAnsi="宋体"/>
                <w:color w:val="auto"/>
                <w:kern w:val="0"/>
                <w:sz w:val="24"/>
                <w:highlight w:val="none"/>
              </w:rPr>
            </w:pPr>
          </w:p>
        </w:tc>
        <w:tc>
          <w:tcPr>
            <w:tcW w:w="1843" w:type="dxa"/>
            <w:noWrap w:val="0"/>
            <w:vAlign w:val="center"/>
          </w:tcPr>
          <w:p w14:paraId="65E03031">
            <w:pPr>
              <w:widowControl/>
              <w:rPr>
                <w:rFonts w:ascii="宋体" w:hAnsi="宋体"/>
                <w:color w:val="auto"/>
                <w:kern w:val="0"/>
                <w:sz w:val="24"/>
                <w:highlight w:val="none"/>
              </w:rPr>
            </w:pPr>
            <w:r>
              <w:rPr>
                <w:rFonts w:hint="eastAsia" w:ascii="宋体" w:hAnsi="宋体" w:eastAsia="仿宋"/>
                <w:color w:val="auto"/>
                <w:kern w:val="0"/>
                <w:sz w:val="24"/>
                <w:highlight w:val="none"/>
              </w:rPr>
              <w:t>权利义务</w:t>
            </w:r>
          </w:p>
        </w:tc>
        <w:tc>
          <w:tcPr>
            <w:tcW w:w="6533" w:type="dxa"/>
            <w:noWrap w:val="0"/>
            <w:vAlign w:val="center"/>
          </w:tcPr>
          <w:p w14:paraId="567A0B1A">
            <w:pPr>
              <w:widowControl/>
              <w:jc w:val="left"/>
              <w:rPr>
                <w:rFonts w:ascii="宋体" w:hAnsi="宋体"/>
                <w:color w:val="auto"/>
                <w:kern w:val="0"/>
                <w:sz w:val="24"/>
                <w:highlight w:val="none"/>
              </w:rPr>
            </w:pPr>
            <w:r>
              <w:rPr>
                <w:rFonts w:hint="eastAsia" w:ascii="宋体" w:hAnsi="宋体" w:eastAsia="仿宋"/>
                <w:color w:val="auto"/>
                <w:kern w:val="0"/>
                <w:sz w:val="24"/>
                <w:highlight w:val="none"/>
              </w:rPr>
              <w:t>符合招标文件合同条款要求，未另行设定采购人不能接受的采购人应承担的义务，未对投标人的义务予以削弱</w:t>
            </w:r>
          </w:p>
        </w:tc>
      </w:tr>
      <w:tr w14:paraId="376A9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6BAD43DC">
            <w:pPr>
              <w:widowControl/>
              <w:jc w:val="center"/>
              <w:rPr>
                <w:rFonts w:hint="eastAsia" w:ascii="宋体" w:hAnsi="宋体"/>
                <w:color w:val="auto"/>
                <w:kern w:val="0"/>
                <w:sz w:val="24"/>
                <w:highlight w:val="none"/>
              </w:rPr>
            </w:pPr>
          </w:p>
        </w:tc>
        <w:tc>
          <w:tcPr>
            <w:tcW w:w="1843" w:type="dxa"/>
            <w:noWrap w:val="0"/>
            <w:vAlign w:val="center"/>
          </w:tcPr>
          <w:p w14:paraId="10F6C770">
            <w:pPr>
              <w:pStyle w:val="31"/>
              <w:rPr>
                <w:rFonts w:hint="eastAsia" w:ascii="宋体" w:hAnsi="宋体" w:eastAsia="仿宋"/>
                <w:color w:val="auto"/>
                <w:sz w:val="24"/>
                <w:szCs w:val="24"/>
                <w:highlight w:val="none"/>
              </w:rPr>
            </w:pPr>
            <w:r>
              <w:rPr>
                <w:rFonts w:hint="eastAsia" w:ascii="宋体" w:hAnsi="宋体" w:eastAsia="仿宋"/>
                <w:bCs/>
                <w:color w:val="auto"/>
                <w:sz w:val="24"/>
                <w:szCs w:val="24"/>
                <w:highlight w:val="none"/>
              </w:rPr>
              <w:t>提供同一品牌产品</w:t>
            </w:r>
          </w:p>
        </w:tc>
        <w:tc>
          <w:tcPr>
            <w:tcW w:w="6533" w:type="dxa"/>
            <w:noWrap w:val="0"/>
            <w:vAlign w:val="center"/>
          </w:tcPr>
          <w:p w14:paraId="756E399A">
            <w:pPr>
              <w:pStyle w:val="31"/>
              <w:rPr>
                <w:rFonts w:hint="eastAsia" w:ascii="宋体" w:hAnsi="宋体" w:eastAsia="仿宋"/>
                <w:color w:val="auto"/>
                <w:sz w:val="24"/>
                <w:szCs w:val="24"/>
                <w:highlight w:val="none"/>
              </w:rPr>
            </w:pPr>
            <w:r>
              <w:rPr>
                <w:rFonts w:hint="eastAsia" w:ascii="宋体" w:hAnsi="宋体" w:eastAsia="仿宋"/>
                <w:bCs/>
                <w:color w:val="auto"/>
                <w:sz w:val="24"/>
                <w:szCs w:val="24"/>
                <w:highlight w:val="none"/>
              </w:rPr>
              <w:t>单一产品采购项目中，提供同一品牌产品的不同投标人参加同一包项下投标的，以一家投标人计算有效投标人数量。非单一产品采购项目中，提供任意一个核心产品为同一品牌且通过资格审查、符合性审查的不同投标人参加同一包项下投标的，以一家投标人计算有效投标人数量。若有效投标人不足三家，本项目废标</w:t>
            </w:r>
          </w:p>
        </w:tc>
      </w:tr>
      <w:tr w14:paraId="4ACD9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9368CCF">
            <w:pPr>
              <w:widowControl/>
              <w:jc w:val="center"/>
              <w:rPr>
                <w:rFonts w:hint="eastAsia" w:ascii="宋体" w:hAnsi="宋体"/>
                <w:color w:val="auto"/>
                <w:kern w:val="0"/>
                <w:sz w:val="24"/>
                <w:highlight w:val="none"/>
              </w:rPr>
            </w:pPr>
          </w:p>
        </w:tc>
        <w:tc>
          <w:tcPr>
            <w:tcW w:w="1843" w:type="dxa"/>
            <w:noWrap w:val="0"/>
            <w:vAlign w:val="center"/>
          </w:tcPr>
          <w:p w14:paraId="40E2C709">
            <w:pPr>
              <w:pStyle w:val="31"/>
              <w:rPr>
                <w:rFonts w:ascii="宋体" w:hAnsi="宋体" w:eastAsia="仿宋"/>
                <w:color w:val="auto"/>
                <w:sz w:val="24"/>
                <w:szCs w:val="24"/>
                <w:highlight w:val="none"/>
              </w:rPr>
            </w:pPr>
            <w:r>
              <w:rPr>
                <w:rFonts w:hint="eastAsia" w:ascii="宋体" w:hAnsi="宋体" w:eastAsia="仿宋"/>
                <w:color w:val="auto"/>
                <w:sz w:val="24"/>
                <w:szCs w:val="24"/>
                <w:highlight w:val="none"/>
              </w:rPr>
              <w:t>低价说明</w:t>
            </w:r>
          </w:p>
        </w:tc>
        <w:tc>
          <w:tcPr>
            <w:tcW w:w="6533" w:type="dxa"/>
            <w:noWrap w:val="0"/>
            <w:vAlign w:val="center"/>
          </w:tcPr>
          <w:p w14:paraId="0A71428A">
            <w:pPr>
              <w:pStyle w:val="31"/>
              <w:rPr>
                <w:rFonts w:hint="eastAsia" w:ascii="宋体" w:hAnsi="宋体" w:eastAsia="仿宋"/>
                <w:color w:val="auto"/>
                <w:sz w:val="24"/>
                <w:szCs w:val="24"/>
                <w:highlight w:val="none"/>
              </w:rPr>
            </w:pPr>
            <w:r>
              <w:rPr>
                <w:rFonts w:hint="eastAsia" w:ascii="宋体" w:hAnsi="宋体" w:eastAsia="仿宋"/>
                <w:color w:val="auto"/>
                <w:sz w:val="24"/>
                <w:szCs w:val="24"/>
                <w:highlight w:val="none"/>
              </w:rPr>
              <w:t>投标人的报价明显低于其他通过符合性审查投标人的报价，评标委员会要求其提供书面说明时，投标人不能证明其报价合理性的，投标无效</w:t>
            </w:r>
          </w:p>
        </w:tc>
      </w:tr>
      <w:tr w14:paraId="117CD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D60F23B">
            <w:pPr>
              <w:widowControl/>
              <w:jc w:val="center"/>
              <w:rPr>
                <w:rFonts w:hint="eastAsia" w:ascii="宋体" w:hAnsi="宋体"/>
                <w:color w:val="auto"/>
                <w:kern w:val="0"/>
                <w:sz w:val="24"/>
                <w:highlight w:val="none"/>
              </w:rPr>
            </w:pPr>
          </w:p>
        </w:tc>
        <w:tc>
          <w:tcPr>
            <w:tcW w:w="1843" w:type="dxa"/>
            <w:noWrap w:val="0"/>
            <w:vAlign w:val="center"/>
          </w:tcPr>
          <w:p w14:paraId="1B7D82B0">
            <w:pPr>
              <w:pStyle w:val="31"/>
              <w:rPr>
                <w:rFonts w:ascii="宋体" w:hAnsi="宋体"/>
                <w:color w:val="auto"/>
                <w:sz w:val="24"/>
                <w:szCs w:val="24"/>
                <w:highlight w:val="none"/>
              </w:rPr>
            </w:pPr>
            <w:r>
              <w:rPr>
                <w:rFonts w:hint="eastAsia" w:ascii="宋体" w:hAnsi="宋体" w:eastAsia="仿宋"/>
                <w:color w:val="auto"/>
                <w:sz w:val="24"/>
                <w:szCs w:val="24"/>
                <w:highlight w:val="none"/>
              </w:rPr>
              <w:t>其他</w:t>
            </w:r>
          </w:p>
        </w:tc>
        <w:tc>
          <w:tcPr>
            <w:tcW w:w="6533" w:type="dxa"/>
            <w:noWrap w:val="0"/>
            <w:vAlign w:val="center"/>
          </w:tcPr>
          <w:p w14:paraId="4D6EBE87">
            <w:pPr>
              <w:pStyle w:val="31"/>
              <w:rPr>
                <w:rFonts w:hint="eastAsia" w:ascii="宋体" w:hAnsi="宋体" w:eastAsia="仿宋"/>
                <w:color w:val="auto"/>
                <w:sz w:val="24"/>
                <w:szCs w:val="24"/>
                <w:highlight w:val="none"/>
              </w:rPr>
            </w:pPr>
            <w:r>
              <w:rPr>
                <w:rFonts w:hint="eastAsia" w:ascii="宋体" w:hAnsi="宋体" w:eastAsia="仿宋"/>
                <w:color w:val="auto"/>
                <w:sz w:val="24"/>
                <w:szCs w:val="24"/>
                <w:highlight w:val="none"/>
              </w:rPr>
              <w:t>符合法律、行政法规规定的其他条件</w:t>
            </w:r>
          </w:p>
          <w:p w14:paraId="3E8E7317">
            <w:pPr>
              <w:pStyle w:val="31"/>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不符合招标文件列明的其他投标无效的情形</w:t>
            </w:r>
          </w:p>
        </w:tc>
      </w:tr>
    </w:tbl>
    <w:p w14:paraId="0B2876E9">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ascii="宋体" w:hAnsi="宋体" w:eastAsia="仿宋"/>
          <w:b/>
          <w:color w:val="auto"/>
          <w:sz w:val="24"/>
          <w:szCs w:val="24"/>
          <w:highlight w:val="none"/>
        </w:rPr>
        <w:br w:type="page"/>
      </w:r>
      <w:r>
        <w:rPr>
          <w:rFonts w:hint="eastAsia" w:ascii="宋体" w:hAnsi="宋体" w:eastAsia="仿宋"/>
          <w:b/>
          <w:color w:val="auto"/>
          <w:sz w:val="24"/>
          <w:szCs w:val="24"/>
          <w:highlight w:val="none"/>
        </w:rPr>
        <w:t>2、详细评审表</w:t>
      </w:r>
    </w:p>
    <w:tbl>
      <w:tblPr>
        <w:tblStyle w:val="17"/>
        <w:tblW w:w="952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25"/>
        <w:gridCol w:w="2012"/>
      </w:tblGrid>
      <w:tr w14:paraId="1D48C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E6E0CAC">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701" w:type="dxa"/>
            <w:noWrap w:val="0"/>
            <w:vAlign w:val="center"/>
          </w:tcPr>
          <w:p w14:paraId="79B43B0D">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条款内容</w:t>
            </w:r>
          </w:p>
        </w:tc>
        <w:tc>
          <w:tcPr>
            <w:tcW w:w="4225" w:type="dxa"/>
            <w:noWrap w:val="0"/>
            <w:vAlign w:val="center"/>
          </w:tcPr>
          <w:p w14:paraId="797613B5">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编列内容</w:t>
            </w:r>
          </w:p>
        </w:tc>
        <w:tc>
          <w:tcPr>
            <w:tcW w:w="2012" w:type="dxa"/>
            <w:noWrap w:val="0"/>
            <w:vAlign w:val="center"/>
          </w:tcPr>
          <w:p w14:paraId="2ACA45D7">
            <w:pPr>
              <w:widowControl/>
              <w:snapToGrid w:val="0"/>
              <w:spacing w:line="288"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备注</w:t>
            </w:r>
          </w:p>
        </w:tc>
      </w:tr>
      <w:tr w14:paraId="796B2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7AAC7053">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3.2.1</w:t>
            </w:r>
          </w:p>
        </w:tc>
        <w:tc>
          <w:tcPr>
            <w:tcW w:w="1701" w:type="dxa"/>
            <w:noWrap w:val="0"/>
            <w:vAlign w:val="center"/>
          </w:tcPr>
          <w:p w14:paraId="0F63BE83">
            <w:pPr>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分值构成</w:t>
            </w:r>
          </w:p>
          <w:p w14:paraId="43BA9AA0">
            <w:pPr>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（总分100分）</w:t>
            </w:r>
          </w:p>
        </w:tc>
        <w:tc>
          <w:tcPr>
            <w:tcW w:w="4225" w:type="dxa"/>
            <w:noWrap w:val="0"/>
            <w:vAlign w:val="center"/>
          </w:tcPr>
          <w:p w14:paraId="014C9B5E">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技术部分：</w:t>
            </w:r>
            <w:r>
              <w:rPr>
                <w:rFonts w:ascii="宋体" w:hAnsi="宋体" w:eastAsia="仿宋"/>
                <w:color w:val="auto"/>
                <w:sz w:val="24"/>
                <w:szCs w:val="20"/>
                <w:highlight w:val="none"/>
                <w:u w:val="single"/>
              </w:rPr>
              <w:t xml:space="preserve"> </w:t>
            </w:r>
            <w:r>
              <w:rPr>
                <w:rFonts w:hint="eastAsia" w:ascii="宋体" w:hAnsi="宋体" w:eastAsia="仿宋"/>
                <w:color w:val="auto"/>
                <w:sz w:val="24"/>
                <w:szCs w:val="20"/>
                <w:highlight w:val="none"/>
                <w:u w:val="single"/>
                <w:lang w:val="en-US" w:eastAsia="zh-CN"/>
              </w:rPr>
              <w:t>35</w:t>
            </w:r>
            <w:r>
              <w:rPr>
                <w:rFonts w:ascii="宋体" w:hAnsi="宋体" w:eastAsia="仿宋"/>
                <w:color w:val="auto"/>
                <w:sz w:val="24"/>
                <w:szCs w:val="20"/>
                <w:highlight w:val="none"/>
                <w:u w:val="single"/>
              </w:rPr>
              <w:t xml:space="preserve"> </w:t>
            </w:r>
            <w:r>
              <w:rPr>
                <w:rFonts w:ascii="宋体" w:hAnsi="宋体" w:eastAsia="仿宋"/>
                <w:color w:val="auto"/>
                <w:sz w:val="24"/>
                <w:szCs w:val="20"/>
                <w:highlight w:val="none"/>
              </w:rPr>
              <w:t>分</w:t>
            </w:r>
          </w:p>
          <w:p w14:paraId="72CC0343">
            <w:pPr>
              <w:snapToGrid w:val="0"/>
              <w:spacing w:line="288" w:lineRule="auto"/>
              <w:rPr>
                <w:rFonts w:ascii="宋体" w:hAnsi="宋体" w:eastAsia="仿宋"/>
                <w:color w:val="auto"/>
                <w:sz w:val="24"/>
                <w:szCs w:val="20"/>
                <w:highlight w:val="none"/>
              </w:rPr>
            </w:pPr>
            <w:r>
              <w:rPr>
                <w:rFonts w:hint="eastAsia" w:ascii="仿宋" w:hAnsi="仿宋" w:eastAsia="仿宋" w:cs="仿宋"/>
                <w:color w:val="auto"/>
                <w:sz w:val="24"/>
                <w:highlight w:val="none"/>
              </w:rPr>
              <w:t>商务部分：</w:t>
            </w:r>
            <w:r>
              <w:rPr>
                <w:rFonts w:ascii="宋体" w:hAnsi="宋体" w:eastAsia="仿宋"/>
                <w:color w:val="auto"/>
                <w:sz w:val="24"/>
                <w:szCs w:val="20"/>
                <w:highlight w:val="none"/>
                <w:u w:val="single"/>
              </w:rPr>
              <w:t xml:space="preserve"> </w:t>
            </w:r>
            <w:r>
              <w:rPr>
                <w:rFonts w:hint="eastAsia" w:ascii="宋体" w:hAnsi="宋体" w:eastAsia="仿宋"/>
                <w:color w:val="auto"/>
                <w:sz w:val="24"/>
                <w:szCs w:val="20"/>
                <w:highlight w:val="none"/>
                <w:u w:val="single"/>
                <w:lang w:val="en-US" w:eastAsia="zh-CN"/>
              </w:rPr>
              <w:t>35</w:t>
            </w:r>
            <w:r>
              <w:rPr>
                <w:rFonts w:hint="eastAsia" w:ascii="宋体" w:hAnsi="宋体" w:eastAsia="仿宋"/>
                <w:color w:val="auto"/>
                <w:sz w:val="24"/>
                <w:szCs w:val="20"/>
                <w:highlight w:val="none"/>
                <w:u w:val="single"/>
              </w:rPr>
              <w:t xml:space="preserve"> </w:t>
            </w:r>
            <w:r>
              <w:rPr>
                <w:rFonts w:ascii="宋体" w:hAnsi="宋体" w:eastAsia="仿宋"/>
                <w:color w:val="auto"/>
                <w:sz w:val="24"/>
                <w:szCs w:val="20"/>
                <w:highlight w:val="none"/>
              </w:rPr>
              <w:t>分</w:t>
            </w:r>
          </w:p>
          <w:p w14:paraId="69D7C6FE">
            <w:pPr>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r>
              <w:rPr>
                <w:rFonts w:ascii="宋体" w:hAnsi="宋体" w:eastAsia="仿宋"/>
                <w:color w:val="auto"/>
                <w:sz w:val="24"/>
                <w:szCs w:val="20"/>
                <w:highlight w:val="none"/>
                <w:u w:val="single"/>
              </w:rPr>
              <w:t xml:space="preserve"> </w:t>
            </w:r>
            <w:r>
              <w:rPr>
                <w:rFonts w:hint="eastAsia" w:ascii="宋体" w:hAnsi="宋体" w:eastAsia="仿宋"/>
                <w:color w:val="auto"/>
                <w:sz w:val="24"/>
                <w:szCs w:val="20"/>
                <w:highlight w:val="none"/>
                <w:u w:val="single"/>
              </w:rPr>
              <w:t xml:space="preserve">30 </w:t>
            </w:r>
            <w:r>
              <w:rPr>
                <w:rFonts w:ascii="宋体" w:hAnsi="宋体" w:eastAsia="仿宋"/>
                <w:color w:val="auto"/>
                <w:sz w:val="24"/>
                <w:szCs w:val="20"/>
                <w:highlight w:val="none"/>
              </w:rPr>
              <w:t>分</w:t>
            </w:r>
          </w:p>
        </w:tc>
        <w:tc>
          <w:tcPr>
            <w:tcW w:w="2012" w:type="dxa"/>
            <w:noWrap w:val="0"/>
            <w:vAlign w:val="top"/>
          </w:tcPr>
          <w:p w14:paraId="5BC00BF1">
            <w:pPr>
              <w:widowControl/>
              <w:snapToGrid w:val="0"/>
              <w:spacing w:line="288" w:lineRule="auto"/>
              <w:jc w:val="left"/>
              <w:rPr>
                <w:rFonts w:ascii="仿宋" w:hAnsi="仿宋" w:eastAsia="仿宋" w:cs="仿宋"/>
                <w:color w:val="auto"/>
                <w:kern w:val="0"/>
                <w:sz w:val="24"/>
                <w:highlight w:val="none"/>
              </w:rPr>
            </w:pPr>
          </w:p>
        </w:tc>
      </w:tr>
      <w:tr w14:paraId="535B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04AD332D">
            <w:pPr>
              <w:widowControl/>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3.2.2</w:t>
            </w:r>
          </w:p>
        </w:tc>
        <w:tc>
          <w:tcPr>
            <w:tcW w:w="1701" w:type="dxa"/>
            <w:noWrap w:val="0"/>
            <w:vAlign w:val="center"/>
          </w:tcPr>
          <w:p w14:paraId="48866AAB">
            <w:pPr>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评标基准价计算方法</w:t>
            </w:r>
          </w:p>
        </w:tc>
        <w:tc>
          <w:tcPr>
            <w:tcW w:w="4225" w:type="dxa"/>
            <w:noWrap w:val="0"/>
            <w:vAlign w:val="center"/>
          </w:tcPr>
          <w:p w14:paraId="5C2913DC">
            <w:pPr>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有效的投标报价中的最低价作为评标基准价</w:t>
            </w:r>
          </w:p>
        </w:tc>
        <w:tc>
          <w:tcPr>
            <w:tcW w:w="2012" w:type="dxa"/>
            <w:noWrap w:val="0"/>
            <w:vAlign w:val="center"/>
          </w:tcPr>
          <w:p w14:paraId="53B1D9F1">
            <w:pPr>
              <w:snapToGrid w:val="0"/>
              <w:spacing w:line="288" w:lineRule="auto"/>
              <w:ind w:left="-38"/>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符合价格扣除政策的，用扣除后的价格参与计算、评分</w:t>
            </w:r>
          </w:p>
        </w:tc>
      </w:tr>
      <w:tr w14:paraId="3E4A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27EC7769">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701" w:type="dxa"/>
            <w:noWrap w:val="0"/>
            <w:vAlign w:val="center"/>
          </w:tcPr>
          <w:p w14:paraId="390C3427">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评分因素</w:t>
            </w:r>
          </w:p>
        </w:tc>
        <w:tc>
          <w:tcPr>
            <w:tcW w:w="6237" w:type="dxa"/>
            <w:gridSpan w:val="2"/>
            <w:noWrap w:val="0"/>
            <w:vAlign w:val="center"/>
          </w:tcPr>
          <w:p w14:paraId="11580BD3">
            <w:pPr>
              <w:widowControl/>
              <w:snapToGrid w:val="0"/>
              <w:spacing w:line="288"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评分标准</w:t>
            </w:r>
          </w:p>
        </w:tc>
      </w:tr>
      <w:tr w14:paraId="3EACF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15818278">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3.2.3（1）</w:t>
            </w:r>
          </w:p>
          <w:p w14:paraId="66B9A2D6">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技术</w:t>
            </w:r>
          </w:p>
          <w:p w14:paraId="137447AE">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部分</w:t>
            </w:r>
          </w:p>
        </w:tc>
        <w:tc>
          <w:tcPr>
            <w:tcW w:w="708" w:type="dxa"/>
            <w:noWrap w:val="0"/>
            <w:vAlign w:val="center"/>
          </w:tcPr>
          <w:p w14:paraId="63CB5BB3">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w:t>
            </w:r>
          </w:p>
        </w:tc>
        <w:tc>
          <w:tcPr>
            <w:tcW w:w="1701" w:type="dxa"/>
            <w:noWrap w:val="0"/>
            <w:vAlign w:val="center"/>
          </w:tcPr>
          <w:p w14:paraId="0818EF66">
            <w:pPr>
              <w:snapToGrid w:val="0"/>
              <w:jc w:val="center"/>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产品的技术参数（</w:t>
            </w:r>
            <w:r>
              <w:rPr>
                <w:rFonts w:hint="eastAsia" w:ascii="仿宋" w:hAnsi="仿宋" w:eastAsia="仿宋" w:cs="仿宋"/>
                <w:b w:val="0"/>
                <w:bCs w:val="0"/>
                <w:color w:val="auto"/>
                <w:sz w:val="24"/>
                <w:szCs w:val="20"/>
                <w:highlight w:val="none"/>
                <w:lang w:val="en-US" w:eastAsia="zh-CN"/>
              </w:rPr>
              <w:t>35</w:t>
            </w:r>
            <w:r>
              <w:rPr>
                <w:rFonts w:hint="eastAsia" w:ascii="仿宋" w:hAnsi="仿宋" w:eastAsia="仿宋" w:cs="仿宋"/>
                <w:b w:val="0"/>
                <w:bCs w:val="0"/>
                <w:color w:val="auto"/>
                <w:sz w:val="24"/>
                <w:szCs w:val="20"/>
                <w:highlight w:val="none"/>
              </w:rPr>
              <w:t>分）</w:t>
            </w:r>
          </w:p>
        </w:tc>
        <w:tc>
          <w:tcPr>
            <w:tcW w:w="6237" w:type="dxa"/>
            <w:gridSpan w:val="2"/>
            <w:noWrap w:val="0"/>
            <w:vAlign w:val="center"/>
          </w:tcPr>
          <w:p w14:paraId="0E7AD5E6">
            <w:pPr>
              <w:snapToGrid w:val="0"/>
              <w:spacing w:line="360" w:lineRule="auto"/>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1</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val="0"/>
                <w:color w:val="auto"/>
                <w:sz w:val="24"/>
                <w:szCs w:val="20"/>
                <w:highlight w:val="none"/>
              </w:rPr>
              <w:t>根据投标文件与招标文件要求实质性响应参数（标记“</w:t>
            </w:r>
            <w:r>
              <w:rPr>
                <w:rFonts w:hint="eastAsia" w:ascii="宋体" w:hAnsi="宋体" w:cs="宋体"/>
                <w:b w:val="0"/>
                <w:bCs w:val="0"/>
                <w:color w:val="auto"/>
                <w:kern w:val="0"/>
                <w:sz w:val="22"/>
                <w:szCs w:val="22"/>
                <w:highlight w:val="none"/>
                <w:lang w:bidi="ar"/>
              </w:rPr>
              <w:t>*</w:t>
            </w:r>
            <w:r>
              <w:rPr>
                <w:rFonts w:hint="eastAsia" w:ascii="仿宋" w:hAnsi="仿宋" w:eastAsia="仿宋" w:cs="仿宋"/>
                <w:b w:val="0"/>
                <w:bCs w:val="0"/>
                <w:color w:val="auto"/>
                <w:sz w:val="24"/>
                <w:szCs w:val="20"/>
                <w:highlight w:val="none"/>
              </w:rPr>
              <w:t>”的技术参数）的偏离情况进行评审。</w:t>
            </w:r>
          </w:p>
          <w:p w14:paraId="54B50236">
            <w:pPr>
              <w:snapToGrid w:val="0"/>
              <w:spacing w:line="360" w:lineRule="auto"/>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技术支持资料显示不满足招标文件要求的或未提供技术支持资料的，投标将被否决；</w:t>
            </w:r>
          </w:p>
          <w:p w14:paraId="1F283CEC">
            <w:pPr>
              <w:snapToGrid w:val="0"/>
              <w:spacing w:line="360" w:lineRule="auto"/>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2</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val="0"/>
                <w:color w:val="auto"/>
                <w:sz w:val="24"/>
                <w:szCs w:val="20"/>
                <w:highlight w:val="none"/>
              </w:rPr>
              <w:t>根据投标文件与招标文件要求</w:t>
            </w:r>
            <w:r>
              <w:rPr>
                <w:rFonts w:hint="eastAsia" w:ascii="仿宋" w:hAnsi="仿宋" w:eastAsia="仿宋" w:cs="仿宋"/>
                <w:b w:val="0"/>
                <w:bCs w:val="0"/>
                <w:color w:val="auto"/>
                <w:sz w:val="24"/>
                <w:szCs w:val="20"/>
                <w:highlight w:val="none"/>
                <w:lang w:eastAsia="zh-CN"/>
              </w:rPr>
              <w:t>重要</w:t>
            </w:r>
            <w:r>
              <w:rPr>
                <w:rFonts w:hint="eastAsia" w:ascii="仿宋" w:hAnsi="仿宋" w:eastAsia="仿宋" w:cs="仿宋"/>
                <w:b w:val="0"/>
                <w:bCs w:val="0"/>
                <w:color w:val="auto"/>
                <w:sz w:val="24"/>
                <w:szCs w:val="20"/>
                <w:highlight w:val="none"/>
              </w:rPr>
              <w:t>参数（标记“</w:t>
            </w:r>
            <w:r>
              <w:rPr>
                <w:rFonts w:hint="eastAsia" w:ascii="仿宋" w:hAnsi="仿宋" w:eastAsia="仿宋" w:cs="仿宋"/>
                <w:b w:val="0"/>
                <w:bCs w:val="0"/>
                <w:color w:val="auto"/>
                <w:sz w:val="24"/>
                <w:szCs w:val="20"/>
                <w:highlight w:val="none"/>
                <w:lang w:eastAsia="zh-CN"/>
              </w:rPr>
              <w:t>■</w:t>
            </w:r>
            <w:r>
              <w:rPr>
                <w:rFonts w:hint="eastAsia" w:ascii="仿宋" w:hAnsi="仿宋" w:eastAsia="仿宋" w:cs="仿宋"/>
                <w:b w:val="0"/>
                <w:bCs w:val="0"/>
                <w:color w:val="auto"/>
                <w:sz w:val="24"/>
                <w:szCs w:val="20"/>
                <w:highlight w:val="none"/>
              </w:rPr>
              <w:t>”的技术参数）的偏离情况进行评审，每满足一项得</w:t>
            </w:r>
            <w:r>
              <w:rPr>
                <w:rFonts w:hint="eastAsia" w:ascii="仿宋" w:hAnsi="仿宋" w:eastAsia="仿宋" w:cs="仿宋"/>
                <w:b w:val="0"/>
                <w:bCs w:val="0"/>
                <w:color w:val="auto"/>
                <w:sz w:val="24"/>
                <w:szCs w:val="20"/>
                <w:highlight w:val="none"/>
                <w:lang w:val="en-US" w:eastAsia="zh-CN"/>
              </w:rPr>
              <w:t>2</w:t>
            </w:r>
            <w:r>
              <w:rPr>
                <w:rFonts w:hint="eastAsia" w:ascii="仿宋" w:hAnsi="仿宋" w:eastAsia="仿宋" w:cs="仿宋"/>
                <w:b w:val="0"/>
                <w:bCs w:val="0"/>
                <w:color w:val="auto"/>
                <w:sz w:val="24"/>
                <w:szCs w:val="20"/>
                <w:highlight w:val="none"/>
              </w:rPr>
              <w:t>分，共</w:t>
            </w:r>
            <w:r>
              <w:rPr>
                <w:rFonts w:hint="eastAsia" w:ascii="仿宋" w:hAnsi="仿宋" w:eastAsia="仿宋" w:cs="仿宋"/>
                <w:b w:val="0"/>
                <w:bCs w:val="0"/>
                <w:color w:val="auto"/>
                <w:sz w:val="24"/>
                <w:szCs w:val="20"/>
                <w:highlight w:val="none"/>
                <w:lang w:val="en-US" w:eastAsia="zh-CN"/>
              </w:rPr>
              <w:t>11</w:t>
            </w:r>
            <w:r>
              <w:rPr>
                <w:rFonts w:hint="eastAsia" w:ascii="仿宋" w:hAnsi="仿宋" w:eastAsia="仿宋" w:cs="仿宋"/>
                <w:b w:val="0"/>
                <w:bCs w:val="0"/>
                <w:color w:val="auto"/>
                <w:sz w:val="24"/>
                <w:szCs w:val="20"/>
                <w:highlight w:val="none"/>
              </w:rPr>
              <w:t>项，满分</w:t>
            </w:r>
            <w:r>
              <w:rPr>
                <w:rFonts w:hint="eastAsia" w:ascii="仿宋" w:hAnsi="仿宋" w:eastAsia="仿宋" w:cs="仿宋"/>
                <w:b w:val="0"/>
                <w:bCs w:val="0"/>
                <w:color w:val="auto"/>
                <w:sz w:val="24"/>
                <w:szCs w:val="20"/>
                <w:highlight w:val="none"/>
                <w:lang w:val="en-US" w:eastAsia="zh-CN"/>
              </w:rPr>
              <w:t>22</w:t>
            </w:r>
            <w:r>
              <w:rPr>
                <w:rFonts w:hint="eastAsia" w:ascii="仿宋" w:hAnsi="仿宋" w:eastAsia="仿宋" w:cs="仿宋"/>
                <w:b w:val="0"/>
                <w:bCs w:val="0"/>
                <w:color w:val="auto"/>
                <w:sz w:val="24"/>
                <w:szCs w:val="20"/>
                <w:highlight w:val="none"/>
              </w:rPr>
              <w:t>分。</w:t>
            </w:r>
          </w:p>
          <w:p w14:paraId="466E5F8E">
            <w:pPr>
              <w:snapToGrid w:val="0"/>
              <w:spacing w:line="360" w:lineRule="auto"/>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val="0"/>
                <w:color w:val="auto"/>
                <w:sz w:val="24"/>
                <w:szCs w:val="20"/>
                <w:highlight w:val="none"/>
              </w:rPr>
              <w:t>根据投标文件与招标文件要求的一般参数(无标识技术参数)偏离情况进行评分。一般技术参数条款评审得分=（投标人满足一般技术参数条款的数量÷一般技术参数条款的总数量）×一般技术参数设定分值，保留小数点后两位，一般技术参数条款的总数量为</w:t>
            </w:r>
            <w:r>
              <w:rPr>
                <w:rFonts w:hint="eastAsia" w:ascii="仿宋" w:hAnsi="仿宋" w:eastAsia="仿宋" w:cs="仿宋"/>
                <w:b w:val="0"/>
                <w:bCs w:val="0"/>
                <w:color w:val="auto"/>
                <w:sz w:val="24"/>
                <w:szCs w:val="20"/>
                <w:highlight w:val="none"/>
                <w:lang w:val="en-US" w:eastAsia="zh-CN"/>
              </w:rPr>
              <w:t>23</w:t>
            </w:r>
            <w:r>
              <w:rPr>
                <w:rFonts w:hint="eastAsia" w:ascii="仿宋" w:hAnsi="仿宋" w:eastAsia="仿宋" w:cs="仿宋"/>
                <w:b w:val="0"/>
                <w:bCs w:val="0"/>
                <w:color w:val="auto"/>
                <w:sz w:val="24"/>
                <w:szCs w:val="20"/>
                <w:highlight w:val="none"/>
              </w:rPr>
              <w:t>项，满分</w:t>
            </w:r>
            <w:r>
              <w:rPr>
                <w:rFonts w:hint="eastAsia" w:ascii="仿宋" w:hAnsi="仿宋" w:eastAsia="仿宋" w:cs="仿宋"/>
                <w:b w:val="0"/>
                <w:bCs w:val="0"/>
                <w:color w:val="auto"/>
                <w:sz w:val="24"/>
                <w:szCs w:val="20"/>
                <w:highlight w:val="none"/>
                <w:lang w:val="en-US" w:eastAsia="zh-CN"/>
              </w:rPr>
              <w:t>13</w:t>
            </w:r>
            <w:r>
              <w:rPr>
                <w:rFonts w:hint="eastAsia" w:ascii="仿宋" w:hAnsi="仿宋" w:eastAsia="仿宋" w:cs="仿宋"/>
                <w:b w:val="0"/>
                <w:bCs w:val="0"/>
                <w:color w:val="auto"/>
                <w:sz w:val="24"/>
                <w:szCs w:val="20"/>
                <w:highlight w:val="none"/>
              </w:rPr>
              <w:t>分。）</w:t>
            </w:r>
          </w:p>
          <w:p w14:paraId="363FAD3C">
            <w:pPr>
              <w:snapToGrid w:val="0"/>
              <w:spacing w:line="360" w:lineRule="auto"/>
              <w:rPr>
                <w:rFonts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注：技术资料：对于标注</w:t>
            </w:r>
            <w:r>
              <w:rPr>
                <w:rFonts w:hint="eastAsia" w:ascii="宋体" w:hAnsi="宋体" w:cs="宋体"/>
                <w:b w:val="0"/>
                <w:bCs w:val="0"/>
                <w:color w:val="auto"/>
                <w:kern w:val="0"/>
                <w:sz w:val="22"/>
                <w:szCs w:val="22"/>
                <w:highlight w:val="none"/>
                <w:lang w:bidi="ar"/>
              </w:rPr>
              <w:t>“*”</w:t>
            </w:r>
            <w:r>
              <w:rPr>
                <w:rFonts w:hint="eastAsia" w:ascii="仿宋" w:hAnsi="仿宋" w:eastAsia="仿宋" w:cs="仿宋"/>
                <w:b w:val="0"/>
                <w:bCs w:val="0"/>
                <w:color w:val="auto"/>
                <w:sz w:val="24"/>
                <w:szCs w:val="20"/>
                <w:highlight w:val="none"/>
              </w:rPr>
              <w:t>号项参数、“</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szCs w:val="20"/>
                <w:highlight w:val="none"/>
              </w:rPr>
              <w:t>”参数技术参数/条款的响应情况，以招标文件明确要求的材料为准，若招标文件未明确要求则以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w:t>
            </w:r>
            <w:r>
              <w:rPr>
                <w:rFonts w:ascii="仿宋" w:hAnsi="仿宋" w:eastAsia="仿宋" w:cs="仿宋"/>
                <w:b w:val="0"/>
                <w:bCs w:val="0"/>
                <w:color w:val="auto"/>
                <w:sz w:val="24"/>
                <w:szCs w:val="20"/>
                <w:highlight w:val="none"/>
              </w:rPr>
              <w:t>为便于评审，投标供应商对证明材料中的关键参数进行标注。</w:t>
            </w:r>
          </w:p>
        </w:tc>
      </w:tr>
      <w:tr w14:paraId="3F341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59B79587">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3.2.3（2）</w:t>
            </w:r>
          </w:p>
          <w:p w14:paraId="075EC8B2">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商务</w:t>
            </w:r>
          </w:p>
          <w:p w14:paraId="5A703BA8">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部分</w:t>
            </w:r>
          </w:p>
        </w:tc>
        <w:tc>
          <w:tcPr>
            <w:tcW w:w="708" w:type="dxa"/>
            <w:noWrap w:val="0"/>
            <w:vAlign w:val="center"/>
          </w:tcPr>
          <w:p w14:paraId="15CA3137">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1" w:type="dxa"/>
            <w:noWrap w:val="0"/>
            <w:vAlign w:val="center"/>
          </w:tcPr>
          <w:p w14:paraId="3C2251C7">
            <w:pPr>
              <w:widowControl/>
              <w:adjustRightInd w:val="0"/>
              <w:snapToGrid w:val="0"/>
              <w:spacing w:line="288"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所投产品业绩（</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237" w:type="dxa"/>
            <w:gridSpan w:val="2"/>
            <w:noWrap w:val="0"/>
            <w:vAlign w:val="center"/>
          </w:tcPr>
          <w:p w14:paraId="6C1F849B">
            <w:pPr>
              <w:widowControl/>
              <w:shd w:val="clear" w:color="auto" w:fill="auto"/>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自202</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rPr>
              <w:t>年1月1日以来（以合同签订时间为准），所投同品牌同</w:t>
            </w:r>
            <w:r>
              <w:rPr>
                <w:rFonts w:hint="eastAsia" w:ascii="仿宋" w:hAnsi="仿宋" w:eastAsia="仿宋" w:cs="仿宋"/>
                <w:bCs/>
                <w:color w:val="auto"/>
                <w:sz w:val="24"/>
                <w:szCs w:val="20"/>
                <w:highlight w:val="none"/>
                <w:lang w:val="en-US" w:eastAsia="zh-CN"/>
              </w:rPr>
              <w:t>类型</w:t>
            </w:r>
            <w:r>
              <w:rPr>
                <w:rFonts w:hint="eastAsia" w:ascii="仿宋" w:hAnsi="仿宋" w:eastAsia="仿宋" w:cs="仿宋"/>
                <w:bCs/>
                <w:color w:val="auto"/>
                <w:sz w:val="24"/>
                <w:szCs w:val="20"/>
                <w:highlight w:val="none"/>
              </w:rPr>
              <w:t>产品具有医疗机构供货业绩的，每提供一个业绩得</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rPr>
              <w:t>分，最高得</w:t>
            </w:r>
            <w:r>
              <w:rPr>
                <w:rFonts w:hint="eastAsia" w:ascii="仿宋" w:hAnsi="仿宋" w:eastAsia="仿宋" w:cs="仿宋"/>
                <w:bCs/>
                <w:color w:val="auto"/>
                <w:sz w:val="24"/>
                <w:szCs w:val="20"/>
                <w:highlight w:val="none"/>
                <w:lang w:val="en-US" w:eastAsia="zh-CN"/>
              </w:rPr>
              <w:t>5</w:t>
            </w:r>
            <w:r>
              <w:rPr>
                <w:rFonts w:hint="eastAsia" w:ascii="仿宋" w:hAnsi="仿宋" w:eastAsia="仿宋" w:cs="仿宋"/>
                <w:bCs/>
                <w:color w:val="auto"/>
                <w:sz w:val="24"/>
                <w:szCs w:val="20"/>
                <w:highlight w:val="none"/>
              </w:rPr>
              <w:t>分。</w:t>
            </w:r>
          </w:p>
          <w:p w14:paraId="7A41D982">
            <w:pPr>
              <w:widowControl/>
              <w:snapToGrid/>
              <w:spacing w:line="360" w:lineRule="auto"/>
              <w:rPr>
                <w:rFonts w:hint="eastAsia" w:ascii="仿宋" w:hAnsi="仿宋" w:eastAsia="仿宋" w:cs="仿宋"/>
                <w:color w:val="auto"/>
                <w:kern w:val="0"/>
                <w:sz w:val="24"/>
                <w:highlight w:val="none"/>
              </w:rPr>
            </w:pPr>
            <w:r>
              <w:rPr>
                <w:rFonts w:hint="eastAsia" w:ascii="仿宋" w:hAnsi="仿宋" w:eastAsia="仿宋" w:cs="仿宋"/>
                <w:bCs/>
                <w:color w:val="auto"/>
                <w:sz w:val="24"/>
                <w:szCs w:val="20"/>
                <w:highlight w:val="none"/>
              </w:rPr>
              <w:t>注：</w:t>
            </w:r>
            <w:r>
              <w:rPr>
                <w:rFonts w:hint="eastAsia" w:ascii="仿宋" w:hAnsi="仿宋" w:eastAsia="仿宋" w:cs="仿宋"/>
                <w:color w:val="auto"/>
                <w:kern w:val="0"/>
                <w:sz w:val="24"/>
                <w:highlight w:val="none"/>
              </w:rPr>
              <w:t>（1）本项为所投核心产品业绩；</w:t>
            </w:r>
          </w:p>
          <w:p w14:paraId="11CEFED9">
            <w:pPr>
              <w:widowControl/>
              <w:snapToGrid/>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（2）投标文件中提供完整的合同扫描件，如合同中无法体现签订时间、产品品牌等评审因素的，须同时提供业主单位加盖公章证明材料扫描件，否则不得分；</w:t>
            </w:r>
          </w:p>
          <w:p w14:paraId="2F4A235D">
            <w:pPr>
              <w:widowControl/>
              <w:snapToGrid/>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（3）以上业绩须为已供货（安装）完毕的业绩，投标文件中无须提供已供货（安装）完毕证明材料扫描件，投标人在“业绩汇总表”中备注是否供货（安装）完毕即可。</w:t>
            </w:r>
          </w:p>
        </w:tc>
      </w:tr>
      <w:tr w14:paraId="2E6BF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2679B75">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05B70522">
            <w:pPr>
              <w:widowControl/>
              <w:snapToGrid w:val="0"/>
              <w:spacing w:line="288"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1701" w:type="dxa"/>
            <w:noWrap w:val="0"/>
            <w:vAlign w:val="center"/>
          </w:tcPr>
          <w:p w14:paraId="0E356414">
            <w:pPr>
              <w:widowControl/>
              <w:adjustRightInd/>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szCs w:val="20"/>
                <w:highlight w:val="none"/>
              </w:rPr>
              <w:t>产品综合评价（5分）</w:t>
            </w:r>
          </w:p>
        </w:tc>
        <w:tc>
          <w:tcPr>
            <w:tcW w:w="6237" w:type="dxa"/>
            <w:gridSpan w:val="2"/>
            <w:noWrap w:val="0"/>
            <w:vAlign w:val="center"/>
          </w:tcPr>
          <w:p w14:paraId="58DA5799">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评标委员会根据投标人所投产品的技术先进性、设备性能、配置情况、设计等方面进行评分。</w:t>
            </w:r>
          </w:p>
          <w:p w14:paraId="47F2BAB6">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1</w:t>
            </w:r>
            <w:r>
              <w:rPr>
                <w:rFonts w:hint="eastAsia" w:ascii="仿宋" w:hAnsi="仿宋" w:eastAsia="仿宋" w:cs="仿宋"/>
                <w:b w:val="0"/>
                <w:bCs/>
                <w:color w:val="auto"/>
                <w:sz w:val="24"/>
                <w:highlight w:val="none"/>
                <w:lang w:val="en-US" w:eastAsia="zh-CN"/>
              </w:rPr>
              <w:t>）</w:t>
            </w:r>
            <w:r>
              <w:rPr>
                <w:rFonts w:hint="eastAsia" w:ascii="仿宋" w:hAnsi="仿宋" w:eastAsia="仿宋" w:cs="仿宋"/>
                <w:bCs/>
                <w:color w:val="auto"/>
                <w:sz w:val="24"/>
                <w:szCs w:val="20"/>
                <w:highlight w:val="none"/>
              </w:rPr>
              <w:t>所投产品技术先进，设备性能稳定，得3分；所投产品技术较先进，设备性能较稳定，得2分；所投产品技术待提升、性能稳定措施待加强的，得1分。</w:t>
            </w:r>
          </w:p>
          <w:p w14:paraId="41FE6B64">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2</w:t>
            </w:r>
            <w:r>
              <w:rPr>
                <w:rFonts w:hint="eastAsia" w:ascii="仿宋" w:hAnsi="仿宋" w:eastAsia="仿宋" w:cs="仿宋"/>
                <w:b w:val="0"/>
                <w:bCs/>
                <w:color w:val="auto"/>
                <w:sz w:val="24"/>
                <w:highlight w:val="none"/>
                <w:lang w:val="en-US" w:eastAsia="zh-CN"/>
              </w:rPr>
              <w:t>）</w:t>
            </w:r>
            <w:r>
              <w:rPr>
                <w:rFonts w:hint="eastAsia" w:ascii="仿宋" w:hAnsi="仿宋" w:eastAsia="仿宋" w:cs="仿宋"/>
                <w:bCs/>
                <w:color w:val="auto"/>
                <w:sz w:val="24"/>
                <w:szCs w:val="20"/>
                <w:highlight w:val="none"/>
              </w:rPr>
              <w:t>所投产品配置丰富、设计人性化的，得2分；所投产品配置待优化、设计待提高的，得1分。</w:t>
            </w:r>
          </w:p>
          <w:p w14:paraId="664E9F6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bCs/>
                <w:color w:val="auto"/>
                <w:sz w:val="24"/>
                <w:szCs w:val="20"/>
                <w:highlight w:val="none"/>
              </w:rPr>
              <w:t>注：投标文件中提供所投产品技术、性能、 配置、设计等方面的相关说明或证明材料，说明或证明材料无固定形式，未提供任何材料导致无法评审的，相应项不得分。</w:t>
            </w:r>
          </w:p>
        </w:tc>
      </w:tr>
      <w:tr w14:paraId="7EB4F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7EB24B9">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2A24EA3B">
            <w:pPr>
              <w:widowControl/>
              <w:snapToGrid w:val="0"/>
              <w:spacing w:line="288"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w:t>
            </w:r>
          </w:p>
        </w:tc>
        <w:tc>
          <w:tcPr>
            <w:tcW w:w="1701" w:type="dxa"/>
            <w:noWrap w:val="0"/>
            <w:vAlign w:val="center"/>
          </w:tcPr>
          <w:p w14:paraId="0D8B5295">
            <w:pPr>
              <w:snapToGrid/>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供货方案（5分）</w:t>
            </w:r>
          </w:p>
        </w:tc>
        <w:tc>
          <w:tcPr>
            <w:tcW w:w="6237" w:type="dxa"/>
            <w:gridSpan w:val="2"/>
            <w:noWrap w:val="0"/>
            <w:vAlign w:val="center"/>
          </w:tcPr>
          <w:p w14:paraId="78FFC740">
            <w:pPr>
              <w:numPr>
                <w:ilvl w:val="0"/>
                <w:numId w:val="0"/>
              </w:numPr>
              <w:snapToGrid/>
              <w:spacing w:line="360" w:lineRule="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rPr>
              <w:t>根据投标人提供的针对本项目的供货安装方案，方案</w:t>
            </w:r>
            <w:r>
              <w:rPr>
                <w:rFonts w:hint="eastAsia" w:ascii="仿宋" w:hAnsi="仿宋" w:eastAsia="仿宋" w:cs="仿宋"/>
                <w:b w:val="0"/>
                <w:bCs/>
                <w:color w:val="auto"/>
                <w:sz w:val="24"/>
                <w:highlight w:val="none"/>
                <w:lang w:val="en-US" w:eastAsia="zh-CN"/>
              </w:rPr>
              <w:t>内容从</w:t>
            </w:r>
            <w:r>
              <w:rPr>
                <w:rFonts w:hint="eastAsia" w:ascii="仿宋" w:hAnsi="仿宋" w:eastAsia="仿宋" w:cs="仿宋"/>
                <w:b w:val="0"/>
                <w:bCs/>
                <w:color w:val="auto"/>
                <w:sz w:val="24"/>
                <w:highlight w:val="none"/>
              </w:rPr>
              <w:t>货物配送运输</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确保本项目</w:t>
            </w:r>
            <w:r>
              <w:rPr>
                <w:rFonts w:hint="eastAsia" w:ascii="仿宋" w:hAnsi="仿宋" w:eastAsia="仿宋" w:cs="仿宋"/>
                <w:b w:val="0"/>
                <w:bCs/>
                <w:color w:val="auto"/>
                <w:sz w:val="24"/>
                <w:highlight w:val="none"/>
              </w:rPr>
              <w:t>保质保量准时完成</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由评标委员会进行综合评</w:t>
            </w:r>
            <w:r>
              <w:rPr>
                <w:rFonts w:hint="eastAsia" w:ascii="仿宋" w:hAnsi="仿宋" w:eastAsia="仿宋" w:cs="仿宋"/>
                <w:b w:val="0"/>
                <w:bCs/>
                <w:color w:val="auto"/>
                <w:sz w:val="24"/>
                <w:highlight w:val="none"/>
                <w:lang w:val="en-US" w:eastAsia="zh-CN"/>
              </w:rPr>
              <w:t>分</w:t>
            </w:r>
            <w:r>
              <w:rPr>
                <w:rFonts w:hint="eastAsia" w:ascii="仿宋" w:hAnsi="仿宋" w:eastAsia="仿宋" w:cs="仿宋"/>
                <w:b w:val="0"/>
                <w:bCs/>
                <w:color w:val="auto"/>
                <w:sz w:val="24"/>
                <w:highlight w:val="none"/>
                <w:lang w:eastAsia="zh-CN"/>
              </w:rPr>
              <w:t>：</w:t>
            </w:r>
          </w:p>
          <w:p w14:paraId="6956CC3B">
            <w:pPr>
              <w:numPr>
                <w:ilvl w:val="0"/>
                <w:numId w:val="1"/>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供货方案优于本项目采购需求，完整详细，可行性、实用性、针对性强，得5分；</w:t>
            </w:r>
          </w:p>
          <w:p w14:paraId="725A197C">
            <w:pPr>
              <w:numPr>
                <w:ilvl w:val="0"/>
                <w:numId w:val="1"/>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供货方案</w:t>
            </w:r>
            <w:r>
              <w:rPr>
                <w:rFonts w:hint="eastAsia" w:ascii="仿宋" w:hAnsi="仿宋" w:eastAsia="仿宋" w:cs="仿宋"/>
                <w:b w:val="0"/>
                <w:bCs/>
                <w:color w:val="auto"/>
                <w:sz w:val="24"/>
                <w:highlight w:val="none"/>
                <w:lang w:val="en-US" w:eastAsia="zh-CN"/>
              </w:rPr>
              <w:t>适合</w:t>
            </w:r>
            <w:r>
              <w:rPr>
                <w:rFonts w:hint="eastAsia" w:ascii="仿宋" w:hAnsi="仿宋" w:eastAsia="仿宋" w:cs="仿宋"/>
                <w:b w:val="0"/>
                <w:bCs/>
                <w:color w:val="auto"/>
                <w:sz w:val="24"/>
                <w:highlight w:val="none"/>
              </w:rPr>
              <w:t>本项目采购需求，</w:t>
            </w:r>
            <w:r>
              <w:rPr>
                <w:rFonts w:hint="eastAsia" w:ascii="仿宋" w:hAnsi="仿宋" w:eastAsia="仿宋" w:cs="仿宋"/>
                <w:b w:val="0"/>
                <w:bCs/>
                <w:color w:val="auto"/>
                <w:sz w:val="24"/>
                <w:highlight w:val="none"/>
                <w:lang w:val="en-US" w:eastAsia="zh-CN"/>
              </w:rPr>
              <w:t>较</w:t>
            </w:r>
            <w:r>
              <w:rPr>
                <w:rFonts w:hint="eastAsia" w:ascii="仿宋" w:hAnsi="仿宋" w:eastAsia="仿宋" w:cs="仿宋"/>
                <w:b w:val="0"/>
                <w:bCs/>
                <w:color w:val="auto"/>
                <w:sz w:val="24"/>
                <w:highlight w:val="none"/>
              </w:rPr>
              <w:t>完整详细，可行性、实用性、针对性</w:t>
            </w:r>
            <w:r>
              <w:rPr>
                <w:rFonts w:hint="eastAsia" w:ascii="仿宋" w:hAnsi="仿宋" w:eastAsia="仿宋" w:cs="仿宋"/>
                <w:b w:val="0"/>
                <w:bCs/>
                <w:color w:val="auto"/>
                <w:sz w:val="24"/>
                <w:highlight w:val="none"/>
                <w:lang w:val="en-US" w:eastAsia="zh-CN"/>
              </w:rPr>
              <w:t>较</w:t>
            </w:r>
            <w:r>
              <w:rPr>
                <w:rFonts w:hint="eastAsia" w:ascii="仿宋" w:hAnsi="仿宋" w:eastAsia="仿宋" w:cs="仿宋"/>
                <w:b w:val="0"/>
                <w:bCs/>
                <w:color w:val="auto"/>
                <w:sz w:val="24"/>
                <w:highlight w:val="none"/>
              </w:rPr>
              <w:t>强，得</w:t>
            </w: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分；</w:t>
            </w:r>
          </w:p>
          <w:p w14:paraId="100B89E7">
            <w:pPr>
              <w:numPr>
                <w:ilvl w:val="0"/>
                <w:numId w:val="0"/>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rPr>
              <w:t>供货方案</w:t>
            </w:r>
            <w:r>
              <w:rPr>
                <w:rFonts w:hint="eastAsia" w:ascii="仿宋" w:hAnsi="仿宋" w:eastAsia="仿宋" w:cs="仿宋"/>
                <w:b w:val="0"/>
                <w:bCs/>
                <w:color w:val="auto"/>
                <w:sz w:val="24"/>
                <w:highlight w:val="none"/>
                <w:lang w:val="en-US" w:eastAsia="zh-CN"/>
              </w:rPr>
              <w:t>基本满足</w:t>
            </w:r>
            <w:r>
              <w:rPr>
                <w:rFonts w:hint="eastAsia" w:ascii="仿宋" w:hAnsi="仿宋" w:eastAsia="仿宋" w:cs="仿宋"/>
                <w:b w:val="0"/>
                <w:bCs/>
                <w:color w:val="auto"/>
                <w:sz w:val="24"/>
                <w:highlight w:val="none"/>
              </w:rPr>
              <w:t>本项目采购需求，基本全面，具有可行性</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实用性和针对性，得3分；</w:t>
            </w:r>
          </w:p>
          <w:p w14:paraId="7241C092">
            <w:pPr>
              <w:numPr>
                <w:ilvl w:val="0"/>
                <w:numId w:val="0"/>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供货方案安排有待提升，可行性、实用性</w:t>
            </w:r>
            <w:r>
              <w:rPr>
                <w:rFonts w:hint="eastAsia" w:ascii="仿宋" w:hAnsi="仿宋" w:eastAsia="仿宋" w:cs="仿宋"/>
                <w:b w:val="0"/>
                <w:bCs/>
                <w:color w:val="auto"/>
                <w:sz w:val="24"/>
                <w:highlight w:val="none"/>
                <w:lang w:val="en-US" w:eastAsia="zh-CN"/>
              </w:rPr>
              <w:t>和</w:t>
            </w:r>
            <w:r>
              <w:rPr>
                <w:rFonts w:hint="eastAsia" w:ascii="仿宋" w:hAnsi="仿宋" w:eastAsia="仿宋" w:cs="仿宋"/>
                <w:b w:val="0"/>
                <w:bCs/>
                <w:color w:val="auto"/>
                <w:sz w:val="24"/>
                <w:highlight w:val="none"/>
              </w:rPr>
              <w:t>针对性有待改善，得</w:t>
            </w:r>
            <w:r>
              <w:rPr>
                <w:rFonts w:hint="eastAsia" w:ascii="仿宋" w:hAnsi="仿宋" w:eastAsia="仿宋" w:cs="仿宋"/>
                <w:b w:val="0"/>
                <w:bCs/>
                <w:color w:val="auto"/>
                <w:sz w:val="24"/>
                <w:highlight w:val="none"/>
                <w:lang w:val="en-US" w:eastAsia="zh-CN"/>
              </w:rPr>
              <w:t>2</w:t>
            </w:r>
            <w:r>
              <w:rPr>
                <w:rFonts w:hint="eastAsia" w:ascii="仿宋" w:hAnsi="仿宋" w:eastAsia="仿宋" w:cs="仿宋"/>
                <w:b w:val="0"/>
                <w:bCs/>
                <w:color w:val="auto"/>
                <w:sz w:val="24"/>
                <w:highlight w:val="none"/>
              </w:rPr>
              <w:t>分；</w:t>
            </w:r>
          </w:p>
          <w:p w14:paraId="1C22D506">
            <w:pPr>
              <w:numPr>
                <w:ilvl w:val="0"/>
                <w:numId w:val="0"/>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5）</w:t>
            </w:r>
            <w:r>
              <w:rPr>
                <w:rFonts w:hint="eastAsia" w:ascii="仿宋" w:hAnsi="仿宋" w:eastAsia="仿宋" w:cs="仿宋"/>
                <w:b w:val="0"/>
                <w:bCs/>
                <w:color w:val="auto"/>
                <w:sz w:val="24"/>
                <w:highlight w:val="none"/>
              </w:rPr>
              <w:t>供货方案</w:t>
            </w:r>
            <w:r>
              <w:rPr>
                <w:rFonts w:hint="eastAsia" w:ascii="仿宋" w:hAnsi="仿宋" w:eastAsia="仿宋" w:cs="仿宋"/>
                <w:b w:val="0"/>
                <w:bCs/>
                <w:color w:val="auto"/>
                <w:sz w:val="24"/>
                <w:highlight w:val="none"/>
                <w:lang w:val="en-US" w:eastAsia="zh-CN"/>
              </w:rPr>
              <w:t>无法满足项目需求</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不具有</w:t>
            </w:r>
            <w:r>
              <w:rPr>
                <w:rFonts w:hint="eastAsia" w:ascii="仿宋" w:hAnsi="仿宋" w:eastAsia="仿宋" w:cs="仿宋"/>
                <w:b w:val="0"/>
                <w:bCs/>
                <w:color w:val="auto"/>
                <w:sz w:val="24"/>
                <w:highlight w:val="none"/>
              </w:rPr>
              <w:t>实用性</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针对性，得1分；</w:t>
            </w:r>
          </w:p>
          <w:p w14:paraId="68F827BE">
            <w:pPr>
              <w:numPr>
                <w:ilvl w:val="0"/>
                <w:numId w:val="0"/>
              </w:numPr>
              <w:snapToGrid/>
              <w:spacing w:line="360" w:lineRule="auto"/>
              <w:ind w:left="0" w:leftChars="0" w:firstLine="0" w:firstLineChars="0"/>
              <w:rPr>
                <w:rFonts w:hint="eastAsia" w:ascii="仿宋" w:hAnsi="仿宋" w:eastAsia="仿宋" w:cs="仿宋"/>
                <w:bCs/>
                <w:color w:val="auto"/>
                <w:sz w:val="24"/>
                <w:highlight w:val="none"/>
                <w:lang w:eastAsia="zh-CN"/>
              </w:rPr>
            </w:pPr>
            <w:r>
              <w:rPr>
                <w:rFonts w:hint="eastAsia" w:ascii="仿宋" w:hAnsi="仿宋" w:eastAsia="仿宋" w:cs="仿宋"/>
                <w:b w:val="0"/>
                <w:bCs/>
                <w:color w:val="auto"/>
                <w:sz w:val="24"/>
                <w:highlight w:val="none"/>
                <w:lang w:val="en-US" w:eastAsia="zh-CN"/>
              </w:rPr>
              <w:t>6</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未提供方案的不得分。</w:t>
            </w:r>
          </w:p>
        </w:tc>
      </w:tr>
      <w:tr w14:paraId="0596F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F514BEF">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4159448F">
            <w:pPr>
              <w:widowControl/>
              <w:snapToGrid w:val="0"/>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4</w:t>
            </w:r>
          </w:p>
        </w:tc>
        <w:tc>
          <w:tcPr>
            <w:tcW w:w="1701" w:type="dxa"/>
            <w:noWrap w:val="0"/>
            <w:vAlign w:val="center"/>
          </w:tcPr>
          <w:p w14:paraId="77B1EEEF">
            <w:pPr>
              <w:widowControl/>
              <w:adjustRightInd w:val="0"/>
              <w:snapToGrid w:val="0"/>
              <w:spacing w:line="288"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安装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调试实施方案（</w:t>
            </w:r>
            <w:r>
              <w:rPr>
                <w:rFonts w:ascii="仿宋" w:hAnsi="仿宋" w:eastAsia="仿宋" w:cs="仿宋"/>
                <w:color w:val="auto"/>
                <w:sz w:val="24"/>
                <w:highlight w:val="none"/>
              </w:rPr>
              <w:t>5</w:t>
            </w:r>
            <w:r>
              <w:rPr>
                <w:rFonts w:hint="eastAsia" w:ascii="仿宋" w:hAnsi="仿宋" w:eastAsia="仿宋" w:cs="仿宋"/>
                <w:color w:val="auto"/>
                <w:sz w:val="24"/>
                <w:highlight w:val="none"/>
              </w:rPr>
              <w:t>分）</w:t>
            </w:r>
          </w:p>
        </w:tc>
        <w:tc>
          <w:tcPr>
            <w:tcW w:w="6237" w:type="dxa"/>
            <w:gridSpan w:val="2"/>
            <w:noWrap w:val="0"/>
            <w:vAlign w:val="center"/>
          </w:tcPr>
          <w:p w14:paraId="79BA3A88">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根据投标人提供的针对本项目的安装</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调试方案，方案</w:t>
            </w:r>
            <w:r>
              <w:rPr>
                <w:rFonts w:hint="eastAsia" w:ascii="仿宋" w:hAnsi="仿宋" w:eastAsia="仿宋" w:cs="仿宋"/>
                <w:bCs/>
                <w:color w:val="auto"/>
                <w:sz w:val="24"/>
                <w:highlight w:val="none"/>
                <w:lang w:val="en-US" w:eastAsia="zh-CN"/>
              </w:rPr>
              <w:t>内容从</w:t>
            </w:r>
            <w:r>
              <w:rPr>
                <w:rFonts w:hint="eastAsia" w:ascii="仿宋" w:hAnsi="仿宋" w:eastAsia="仿宋" w:cs="仿宋"/>
                <w:bCs/>
                <w:color w:val="auto"/>
                <w:sz w:val="24"/>
                <w:highlight w:val="none"/>
              </w:rPr>
              <w:t>货物安装、调试</w:t>
            </w:r>
            <w:r>
              <w:rPr>
                <w:rFonts w:hint="eastAsia" w:ascii="仿宋" w:hAnsi="仿宋" w:eastAsia="仿宋" w:cs="仿宋"/>
                <w:bCs/>
                <w:color w:val="auto"/>
                <w:sz w:val="24"/>
                <w:highlight w:val="none"/>
                <w:lang w:val="en-US" w:eastAsia="zh-CN"/>
              </w:rPr>
              <w:t>等方面考虑，</w:t>
            </w:r>
            <w:r>
              <w:rPr>
                <w:rFonts w:hint="eastAsia" w:ascii="仿宋" w:hAnsi="仿宋" w:eastAsia="仿宋" w:cs="仿宋"/>
                <w:bCs/>
                <w:color w:val="auto"/>
                <w:sz w:val="24"/>
                <w:highlight w:val="none"/>
              </w:rPr>
              <w:t>由评标委员会进行综合评</w:t>
            </w:r>
            <w:r>
              <w:rPr>
                <w:rFonts w:hint="eastAsia" w:ascii="仿宋" w:hAnsi="仿宋" w:eastAsia="仿宋" w:cs="仿宋"/>
                <w:bCs/>
                <w:color w:val="auto"/>
                <w:sz w:val="24"/>
                <w:highlight w:val="none"/>
                <w:lang w:val="en-US" w:eastAsia="zh-CN"/>
              </w:rPr>
              <w:t>分</w:t>
            </w:r>
            <w:r>
              <w:rPr>
                <w:rFonts w:hint="eastAsia" w:ascii="仿宋" w:hAnsi="仿宋" w:eastAsia="仿宋" w:cs="仿宋"/>
                <w:bCs/>
                <w:color w:val="auto"/>
                <w:sz w:val="24"/>
                <w:highlight w:val="none"/>
                <w:lang w:eastAsia="zh-CN"/>
              </w:rPr>
              <w:t>：</w:t>
            </w:r>
          </w:p>
          <w:p w14:paraId="70A78CC7">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）安装、调试方案优于本项目采购需求，完整详细，可行性、实用性、针对性强，得5分；</w:t>
            </w:r>
          </w:p>
          <w:p w14:paraId="3475F6F4">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）安装、调试方案适合本项目采购需求，较完整详细，可行性、实用性、针对性较强，得4分；</w:t>
            </w:r>
          </w:p>
          <w:p w14:paraId="18CC86A0">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3）安装、调试方案基本满足本项目采购需求，基本全面，具有可行性、实用性和针对性，得3分；</w:t>
            </w:r>
          </w:p>
          <w:p w14:paraId="6D8C2EFD">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4）安装、调试方案安排有待提升，可行性、实用性和针对性有待改善，得2分；</w:t>
            </w:r>
          </w:p>
          <w:p w14:paraId="3BBDB2B2">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5）安装、调试方案无法满足项目需求，不具有实用性、针对性，得1分；</w:t>
            </w:r>
          </w:p>
          <w:p w14:paraId="4C853EA3">
            <w:pPr>
              <w:widowControl/>
              <w:numPr>
                <w:ilvl w:val="-1"/>
                <w:numId w:val="0"/>
              </w:numPr>
              <w:snapToGrid/>
              <w:spacing w:line="360" w:lineRule="auto"/>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Cs/>
                <w:color w:val="auto"/>
                <w:sz w:val="24"/>
                <w:highlight w:val="none"/>
                <w:lang w:eastAsia="zh-CN"/>
              </w:rPr>
              <w:t>6）未提供方案的不得分。</w:t>
            </w:r>
          </w:p>
        </w:tc>
      </w:tr>
      <w:tr w14:paraId="17E5A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5EE258F">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7CB9226C">
            <w:pPr>
              <w:widowControl/>
              <w:snapToGrid w:val="0"/>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5</w:t>
            </w:r>
          </w:p>
        </w:tc>
        <w:tc>
          <w:tcPr>
            <w:tcW w:w="1701" w:type="dxa"/>
            <w:noWrap w:val="0"/>
            <w:vAlign w:val="center"/>
          </w:tcPr>
          <w:p w14:paraId="3B93BA7D">
            <w:pPr>
              <w:widowControl/>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培训方案（</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237" w:type="dxa"/>
            <w:gridSpan w:val="2"/>
            <w:noWrap w:val="0"/>
            <w:vAlign w:val="center"/>
          </w:tcPr>
          <w:p w14:paraId="2DE4E97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根据投标人提供的</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培训方案内容的</w:t>
            </w:r>
            <w:r>
              <w:rPr>
                <w:rFonts w:hint="eastAsia" w:ascii="仿宋" w:hAnsi="仿宋" w:eastAsia="仿宋" w:cs="仿宋"/>
                <w:color w:val="auto"/>
                <w:sz w:val="24"/>
                <w:highlight w:val="none"/>
                <w:lang w:val="en-US" w:eastAsia="zh-CN"/>
              </w:rPr>
              <w:t>详细</w:t>
            </w:r>
            <w:r>
              <w:rPr>
                <w:rFonts w:hint="eastAsia" w:ascii="仿宋" w:hAnsi="仿宋" w:eastAsia="仿宋" w:cs="仿宋"/>
                <w:color w:val="auto"/>
                <w:sz w:val="24"/>
                <w:highlight w:val="none"/>
              </w:rPr>
              <w:t>程度、可行性、实用性、针对性等进行评分：</w:t>
            </w:r>
          </w:p>
          <w:p w14:paraId="46BA45B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1）对本项目的特点和难点理解准确，技术培训方案优于本项目采购需求，完整详细，可行性、实用性、针对性强，得5分；</w:t>
            </w:r>
          </w:p>
          <w:p w14:paraId="08B2E26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2）对本项目的特点和难点理解较准确，技术培训方案适合本项目采购需求，完整详细，可行性、实用性、针对性较强，得4分；</w:t>
            </w:r>
          </w:p>
          <w:p w14:paraId="17B18DB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3）对本项目的特点和难点理解基本准确，技术培训方案基本适合本项目采购需求，较完整详细，具有可行性、实用性和针对性，得3分；</w:t>
            </w:r>
          </w:p>
          <w:p w14:paraId="19F6242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4）对本项目的特点和难点理解有待提升，技术培训方案可行性、实用性和针对性有待改善，得2分；</w:t>
            </w:r>
          </w:p>
          <w:p w14:paraId="1F58E5D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5）对本项目的特点和难点理解不准确，技术培训方案不适合本项目采购需求，不够完整详细，不具有可行性，得1分；</w:t>
            </w:r>
          </w:p>
          <w:p w14:paraId="5D10117A">
            <w:pPr>
              <w:snapToGrid w:val="0"/>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rPr>
              <w:t>6）未提供方案的不得分。</w:t>
            </w:r>
          </w:p>
        </w:tc>
      </w:tr>
      <w:tr w14:paraId="646B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D39C1F3">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3432761C">
            <w:pPr>
              <w:widowControl/>
              <w:snapToGrid w:val="0"/>
              <w:spacing w:line="288"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w:t>
            </w:r>
          </w:p>
        </w:tc>
        <w:tc>
          <w:tcPr>
            <w:tcW w:w="1701" w:type="dxa"/>
            <w:noWrap w:val="0"/>
            <w:vAlign w:val="center"/>
          </w:tcPr>
          <w:p w14:paraId="51D40660">
            <w:pPr>
              <w:widowControl/>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售后服务</w:t>
            </w:r>
            <w:r>
              <w:rPr>
                <w:rFonts w:hint="eastAsia" w:ascii="仿宋" w:hAnsi="仿宋" w:eastAsia="仿宋" w:cs="仿宋"/>
                <w:color w:val="auto"/>
                <w:sz w:val="24"/>
                <w:highlight w:val="none"/>
                <w:lang w:val="en-US" w:eastAsia="zh-CN"/>
              </w:rPr>
              <w:t>方案</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分）</w:t>
            </w:r>
          </w:p>
        </w:tc>
        <w:tc>
          <w:tcPr>
            <w:tcW w:w="6237" w:type="dxa"/>
            <w:gridSpan w:val="2"/>
            <w:noWrap w:val="0"/>
            <w:vAlign w:val="center"/>
          </w:tcPr>
          <w:p w14:paraId="5F90DB65">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根据投标人提供的售后服务方案进行综合评审：</w:t>
            </w:r>
          </w:p>
          <w:p w14:paraId="17B035D4">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1）对本项目的特点和难点理解准确，售后服务方案优于本项目采购需求，完整详细，可行性、实用性和针对性强，得5分；</w:t>
            </w:r>
          </w:p>
          <w:p w14:paraId="1EB3F6AE">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2）对本项目的特点和难点理解较准确，售后服务方案适合本项目采购需求，完整详细，可行性、实用性和针对性较强，得4分；</w:t>
            </w:r>
          </w:p>
          <w:p w14:paraId="65DA3757">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3）对本项目的特点和难点理解基本准确，售后服务方案基本适合本项目采购需求，较完整详细，具有可行性、实用性和针对性，得3分；</w:t>
            </w:r>
          </w:p>
          <w:p w14:paraId="51F878A1">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4）对本项目的特点和难点理解有待提升，售后服务方案可行性、实用性和针对性有待改善，得2分；</w:t>
            </w:r>
          </w:p>
          <w:p w14:paraId="7AA3AC9C">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5）对本项目的特点和难点理解不准确，</w:t>
            </w:r>
            <w:r>
              <w:rPr>
                <w:rFonts w:hint="eastAsia" w:ascii="仿宋" w:hAnsi="仿宋" w:eastAsia="仿宋" w:cs="仿宋"/>
                <w:bCs/>
                <w:color w:val="auto"/>
                <w:sz w:val="24"/>
                <w:szCs w:val="20"/>
                <w:highlight w:val="none"/>
                <w:lang w:val="en-US" w:eastAsia="zh-CN"/>
              </w:rPr>
              <w:t>售后服务</w:t>
            </w:r>
            <w:r>
              <w:rPr>
                <w:rFonts w:hint="eastAsia" w:ascii="仿宋" w:hAnsi="仿宋" w:eastAsia="仿宋" w:cs="仿宋"/>
                <w:bCs/>
                <w:color w:val="auto"/>
                <w:sz w:val="24"/>
                <w:szCs w:val="20"/>
                <w:highlight w:val="none"/>
              </w:rPr>
              <w:t>方案不适合本项目采购需求，不够完整详细，不具有可行性，得1分；</w:t>
            </w:r>
          </w:p>
          <w:p w14:paraId="5802659B">
            <w:pPr>
              <w:snapToGrid w:val="0"/>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0"/>
                <w:highlight w:val="none"/>
              </w:rPr>
              <w:t>6）未提供方案的不得分。</w:t>
            </w:r>
          </w:p>
        </w:tc>
      </w:tr>
      <w:tr w14:paraId="3B1F4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A51C7BE">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66677593">
            <w:pPr>
              <w:widowControl/>
              <w:snapToGrid w:val="0"/>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7</w:t>
            </w:r>
          </w:p>
        </w:tc>
        <w:tc>
          <w:tcPr>
            <w:tcW w:w="1701" w:type="dxa"/>
            <w:noWrap w:val="0"/>
            <w:vAlign w:val="center"/>
          </w:tcPr>
          <w:p w14:paraId="670BD610">
            <w:pPr>
              <w:widowControl/>
              <w:adjustRightInd w:val="0"/>
              <w:snapToGrid w:val="0"/>
              <w:spacing w:line="288"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质保承诺（</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237" w:type="dxa"/>
            <w:gridSpan w:val="2"/>
            <w:noWrap w:val="0"/>
            <w:vAlign w:val="center"/>
          </w:tcPr>
          <w:p w14:paraId="2BE18901">
            <w:pPr>
              <w:snapToGrid w:val="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在招标文件规定的免费质保期基础上，每延长1年得</w:t>
            </w:r>
            <w:r>
              <w:rPr>
                <w:rFonts w:hint="eastAsia" w:ascii="仿宋" w:hAnsi="仿宋" w:eastAsia="仿宋" w:cs="仿宋"/>
                <w:bCs/>
                <w:color w:val="auto"/>
                <w:sz w:val="24"/>
                <w:szCs w:val="20"/>
                <w:highlight w:val="none"/>
                <w:lang w:val="en-US" w:eastAsia="zh-CN"/>
              </w:rPr>
              <w:t>2.5</w:t>
            </w:r>
            <w:r>
              <w:rPr>
                <w:rFonts w:hint="eastAsia" w:ascii="仿宋" w:hAnsi="仿宋" w:eastAsia="仿宋" w:cs="仿宋"/>
                <w:bCs/>
                <w:color w:val="auto"/>
                <w:sz w:val="24"/>
                <w:szCs w:val="20"/>
                <w:highlight w:val="none"/>
              </w:rPr>
              <w:t>分，满分</w:t>
            </w:r>
            <w:r>
              <w:rPr>
                <w:rFonts w:hint="eastAsia" w:ascii="仿宋" w:hAnsi="仿宋" w:eastAsia="仿宋" w:cs="仿宋"/>
                <w:bCs/>
                <w:color w:val="auto"/>
                <w:sz w:val="24"/>
                <w:szCs w:val="20"/>
                <w:highlight w:val="none"/>
                <w:lang w:val="en-US" w:eastAsia="zh-CN"/>
              </w:rPr>
              <w:t>5</w:t>
            </w:r>
            <w:r>
              <w:rPr>
                <w:rFonts w:hint="eastAsia" w:ascii="仿宋" w:hAnsi="仿宋" w:eastAsia="仿宋" w:cs="仿宋"/>
                <w:bCs/>
                <w:color w:val="auto"/>
                <w:sz w:val="24"/>
                <w:szCs w:val="20"/>
                <w:highlight w:val="none"/>
              </w:rPr>
              <w:t>分。</w:t>
            </w:r>
          </w:p>
          <w:p w14:paraId="577C4ECA">
            <w:pPr>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0"/>
                <w:highlight w:val="none"/>
              </w:rPr>
              <w:t>注：以《开标一览表》中免费质保期承诺为准；以整年计算，不足1年不得分。</w:t>
            </w:r>
          </w:p>
        </w:tc>
      </w:tr>
      <w:tr w14:paraId="72E6F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087B2BBF">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3.2.3（3）</w:t>
            </w:r>
          </w:p>
          <w:p w14:paraId="7D65CFB3">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w:t>
            </w:r>
          </w:p>
          <w:p w14:paraId="14CBDA88">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报价</w:t>
            </w:r>
          </w:p>
        </w:tc>
        <w:tc>
          <w:tcPr>
            <w:tcW w:w="708" w:type="dxa"/>
            <w:noWrap w:val="0"/>
            <w:vAlign w:val="center"/>
          </w:tcPr>
          <w:p w14:paraId="3D2685D6">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1" w:type="dxa"/>
            <w:noWrap w:val="0"/>
            <w:vAlign w:val="center"/>
          </w:tcPr>
          <w:p w14:paraId="4FB7D8AF">
            <w:pPr>
              <w:widowControl/>
              <w:adjustRightInd w:val="0"/>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投标报价得分计算</w:t>
            </w:r>
          </w:p>
        </w:tc>
        <w:tc>
          <w:tcPr>
            <w:tcW w:w="4225" w:type="dxa"/>
            <w:noWrap w:val="0"/>
            <w:vAlign w:val="center"/>
          </w:tcPr>
          <w:p w14:paraId="5809952C">
            <w:pPr>
              <w:widowControl/>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满足招标文件要求且投标价格最低的投标报价的价格分为满分，其他供应商的价格分统一按照下列公式计算：</w:t>
            </w:r>
          </w:p>
          <w:p w14:paraId="34395966">
            <w:pPr>
              <w:widowControl/>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投标报价得分＝（评标基准价/投标报价）×30。</w:t>
            </w:r>
          </w:p>
        </w:tc>
        <w:tc>
          <w:tcPr>
            <w:tcW w:w="2012" w:type="dxa"/>
            <w:noWrap w:val="0"/>
            <w:vAlign w:val="center"/>
          </w:tcPr>
          <w:p w14:paraId="6E66CB53">
            <w:pPr>
              <w:snapToGrid w:val="0"/>
              <w:spacing w:line="288" w:lineRule="auto"/>
              <w:ind w:left="-38"/>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符合价格扣除政策的，用扣除后的价格参与计算、评分</w:t>
            </w:r>
          </w:p>
        </w:tc>
      </w:tr>
    </w:tbl>
    <w:p w14:paraId="720CBDAB">
      <w:pPr>
        <w:pStyle w:val="3"/>
        <w:widowControl/>
        <w:adjustRightInd w:val="0"/>
        <w:spacing w:before="0" w:after="0" w:line="360" w:lineRule="auto"/>
        <w:ind w:firstLine="0" w:firstLineChars="0"/>
        <w:rPr>
          <w:rFonts w:ascii="宋体" w:hAnsi="宋体" w:eastAsia="仿宋"/>
          <w:bCs w:val="0"/>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bookmarkStart w:id="793" w:name="_Toc445554766"/>
    </w:p>
    <w:p w14:paraId="0926438E">
      <w:pPr>
        <w:pStyle w:val="3"/>
        <w:widowControl/>
        <w:adjustRightInd w:val="0"/>
        <w:spacing w:before="0" w:after="0" w:line="360" w:lineRule="auto"/>
        <w:ind w:firstLine="482" w:firstLineChars="200"/>
        <w:rPr>
          <w:rFonts w:ascii="宋体" w:hAnsi="宋体" w:eastAsia="仿宋"/>
          <w:bCs w:val="0"/>
          <w:color w:val="auto"/>
          <w:sz w:val="24"/>
          <w:szCs w:val="24"/>
          <w:highlight w:val="none"/>
        </w:rPr>
      </w:pPr>
      <w:bookmarkStart w:id="794" w:name="_Toc455587282"/>
      <w:bookmarkStart w:id="795" w:name="_Toc466024565"/>
      <w:bookmarkStart w:id="796" w:name="_Toc455587098"/>
      <w:r>
        <w:rPr>
          <w:rFonts w:hint="eastAsia" w:ascii="宋体" w:hAnsi="宋体" w:eastAsia="仿宋"/>
          <w:bCs w:val="0"/>
          <w:color w:val="auto"/>
          <w:sz w:val="24"/>
          <w:szCs w:val="24"/>
          <w:highlight w:val="none"/>
        </w:rPr>
        <w:t>1. 评标方法</w:t>
      </w:r>
      <w:bookmarkEnd w:id="793"/>
      <w:bookmarkEnd w:id="794"/>
      <w:bookmarkEnd w:id="795"/>
      <w:bookmarkEnd w:id="796"/>
    </w:p>
    <w:p w14:paraId="44B2C182">
      <w:pPr>
        <w:pStyle w:val="31"/>
        <w:adjustRightInd w:val="0"/>
        <w:snapToGrid w:val="0"/>
        <w:spacing w:line="360" w:lineRule="auto"/>
        <w:ind w:firstLine="480" w:firstLineChars="200"/>
        <w:rPr>
          <w:rFonts w:hint="eastAsia" w:ascii="ˎ̥" w:hAnsi="ˎ̥" w:eastAsia="仿宋" w:cs="宋体"/>
          <w:color w:val="auto"/>
          <w:sz w:val="24"/>
          <w:szCs w:val="24"/>
          <w:highlight w:val="none"/>
        </w:rPr>
      </w:pPr>
      <w:r>
        <w:rPr>
          <w:rFonts w:hint="eastAsia" w:ascii="ˎ̥" w:hAnsi="ˎ̥" w:eastAsia="仿宋" w:cs="宋体"/>
          <w:color w:val="auto"/>
          <w:sz w:val="24"/>
          <w:szCs w:val="24"/>
          <w:highlight w:val="none"/>
        </w:rPr>
        <w:t>本次评标采用综合评分法。评标委员会</w:t>
      </w:r>
      <w:r>
        <w:rPr>
          <w:rFonts w:ascii="ˎ̥" w:hAnsi="ˎ̥" w:eastAsia="仿宋" w:cs="宋体"/>
          <w:color w:val="auto"/>
          <w:sz w:val="24"/>
          <w:szCs w:val="24"/>
          <w:highlight w:val="none"/>
        </w:rPr>
        <w:t>按照</w:t>
      </w:r>
      <w:r>
        <w:rPr>
          <w:rFonts w:hint="eastAsia" w:ascii="Cambria Math" w:hAnsi="Cambria Math" w:eastAsia="仿宋" w:cs="Calibri"/>
          <w:color w:val="auto"/>
          <w:sz w:val="24"/>
          <w:szCs w:val="24"/>
          <w:highlight w:val="none"/>
        </w:rPr>
        <w:t>本章</w:t>
      </w:r>
      <w:r>
        <w:rPr>
          <w:rFonts w:hint="eastAsia" w:ascii="ˎ̥" w:hAnsi="ˎ̥" w:eastAsia="仿宋" w:cs="宋体"/>
          <w:color w:val="auto"/>
          <w:sz w:val="24"/>
          <w:szCs w:val="24"/>
          <w:highlight w:val="none"/>
        </w:rPr>
        <w:t>第二节</w:t>
      </w:r>
      <w:r>
        <w:rPr>
          <w:rFonts w:hint="eastAsia" w:ascii="Cambria Math" w:hAnsi="Cambria Math" w:eastAsia="仿宋" w:cs="Calibri"/>
          <w:color w:val="auto"/>
          <w:sz w:val="24"/>
          <w:szCs w:val="24"/>
          <w:highlight w:val="none"/>
        </w:rPr>
        <w:t>第</w:t>
      </w:r>
      <w:r>
        <w:rPr>
          <w:rFonts w:hint="eastAsia" w:ascii="仿宋" w:hAnsi="仿宋" w:eastAsia="仿宋" w:cs="仿宋"/>
          <w:color w:val="auto"/>
          <w:sz w:val="24"/>
          <w:szCs w:val="24"/>
          <w:highlight w:val="none"/>
        </w:rPr>
        <w:t>3</w:t>
      </w:r>
      <w:r>
        <w:rPr>
          <w:rFonts w:hint="eastAsia" w:ascii="Cambria Math" w:hAnsi="Cambria Math" w:eastAsia="仿宋" w:cs="Calibri"/>
          <w:color w:val="auto"/>
          <w:sz w:val="24"/>
          <w:szCs w:val="24"/>
          <w:highlight w:val="none"/>
        </w:rPr>
        <w:t>条规定的评审标准</w:t>
      </w:r>
      <w:r>
        <w:rPr>
          <w:rFonts w:hint="eastAsia" w:ascii="ˎ̥" w:hAnsi="ˎ̥" w:eastAsia="仿宋" w:cs="宋体"/>
          <w:color w:val="auto"/>
          <w:sz w:val="24"/>
          <w:szCs w:val="24"/>
          <w:highlight w:val="none"/>
        </w:rPr>
        <w:t>对通过资格审查的</w:t>
      </w:r>
      <w:r>
        <w:rPr>
          <w:rFonts w:ascii="ˎ̥" w:hAnsi="ˎ̥" w:eastAsia="仿宋" w:cs="宋体"/>
          <w:color w:val="auto"/>
          <w:sz w:val="24"/>
          <w:szCs w:val="24"/>
          <w:highlight w:val="none"/>
        </w:rPr>
        <w:t>投标文件</w:t>
      </w:r>
      <w:r>
        <w:rPr>
          <w:rFonts w:hint="eastAsia" w:ascii="ˎ̥" w:hAnsi="ˎ̥" w:eastAsia="仿宋" w:cs="宋体"/>
          <w:color w:val="auto"/>
          <w:sz w:val="24"/>
          <w:szCs w:val="24"/>
          <w:highlight w:val="none"/>
        </w:rPr>
        <w:t>进行评审，在投标文件满足招标文件全部实质性要求的投标人中，按总</w:t>
      </w:r>
      <w:r>
        <w:rPr>
          <w:rFonts w:ascii="ˎ̥" w:hAnsi="ˎ̥" w:eastAsia="仿宋" w:cs="宋体"/>
          <w:color w:val="auto"/>
          <w:sz w:val="24"/>
          <w:szCs w:val="24"/>
          <w:highlight w:val="none"/>
        </w:rPr>
        <w:t>得分</w:t>
      </w:r>
      <w:r>
        <w:rPr>
          <w:rFonts w:hint="eastAsia" w:ascii="ˎ̥" w:hAnsi="ˎ̥" w:eastAsia="仿宋" w:cs="宋体"/>
          <w:color w:val="auto"/>
          <w:sz w:val="24"/>
          <w:szCs w:val="24"/>
          <w:highlight w:val="none"/>
        </w:rPr>
        <w:t>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随机抽签方式确定中标候选人排序。</w:t>
      </w:r>
    </w:p>
    <w:p w14:paraId="007C57B5">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797" w:name="_Toc455587284"/>
      <w:bookmarkStart w:id="798" w:name="_Toc445554768"/>
      <w:bookmarkStart w:id="799" w:name="_Toc466024567"/>
      <w:bookmarkStart w:id="800" w:name="_Toc455587100"/>
      <w:r>
        <w:rPr>
          <w:rFonts w:hint="eastAsia" w:ascii="宋体" w:hAnsi="宋体" w:eastAsia="仿宋"/>
          <w:bCs w:val="0"/>
          <w:color w:val="auto"/>
          <w:sz w:val="24"/>
          <w:szCs w:val="24"/>
          <w:highlight w:val="none"/>
        </w:rPr>
        <w:t>2. 评标委员会的组成和职责</w:t>
      </w:r>
      <w:bookmarkEnd w:id="797"/>
      <w:bookmarkEnd w:id="798"/>
      <w:bookmarkEnd w:id="799"/>
      <w:bookmarkEnd w:id="800"/>
    </w:p>
    <w:p w14:paraId="6585F5E3">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2.1 评标委员会的组成</w:t>
      </w:r>
    </w:p>
    <w:p w14:paraId="60C3E810">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评标委员会由采购人依法组建。</w:t>
      </w:r>
      <w:r>
        <w:rPr>
          <w:rFonts w:hint="eastAsia" w:ascii="宋体" w:hAnsi="宋体" w:eastAsia="仿宋" w:cs="宋体"/>
          <w:color w:val="auto"/>
          <w:sz w:val="24"/>
          <w:szCs w:val="24"/>
          <w:highlight w:val="none"/>
        </w:rPr>
        <w:t>评标委员会应当推选组长，但采购人代表不得担任组长。</w:t>
      </w:r>
    </w:p>
    <w:p w14:paraId="7B4C2055">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2.2 评标委员会的职责</w:t>
      </w:r>
    </w:p>
    <w:p w14:paraId="12857FAB">
      <w:pPr>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根据</w:t>
      </w:r>
      <w:r>
        <w:rPr>
          <w:rFonts w:hint="eastAsia" w:ascii="Arial" w:hAnsi="Arial" w:eastAsia="仿宋" w:cs="Arial"/>
          <w:color w:val="auto"/>
          <w:kern w:val="0"/>
          <w:sz w:val="24"/>
          <w:highlight w:val="none"/>
        </w:rPr>
        <w:t>招标</w:t>
      </w:r>
      <w:r>
        <w:rPr>
          <w:rFonts w:ascii="Arial" w:hAnsi="Arial" w:eastAsia="仿宋" w:cs="Arial"/>
          <w:color w:val="auto"/>
          <w:kern w:val="0"/>
          <w:sz w:val="24"/>
          <w:highlight w:val="none"/>
        </w:rPr>
        <w:t>文件规定的评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程序、评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方法和评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标准进行独立评审。</w:t>
      </w:r>
      <w:r>
        <w:rPr>
          <w:rFonts w:hint="eastAsia" w:ascii="宋体" w:hAnsi="宋体" w:eastAsia="仿宋"/>
          <w:color w:val="auto"/>
          <w:sz w:val="24"/>
          <w:highlight w:val="none"/>
        </w:rPr>
        <w:t>评标委员会成员</w:t>
      </w:r>
      <w:r>
        <w:rPr>
          <w:rFonts w:ascii="Arial" w:hAnsi="Arial" w:eastAsia="仿宋" w:cs="Arial"/>
          <w:color w:val="auto"/>
          <w:kern w:val="0"/>
          <w:sz w:val="24"/>
          <w:highlight w:val="none"/>
        </w:rPr>
        <w:t>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报告上签字，对自己的评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意见承担法律责任。对需要共同认定的事项存在争议的，按照少数服从多数的原则做出结论。对评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报告有异议的，应当在评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报告上签署不同意见并说明理由，否则视为同意评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w:t>
      </w:r>
    </w:p>
    <w:p w14:paraId="0929082E">
      <w:pPr>
        <w:pStyle w:val="32"/>
        <w:snapToGrid w:val="0"/>
        <w:spacing w:line="360" w:lineRule="auto"/>
        <w:ind w:firstLine="482"/>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w:t>
      </w:r>
      <w:r>
        <w:rPr>
          <w:rFonts w:ascii="宋体" w:hAnsi="宋体" w:eastAsia="仿宋"/>
          <w:b/>
          <w:color w:val="auto"/>
          <w:sz w:val="24"/>
          <w:szCs w:val="24"/>
          <w:highlight w:val="none"/>
        </w:rPr>
        <w:t>.3 对评标委员会成员的纪律要求</w:t>
      </w:r>
    </w:p>
    <w:p w14:paraId="6DFDDF45">
      <w:pPr>
        <w:widowControl/>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评标委员会成员不得收受他人的财物或者其他好处，不得向他人</w:t>
      </w:r>
      <w:r>
        <w:rPr>
          <w:rFonts w:hint="eastAsia" w:ascii="Arial" w:hAnsi="Arial" w:eastAsia="仿宋" w:cs="Arial"/>
          <w:color w:val="auto"/>
          <w:kern w:val="0"/>
          <w:sz w:val="24"/>
          <w:highlight w:val="none"/>
        </w:rPr>
        <w:t>透露</w:t>
      </w:r>
      <w:r>
        <w:rPr>
          <w:rFonts w:ascii="Arial" w:hAnsi="Arial" w:eastAsia="仿宋" w:cs="Arial"/>
          <w:color w:val="auto"/>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439D2C61">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01" w:name="_Toc445554770"/>
      <w:bookmarkStart w:id="802" w:name="_Toc455587286"/>
      <w:bookmarkStart w:id="803" w:name="_Toc466024569"/>
      <w:bookmarkStart w:id="804" w:name="_Toc455587102"/>
      <w:bookmarkStart w:id="805" w:name="_Toc455587101"/>
      <w:bookmarkStart w:id="806" w:name="_Toc455587285"/>
      <w:bookmarkStart w:id="807" w:name="_Toc466024568"/>
      <w:bookmarkStart w:id="808" w:name="_Toc445554769"/>
      <w:r>
        <w:rPr>
          <w:rFonts w:hint="eastAsia" w:ascii="宋体" w:hAnsi="宋体" w:eastAsia="仿宋"/>
          <w:bCs w:val="0"/>
          <w:color w:val="auto"/>
          <w:sz w:val="24"/>
          <w:szCs w:val="24"/>
          <w:highlight w:val="none"/>
        </w:rPr>
        <w:t>3. 评审标准</w:t>
      </w:r>
      <w:bookmarkEnd w:id="801"/>
      <w:bookmarkEnd w:id="802"/>
      <w:bookmarkEnd w:id="803"/>
      <w:bookmarkEnd w:id="804"/>
    </w:p>
    <w:p w14:paraId="6FAD715E">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 符合性审查标准</w:t>
      </w:r>
    </w:p>
    <w:p w14:paraId="231A77B4">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3.1.1 评标委员会对资格审查合格的投标人的投标文件进行符合性审查，以确定其是否满足招标文件的实质性要求。</w:t>
      </w:r>
    </w:p>
    <w:p w14:paraId="41DC0CBE">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3.1.2 评标委员会根据《符合性审查表》中规定的审查因素和审查标准，对投标人的投标文件是否实质上响应招标文件进行符合性审查，并形成符合性审查评审结果。投标人有任何一项不符合要求的，投标无效。</w:t>
      </w:r>
    </w:p>
    <w:p w14:paraId="225CE178">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3.2 分值构成与详细评审标准</w:t>
      </w:r>
    </w:p>
    <w:p w14:paraId="62F8B72B">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3.2.1 分值构成：见评标办法前附表。</w:t>
      </w:r>
    </w:p>
    <w:p w14:paraId="4D5FF1D1">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3.2.2 评标基准价计算：见评标办法前附表。</w:t>
      </w:r>
    </w:p>
    <w:p w14:paraId="56EC3ABB">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3.2.3 评分标准：见评标办法前附表。</w:t>
      </w:r>
    </w:p>
    <w:p w14:paraId="5FCC16DE">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3.2.4 取评标委员会对各投标人评审得分的算术平均值作为投标人得分，其中投标报价得分按规定进行计算。</w:t>
      </w:r>
    </w:p>
    <w:p w14:paraId="797A1BA0">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r>
        <w:rPr>
          <w:rFonts w:hint="eastAsia" w:ascii="宋体" w:hAnsi="宋体" w:eastAsia="仿宋"/>
          <w:bCs w:val="0"/>
          <w:color w:val="auto"/>
          <w:sz w:val="24"/>
          <w:szCs w:val="24"/>
          <w:highlight w:val="none"/>
        </w:rPr>
        <w:t>4. 评标程序</w:t>
      </w:r>
      <w:bookmarkEnd w:id="805"/>
      <w:bookmarkEnd w:id="806"/>
      <w:bookmarkEnd w:id="807"/>
      <w:bookmarkEnd w:id="808"/>
    </w:p>
    <w:p w14:paraId="4684C361">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资格审查完成后，合格投标人不少于3家的，开始评标工作。评标先做准备工作，再进行符合性审查，然后进行详细评审。</w:t>
      </w:r>
    </w:p>
    <w:p w14:paraId="2C4EA23C">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4.1 评标准备工作</w:t>
      </w:r>
    </w:p>
    <w:p w14:paraId="2F34B77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评标委员会熟悉评标</w:t>
      </w:r>
      <w:bookmarkStart w:id="809" w:name="_Hlk79160145"/>
      <w:r>
        <w:rPr>
          <w:rFonts w:hint="eastAsia" w:ascii="宋体" w:hAnsi="宋体" w:eastAsia="仿宋"/>
          <w:color w:val="auto"/>
          <w:sz w:val="24"/>
          <w:szCs w:val="24"/>
          <w:highlight w:val="none"/>
        </w:rPr>
        <w:t>工作</w:t>
      </w:r>
      <w:bookmarkEnd w:id="809"/>
      <w:r>
        <w:rPr>
          <w:rFonts w:hint="eastAsia" w:ascii="宋体" w:hAnsi="宋体" w:eastAsia="仿宋"/>
          <w:color w:val="auto"/>
          <w:sz w:val="24"/>
          <w:szCs w:val="24"/>
          <w:highlight w:val="none"/>
        </w:rPr>
        <w:t>情况：</w:t>
      </w:r>
    </w:p>
    <w:p w14:paraId="310A02D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（1）听取采购人或者其委托的采购代理机构对招标项目情况的介绍；</w:t>
      </w:r>
    </w:p>
    <w:p w14:paraId="1E827D11">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32E3DCFB">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（3）熟悉招标文件规定的评标标准和评标方法及在评标过程中需要考虑的相关因素；</w:t>
      </w:r>
    </w:p>
    <w:p w14:paraId="01BCF0CB">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（4）核对评标工作资料；</w:t>
      </w:r>
    </w:p>
    <w:p w14:paraId="1C6905E7">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（5）使用电子评标方式的，还应当熟悉电子评标系统使用方法。</w:t>
      </w:r>
    </w:p>
    <w:p w14:paraId="55B144E4">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4.2 符合性审查</w:t>
      </w:r>
    </w:p>
    <w:p w14:paraId="50B840C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4.2.1 评标委员会依据本章规定的标准对投标文件进行符合性审查。有一项不符合评审标准的，按无效投标处理。</w:t>
      </w:r>
    </w:p>
    <w:p w14:paraId="202F2C1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4.2.2 投标人有以下情形之一的，按照无效投标处理：</w:t>
      </w:r>
    </w:p>
    <w:p w14:paraId="6E4FDABC">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（1）不按评标委员会要求澄清、说明或补正的；</w:t>
      </w:r>
    </w:p>
    <w:p w14:paraId="642D032B">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（2）未实质性响应招标文件的；</w:t>
      </w:r>
    </w:p>
    <w:p w14:paraId="038D6F8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（3）投标文件中存在采购人不能接受的其它附加实质性条件的；</w:t>
      </w:r>
    </w:p>
    <w:p w14:paraId="3652AA2F">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（4）串通投标或弄虚作假或有其他违法行为的；</w:t>
      </w:r>
    </w:p>
    <w:p w14:paraId="6064FD48">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（5）法律、法规和规章规定的其他情形的。</w:t>
      </w:r>
    </w:p>
    <w:p w14:paraId="3A8E69DC">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4.2.3 投标文件报价出现前后不一致的，按照下列规定修正：</w:t>
      </w:r>
    </w:p>
    <w:p w14:paraId="18D02C49">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（1）投标文件中开标一览表（报价表）内容与投标文件中相应内容不一致的，以开标一览表（报价表）为准；</w:t>
      </w:r>
    </w:p>
    <w:p w14:paraId="138B1CE0">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（2）大写金额和小写金额不一致的，以大写金额为准；</w:t>
      </w:r>
    </w:p>
    <w:p w14:paraId="0A5C7CD3">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（3）单价金额小数点或者百分比有明显错位的，以开标一览表的总价为准，并修改单价；</w:t>
      </w:r>
    </w:p>
    <w:p w14:paraId="3A24BBA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（4）总价金额与按单价汇总金额不一致的，以单价金额计算结果为准。</w:t>
      </w:r>
    </w:p>
    <w:p w14:paraId="42C6BE73">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同时出现两种以上不一致的，按照前款规定的顺序修正。修正后的报价经投标人确认后产生约束力，投标人不确认的，其投标无效。</w:t>
      </w:r>
    </w:p>
    <w:p w14:paraId="377A64A0">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中标后，按修正后的投标报价为基准，按同比例修正各单价。</w:t>
      </w:r>
    </w:p>
    <w:p w14:paraId="5BC18B6F">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4.2.4 评标委员会按照规定的原则对投标报价进行校核时，发现投标报价存在多处算术错误或漏项的，使得投标报价校核无法进行的，其投标按无效处理。</w:t>
      </w:r>
    </w:p>
    <w:p w14:paraId="2968FC3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26495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4.2.6 投标报价出现下列情形的，投标无效：</w:t>
      </w:r>
    </w:p>
    <w:p w14:paraId="7B4F867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（1）投标文件提交两个及以上的投标报价、提交任何有选择性的报价或者提交有附加条件的报价的投标将按无效处理，投标人须知前附表允许递交备选方案的除外；</w:t>
      </w:r>
    </w:p>
    <w:p w14:paraId="78768A0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（2）投标报价超过招标文件中规定的预算金额或者最高限价的；</w:t>
      </w:r>
    </w:p>
    <w:p w14:paraId="4E06372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（3）评标委员会认为投标人的报价明显低于其他通过符合性审查投标人的报价，有可能影响产品质量或者不能诚信履约的，投标人未能按要求提供书面说明或者提交相关证明材料证明其报价合理性的；</w:t>
      </w:r>
    </w:p>
    <w:p w14:paraId="18159B7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（4）投标人对根据本章第二节4.2.3项规定修正后的报价不确认的。</w:t>
      </w:r>
    </w:p>
    <w:p w14:paraId="35C53DC8">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4.3 详细评审</w:t>
      </w:r>
    </w:p>
    <w:p w14:paraId="1B0E46D9">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4.3.1 评标委员会按本章</w:t>
      </w:r>
      <w:r>
        <w:rPr>
          <w:rFonts w:hint="eastAsia" w:ascii="宋体" w:hAnsi="宋体" w:eastAsia="仿宋"/>
          <w:color w:val="auto"/>
          <w:sz w:val="24"/>
          <w:highlight w:val="none"/>
        </w:rPr>
        <w:t>第二节</w:t>
      </w:r>
      <w:r>
        <w:rPr>
          <w:rFonts w:hint="eastAsia" w:ascii="宋体" w:hAnsi="宋体" w:eastAsia="仿宋"/>
          <w:color w:val="auto"/>
          <w:sz w:val="24"/>
          <w:szCs w:val="24"/>
          <w:highlight w:val="none"/>
        </w:rPr>
        <w:t>3.2款规定的标准进行评分，并计算各投标人综合评审得分。</w:t>
      </w:r>
    </w:p>
    <w:p w14:paraId="299FC58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4.3.2 评标委员会成员对投标人的价格分和客观评分项的评分应当一致。采购人、采购代理机构应当对评审数据进行校对、核对。</w:t>
      </w:r>
    </w:p>
    <w:p w14:paraId="7A1F21D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4.3.3 评分分值计算保留小数点后两位，小数点后第三位“四舍五入”。</w:t>
      </w:r>
    </w:p>
    <w:p w14:paraId="78A1B616">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4.3.4 相同品牌产品参加投标时，按以下要求确定中标人推荐资格：</w:t>
      </w:r>
    </w:p>
    <w:p w14:paraId="0CBC917E">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采用综合评分法时：</w:t>
      </w:r>
    </w:p>
    <w:p w14:paraId="4EE3536F">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64AC16E2">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非单一产品采购项目，核心产品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09EDCCB6">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810" w:name="_Toc445554771"/>
      <w:bookmarkStart w:id="811" w:name="_Toc455587103"/>
      <w:bookmarkStart w:id="812" w:name="_Toc466024570"/>
      <w:bookmarkStart w:id="813" w:name="_Toc455587287"/>
      <w:r>
        <w:rPr>
          <w:rFonts w:hint="eastAsia" w:ascii="宋体" w:hAnsi="宋体" w:eastAsia="仿宋"/>
          <w:b/>
          <w:color w:val="auto"/>
          <w:sz w:val="24"/>
          <w:szCs w:val="24"/>
          <w:highlight w:val="none"/>
        </w:rPr>
        <w:t>4.4 投标文件的澄清</w:t>
      </w:r>
      <w:bookmarkEnd w:id="810"/>
      <w:bookmarkEnd w:id="811"/>
      <w:bookmarkEnd w:id="812"/>
      <w:bookmarkEnd w:id="813"/>
    </w:p>
    <w:p w14:paraId="05670A8B">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04198F93">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76B7861D">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4.4.3 评标委员会对投标人提交的澄清、说明或补正有疑问的，可以要求投标人进一步澄清、说明或补正，直至满足评标委员会的要求。</w:t>
      </w:r>
    </w:p>
    <w:p w14:paraId="73578756">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4.4.4 实质上没有响应招标文件要求的投标将被拒绝。投标人不得通过修正或撤销不合要求的偏离或保留从而使其投标成为实质上响应的投标。评标委员会不接受投标人主动提出的澄清、说明或补正。</w:t>
      </w:r>
    </w:p>
    <w:p w14:paraId="0C4EC705">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814" w:name="_Toc466024571"/>
      <w:bookmarkStart w:id="815" w:name="_Toc455587288"/>
      <w:bookmarkStart w:id="816" w:name="_Toc445554772"/>
      <w:bookmarkStart w:id="817" w:name="_Toc455587104"/>
      <w:r>
        <w:rPr>
          <w:rFonts w:hint="eastAsia" w:ascii="宋体" w:hAnsi="宋体" w:eastAsia="仿宋"/>
          <w:b/>
          <w:color w:val="auto"/>
          <w:sz w:val="24"/>
          <w:szCs w:val="24"/>
          <w:highlight w:val="none"/>
        </w:rPr>
        <w:t>4.5 评标结果</w:t>
      </w:r>
      <w:bookmarkEnd w:id="814"/>
      <w:bookmarkEnd w:id="815"/>
      <w:bookmarkEnd w:id="816"/>
      <w:bookmarkEnd w:id="817"/>
    </w:p>
    <w:p w14:paraId="2740E522">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4.5.1 除第二章投标人须知前附表授权评标委员会直接确定中标人外，评标委员会按照得分由高到低的顺序推荐中标候选人，并标明排序。</w:t>
      </w:r>
    </w:p>
    <w:p w14:paraId="54CC5AC0">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4.5.2 完成评标后，</w:t>
      </w:r>
      <w:r>
        <w:rPr>
          <w:rFonts w:hint="eastAsia" w:ascii="宋体" w:hAnsi="宋体" w:eastAsia="仿宋" w:cs="宋体"/>
          <w:color w:val="auto"/>
          <w:sz w:val="24"/>
          <w:szCs w:val="24"/>
          <w:highlight w:val="none"/>
        </w:rPr>
        <w:t>评标委员会根据全体评标成员签字的原始评标记录和评标结果编写评标报告。评标报告应当包括以下内容：</w:t>
      </w:r>
    </w:p>
    <w:p w14:paraId="578D2200">
      <w:pPr>
        <w:pStyle w:val="31"/>
        <w:adjustRightInd w:val="0"/>
        <w:spacing w:line="360" w:lineRule="auto"/>
        <w:ind w:firstLine="480" w:firstLineChars="200"/>
        <w:rPr>
          <w:rFonts w:ascii="宋体" w:hAnsi="宋体" w:eastAsia="仿宋" w:cs="宋体"/>
          <w:color w:val="auto"/>
          <w:sz w:val="24"/>
          <w:szCs w:val="24"/>
          <w:highlight w:val="none"/>
        </w:rPr>
      </w:pPr>
      <w:bookmarkStart w:id="818" w:name="_Toc445554773"/>
      <w:bookmarkStart w:id="819" w:name="_Toc455587105"/>
      <w:bookmarkStart w:id="820" w:name="_Toc455587289"/>
      <w:r>
        <w:rPr>
          <w:rFonts w:hint="eastAsia" w:ascii="宋体" w:hAnsi="宋体" w:eastAsia="仿宋" w:cs="宋体"/>
          <w:color w:val="auto"/>
          <w:sz w:val="24"/>
          <w:szCs w:val="24"/>
          <w:highlight w:val="none"/>
        </w:rPr>
        <w:t>（1）招标公告的发布媒介、开标日期和地点；</w:t>
      </w:r>
    </w:p>
    <w:p w14:paraId="4B50773B">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（2）投标人名单和评标委员会成员名单；</w:t>
      </w:r>
    </w:p>
    <w:p w14:paraId="27CC94D5">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（3）评标方法和标准；</w:t>
      </w:r>
    </w:p>
    <w:p w14:paraId="7E7AC77F">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（4）开标记录和评标情况及说明，包括无效投标人名单及原因；</w:t>
      </w:r>
    </w:p>
    <w:p w14:paraId="06714542">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（5）评标结果，确定的中标候选人名单或者经采购人委托直接确定的中标人；</w:t>
      </w:r>
    </w:p>
    <w:p w14:paraId="14F2526D">
      <w:pPr>
        <w:pStyle w:val="31"/>
        <w:adjustRightInd w:val="0"/>
        <w:spacing w:line="360" w:lineRule="auto"/>
        <w:ind w:firstLine="480" w:firstLineChars="200"/>
        <w:rPr>
          <w:rFonts w:hint="eastAsia" w:ascii="宋体" w:hAnsi="宋体" w:eastAsia="仿宋" w:cs="宋体"/>
          <w:color w:val="auto"/>
          <w:sz w:val="24"/>
          <w:szCs w:val="24"/>
          <w:highlight w:val="none"/>
        </w:rPr>
      </w:pPr>
      <w:r>
        <w:rPr>
          <w:rFonts w:hint="eastAsia" w:ascii="宋体" w:hAnsi="宋体" w:eastAsia="仿宋" w:cs="宋体"/>
          <w:color w:val="auto"/>
          <w:sz w:val="24"/>
          <w:szCs w:val="24"/>
          <w:highlight w:val="none"/>
        </w:rPr>
        <w:t>（6）其他需要说明的情况，包括评标过程中投标人根据评标委员会要求进行的澄清、说明或者补正，评标委员会成员的更换等。</w:t>
      </w:r>
    </w:p>
    <w:p w14:paraId="2D862752">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21" w:name="_Toc466024572"/>
      <w:r>
        <w:rPr>
          <w:rFonts w:hint="eastAsia" w:ascii="宋体" w:hAnsi="宋体" w:eastAsia="仿宋"/>
          <w:bCs w:val="0"/>
          <w:color w:val="auto"/>
          <w:sz w:val="24"/>
          <w:szCs w:val="24"/>
          <w:highlight w:val="none"/>
        </w:rPr>
        <w:t>5. 其他</w:t>
      </w:r>
      <w:bookmarkEnd w:id="818"/>
      <w:bookmarkEnd w:id="819"/>
      <w:bookmarkEnd w:id="820"/>
      <w:bookmarkEnd w:id="821"/>
    </w:p>
    <w:p w14:paraId="32D0FEEF">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候选人中依照推荐次序确定中标人。</w:t>
      </w:r>
    </w:p>
    <w:p w14:paraId="5AF7AAE0">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5.2 投标人提供业绩、荣誉证书、资质资格证书、相关证明材料等文件及资料均须在投标文件中提供，电子投标文件中提供扫描件或电子证照。如未在投标文件中提供，则资格审查、符合性审查相应项视为不通过；评分项目相应项不予计分。</w:t>
      </w:r>
    </w:p>
    <w:p w14:paraId="192709AB">
      <w:pPr>
        <w:widowControl/>
        <w:spacing w:line="400" w:lineRule="exact"/>
        <w:ind w:firstLine="480" w:firstLineChars="200"/>
        <w:rPr>
          <w:rFonts w:ascii="宋体" w:hAnsi="宋体" w:eastAsia="仿宋"/>
          <w:color w:val="auto"/>
          <w:sz w:val="24"/>
          <w:highlight w:val="none"/>
        </w:rPr>
      </w:pPr>
    </w:p>
    <w:p w14:paraId="19D2A8CC">
      <w:pPr>
        <w:widowControl/>
        <w:spacing w:line="400" w:lineRule="exact"/>
        <w:ind w:firstLine="480" w:firstLineChars="200"/>
        <w:rPr>
          <w:rFonts w:ascii="宋体" w:hAnsi="宋体" w:eastAsia="仿宋"/>
          <w:color w:val="auto"/>
          <w:sz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2CACCA15">
      <w:pPr>
        <w:pStyle w:val="2"/>
        <w:widowControl/>
        <w:spacing w:before="0" w:after="0" w:line="240" w:lineRule="auto"/>
        <w:jc w:val="center"/>
        <w:rPr>
          <w:rFonts w:hint="eastAsia" w:ascii="宋体" w:hAnsi="宋体" w:eastAsia="仿宋"/>
          <w:color w:val="auto"/>
          <w:highlight w:val="none"/>
        </w:rPr>
      </w:pPr>
      <w:bookmarkStart w:id="822" w:name="_Toc466024582"/>
      <w:bookmarkStart w:id="823" w:name="_Toc445554783"/>
      <w:bookmarkStart w:id="824" w:name="_Toc395"/>
      <w:bookmarkStart w:id="825" w:name="_Toc162410278"/>
      <w:bookmarkStart w:id="826" w:name="_Toc139194404"/>
      <w:bookmarkStart w:id="827" w:name="_Toc153630652"/>
      <w:bookmarkStart w:id="828" w:name="_Toc201377864"/>
      <w:bookmarkStart w:id="829" w:name="_Toc153634810"/>
      <w:bookmarkStart w:id="830" w:name="_Toc221418700"/>
      <w:bookmarkStart w:id="831" w:name="_Toc138323410"/>
      <w:bookmarkStart w:id="832" w:name="_Toc153635713"/>
      <w:bookmarkStart w:id="833" w:name="_Toc256955329"/>
      <w:bookmarkStart w:id="834" w:name="_Toc176927207"/>
      <w:bookmarkStart w:id="835" w:name="_Toc162406884"/>
      <w:bookmarkStart w:id="836" w:name="_Toc165463683"/>
      <w:bookmarkStart w:id="837" w:name="_Toc153636085"/>
      <w:bookmarkStart w:id="838" w:name="_Toc138638816"/>
      <w:bookmarkStart w:id="839" w:name="_Toc192231354"/>
      <w:bookmarkStart w:id="840" w:name="_Toc176780575"/>
      <w:bookmarkStart w:id="841" w:name="_Toc199585022"/>
      <w:bookmarkStart w:id="842" w:name="_Toc162331289"/>
      <w:bookmarkStart w:id="843" w:name="_Toc256409867"/>
      <w:bookmarkStart w:id="844" w:name="_Toc152696791"/>
      <w:bookmarkStart w:id="845" w:name="_Toc153485042"/>
      <w:bookmarkStart w:id="846" w:name="_Toc177181404"/>
      <w:bookmarkStart w:id="847" w:name="_Toc255490647"/>
      <w:bookmarkStart w:id="848" w:name="_Toc256434217"/>
      <w:r>
        <w:rPr>
          <w:rFonts w:hint="eastAsia" w:ascii="宋体" w:hAnsi="宋体" w:eastAsia="仿宋"/>
          <w:color w:val="auto"/>
          <w:highlight w:val="none"/>
        </w:rPr>
        <w:t>第五章  合同条款及格式</w:t>
      </w:r>
      <w:bookmarkEnd w:id="822"/>
      <w:bookmarkEnd w:id="823"/>
      <w:bookmarkEnd w:id="824"/>
    </w:p>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5E70A3A0">
      <w:pPr>
        <w:outlineLvl w:val="9"/>
        <w:rPr>
          <w:rFonts w:ascii="仿宋_GB2312" w:hAnsi="Georgia" w:eastAsia="仿宋_GB2312" w:cs="宋体"/>
          <w:color w:val="auto"/>
          <w:kern w:val="0"/>
          <w:sz w:val="24"/>
          <w:highlight w:val="none"/>
        </w:rPr>
      </w:pPr>
    </w:p>
    <w:p w14:paraId="2CAB9D2D">
      <w:pPr>
        <w:spacing w:line="480" w:lineRule="auto"/>
        <w:jc w:val="center"/>
        <w:outlineLvl w:val="1"/>
        <w:rPr>
          <w:rFonts w:ascii="宋体" w:hAnsi="宋体"/>
          <w:b/>
          <w:color w:val="auto"/>
          <w:sz w:val="32"/>
          <w:szCs w:val="32"/>
          <w:highlight w:val="none"/>
        </w:rPr>
      </w:pPr>
      <w:r>
        <w:rPr>
          <w:rFonts w:ascii="宋体" w:hAnsi="宋体"/>
          <w:b/>
          <w:color w:val="auto"/>
          <w:sz w:val="32"/>
          <w:szCs w:val="32"/>
          <w:highlight w:val="none"/>
        </w:rPr>
        <w:t>政府采购合同</w:t>
      </w:r>
      <w:r>
        <w:rPr>
          <w:rFonts w:hint="eastAsia" w:ascii="宋体" w:hAnsi="宋体"/>
          <w:b/>
          <w:color w:val="auto"/>
          <w:sz w:val="32"/>
          <w:szCs w:val="32"/>
          <w:highlight w:val="none"/>
        </w:rPr>
        <w:t>参考范本</w:t>
      </w:r>
    </w:p>
    <w:p w14:paraId="1F7B0EC9">
      <w:pPr>
        <w:spacing w:line="480" w:lineRule="auto"/>
        <w:jc w:val="center"/>
        <w:outlineLvl w:val="1"/>
        <w:rPr>
          <w:rFonts w:ascii="宋体" w:hAnsi="宋体"/>
          <w:b/>
          <w:color w:val="auto"/>
          <w:sz w:val="32"/>
          <w:szCs w:val="32"/>
          <w:highlight w:val="none"/>
        </w:rPr>
      </w:pPr>
      <w:r>
        <w:rPr>
          <w:rFonts w:hint="eastAsia" w:ascii="宋体" w:hAnsi="宋体"/>
          <w:b/>
          <w:color w:val="auto"/>
          <w:sz w:val="32"/>
          <w:szCs w:val="32"/>
          <w:highlight w:val="none"/>
        </w:rPr>
        <w:t>（货物类）</w:t>
      </w:r>
    </w:p>
    <w:p w14:paraId="09652677">
      <w:pPr>
        <w:spacing w:line="480" w:lineRule="auto"/>
        <w:jc w:val="center"/>
        <w:rPr>
          <w:rFonts w:ascii="宋体" w:hAnsi="宋体"/>
          <w:b/>
          <w:color w:val="auto"/>
          <w:sz w:val="24"/>
          <w:highlight w:val="none"/>
        </w:rPr>
      </w:pPr>
    </w:p>
    <w:p w14:paraId="02A12059">
      <w:pPr>
        <w:spacing w:line="480" w:lineRule="auto"/>
        <w:jc w:val="center"/>
        <w:rPr>
          <w:rFonts w:ascii="宋体" w:hAnsi="宋体"/>
          <w:b/>
          <w:color w:val="auto"/>
          <w:sz w:val="24"/>
          <w:highlight w:val="none"/>
        </w:rPr>
      </w:pPr>
    </w:p>
    <w:p w14:paraId="12308AFA">
      <w:pPr>
        <w:spacing w:line="480" w:lineRule="auto"/>
        <w:jc w:val="center"/>
        <w:rPr>
          <w:rFonts w:ascii="宋体" w:hAnsi="宋体"/>
          <w:b/>
          <w:color w:val="auto"/>
          <w:sz w:val="24"/>
          <w:highlight w:val="none"/>
        </w:rPr>
      </w:pPr>
    </w:p>
    <w:p w14:paraId="2ED681C6">
      <w:pPr>
        <w:spacing w:line="360" w:lineRule="auto"/>
        <w:jc w:val="center"/>
        <w:outlineLvl w:val="1"/>
        <w:rPr>
          <w:rFonts w:ascii="宋体" w:hAnsi="宋体"/>
          <w:b/>
          <w:color w:val="auto"/>
          <w:sz w:val="24"/>
          <w:highlight w:val="none"/>
        </w:rPr>
      </w:pPr>
      <w:r>
        <w:rPr>
          <w:rFonts w:hint="eastAsia" w:ascii="宋体" w:hAnsi="宋体"/>
          <w:b/>
          <w:color w:val="auto"/>
          <w:sz w:val="24"/>
          <w:highlight w:val="none"/>
        </w:rPr>
        <w:t>第一部分 合同书</w:t>
      </w:r>
    </w:p>
    <w:p w14:paraId="1DAEBCEC">
      <w:pPr>
        <w:spacing w:line="480" w:lineRule="auto"/>
        <w:jc w:val="center"/>
        <w:rPr>
          <w:rFonts w:ascii="宋体" w:hAnsi="宋体"/>
          <w:b/>
          <w:color w:val="auto"/>
          <w:sz w:val="24"/>
          <w:highlight w:val="none"/>
        </w:rPr>
      </w:pPr>
    </w:p>
    <w:p w14:paraId="385BB810">
      <w:pPr>
        <w:spacing w:line="480" w:lineRule="auto"/>
        <w:jc w:val="center"/>
        <w:rPr>
          <w:rFonts w:ascii="宋体" w:hAnsi="宋体"/>
          <w:b/>
          <w:color w:val="auto"/>
          <w:sz w:val="24"/>
          <w:highlight w:val="none"/>
        </w:rPr>
      </w:pPr>
    </w:p>
    <w:p w14:paraId="5522B5C1">
      <w:pPr>
        <w:spacing w:line="480" w:lineRule="auto"/>
        <w:jc w:val="center"/>
        <w:rPr>
          <w:rFonts w:ascii="宋体" w:hAnsi="宋体"/>
          <w:b/>
          <w:color w:val="auto"/>
          <w:sz w:val="24"/>
          <w:highlight w:val="none"/>
        </w:rPr>
      </w:pPr>
    </w:p>
    <w:p w14:paraId="72709863">
      <w:pPr>
        <w:spacing w:before="120" w:line="480" w:lineRule="auto"/>
        <w:ind w:left="960"/>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安徽医科大学第一附属医院</w:t>
      </w:r>
      <w:r>
        <w:rPr>
          <w:rFonts w:hint="eastAsia" w:ascii="宋体" w:hAnsi="宋体"/>
          <w:color w:val="auto"/>
          <w:sz w:val="24"/>
          <w:highlight w:val="none"/>
          <w:u w:val="single"/>
          <w:lang w:eastAsia="zh-CN"/>
        </w:rPr>
        <w:t>遥测心电监护仪（1拖8）项目采购</w:t>
      </w:r>
    </w:p>
    <w:p w14:paraId="62012F2C">
      <w:pPr>
        <w:spacing w:before="120" w:line="480" w:lineRule="auto"/>
        <w:ind w:left="960"/>
        <w:rPr>
          <w:rFonts w:hint="eastAsia"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u w:val="single"/>
        </w:rPr>
        <w:t>某编号</w:t>
      </w:r>
    </w:p>
    <w:p w14:paraId="26AD36A8">
      <w:pPr>
        <w:spacing w:before="120" w:line="480" w:lineRule="auto"/>
        <w:ind w:left="960"/>
        <w:rPr>
          <w:rFonts w:ascii="宋体" w:hAnsi="宋体"/>
          <w:color w:val="auto"/>
          <w:sz w:val="24"/>
          <w:highlight w:val="none"/>
          <w:u w:val="single"/>
        </w:rPr>
      </w:pPr>
      <w:r>
        <w:rPr>
          <w:rFonts w:hint="eastAsia" w:ascii="宋体" w:hAnsi="宋体"/>
          <w:color w:val="auto"/>
          <w:sz w:val="24"/>
          <w:highlight w:val="none"/>
        </w:rPr>
        <w:t>甲方（采购人）：</w:t>
      </w:r>
      <w:r>
        <w:rPr>
          <w:rFonts w:hint="eastAsia" w:ascii="宋体" w:hAnsi="宋体"/>
          <w:color w:val="auto"/>
          <w:sz w:val="24"/>
          <w:highlight w:val="none"/>
          <w:u w:val="single"/>
        </w:rPr>
        <w:t xml:space="preserve">                              </w:t>
      </w:r>
    </w:p>
    <w:p w14:paraId="6C5DEFC8">
      <w:pPr>
        <w:spacing w:before="120" w:line="480" w:lineRule="auto"/>
        <w:ind w:left="960"/>
        <w:rPr>
          <w:rFonts w:ascii="宋体" w:hAnsi="宋体"/>
          <w:color w:val="auto"/>
          <w:sz w:val="24"/>
          <w:highlight w:val="none"/>
          <w:u w:val="single"/>
        </w:rPr>
      </w:pPr>
      <w:r>
        <w:rPr>
          <w:rFonts w:hint="eastAsia" w:ascii="宋体" w:hAnsi="宋体"/>
          <w:color w:val="auto"/>
          <w:sz w:val="24"/>
          <w:highlight w:val="none"/>
        </w:rPr>
        <w:t>乙方（中标人）：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13384B37">
      <w:pPr>
        <w:spacing w:before="120" w:line="480" w:lineRule="auto"/>
        <w:ind w:firstLine="960" w:firstLineChars="400"/>
        <w:rPr>
          <w:rFonts w:ascii="宋体" w:hAnsi="宋体"/>
          <w:color w:val="auto"/>
          <w:sz w:val="24"/>
          <w:highlight w:val="none"/>
          <w:u w:val="single"/>
        </w:rPr>
      </w:pPr>
      <w:r>
        <w:rPr>
          <w:rFonts w:hint="eastAsia" w:ascii="宋体" w:hAnsi="宋体"/>
          <w:color w:val="auto"/>
          <w:sz w:val="24"/>
          <w:highlight w:val="none"/>
        </w:rPr>
        <w:t>签订地：</w:t>
      </w:r>
      <w:r>
        <w:rPr>
          <w:rFonts w:hint="eastAsia" w:ascii="宋体" w:hAnsi="宋体"/>
          <w:color w:val="auto"/>
          <w:sz w:val="24"/>
          <w:highlight w:val="none"/>
          <w:u w:val="single"/>
        </w:rPr>
        <w:t xml:space="preserve">                                     </w:t>
      </w:r>
    </w:p>
    <w:p w14:paraId="284C1E28">
      <w:pPr>
        <w:spacing w:before="120" w:line="480" w:lineRule="auto"/>
        <w:ind w:firstLine="960" w:firstLineChars="400"/>
        <w:rPr>
          <w:rFonts w:ascii="宋体" w:hAnsi="宋体"/>
          <w:color w:val="auto"/>
          <w:sz w:val="24"/>
          <w:highlight w:val="none"/>
        </w:rPr>
      </w:pPr>
      <w:r>
        <w:rPr>
          <w:rFonts w:hint="eastAsia" w:ascii="宋体" w:hAnsi="宋体"/>
          <w:color w:val="auto"/>
          <w:sz w:val="24"/>
          <w:highlight w:val="none"/>
        </w:rPr>
        <w:t>签订日期：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9C2B63E">
      <w:pPr>
        <w:widowControl/>
        <w:jc w:val="left"/>
        <w:rPr>
          <w:rFonts w:ascii="宋体" w:hAnsi="宋体"/>
          <w:color w:val="auto"/>
          <w:sz w:val="24"/>
          <w:highlight w:val="none"/>
        </w:rPr>
      </w:pPr>
      <w:r>
        <w:rPr>
          <w:rFonts w:ascii="宋体" w:hAnsi="宋体"/>
          <w:color w:val="auto"/>
          <w:sz w:val="24"/>
          <w:highlight w:val="none"/>
        </w:rPr>
        <w:br w:type="page"/>
      </w:r>
    </w:p>
    <w:p w14:paraId="113DEE7A">
      <w:pPr>
        <w:spacing w:line="360" w:lineRule="auto"/>
        <w:ind w:firstLine="435"/>
        <w:rPr>
          <w:rFonts w:ascii="宋体" w:hAnsi="宋体"/>
          <w:color w:val="auto"/>
          <w:sz w:val="24"/>
          <w:highlight w:val="none"/>
        </w:rPr>
      </w:pPr>
      <w:r>
        <w:rPr>
          <w:rFonts w:hint="eastAsia" w:ascii="宋体" w:hAnsi="宋体"/>
          <w:color w:val="auto"/>
          <w:sz w:val="24"/>
          <w:highlight w:val="none"/>
          <w:u w:val="single"/>
        </w:rPr>
        <w:t>安徽医科大学第一附属医院</w:t>
      </w:r>
      <w:r>
        <w:rPr>
          <w:rFonts w:hint="eastAsia" w:ascii="宋体" w:hAnsi="宋体"/>
          <w:color w:val="auto"/>
          <w:sz w:val="24"/>
          <w:highlight w:val="none"/>
        </w:rPr>
        <w:t>（</w:t>
      </w:r>
      <w:r>
        <w:rPr>
          <w:rFonts w:hint="eastAsia" w:ascii="宋体" w:hAnsi="宋体"/>
          <w:color w:val="auto"/>
          <w:sz w:val="24"/>
          <w:highlight w:val="none"/>
          <w:lang w:val="zh-CN"/>
        </w:rPr>
        <w:t>以下简称：甲方</w:t>
      </w:r>
      <w:r>
        <w:rPr>
          <w:rFonts w:hint="eastAsia" w:ascii="宋体" w:hAnsi="宋体"/>
          <w:color w:val="auto"/>
          <w:sz w:val="24"/>
          <w:highlight w:val="none"/>
        </w:rPr>
        <w:t>）通过</w:t>
      </w:r>
      <w:r>
        <w:rPr>
          <w:rFonts w:hint="eastAsia" w:ascii="宋体" w:hAnsi="宋体"/>
          <w:color w:val="auto"/>
          <w:sz w:val="24"/>
          <w:highlight w:val="none"/>
          <w:u w:val="single"/>
        </w:rPr>
        <w:t>安徽省招标集团股份有限公司</w:t>
      </w:r>
      <w:r>
        <w:rPr>
          <w:rFonts w:hint="eastAsia" w:ascii="宋体" w:hAnsi="宋体"/>
          <w:color w:val="auto"/>
          <w:sz w:val="24"/>
          <w:highlight w:val="none"/>
        </w:rPr>
        <w:t>组织的</w:t>
      </w:r>
      <w:r>
        <w:rPr>
          <w:rFonts w:hint="eastAsia" w:ascii="宋体" w:hAnsi="宋体"/>
          <w:color w:val="auto"/>
          <w:sz w:val="24"/>
          <w:highlight w:val="none"/>
          <w:u w:val="single"/>
        </w:rPr>
        <w:t>公开招标</w:t>
      </w:r>
      <w:r>
        <w:rPr>
          <w:rFonts w:hint="eastAsia" w:ascii="宋体" w:hAnsi="宋体"/>
          <w:color w:val="auto"/>
          <w:sz w:val="24"/>
          <w:highlight w:val="none"/>
        </w:rPr>
        <w:t>方式采购活动，经</w:t>
      </w:r>
      <w:r>
        <w:rPr>
          <w:rFonts w:hint="eastAsia" w:ascii="宋体" w:hAnsi="宋体"/>
          <w:color w:val="auto"/>
          <w:sz w:val="24"/>
          <w:highlight w:val="none"/>
          <w:u w:val="single"/>
        </w:rPr>
        <w:t>评标委员会</w:t>
      </w:r>
      <w:r>
        <w:rPr>
          <w:rFonts w:hint="eastAsia" w:ascii="宋体" w:hAnsi="宋体"/>
          <w:color w:val="auto"/>
          <w:sz w:val="24"/>
          <w:highlight w:val="none"/>
        </w:rPr>
        <w:t>评定，</w:t>
      </w:r>
      <w:r>
        <w:rPr>
          <w:rFonts w:hint="eastAsia" w:ascii="宋体" w:hAnsi="宋体"/>
          <w:i/>
          <w:iCs/>
          <w:color w:val="auto"/>
          <w:sz w:val="24"/>
          <w:highlight w:val="none"/>
          <w:u w:val="single"/>
        </w:rPr>
        <w:t>（中标人名称）</w:t>
      </w:r>
      <w:r>
        <w:rPr>
          <w:rFonts w:hint="eastAsia" w:ascii="宋体" w:hAnsi="宋体"/>
          <w:color w:val="auto"/>
          <w:sz w:val="24"/>
          <w:highlight w:val="none"/>
        </w:rPr>
        <w:t>（</w:t>
      </w:r>
      <w:r>
        <w:rPr>
          <w:rFonts w:hint="eastAsia" w:ascii="宋体" w:hAnsi="宋体"/>
          <w:color w:val="auto"/>
          <w:sz w:val="24"/>
          <w:highlight w:val="none"/>
          <w:lang w:val="zh-CN"/>
        </w:rPr>
        <w:t>以下简称：乙方</w:t>
      </w:r>
      <w:r>
        <w:rPr>
          <w:rFonts w:hint="eastAsia" w:ascii="宋体" w:hAnsi="宋体"/>
          <w:color w:val="auto"/>
          <w:sz w:val="24"/>
          <w:highlight w:val="none"/>
        </w:rPr>
        <w:t>）为本项目中标人，现按照采购文件确定的事项签订本合同。</w:t>
      </w:r>
    </w:p>
    <w:p w14:paraId="7C262E59">
      <w:pPr>
        <w:spacing w:line="360" w:lineRule="auto"/>
        <w:ind w:firstLine="435"/>
        <w:rPr>
          <w:rFonts w:ascii="宋体" w:hAnsi="宋体"/>
          <w:color w:val="auto"/>
          <w:sz w:val="24"/>
          <w:highlight w:val="none"/>
          <w:lang w:val="zh-CN"/>
        </w:rPr>
      </w:pPr>
      <w:r>
        <w:rPr>
          <w:rFonts w:hint="eastAsia" w:ascii="宋体" w:hAnsi="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7F98EA9">
      <w:pPr>
        <w:spacing w:line="360" w:lineRule="auto"/>
        <w:ind w:firstLine="437"/>
        <w:outlineLvl w:val="2"/>
        <w:rPr>
          <w:rFonts w:ascii="宋体" w:hAnsi="宋体"/>
          <w:b/>
          <w:bCs/>
          <w:color w:val="auto"/>
          <w:sz w:val="24"/>
          <w:highlight w:val="none"/>
          <w:lang w:val="zh-CN"/>
        </w:rPr>
      </w:pPr>
      <w:bookmarkStart w:id="849" w:name="_Toc2232"/>
      <w:bookmarkStart w:id="850" w:name="_Toc3029"/>
      <w:bookmarkStart w:id="851" w:name="_Toc24059"/>
      <w:r>
        <w:rPr>
          <w:rFonts w:hint="eastAsia" w:ascii="宋体" w:hAnsi="宋体"/>
          <w:b/>
          <w:bCs/>
          <w:color w:val="auto"/>
          <w:sz w:val="24"/>
          <w:highlight w:val="none"/>
          <w:lang w:val="zh-CN"/>
        </w:rPr>
        <w:t>1.1</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合同组成部分</w:t>
      </w:r>
      <w:bookmarkEnd w:id="849"/>
      <w:bookmarkEnd w:id="850"/>
      <w:bookmarkEnd w:id="851"/>
    </w:p>
    <w:p w14:paraId="47912310">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F264FB0">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1.1.1本合同及其补充合同、变更协议；</w:t>
      </w:r>
    </w:p>
    <w:p w14:paraId="1E424782">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1.1.2中标通知书；</w:t>
      </w:r>
    </w:p>
    <w:p w14:paraId="0D7C6B77">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1.1.3投标文件（含澄清或者说明文件）；</w:t>
      </w:r>
    </w:p>
    <w:p w14:paraId="5D974BC8">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1.1.4招标文件（含澄清或者修改文件）；</w:t>
      </w:r>
    </w:p>
    <w:p w14:paraId="1A6390E8">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1.1.5其他相关采购文件。</w:t>
      </w:r>
    </w:p>
    <w:p w14:paraId="566DB5EE">
      <w:pPr>
        <w:spacing w:line="360" w:lineRule="auto"/>
        <w:ind w:firstLine="437"/>
        <w:outlineLvl w:val="2"/>
        <w:rPr>
          <w:rFonts w:ascii="宋体" w:hAnsi="宋体"/>
          <w:b/>
          <w:bCs/>
          <w:color w:val="auto"/>
          <w:sz w:val="24"/>
          <w:highlight w:val="none"/>
          <w:lang w:val="zh-CN"/>
        </w:rPr>
      </w:pPr>
      <w:bookmarkStart w:id="852" w:name="_Toc24300"/>
      <w:bookmarkStart w:id="853" w:name="_Toc21295"/>
      <w:bookmarkStart w:id="854" w:name="_Toc27126"/>
      <w:r>
        <w:rPr>
          <w:rFonts w:hint="eastAsia" w:ascii="宋体" w:hAnsi="宋体"/>
          <w:b/>
          <w:bCs/>
          <w:color w:val="auto"/>
          <w:sz w:val="24"/>
          <w:highlight w:val="none"/>
          <w:lang w:val="zh-CN"/>
        </w:rPr>
        <w:t>1.2</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货物</w:t>
      </w:r>
      <w:bookmarkEnd w:id="852"/>
      <w:bookmarkEnd w:id="853"/>
      <w:bookmarkEnd w:id="854"/>
    </w:p>
    <w:p w14:paraId="3DBCAF23">
      <w:pPr>
        <w:spacing w:line="360" w:lineRule="auto"/>
        <w:ind w:firstLine="472" w:firstLineChars="196"/>
        <w:rPr>
          <w:rFonts w:hint="eastAsia" w:ascii="宋体" w:hAnsi="宋体" w:cs="宋体"/>
          <w:b/>
          <w:color w:val="auto"/>
          <w:sz w:val="24"/>
          <w:highlight w:val="none"/>
        </w:rPr>
      </w:pPr>
      <w:bookmarkStart w:id="855" w:name="_Toc23292"/>
      <w:bookmarkStart w:id="856" w:name="_Toc21551"/>
      <w:bookmarkStart w:id="857" w:name="_Toc21631"/>
      <w:r>
        <w:rPr>
          <w:rFonts w:hint="eastAsia" w:ascii="宋体" w:hAnsi="宋体" w:cs="宋体"/>
          <w:b/>
          <w:color w:val="auto"/>
          <w:sz w:val="24"/>
          <w:highlight w:val="none"/>
        </w:rPr>
        <w:t>一、产品名称、型号规格、数量、单位、金额：（单位：</w:t>
      </w:r>
      <w:r>
        <w:rPr>
          <w:rFonts w:hint="eastAsia" w:ascii="宋体" w:hAnsi="宋体" w:cs="宋体"/>
          <w:b/>
          <w:color w:val="auto"/>
          <w:sz w:val="24"/>
          <w:highlight w:val="none"/>
          <w:u w:val="single"/>
        </w:rPr>
        <w:t xml:space="preserve">   元 </w:t>
      </w:r>
      <w:r>
        <w:rPr>
          <w:rFonts w:hint="eastAsia" w:ascii="宋体" w:hAnsi="宋体" w:cs="宋体"/>
          <w:b/>
          <w:color w:val="auto"/>
          <w:sz w:val="24"/>
          <w:highlight w:val="none"/>
        </w:rPr>
        <w:t>）</w:t>
      </w:r>
    </w:p>
    <w:tbl>
      <w:tblPr>
        <w:tblStyle w:val="1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996"/>
        <w:gridCol w:w="773"/>
        <w:gridCol w:w="1276"/>
        <w:gridCol w:w="1134"/>
        <w:gridCol w:w="768"/>
        <w:gridCol w:w="649"/>
        <w:gridCol w:w="948"/>
        <w:gridCol w:w="1183"/>
      </w:tblGrid>
      <w:tr w14:paraId="3AC2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09F7398C">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996" w:type="dxa"/>
            <w:noWrap w:val="0"/>
            <w:vAlign w:val="center"/>
          </w:tcPr>
          <w:p w14:paraId="694F18C4">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品牌</w:t>
            </w:r>
          </w:p>
        </w:tc>
        <w:tc>
          <w:tcPr>
            <w:tcW w:w="773" w:type="dxa"/>
            <w:noWrap w:val="0"/>
            <w:vAlign w:val="center"/>
          </w:tcPr>
          <w:p w14:paraId="3D4EBB0A">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产地</w:t>
            </w:r>
          </w:p>
        </w:tc>
        <w:tc>
          <w:tcPr>
            <w:tcW w:w="1276" w:type="dxa"/>
            <w:noWrap w:val="0"/>
            <w:vAlign w:val="center"/>
          </w:tcPr>
          <w:p w14:paraId="6F13C66E">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134" w:type="dxa"/>
            <w:noWrap w:val="0"/>
            <w:vAlign w:val="center"/>
          </w:tcPr>
          <w:p w14:paraId="6175671C">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配置</w:t>
            </w:r>
          </w:p>
        </w:tc>
        <w:tc>
          <w:tcPr>
            <w:tcW w:w="768" w:type="dxa"/>
            <w:noWrap w:val="0"/>
            <w:vAlign w:val="center"/>
          </w:tcPr>
          <w:p w14:paraId="44843AB2">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单位</w:t>
            </w:r>
          </w:p>
        </w:tc>
        <w:tc>
          <w:tcPr>
            <w:tcW w:w="649" w:type="dxa"/>
            <w:noWrap w:val="0"/>
            <w:vAlign w:val="center"/>
          </w:tcPr>
          <w:p w14:paraId="6969E31F">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数量</w:t>
            </w:r>
          </w:p>
        </w:tc>
        <w:tc>
          <w:tcPr>
            <w:tcW w:w="948" w:type="dxa"/>
            <w:noWrap w:val="0"/>
            <w:vAlign w:val="center"/>
          </w:tcPr>
          <w:p w14:paraId="699224FA">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单价</w:t>
            </w:r>
          </w:p>
        </w:tc>
        <w:tc>
          <w:tcPr>
            <w:tcW w:w="1183" w:type="dxa"/>
            <w:noWrap w:val="0"/>
            <w:vAlign w:val="center"/>
          </w:tcPr>
          <w:p w14:paraId="703F7E83">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金额</w:t>
            </w:r>
          </w:p>
        </w:tc>
      </w:tr>
      <w:tr w14:paraId="16D8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34C89354">
            <w:pPr>
              <w:adjustRightInd w:val="0"/>
              <w:snapToGrid w:val="0"/>
              <w:rPr>
                <w:rFonts w:hint="eastAsia" w:ascii="宋体" w:hAnsi="宋体" w:cs="宋体"/>
                <w:color w:val="auto"/>
                <w:sz w:val="24"/>
                <w:highlight w:val="none"/>
              </w:rPr>
            </w:pPr>
          </w:p>
        </w:tc>
        <w:tc>
          <w:tcPr>
            <w:tcW w:w="996" w:type="dxa"/>
            <w:noWrap w:val="0"/>
            <w:vAlign w:val="center"/>
          </w:tcPr>
          <w:p w14:paraId="74CDAB02">
            <w:pPr>
              <w:adjustRightInd w:val="0"/>
              <w:snapToGrid w:val="0"/>
              <w:rPr>
                <w:rFonts w:hint="eastAsia" w:ascii="宋体" w:hAnsi="宋体" w:cs="宋体"/>
                <w:color w:val="auto"/>
                <w:sz w:val="24"/>
                <w:highlight w:val="none"/>
              </w:rPr>
            </w:pPr>
          </w:p>
        </w:tc>
        <w:tc>
          <w:tcPr>
            <w:tcW w:w="773" w:type="dxa"/>
            <w:noWrap w:val="0"/>
            <w:vAlign w:val="center"/>
          </w:tcPr>
          <w:p w14:paraId="5057D553">
            <w:pPr>
              <w:adjustRightInd w:val="0"/>
              <w:snapToGrid w:val="0"/>
              <w:rPr>
                <w:rFonts w:hint="eastAsia" w:ascii="宋体" w:hAnsi="宋体" w:cs="宋体"/>
                <w:color w:val="auto"/>
                <w:sz w:val="24"/>
                <w:highlight w:val="none"/>
              </w:rPr>
            </w:pPr>
          </w:p>
        </w:tc>
        <w:tc>
          <w:tcPr>
            <w:tcW w:w="1276" w:type="dxa"/>
            <w:noWrap w:val="0"/>
            <w:vAlign w:val="center"/>
          </w:tcPr>
          <w:p w14:paraId="3BC4717A">
            <w:pPr>
              <w:adjustRightInd w:val="0"/>
              <w:snapToGrid w:val="0"/>
              <w:rPr>
                <w:rFonts w:hint="eastAsia" w:ascii="宋体" w:hAnsi="宋体" w:cs="宋体"/>
                <w:color w:val="auto"/>
                <w:sz w:val="24"/>
                <w:highlight w:val="none"/>
              </w:rPr>
            </w:pPr>
          </w:p>
        </w:tc>
        <w:tc>
          <w:tcPr>
            <w:tcW w:w="1134" w:type="dxa"/>
            <w:noWrap w:val="0"/>
            <w:vAlign w:val="center"/>
          </w:tcPr>
          <w:p w14:paraId="715187D5">
            <w:pPr>
              <w:adjustRightInd w:val="0"/>
              <w:snapToGrid w:val="0"/>
              <w:rPr>
                <w:rFonts w:hint="eastAsia" w:ascii="宋体" w:hAnsi="宋体" w:cs="宋体"/>
                <w:color w:val="auto"/>
                <w:sz w:val="24"/>
                <w:highlight w:val="none"/>
              </w:rPr>
            </w:pPr>
          </w:p>
        </w:tc>
        <w:tc>
          <w:tcPr>
            <w:tcW w:w="768" w:type="dxa"/>
            <w:noWrap w:val="0"/>
            <w:vAlign w:val="center"/>
          </w:tcPr>
          <w:p w14:paraId="3A22D1E8">
            <w:pPr>
              <w:adjustRightInd w:val="0"/>
              <w:snapToGrid w:val="0"/>
              <w:rPr>
                <w:rFonts w:hint="eastAsia" w:ascii="宋体" w:hAnsi="宋体" w:cs="宋体"/>
                <w:color w:val="auto"/>
                <w:sz w:val="24"/>
                <w:highlight w:val="none"/>
              </w:rPr>
            </w:pPr>
          </w:p>
        </w:tc>
        <w:tc>
          <w:tcPr>
            <w:tcW w:w="649" w:type="dxa"/>
            <w:noWrap w:val="0"/>
            <w:vAlign w:val="center"/>
          </w:tcPr>
          <w:p w14:paraId="5D19F7FA">
            <w:pPr>
              <w:adjustRightInd w:val="0"/>
              <w:snapToGrid w:val="0"/>
              <w:rPr>
                <w:rFonts w:hint="eastAsia" w:ascii="宋体" w:hAnsi="宋体" w:cs="宋体"/>
                <w:color w:val="auto"/>
                <w:sz w:val="24"/>
                <w:highlight w:val="none"/>
              </w:rPr>
            </w:pPr>
          </w:p>
        </w:tc>
        <w:tc>
          <w:tcPr>
            <w:tcW w:w="948" w:type="dxa"/>
            <w:noWrap w:val="0"/>
            <w:vAlign w:val="center"/>
          </w:tcPr>
          <w:p w14:paraId="44F8ED8B">
            <w:pPr>
              <w:adjustRightInd w:val="0"/>
              <w:snapToGrid w:val="0"/>
              <w:rPr>
                <w:rFonts w:hint="eastAsia" w:ascii="宋体" w:hAnsi="宋体" w:cs="宋体"/>
                <w:color w:val="auto"/>
                <w:sz w:val="24"/>
                <w:highlight w:val="none"/>
              </w:rPr>
            </w:pPr>
          </w:p>
        </w:tc>
        <w:tc>
          <w:tcPr>
            <w:tcW w:w="1183" w:type="dxa"/>
            <w:noWrap w:val="0"/>
            <w:vAlign w:val="center"/>
          </w:tcPr>
          <w:p w14:paraId="08E4D606">
            <w:pPr>
              <w:adjustRightInd w:val="0"/>
              <w:snapToGrid w:val="0"/>
              <w:rPr>
                <w:rFonts w:hint="eastAsia" w:ascii="宋体" w:hAnsi="宋体" w:cs="宋体"/>
                <w:color w:val="auto"/>
                <w:sz w:val="24"/>
                <w:highlight w:val="none"/>
              </w:rPr>
            </w:pPr>
          </w:p>
        </w:tc>
      </w:tr>
      <w:tr w14:paraId="644B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09394D27">
            <w:pPr>
              <w:adjustRightInd w:val="0"/>
              <w:snapToGrid w:val="0"/>
              <w:rPr>
                <w:rFonts w:hint="eastAsia" w:ascii="宋体" w:hAnsi="宋体" w:cs="宋体"/>
                <w:color w:val="auto"/>
                <w:sz w:val="24"/>
                <w:highlight w:val="none"/>
              </w:rPr>
            </w:pPr>
          </w:p>
        </w:tc>
        <w:tc>
          <w:tcPr>
            <w:tcW w:w="996" w:type="dxa"/>
            <w:noWrap w:val="0"/>
            <w:vAlign w:val="center"/>
          </w:tcPr>
          <w:p w14:paraId="7CAB0861">
            <w:pPr>
              <w:adjustRightInd w:val="0"/>
              <w:snapToGrid w:val="0"/>
              <w:rPr>
                <w:rFonts w:hint="eastAsia" w:ascii="宋体" w:hAnsi="宋体" w:cs="宋体"/>
                <w:color w:val="auto"/>
                <w:sz w:val="24"/>
                <w:highlight w:val="none"/>
              </w:rPr>
            </w:pPr>
          </w:p>
        </w:tc>
        <w:tc>
          <w:tcPr>
            <w:tcW w:w="773" w:type="dxa"/>
            <w:noWrap w:val="0"/>
            <w:vAlign w:val="center"/>
          </w:tcPr>
          <w:p w14:paraId="75B87E2D">
            <w:pPr>
              <w:adjustRightInd w:val="0"/>
              <w:snapToGrid w:val="0"/>
              <w:rPr>
                <w:rFonts w:hint="eastAsia" w:ascii="宋体" w:hAnsi="宋体" w:cs="宋体"/>
                <w:color w:val="auto"/>
                <w:sz w:val="24"/>
                <w:highlight w:val="none"/>
              </w:rPr>
            </w:pPr>
          </w:p>
        </w:tc>
        <w:tc>
          <w:tcPr>
            <w:tcW w:w="1276" w:type="dxa"/>
            <w:noWrap w:val="0"/>
            <w:vAlign w:val="center"/>
          </w:tcPr>
          <w:p w14:paraId="574560A6">
            <w:pPr>
              <w:adjustRightInd w:val="0"/>
              <w:snapToGrid w:val="0"/>
              <w:rPr>
                <w:rFonts w:hint="eastAsia" w:ascii="宋体" w:hAnsi="宋体" w:cs="宋体"/>
                <w:color w:val="auto"/>
                <w:sz w:val="24"/>
                <w:highlight w:val="none"/>
              </w:rPr>
            </w:pPr>
          </w:p>
        </w:tc>
        <w:tc>
          <w:tcPr>
            <w:tcW w:w="1134" w:type="dxa"/>
            <w:noWrap w:val="0"/>
            <w:vAlign w:val="center"/>
          </w:tcPr>
          <w:p w14:paraId="51949E1D">
            <w:pPr>
              <w:adjustRightInd w:val="0"/>
              <w:snapToGrid w:val="0"/>
              <w:rPr>
                <w:rFonts w:hint="eastAsia" w:ascii="宋体" w:hAnsi="宋体" w:cs="宋体"/>
                <w:color w:val="auto"/>
                <w:sz w:val="24"/>
                <w:highlight w:val="none"/>
              </w:rPr>
            </w:pPr>
          </w:p>
        </w:tc>
        <w:tc>
          <w:tcPr>
            <w:tcW w:w="768" w:type="dxa"/>
            <w:noWrap w:val="0"/>
            <w:vAlign w:val="center"/>
          </w:tcPr>
          <w:p w14:paraId="715B0F05">
            <w:pPr>
              <w:adjustRightInd w:val="0"/>
              <w:snapToGrid w:val="0"/>
              <w:rPr>
                <w:rFonts w:hint="eastAsia" w:ascii="宋体" w:hAnsi="宋体" w:cs="宋体"/>
                <w:color w:val="auto"/>
                <w:sz w:val="24"/>
                <w:highlight w:val="none"/>
              </w:rPr>
            </w:pPr>
          </w:p>
        </w:tc>
        <w:tc>
          <w:tcPr>
            <w:tcW w:w="649" w:type="dxa"/>
            <w:noWrap w:val="0"/>
            <w:vAlign w:val="center"/>
          </w:tcPr>
          <w:p w14:paraId="0524D462">
            <w:pPr>
              <w:adjustRightInd w:val="0"/>
              <w:snapToGrid w:val="0"/>
              <w:rPr>
                <w:rFonts w:hint="eastAsia" w:ascii="宋体" w:hAnsi="宋体" w:cs="宋体"/>
                <w:color w:val="auto"/>
                <w:sz w:val="24"/>
                <w:highlight w:val="none"/>
              </w:rPr>
            </w:pPr>
          </w:p>
        </w:tc>
        <w:tc>
          <w:tcPr>
            <w:tcW w:w="948" w:type="dxa"/>
            <w:noWrap w:val="0"/>
            <w:vAlign w:val="center"/>
          </w:tcPr>
          <w:p w14:paraId="3445E1B0">
            <w:pPr>
              <w:adjustRightInd w:val="0"/>
              <w:snapToGrid w:val="0"/>
              <w:rPr>
                <w:rFonts w:hint="eastAsia" w:ascii="宋体" w:hAnsi="宋体" w:cs="宋体"/>
                <w:color w:val="auto"/>
                <w:sz w:val="24"/>
                <w:highlight w:val="none"/>
              </w:rPr>
            </w:pPr>
          </w:p>
        </w:tc>
        <w:tc>
          <w:tcPr>
            <w:tcW w:w="1183" w:type="dxa"/>
            <w:noWrap w:val="0"/>
            <w:vAlign w:val="center"/>
          </w:tcPr>
          <w:p w14:paraId="19F9AE2B">
            <w:pPr>
              <w:adjustRightInd w:val="0"/>
              <w:snapToGrid w:val="0"/>
              <w:rPr>
                <w:rFonts w:hint="eastAsia" w:ascii="宋体" w:hAnsi="宋体" w:cs="宋体"/>
                <w:color w:val="auto"/>
                <w:sz w:val="24"/>
                <w:highlight w:val="none"/>
              </w:rPr>
            </w:pPr>
          </w:p>
        </w:tc>
      </w:tr>
      <w:tr w14:paraId="272C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73C3B67D">
            <w:pPr>
              <w:adjustRightInd w:val="0"/>
              <w:snapToGrid w:val="0"/>
              <w:rPr>
                <w:rFonts w:hint="eastAsia" w:ascii="宋体" w:hAnsi="宋体" w:cs="宋体"/>
                <w:color w:val="auto"/>
                <w:sz w:val="24"/>
                <w:highlight w:val="none"/>
              </w:rPr>
            </w:pPr>
          </w:p>
        </w:tc>
        <w:tc>
          <w:tcPr>
            <w:tcW w:w="996" w:type="dxa"/>
            <w:noWrap w:val="0"/>
            <w:vAlign w:val="center"/>
          </w:tcPr>
          <w:p w14:paraId="396DDF5C">
            <w:pPr>
              <w:adjustRightInd w:val="0"/>
              <w:snapToGrid w:val="0"/>
              <w:rPr>
                <w:rFonts w:hint="eastAsia" w:ascii="宋体" w:hAnsi="宋体" w:cs="宋体"/>
                <w:color w:val="auto"/>
                <w:sz w:val="24"/>
                <w:highlight w:val="none"/>
              </w:rPr>
            </w:pPr>
          </w:p>
        </w:tc>
        <w:tc>
          <w:tcPr>
            <w:tcW w:w="773" w:type="dxa"/>
            <w:noWrap w:val="0"/>
            <w:vAlign w:val="center"/>
          </w:tcPr>
          <w:p w14:paraId="0A037977">
            <w:pPr>
              <w:adjustRightInd w:val="0"/>
              <w:snapToGrid w:val="0"/>
              <w:rPr>
                <w:rFonts w:hint="eastAsia" w:ascii="宋体" w:hAnsi="宋体" w:cs="宋体"/>
                <w:color w:val="auto"/>
                <w:sz w:val="24"/>
                <w:highlight w:val="none"/>
              </w:rPr>
            </w:pPr>
          </w:p>
        </w:tc>
        <w:tc>
          <w:tcPr>
            <w:tcW w:w="1276" w:type="dxa"/>
            <w:noWrap w:val="0"/>
            <w:vAlign w:val="center"/>
          </w:tcPr>
          <w:p w14:paraId="325D4AF1">
            <w:pPr>
              <w:adjustRightInd w:val="0"/>
              <w:snapToGrid w:val="0"/>
              <w:rPr>
                <w:rFonts w:hint="eastAsia" w:ascii="宋体" w:hAnsi="宋体" w:cs="宋体"/>
                <w:color w:val="auto"/>
                <w:sz w:val="24"/>
                <w:highlight w:val="none"/>
              </w:rPr>
            </w:pPr>
          </w:p>
        </w:tc>
        <w:tc>
          <w:tcPr>
            <w:tcW w:w="1134" w:type="dxa"/>
            <w:noWrap w:val="0"/>
            <w:vAlign w:val="center"/>
          </w:tcPr>
          <w:p w14:paraId="43318C2C">
            <w:pPr>
              <w:adjustRightInd w:val="0"/>
              <w:snapToGrid w:val="0"/>
              <w:rPr>
                <w:rFonts w:hint="eastAsia" w:ascii="宋体" w:hAnsi="宋体" w:cs="宋体"/>
                <w:color w:val="auto"/>
                <w:sz w:val="24"/>
                <w:highlight w:val="none"/>
              </w:rPr>
            </w:pPr>
          </w:p>
        </w:tc>
        <w:tc>
          <w:tcPr>
            <w:tcW w:w="768" w:type="dxa"/>
            <w:noWrap w:val="0"/>
            <w:vAlign w:val="center"/>
          </w:tcPr>
          <w:p w14:paraId="1E545F56">
            <w:pPr>
              <w:adjustRightInd w:val="0"/>
              <w:snapToGrid w:val="0"/>
              <w:rPr>
                <w:rFonts w:hint="eastAsia" w:ascii="宋体" w:hAnsi="宋体" w:cs="宋体"/>
                <w:color w:val="auto"/>
                <w:sz w:val="24"/>
                <w:highlight w:val="none"/>
              </w:rPr>
            </w:pPr>
          </w:p>
        </w:tc>
        <w:tc>
          <w:tcPr>
            <w:tcW w:w="649" w:type="dxa"/>
            <w:noWrap w:val="0"/>
            <w:vAlign w:val="center"/>
          </w:tcPr>
          <w:p w14:paraId="2C912F02">
            <w:pPr>
              <w:adjustRightInd w:val="0"/>
              <w:snapToGrid w:val="0"/>
              <w:rPr>
                <w:rFonts w:hint="eastAsia" w:ascii="宋体" w:hAnsi="宋体" w:cs="宋体"/>
                <w:color w:val="auto"/>
                <w:sz w:val="24"/>
                <w:highlight w:val="none"/>
              </w:rPr>
            </w:pPr>
          </w:p>
        </w:tc>
        <w:tc>
          <w:tcPr>
            <w:tcW w:w="948" w:type="dxa"/>
            <w:noWrap w:val="0"/>
            <w:vAlign w:val="center"/>
          </w:tcPr>
          <w:p w14:paraId="26DEC7CB">
            <w:pPr>
              <w:adjustRightInd w:val="0"/>
              <w:snapToGrid w:val="0"/>
              <w:rPr>
                <w:rFonts w:hint="eastAsia" w:ascii="宋体" w:hAnsi="宋体" w:cs="宋体"/>
                <w:color w:val="auto"/>
                <w:sz w:val="24"/>
                <w:highlight w:val="none"/>
              </w:rPr>
            </w:pPr>
          </w:p>
        </w:tc>
        <w:tc>
          <w:tcPr>
            <w:tcW w:w="1183" w:type="dxa"/>
            <w:noWrap w:val="0"/>
            <w:vAlign w:val="center"/>
          </w:tcPr>
          <w:p w14:paraId="61F55DFB">
            <w:pPr>
              <w:adjustRightInd w:val="0"/>
              <w:snapToGrid w:val="0"/>
              <w:rPr>
                <w:rFonts w:hint="eastAsia" w:ascii="宋体" w:hAnsi="宋体" w:cs="宋体"/>
                <w:color w:val="auto"/>
                <w:sz w:val="24"/>
                <w:highlight w:val="none"/>
              </w:rPr>
            </w:pPr>
          </w:p>
        </w:tc>
      </w:tr>
      <w:tr w14:paraId="4CC7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1475" w:type="dxa"/>
            <w:noWrap w:val="0"/>
            <w:vAlign w:val="center"/>
          </w:tcPr>
          <w:p w14:paraId="1729D33B">
            <w:pPr>
              <w:adjustRightInd w:val="0"/>
              <w:snapToGrid w:val="0"/>
              <w:rPr>
                <w:rFonts w:hint="eastAsia" w:ascii="宋体" w:hAnsi="宋体" w:cs="宋体"/>
                <w:color w:val="auto"/>
                <w:sz w:val="24"/>
                <w:highlight w:val="none"/>
              </w:rPr>
            </w:pPr>
          </w:p>
        </w:tc>
        <w:tc>
          <w:tcPr>
            <w:tcW w:w="996" w:type="dxa"/>
            <w:noWrap w:val="0"/>
            <w:vAlign w:val="center"/>
          </w:tcPr>
          <w:p w14:paraId="7C716EB0">
            <w:pPr>
              <w:adjustRightInd w:val="0"/>
              <w:snapToGrid w:val="0"/>
              <w:rPr>
                <w:rFonts w:hint="eastAsia" w:ascii="宋体" w:hAnsi="宋体" w:cs="宋体"/>
                <w:color w:val="auto"/>
                <w:sz w:val="24"/>
                <w:highlight w:val="none"/>
              </w:rPr>
            </w:pPr>
          </w:p>
        </w:tc>
        <w:tc>
          <w:tcPr>
            <w:tcW w:w="773" w:type="dxa"/>
            <w:noWrap w:val="0"/>
            <w:vAlign w:val="center"/>
          </w:tcPr>
          <w:p w14:paraId="3B13F6DB">
            <w:pPr>
              <w:adjustRightInd w:val="0"/>
              <w:snapToGrid w:val="0"/>
              <w:rPr>
                <w:rFonts w:hint="eastAsia" w:ascii="宋体" w:hAnsi="宋体" w:cs="宋体"/>
                <w:color w:val="auto"/>
                <w:sz w:val="24"/>
                <w:highlight w:val="none"/>
              </w:rPr>
            </w:pPr>
          </w:p>
        </w:tc>
        <w:tc>
          <w:tcPr>
            <w:tcW w:w="1276" w:type="dxa"/>
            <w:noWrap w:val="0"/>
            <w:vAlign w:val="center"/>
          </w:tcPr>
          <w:p w14:paraId="2AC7B772">
            <w:pPr>
              <w:adjustRightInd w:val="0"/>
              <w:snapToGrid w:val="0"/>
              <w:rPr>
                <w:rFonts w:hint="eastAsia" w:ascii="宋体" w:hAnsi="宋体" w:cs="宋体"/>
                <w:color w:val="auto"/>
                <w:sz w:val="24"/>
                <w:highlight w:val="none"/>
              </w:rPr>
            </w:pPr>
          </w:p>
        </w:tc>
        <w:tc>
          <w:tcPr>
            <w:tcW w:w="1134" w:type="dxa"/>
            <w:noWrap w:val="0"/>
            <w:vAlign w:val="center"/>
          </w:tcPr>
          <w:p w14:paraId="23E4692B">
            <w:pPr>
              <w:adjustRightInd w:val="0"/>
              <w:snapToGrid w:val="0"/>
              <w:rPr>
                <w:rFonts w:hint="eastAsia" w:ascii="宋体" w:hAnsi="宋体" w:cs="宋体"/>
                <w:color w:val="auto"/>
                <w:sz w:val="24"/>
                <w:highlight w:val="none"/>
              </w:rPr>
            </w:pPr>
          </w:p>
        </w:tc>
        <w:tc>
          <w:tcPr>
            <w:tcW w:w="768" w:type="dxa"/>
            <w:noWrap w:val="0"/>
            <w:vAlign w:val="center"/>
          </w:tcPr>
          <w:p w14:paraId="1C9CC45C">
            <w:pPr>
              <w:adjustRightInd w:val="0"/>
              <w:snapToGrid w:val="0"/>
              <w:rPr>
                <w:rFonts w:hint="eastAsia" w:ascii="宋体" w:hAnsi="宋体" w:cs="宋体"/>
                <w:color w:val="auto"/>
                <w:sz w:val="24"/>
                <w:highlight w:val="none"/>
              </w:rPr>
            </w:pPr>
          </w:p>
        </w:tc>
        <w:tc>
          <w:tcPr>
            <w:tcW w:w="649" w:type="dxa"/>
            <w:noWrap w:val="0"/>
            <w:vAlign w:val="center"/>
          </w:tcPr>
          <w:p w14:paraId="192E52BF">
            <w:pPr>
              <w:adjustRightInd w:val="0"/>
              <w:snapToGrid w:val="0"/>
              <w:rPr>
                <w:rFonts w:hint="eastAsia" w:ascii="宋体" w:hAnsi="宋体" w:cs="宋体"/>
                <w:color w:val="auto"/>
                <w:sz w:val="24"/>
                <w:highlight w:val="none"/>
              </w:rPr>
            </w:pPr>
          </w:p>
        </w:tc>
        <w:tc>
          <w:tcPr>
            <w:tcW w:w="948" w:type="dxa"/>
            <w:noWrap w:val="0"/>
            <w:vAlign w:val="center"/>
          </w:tcPr>
          <w:p w14:paraId="399094E0">
            <w:pPr>
              <w:adjustRightInd w:val="0"/>
              <w:snapToGrid w:val="0"/>
              <w:rPr>
                <w:rFonts w:hint="eastAsia" w:ascii="宋体" w:hAnsi="宋体" w:cs="宋体"/>
                <w:color w:val="auto"/>
                <w:sz w:val="24"/>
                <w:highlight w:val="none"/>
              </w:rPr>
            </w:pPr>
          </w:p>
        </w:tc>
        <w:tc>
          <w:tcPr>
            <w:tcW w:w="1183" w:type="dxa"/>
            <w:noWrap w:val="0"/>
            <w:vAlign w:val="center"/>
          </w:tcPr>
          <w:p w14:paraId="4C9F0A58">
            <w:pPr>
              <w:adjustRightInd w:val="0"/>
              <w:snapToGrid w:val="0"/>
              <w:rPr>
                <w:rFonts w:hint="eastAsia" w:ascii="宋体" w:hAnsi="宋体" w:cs="宋体"/>
                <w:color w:val="auto"/>
                <w:sz w:val="24"/>
                <w:highlight w:val="none"/>
              </w:rPr>
            </w:pPr>
          </w:p>
        </w:tc>
      </w:tr>
      <w:tr w14:paraId="30E6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2D3F2E24">
            <w:pPr>
              <w:adjustRightInd w:val="0"/>
              <w:snapToGrid w:val="0"/>
              <w:rPr>
                <w:rFonts w:hint="eastAsia" w:ascii="宋体" w:hAnsi="宋体" w:cs="宋体"/>
                <w:color w:val="auto"/>
                <w:sz w:val="24"/>
                <w:highlight w:val="none"/>
              </w:rPr>
            </w:pPr>
          </w:p>
        </w:tc>
        <w:tc>
          <w:tcPr>
            <w:tcW w:w="996" w:type="dxa"/>
            <w:noWrap w:val="0"/>
            <w:vAlign w:val="center"/>
          </w:tcPr>
          <w:p w14:paraId="0A4A9D47">
            <w:pPr>
              <w:adjustRightInd w:val="0"/>
              <w:snapToGrid w:val="0"/>
              <w:rPr>
                <w:rFonts w:hint="eastAsia" w:ascii="宋体" w:hAnsi="宋体" w:cs="宋体"/>
                <w:color w:val="auto"/>
                <w:sz w:val="24"/>
                <w:highlight w:val="none"/>
              </w:rPr>
            </w:pPr>
          </w:p>
        </w:tc>
        <w:tc>
          <w:tcPr>
            <w:tcW w:w="773" w:type="dxa"/>
            <w:noWrap w:val="0"/>
            <w:vAlign w:val="center"/>
          </w:tcPr>
          <w:p w14:paraId="001EFE76">
            <w:pPr>
              <w:adjustRightInd w:val="0"/>
              <w:snapToGrid w:val="0"/>
              <w:rPr>
                <w:rFonts w:hint="eastAsia" w:ascii="宋体" w:hAnsi="宋体" w:cs="宋体"/>
                <w:color w:val="auto"/>
                <w:sz w:val="24"/>
                <w:highlight w:val="none"/>
              </w:rPr>
            </w:pPr>
          </w:p>
        </w:tc>
        <w:tc>
          <w:tcPr>
            <w:tcW w:w="1276" w:type="dxa"/>
            <w:noWrap w:val="0"/>
            <w:vAlign w:val="center"/>
          </w:tcPr>
          <w:p w14:paraId="573E83D4">
            <w:pPr>
              <w:adjustRightInd w:val="0"/>
              <w:snapToGrid w:val="0"/>
              <w:rPr>
                <w:rFonts w:hint="eastAsia" w:ascii="宋体" w:hAnsi="宋体" w:cs="宋体"/>
                <w:color w:val="auto"/>
                <w:sz w:val="24"/>
                <w:highlight w:val="none"/>
              </w:rPr>
            </w:pPr>
          </w:p>
        </w:tc>
        <w:tc>
          <w:tcPr>
            <w:tcW w:w="1134" w:type="dxa"/>
            <w:noWrap w:val="0"/>
            <w:vAlign w:val="center"/>
          </w:tcPr>
          <w:p w14:paraId="7C26EF8D">
            <w:pPr>
              <w:adjustRightInd w:val="0"/>
              <w:snapToGrid w:val="0"/>
              <w:rPr>
                <w:rFonts w:hint="eastAsia" w:ascii="宋体" w:hAnsi="宋体" w:cs="宋体"/>
                <w:color w:val="auto"/>
                <w:sz w:val="24"/>
                <w:highlight w:val="none"/>
              </w:rPr>
            </w:pPr>
          </w:p>
        </w:tc>
        <w:tc>
          <w:tcPr>
            <w:tcW w:w="768" w:type="dxa"/>
            <w:noWrap w:val="0"/>
            <w:vAlign w:val="center"/>
          </w:tcPr>
          <w:p w14:paraId="6F28516A">
            <w:pPr>
              <w:adjustRightInd w:val="0"/>
              <w:snapToGrid w:val="0"/>
              <w:rPr>
                <w:rFonts w:hint="eastAsia" w:ascii="宋体" w:hAnsi="宋体" w:cs="宋体"/>
                <w:color w:val="auto"/>
                <w:sz w:val="24"/>
                <w:highlight w:val="none"/>
              </w:rPr>
            </w:pPr>
          </w:p>
        </w:tc>
        <w:tc>
          <w:tcPr>
            <w:tcW w:w="649" w:type="dxa"/>
            <w:noWrap w:val="0"/>
            <w:vAlign w:val="center"/>
          </w:tcPr>
          <w:p w14:paraId="3C9432CA">
            <w:pPr>
              <w:adjustRightInd w:val="0"/>
              <w:snapToGrid w:val="0"/>
              <w:rPr>
                <w:rFonts w:hint="eastAsia" w:ascii="宋体" w:hAnsi="宋体" w:cs="宋体"/>
                <w:color w:val="auto"/>
                <w:sz w:val="24"/>
                <w:highlight w:val="none"/>
              </w:rPr>
            </w:pPr>
          </w:p>
        </w:tc>
        <w:tc>
          <w:tcPr>
            <w:tcW w:w="948" w:type="dxa"/>
            <w:noWrap w:val="0"/>
            <w:vAlign w:val="center"/>
          </w:tcPr>
          <w:p w14:paraId="5410FAC1">
            <w:pPr>
              <w:adjustRightInd w:val="0"/>
              <w:snapToGrid w:val="0"/>
              <w:rPr>
                <w:rFonts w:hint="eastAsia" w:ascii="宋体" w:hAnsi="宋体" w:cs="宋体"/>
                <w:color w:val="auto"/>
                <w:sz w:val="24"/>
                <w:highlight w:val="none"/>
              </w:rPr>
            </w:pPr>
          </w:p>
        </w:tc>
        <w:tc>
          <w:tcPr>
            <w:tcW w:w="1183" w:type="dxa"/>
            <w:noWrap w:val="0"/>
            <w:vAlign w:val="center"/>
          </w:tcPr>
          <w:p w14:paraId="6D644255">
            <w:pPr>
              <w:adjustRightInd w:val="0"/>
              <w:snapToGrid w:val="0"/>
              <w:rPr>
                <w:rFonts w:hint="eastAsia" w:ascii="宋体" w:hAnsi="宋体" w:cs="宋体"/>
                <w:color w:val="auto"/>
                <w:sz w:val="24"/>
                <w:highlight w:val="none"/>
              </w:rPr>
            </w:pPr>
          </w:p>
        </w:tc>
      </w:tr>
      <w:tr w14:paraId="460D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02" w:type="dxa"/>
            <w:gridSpan w:val="9"/>
            <w:noWrap w:val="0"/>
            <w:vAlign w:val="center"/>
          </w:tcPr>
          <w:p w14:paraId="2F42F000">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 xml:space="preserve">合计金额（小写）： </w:t>
            </w:r>
          </w:p>
        </w:tc>
      </w:tr>
      <w:tr w14:paraId="4086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02" w:type="dxa"/>
            <w:gridSpan w:val="9"/>
            <w:noWrap w:val="0"/>
            <w:vAlign w:val="center"/>
          </w:tcPr>
          <w:p w14:paraId="3C923ED1">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合计人民币金额（大写）：</w:t>
            </w:r>
          </w:p>
        </w:tc>
      </w:tr>
      <w:tr w14:paraId="45D3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2" w:type="dxa"/>
            <w:gridSpan w:val="9"/>
            <w:noWrap w:val="0"/>
            <w:vAlign w:val="center"/>
          </w:tcPr>
          <w:p w14:paraId="793C273E">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备注：1. 若渠道合同，注明合同有效期（具体时间）。</w:t>
            </w:r>
          </w:p>
          <w:p w14:paraId="3BE78243">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 xml:space="preserve">      2. 若有配套耗材或易损件，请在附件：配套耗材或易损件明细表填写。</w:t>
            </w:r>
          </w:p>
          <w:p w14:paraId="6DCD4F64">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 xml:space="preserve">      3.</w:t>
            </w:r>
          </w:p>
          <w:p w14:paraId="7C91D86D">
            <w:pPr>
              <w:adjustRightInd w:val="0"/>
              <w:snapToGrid w:val="0"/>
              <w:ind w:firstLine="720" w:firstLineChars="300"/>
              <w:rPr>
                <w:rFonts w:hint="eastAsia" w:ascii="宋体" w:hAnsi="宋体" w:cs="宋体"/>
                <w:color w:val="auto"/>
                <w:sz w:val="24"/>
                <w:highlight w:val="none"/>
              </w:rPr>
            </w:pPr>
            <w:r>
              <w:rPr>
                <w:rFonts w:hint="eastAsia" w:ascii="宋体" w:hAnsi="宋体" w:cs="宋体"/>
                <w:color w:val="auto"/>
                <w:sz w:val="24"/>
                <w:highlight w:val="none"/>
              </w:rPr>
              <w:t>4.</w:t>
            </w:r>
          </w:p>
        </w:tc>
      </w:tr>
    </w:tbl>
    <w:p w14:paraId="583DEE6D">
      <w:pPr>
        <w:spacing w:line="30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附件：配套耗材或易损件明细表                                  （单位：元）</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1984"/>
        <w:gridCol w:w="1491"/>
        <w:gridCol w:w="777"/>
        <w:gridCol w:w="709"/>
        <w:gridCol w:w="1073"/>
        <w:gridCol w:w="992"/>
      </w:tblGrid>
      <w:tr w14:paraId="1631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7CC79A0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984" w:type="dxa"/>
            <w:noWrap w:val="0"/>
            <w:vAlign w:val="center"/>
          </w:tcPr>
          <w:p w14:paraId="7D81A13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生产厂家、品牌</w:t>
            </w:r>
          </w:p>
        </w:tc>
        <w:tc>
          <w:tcPr>
            <w:tcW w:w="1491" w:type="dxa"/>
            <w:noWrap w:val="0"/>
            <w:vAlign w:val="center"/>
          </w:tcPr>
          <w:p w14:paraId="7D3BEDD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777" w:type="dxa"/>
            <w:noWrap w:val="0"/>
            <w:vAlign w:val="center"/>
          </w:tcPr>
          <w:p w14:paraId="3B315DC0">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709" w:type="dxa"/>
            <w:noWrap w:val="0"/>
            <w:vAlign w:val="center"/>
          </w:tcPr>
          <w:p w14:paraId="5A664F2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1073" w:type="dxa"/>
            <w:noWrap w:val="0"/>
            <w:vAlign w:val="center"/>
          </w:tcPr>
          <w:p w14:paraId="6753782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992" w:type="dxa"/>
            <w:noWrap w:val="0"/>
            <w:vAlign w:val="center"/>
          </w:tcPr>
          <w:p w14:paraId="42CF06E5">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金额</w:t>
            </w:r>
          </w:p>
        </w:tc>
      </w:tr>
      <w:tr w14:paraId="7B4D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3C89554C">
            <w:pPr>
              <w:adjustRightInd w:val="0"/>
              <w:snapToGrid w:val="0"/>
              <w:jc w:val="center"/>
              <w:rPr>
                <w:rFonts w:hint="eastAsia" w:ascii="宋体" w:hAnsi="宋体" w:cs="宋体"/>
                <w:color w:val="auto"/>
                <w:sz w:val="24"/>
                <w:highlight w:val="none"/>
              </w:rPr>
            </w:pPr>
          </w:p>
        </w:tc>
        <w:tc>
          <w:tcPr>
            <w:tcW w:w="1984" w:type="dxa"/>
            <w:noWrap w:val="0"/>
            <w:vAlign w:val="center"/>
          </w:tcPr>
          <w:p w14:paraId="63A4A4E7">
            <w:pPr>
              <w:adjustRightInd w:val="0"/>
              <w:snapToGrid w:val="0"/>
              <w:rPr>
                <w:rFonts w:hint="eastAsia" w:ascii="宋体" w:hAnsi="宋体" w:cs="宋体"/>
                <w:color w:val="auto"/>
                <w:sz w:val="24"/>
                <w:highlight w:val="none"/>
              </w:rPr>
            </w:pPr>
          </w:p>
        </w:tc>
        <w:tc>
          <w:tcPr>
            <w:tcW w:w="1491" w:type="dxa"/>
            <w:noWrap w:val="0"/>
            <w:vAlign w:val="center"/>
          </w:tcPr>
          <w:p w14:paraId="2FE245CF">
            <w:pPr>
              <w:adjustRightInd w:val="0"/>
              <w:snapToGrid w:val="0"/>
              <w:rPr>
                <w:rFonts w:hint="eastAsia" w:ascii="宋体" w:hAnsi="宋体" w:cs="宋体"/>
                <w:color w:val="auto"/>
                <w:sz w:val="24"/>
                <w:highlight w:val="none"/>
              </w:rPr>
            </w:pPr>
          </w:p>
        </w:tc>
        <w:tc>
          <w:tcPr>
            <w:tcW w:w="777" w:type="dxa"/>
            <w:noWrap w:val="0"/>
            <w:vAlign w:val="center"/>
          </w:tcPr>
          <w:p w14:paraId="2A1EF07D">
            <w:pPr>
              <w:adjustRightInd w:val="0"/>
              <w:snapToGrid w:val="0"/>
              <w:jc w:val="center"/>
              <w:rPr>
                <w:rFonts w:hint="eastAsia" w:ascii="宋体" w:hAnsi="宋体" w:cs="宋体"/>
                <w:color w:val="auto"/>
                <w:sz w:val="24"/>
                <w:highlight w:val="none"/>
              </w:rPr>
            </w:pPr>
          </w:p>
        </w:tc>
        <w:tc>
          <w:tcPr>
            <w:tcW w:w="709" w:type="dxa"/>
            <w:noWrap w:val="0"/>
            <w:vAlign w:val="center"/>
          </w:tcPr>
          <w:p w14:paraId="46A77EBE">
            <w:pPr>
              <w:adjustRightInd w:val="0"/>
              <w:snapToGrid w:val="0"/>
              <w:ind w:left="120" w:hanging="120" w:hangingChars="50"/>
              <w:rPr>
                <w:rFonts w:hint="eastAsia" w:ascii="宋体" w:hAnsi="宋体" w:cs="宋体"/>
                <w:color w:val="auto"/>
                <w:sz w:val="24"/>
                <w:highlight w:val="none"/>
              </w:rPr>
            </w:pPr>
          </w:p>
        </w:tc>
        <w:tc>
          <w:tcPr>
            <w:tcW w:w="1073" w:type="dxa"/>
            <w:noWrap w:val="0"/>
            <w:vAlign w:val="center"/>
          </w:tcPr>
          <w:p w14:paraId="36DD4943">
            <w:pPr>
              <w:adjustRightInd w:val="0"/>
              <w:snapToGrid w:val="0"/>
              <w:jc w:val="center"/>
              <w:rPr>
                <w:rFonts w:hint="eastAsia" w:ascii="宋体" w:hAnsi="宋体" w:cs="宋体"/>
                <w:color w:val="auto"/>
                <w:sz w:val="24"/>
                <w:highlight w:val="none"/>
              </w:rPr>
            </w:pPr>
          </w:p>
        </w:tc>
        <w:tc>
          <w:tcPr>
            <w:tcW w:w="992" w:type="dxa"/>
            <w:noWrap w:val="0"/>
            <w:vAlign w:val="center"/>
          </w:tcPr>
          <w:p w14:paraId="3E510FDD">
            <w:pPr>
              <w:adjustRightInd w:val="0"/>
              <w:snapToGrid w:val="0"/>
              <w:rPr>
                <w:rFonts w:hint="eastAsia" w:ascii="宋体" w:hAnsi="宋体" w:cs="宋体"/>
                <w:color w:val="auto"/>
                <w:sz w:val="24"/>
                <w:highlight w:val="none"/>
              </w:rPr>
            </w:pPr>
          </w:p>
        </w:tc>
      </w:tr>
      <w:tr w14:paraId="7DE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74DEB472">
            <w:pPr>
              <w:adjustRightInd w:val="0"/>
              <w:snapToGrid w:val="0"/>
              <w:jc w:val="center"/>
              <w:rPr>
                <w:rFonts w:hint="eastAsia" w:ascii="宋体" w:hAnsi="宋体" w:cs="宋体"/>
                <w:color w:val="auto"/>
                <w:sz w:val="24"/>
                <w:highlight w:val="none"/>
              </w:rPr>
            </w:pPr>
          </w:p>
        </w:tc>
        <w:tc>
          <w:tcPr>
            <w:tcW w:w="1984" w:type="dxa"/>
            <w:noWrap w:val="0"/>
            <w:vAlign w:val="center"/>
          </w:tcPr>
          <w:p w14:paraId="3002985C">
            <w:pPr>
              <w:adjustRightInd w:val="0"/>
              <w:snapToGrid w:val="0"/>
              <w:rPr>
                <w:rFonts w:hint="eastAsia" w:ascii="宋体" w:hAnsi="宋体" w:cs="宋体"/>
                <w:color w:val="auto"/>
                <w:sz w:val="24"/>
                <w:highlight w:val="none"/>
              </w:rPr>
            </w:pPr>
          </w:p>
        </w:tc>
        <w:tc>
          <w:tcPr>
            <w:tcW w:w="1491" w:type="dxa"/>
            <w:noWrap w:val="0"/>
            <w:vAlign w:val="center"/>
          </w:tcPr>
          <w:p w14:paraId="077F37D9">
            <w:pPr>
              <w:adjustRightInd w:val="0"/>
              <w:snapToGrid w:val="0"/>
              <w:rPr>
                <w:rFonts w:hint="eastAsia" w:ascii="宋体" w:hAnsi="宋体" w:cs="宋体"/>
                <w:color w:val="auto"/>
                <w:sz w:val="24"/>
                <w:highlight w:val="none"/>
              </w:rPr>
            </w:pPr>
          </w:p>
        </w:tc>
        <w:tc>
          <w:tcPr>
            <w:tcW w:w="777" w:type="dxa"/>
            <w:noWrap w:val="0"/>
            <w:vAlign w:val="center"/>
          </w:tcPr>
          <w:p w14:paraId="50568A31">
            <w:pPr>
              <w:adjustRightInd w:val="0"/>
              <w:snapToGrid w:val="0"/>
              <w:jc w:val="center"/>
              <w:rPr>
                <w:rFonts w:hint="eastAsia" w:ascii="宋体" w:hAnsi="宋体" w:cs="宋体"/>
                <w:color w:val="auto"/>
                <w:sz w:val="24"/>
                <w:highlight w:val="none"/>
              </w:rPr>
            </w:pPr>
          </w:p>
        </w:tc>
        <w:tc>
          <w:tcPr>
            <w:tcW w:w="709" w:type="dxa"/>
            <w:noWrap w:val="0"/>
            <w:vAlign w:val="center"/>
          </w:tcPr>
          <w:p w14:paraId="108BDC8D">
            <w:pPr>
              <w:adjustRightInd w:val="0"/>
              <w:snapToGrid w:val="0"/>
              <w:ind w:left="120" w:hanging="120" w:hangingChars="50"/>
              <w:rPr>
                <w:rFonts w:hint="eastAsia" w:ascii="宋体" w:hAnsi="宋体" w:cs="宋体"/>
                <w:color w:val="auto"/>
                <w:sz w:val="24"/>
                <w:highlight w:val="none"/>
              </w:rPr>
            </w:pPr>
          </w:p>
        </w:tc>
        <w:tc>
          <w:tcPr>
            <w:tcW w:w="1073" w:type="dxa"/>
            <w:noWrap w:val="0"/>
            <w:vAlign w:val="center"/>
          </w:tcPr>
          <w:p w14:paraId="46FBDE10">
            <w:pPr>
              <w:adjustRightInd w:val="0"/>
              <w:snapToGrid w:val="0"/>
              <w:jc w:val="center"/>
              <w:rPr>
                <w:rFonts w:hint="eastAsia" w:ascii="宋体" w:hAnsi="宋体" w:cs="宋体"/>
                <w:color w:val="auto"/>
                <w:sz w:val="24"/>
                <w:highlight w:val="none"/>
              </w:rPr>
            </w:pPr>
          </w:p>
        </w:tc>
        <w:tc>
          <w:tcPr>
            <w:tcW w:w="992" w:type="dxa"/>
            <w:noWrap w:val="0"/>
            <w:vAlign w:val="center"/>
          </w:tcPr>
          <w:p w14:paraId="234EB0C8">
            <w:pPr>
              <w:adjustRightInd w:val="0"/>
              <w:snapToGrid w:val="0"/>
              <w:rPr>
                <w:rFonts w:hint="eastAsia" w:ascii="宋体" w:hAnsi="宋体" w:cs="宋体"/>
                <w:color w:val="auto"/>
                <w:sz w:val="24"/>
                <w:highlight w:val="none"/>
              </w:rPr>
            </w:pPr>
          </w:p>
        </w:tc>
      </w:tr>
      <w:tr w14:paraId="347C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66013ADE">
            <w:pPr>
              <w:adjustRightInd w:val="0"/>
              <w:snapToGrid w:val="0"/>
              <w:jc w:val="center"/>
              <w:rPr>
                <w:rFonts w:hint="eastAsia" w:ascii="宋体" w:hAnsi="宋体" w:cs="宋体"/>
                <w:color w:val="auto"/>
                <w:sz w:val="24"/>
                <w:highlight w:val="none"/>
              </w:rPr>
            </w:pPr>
          </w:p>
        </w:tc>
        <w:tc>
          <w:tcPr>
            <w:tcW w:w="1984" w:type="dxa"/>
            <w:noWrap w:val="0"/>
            <w:vAlign w:val="center"/>
          </w:tcPr>
          <w:p w14:paraId="73BBE7DB">
            <w:pPr>
              <w:adjustRightInd w:val="0"/>
              <w:snapToGrid w:val="0"/>
              <w:rPr>
                <w:rFonts w:hint="eastAsia" w:ascii="宋体" w:hAnsi="宋体" w:cs="宋体"/>
                <w:color w:val="auto"/>
                <w:sz w:val="24"/>
                <w:highlight w:val="none"/>
              </w:rPr>
            </w:pPr>
          </w:p>
        </w:tc>
        <w:tc>
          <w:tcPr>
            <w:tcW w:w="1491" w:type="dxa"/>
            <w:noWrap w:val="0"/>
            <w:vAlign w:val="center"/>
          </w:tcPr>
          <w:p w14:paraId="12812A4A">
            <w:pPr>
              <w:adjustRightInd w:val="0"/>
              <w:snapToGrid w:val="0"/>
              <w:rPr>
                <w:rFonts w:hint="eastAsia" w:ascii="宋体" w:hAnsi="宋体" w:cs="宋体"/>
                <w:color w:val="auto"/>
                <w:sz w:val="24"/>
                <w:highlight w:val="none"/>
              </w:rPr>
            </w:pPr>
          </w:p>
        </w:tc>
        <w:tc>
          <w:tcPr>
            <w:tcW w:w="777" w:type="dxa"/>
            <w:noWrap w:val="0"/>
            <w:vAlign w:val="center"/>
          </w:tcPr>
          <w:p w14:paraId="5693299E">
            <w:pPr>
              <w:adjustRightInd w:val="0"/>
              <w:snapToGrid w:val="0"/>
              <w:jc w:val="center"/>
              <w:rPr>
                <w:rFonts w:hint="eastAsia" w:ascii="宋体" w:hAnsi="宋体" w:cs="宋体"/>
                <w:color w:val="auto"/>
                <w:sz w:val="24"/>
                <w:highlight w:val="none"/>
              </w:rPr>
            </w:pPr>
          </w:p>
        </w:tc>
        <w:tc>
          <w:tcPr>
            <w:tcW w:w="709" w:type="dxa"/>
            <w:noWrap w:val="0"/>
            <w:vAlign w:val="center"/>
          </w:tcPr>
          <w:p w14:paraId="42EE5DB3">
            <w:pPr>
              <w:adjustRightInd w:val="0"/>
              <w:snapToGrid w:val="0"/>
              <w:ind w:left="120" w:hanging="120" w:hangingChars="50"/>
              <w:rPr>
                <w:rFonts w:hint="eastAsia" w:ascii="宋体" w:hAnsi="宋体" w:cs="宋体"/>
                <w:color w:val="auto"/>
                <w:sz w:val="24"/>
                <w:highlight w:val="none"/>
              </w:rPr>
            </w:pPr>
          </w:p>
        </w:tc>
        <w:tc>
          <w:tcPr>
            <w:tcW w:w="1073" w:type="dxa"/>
            <w:noWrap w:val="0"/>
            <w:vAlign w:val="center"/>
          </w:tcPr>
          <w:p w14:paraId="29640A23">
            <w:pPr>
              <w:adjustRightInd w:val="0"/>
              <w:snapToGrid w:val="0"/>
              <w:jc w:val="center"/>
              <w:rPr>
                <w:rFonts w:hint="eastAsia" w:ascii="宋体" w:hAnsi="宋体" w:cs="宋体"/>
                <w:color w:val="auto"/>
                <w:sz w:val="24"/>
                <w:highlight w:val="none"/>
              </w:rPr>
            </w:pPr>
          </w:p>
        </w:tc>
        <w:tc>
          <w:tcPr>
            <w:tcW w:w="992" w:type="dxa"/>
            <w:noWrap w:val="0"/>
            <w:vAlign w:val="center"/>
          </w:tcPr>
          <w:p w14:paraId="6BCECC6A">
            <w:pPr>
              <w:adjustRightInd w:val="0"/>
              <w:snapToGrid w:val="0"/>
              <w:rPr>
                <w:rFonts w:hint="eastAsia" w:ascii="宋体" w:hAnsi="宋体" w:cs="宋体"/>
                <w:color w:val="auto"/>
                <w:sz w:val="24"/>
                <w:highlight w:val="none"/>
              </w:rPr>
            </w:pPr>
          </w:p>
        </w:tc>
      </w:tr>
      <w:tr w14:paraId="1FCA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7" w:type="dxa"/>
            <w:gridSpan w:val="7"/>
            <w:noWrap w:val="0"/>
            <w:vAlign w:val="center"/>
          </w:tcPr>
          <w:p w14:paraId="2B3E5F4B">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备注:有效期至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tc>
      </w:tr>
    </w:tbl>
    <w:p w14:paraId="23ABF3D0">
      <w:pPr>
        <w:spacing w:line="360" w:lineRule="auto"/>
        <w:ind w:firstLine="437"/>
        <w:outlineLvl w:val="2"/>
        <w:rPr>
          <w:rFonts w:ascii="宋体" w:hAnsi="宋体"/>
          <w:b/>
          <w:bCs/>
          <w:color w:val="auto"/>
          <w:sz w:val="24"/>
          <w:highlight w:val="none"/>
          <w:lang w:val="zh-CN"/>
        </w:rPr>
      </w:pPr>
      <w:r>
        <w:rPr>
          <w:rFonts w:hint="eastAsia" w:ascii="宋体" w:hAnsi="宋体"/>
          <w:b/>
          <w:bCs/>
          <w:color w:val="auto"/>
          <w:sz w:val="24"/>
          <w:highlight w:val="none"/>
          <w:lang w:val="zh-CN"/>
        </w:rPr>
        <w:t>1.</w:t>
      </w:r>
      <w:r>
        <w:rPr>
          <w:rFonts w:ascii="宋体" w:hAnsi="宋体"/>
          <w:b/>
          <w:bCs/>
          <w:color w:val="auto"/>
          <w:sz w:val="24"/>
          <w:highlight w:val="none"/>
          <w:lang w:val="zh-CN"/>
        </w:rPr>
        <w:t xml:space="preserve">3 </w:t>
      </w:r>
      <w:r>
        <w:rPr>
          <w:rFonts w:hint="eastAsia" w:ascii="宋体" w:hAnsi="宋体"/>
          <w:b/>
          <w:bCs/>
          <w:color w:val="auto"/>
          <w:sz w:val="24"/>
          <w:highlight w:val="none"/>
          <w:lang w:val="zh-CN"/>
        </w:rPr>
        <w:t>价款</w:t>
      </w:r>
      <w:bookmarkEnd w:id="855"/>
      <w:bookmarkEnd w:id="856"/>
      <w:bookmarkEnd w:id="857"/>
    </w:p>
    <w:p w14:paraId="68C6625C">
      <w:pPr>
        <w:spacing w:line="360" w:lineRule="auto"/>
        <w:ind w:firstLine="435"/>
        <w:rPr>
          <w:rFonts w:ascii="宋体" w:hAnsi="宋体"/>
          <w:color w:val="auto"/>
          <w:sz w:val="24"/>
          <w:highlight w:val="none"/>
        </w:rPr>
      </w:pPr>
      <w:r>
        <w:rPr>
          <w:rFonts w:ascii="宋体" w:hAnsi="宋体"/>
          <w:color w:val="auto"/>
          <w:sz w:val="24"/>
          <w:highlight w:val="none"/>
        </w:rPr>
        <w:t>本合同总价为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（大写：人民币</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ascii="宋体" w:hAnsi="宋体"/>
          <w:color w:val="auto"/>
          <w:sz w:val="24"/>
          <w:highlight w:val="none"/>
        </w:rPr>
        <w:t>。</w:t>
      </w:r>
    </w:p>
    <w:p w14:paraId="414D8D5B">
      <w:pPr>
        <w:spacing w:line="360" w:lineRule="auto"/>
        <w:ind w:firstLine="435"/>
        <w:rPr>
          <w:rFonts w:ascii="宋体" w:hAnsi="宋体"/>
          <w:color w:val="auto"/>
          <w:sz w:val="24"/>
          <w:highlight w:val="none"/>
          <w:u w:val="single"/>
        </w:rPr>
      </w:pPr>
      <w:r>
        <w:rPr>
          <w:rFonts w:ascii="宋体" w:hAnsi="宋体"/>
          <w:color w:val="auto"/>
          <w:sz w:val="24"/>
          <w:highlight w:val="none"/>
        </w:rPr>
        <w:t>分项价格：</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06E5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06B843BB">
            <w:pPr>
              <w:jc w:val="center"/>
              <w:rPr>
                <w:rFonts w:ascii="宋体" w:hAnsi="宋体"/>
                <w:color w:val="auto"/>
                <w:sz w:val="24"/>
                <w:highlight w:val="none"/>
                <w:lang w:val="zh-CN"/>
              </w:rPr>
            </w:pPr>
            <w:r>
              <w:rPr>
                <w:rFonts w:ascii="宋体" w:hAnsi="宋体"/>
                <w:color w:val="auto"/>
                <w:sz w:val="24"/>
                <w:highlight w:val="none"/>
                <w:lang w:val="zh-CN"/>
              </w:rPr>
              <w:t>序号</w:t>
            </w:r>
          </w:p>
        </w:tc>
        <w:tc>
          <w:tcPr>
            <w:tcW w:w="4316" w:type="dxa"/>
            <w:noWrap w:val="0"/>
            <w:vAlign w:val="center"/>
          </w:tcPr>
          <w:p w14:paraId="28648E9D">
            <w:pPr>
              <w:ind w:firstLine="200"/>
              <w:jc w:val="center"/>
              <w:rPr>
                <w:rFonts w:ascii="宋体" w:hAnsi="宋体"/>
                <w:color w:val="auto"/>
                <w:sz w:val="24"/>
                <w:highlight w:val="none"/>
              </w:rPr>
            </w:pPr>
            <w:r>
              <w:rPr>
                <w:rFonts w:hint="eastAsia" w:ascii="宋体" w:hAnsi="宋体"/>
                <w:color w:val="auto"/>
                <w:sz w:val="24"/>
                <w:highlight w:val="none"/>
              </w:rPr>
              <w:t>分项名称</w:t>
            </w:r>
          </w:p>
        </w:tc>
        <w:tc>
          <w:tcPr>
            <w:tcW w:w="3237" w:type="dxa"/>
            <w:gridSpan w:val="2"/>
            <w:noWrap w:val="0"/>
            <w:vAlign w:val="center"/>
          </w:tcPr>
          <w:p w14:paraId="64BE54B9">
            <w:pPr>
              <w:jc w:val="center"/>
              <w:rPr>
                <w:rFonts w:ascii="宋体" w:hAnsi="宋体"/>
                <w:color w:val="auto"/>
                <w:sz w:val="24"/>
                <w:highlight w:val="none"/>
              </w:rPr>
            </w:pPr>
            <w:r>
              <w:rPr>
                <w:rFonts w:ascii="宋体" w:hAnsi="宋体"/>
                <w:color w:val="auto"/>
                <w:sz w:val="24"/>
                <w:highlight w:val="none"/>
              </w:rPr>
              <w:t>分项价格</w:t>
            </w:r>
          </w:p>
        </w:tc>
      </w:tr>
      <w:tr w14:paraId="7131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6D52C09A">
            <w:pPr>
              <w:jc w:val="center"/>
              <w:rPr>
                <w:rFonts w:ascii="宋体" w:hAnsi="宋体"/>
                <w:color w:val="auto"/>
                <w:sz w:val="24"/>
                <w:highlight w:val="none"/>
                <w:lang w:val="zh-CN"/>
              </w:rPr>
            </w:pPr>
            <w:r>
              <w:rPr>
                <w:rFonts w:hint="eastAsia" w:ascii="宋体" w:hAnsi="宋体"/>
                <w:color w:val="auto"/>
                <w:sz w:val="24"/>
                <w:highlight w:val="none"/>
                <w:lang w:val="zh-CN"/>
              </w:rPr>
              <w:t>1</w:t>
            </w:r>
          </w:p>
        </w:tc>
        <w:tc>
          <w:tcPr>
            <w:tcW w:w="4316" w:type="dxa"/>
            <w:noWrap w:val="0"/>
            <w:vAlign w:val="center"/>
          </w:tcPr>
          <w:p w14:paraId="5A676357">
            <w:pPr>
              <w:ind w:firstLine="200"/>
              <w:jc w:val="center"/>
              <w:rPr>
                <w:rFonts w:ascii="宋体" w:hAnsi="宋体"/>
                <w:color w:val="auto"/>
                <w:sz w:val="24"/>
                <w:highlight w:val="none"/>
              </w:rPr>
            </w:pPr>
          </w:p>
        </w:tc>
        <w:tc>
          <w:tcPr>
            <w:tcW w:w="3237" w:type="dxa"/>
            <w:gridSpan w:val="2"/>
            <w:noWrap w:val="0"/>
            <w:vAlign w:val="center"/>
          </w:tcPr>
          <w:p w14:paraId="6917D618">
            <w:pPr>
              <w:ind w:firstLine="200"/>
              <w:jc w:val="center"/>
              <w:rPr>
                <w:rFonts w:ascii="宋体" w:hAnsi="宋体"/>
                <w:color w:val="auto"/>
                <w:sz w:val="24"/>
                <w:highlight w:val="none"/>
              </w:rPr>
            </w:pPr>
          </w:p>
        </w:tc>
      </w:tr>
      <w:tr w14:paraId="6479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182FF71">
            <w:pPr>
              <w:jc w:val="center"/>
              <w:rPr>
                <w:rFonts w:ascii="宋体" w:hAnsi="宋体"/>
                <w:color w:val="auto"/>
                <w:sz w:val="24"/>
                <w:highlight w:val="none"/>
                <w:lang w:val="zh-CN"/>
              </w:rPr>
            </w:pPr>
            <w:r>
              <w:rPr>
                <w:rFonts w:hint="eastAsia" w:ascii="宋体" w:hAnsi="宋体"/>
                <w:color w:val="auto"/>
                <w:sz w:val="24"/>
                <w:highlight w:val="none"/>
                <w:lang w:val="zh-CN"/>
              </w:rPr>
              <w:t>2</w:t>
            </w:r>
          </w:p>
        </w:tc>
        <w:tc>
          <w:tcPr>
            <w:tcW w:w="4316" w:type="dxa"/>
            <w:noWrap w:val="0"/>
            <w:vAlign w:val="center"/>
          </w:tcPr>
          <w:p w14:paraId="6BA58DC8">
            <w:pPr>
              <w:ind w:firstLine="200"/>
              <w:jc w:val="center"/>
              <w:rPr>
                <w:rFonts w:ascii="宋体" w:hAnsi="宋体"/>
                <w:color w:val="auto"/>
                <w:sz w:val="24"/>
                <w:highlight w:val="none"/>
              </w:rPr>
            </w:pPr>
          </w:p>
        </w:tc>
        <w:tc>
          <w:tcPr>
            <w:tcW w:w="3237" w:type="dxa"/>
            <w:gridSpan w:val="2"/>
            <w:noWrap w:val="0"/>
            <w:vAlign w:val="center"/>
          </w:tcPr>
          <w:p w14:paraId="0AC1D7F9">
            <w:pPr>
              <w:ind w:firstLine="200"/>
              <w:jc w:val="center"/>
              <w:rPr>
                <w:rFonts w:ascii="宋体" w:hAnsi="宋体"/>
                <w:color w:val="auto"/>
                <w:sz w:val="24"/>
                <w:highlight w:val="none"/>
              </w:rPr>
            </w:pPr>
          </w:p>
        </w:tc>
      </w:tr>
      <w:tr w14:paraId="3966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E85AFFA">
            <w:pPr>
              <w:jc w:val="center"/>
              <w:rPr>
                <w:rFonts w:ascii="宋体" w:hAnsi="宋体"/>
                <w:color w:val="auto"/>
                <w:sz w:val="24"/>
                <w:highlight w:val="none"/>
                <w:lang w:val="zh-CN"/>
              </w:rPr>
            </w:pPr>
            <w:r>
              <w:rPr>
                <w:rFonts w:ascii="宋体" w:hAnsi="宋体"/>
                <w:color w:val="auto"/>
                <w:sz w:val="24"/>
                <w:highlight w:val="none"/>
                <w:lang w:val="zh-CN"/>
              </w:rPr>
              <w:t>3</w:t>
            </w:r>
          </w:p>
        </w:tc>
        <w:tc>
          <w:tcPr>
            <w:tcW w:w="4316" w:type="dxa"/>
            <w:noWrap w:val="0"/>
            <w:vAlign w:val="center"/>
          </w:tcPr>
          <w:p w14:paraId="21CAF53F">
            <w:pPr>
              <w:ind w:firstLine="200"/>
              <w:jc w:val="center"/>
              <w:rPr>
                <w:rFonts w:ascii="宋体" w:hAnsi="宋体"/>
                <w:color w:val="auto"/>
                <w:sz w:val="24"/>
                <w:highlight w:val="none"/>
              </w:rPr>
            </w:pPr>
          </w:p>
        </w:tc>
        <w:tc>
          <w:tcPr>
            <w:tcW w:w="3237" w:type="dxa"/>
            <w:gridSpan w:val="2"/>
            <w:noWrap w:val="0"/>
            <w:vAlign w:val="center"/>
          </w:tcPr>
          <w:p w14:paraId="1486062A">
            <w:pPr>
              <w:ind w:firstLine="200"/>
              <w:jc w:val="center"/>
              <w:rPr>
                <w:rFonts w:ascii="宋体" w:hAnsi="宋体"/>
                <w:color w:val="auto"/>
                <w:sz w:val="24"/>
                <w:highlight w:val="none"/>
              </w:rPr>
            </w:pPr>
          </w:p>
        </w:tc>
      </w:tr>
      <w:tr w14:paraId="7225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23C5342">
            <w:pPr>
              <w:jc w:val="center"/>
              <w:rPr>
                <w:rFonts w:ascii="宋体" w:hAnsi="宋体"/>
                <w:color w:val="auto"/>
                <w:sz w:val="24"/>
                <w:highlight w:val="none"/>
                <w:lang w:val="zh-CN"/>
              </w:rPr>
            </w:pPr>
            <w:r>
              <w:rPr>
                <w:rFonts w:hint="eastAsia" w:ascii="宋体" w:hAnsi="宋体"/>
                <w:color w:val="auto"/>
                <w:sz w:val="24"/>
                <w:highlight w:val="none"/>
                <w:lang w:val="zh-CN"/>
              </w:rPr>
              <w:t>……</w:t>
            </w:r>
          </w:p>
        </w:tc>
        <w:tc>
          <w:tcPr>
            <w:tcW w:w="4316" w:type="dxa"/>
            <w:noWrap w:val="0"/>
            <w:vAlign w:val="center"/>
          </w:tcPr>
          <w:p w14:paraId="10BEB478">
            <w:pPr>
              <w:ind w:firstLine="200"/>
              <w:jc w:val="center"/>
              <w:rPr>
                <w:rFonts w:ascii="宋体" w:hAnsi="宋体"/>
                <w:color w:val="auto"/>
                <w:sz w:val="24"/>
                <w:highlight w:val="none"/>
              </w:rPr>
            </w:pPr>
          </w:p>
        </w:tc>
        <w:tc>
          <w:tcPr>
            <w:tcW w:w="3237" w:type="dxa"/>
            <w:gridSpan w:val="2"/>
            <w:noWrap w:val="0"/>
            <w:vAlign w:val="center"/>
          </w:tcPr>
          <w:p w14:paraId="170737B5">
            <w:pPr>
              <w:ind w:firstLine="200"/>
              <w:jc w:val="center"/>
              <w:rPr>
                <w:rFonts w:ascii="宋体" w:hAnsi="宋体"/>
                <w:color w:val="auto"/>
                <w:sz w:val="24"/>
                <w:highlight w:val="none"/>
              </w:rPr>
            </w:pPr>
          </w:p>
        </w:tc>
      </w:tr>
      <w:tr w14:paraId="2AF9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3B4C9424">
            <w:pPr>
              <w:ind w:firstLine="200"/>
              <w:jc w:val="center"/>
              <w:rPr>
                <w:rFonts w:ascii="宋体" w:hAnsi="宋体"/>
                <w:color w:val="auto"/>
                <w:sz w:val="24"/>
                <w:highlight w:val="none"/>
              </w:rPr>
            </w:pPr>
            <w:r>
              <w:rPr>
                <w:rFonts w:hint="eastAsia" w:ascii="宋体" w:hAnsi="宋体"/>
                <w:color w:val="auto"/>
                <w:sz w:val="24"/>
                <w:highlight w:val="none"/>
              </w:rPr>
              <w:t>总价</w:t>
            </w:r>
          </w:p>
        </w:tc>
        <w:tc>
          <w:tcPr>
            <w:tcW w:w="3237" w:type="dxa"/>
            <w:gridSpan w:val="2"/>
            <w:noWrap w:val="0"/>
            <w:vAlign w:val="center"/>
          </w:tcPr>
          <w:p w14:paraId="4A7758DF">
            <w:pPr>
              <w:ind w:firstLine="200"/>
              <w:jc w:val="center"/>
              <w:rPr>
                <w:rFonts w:ascii="宋体" w:hAnsi="宋体"/>
                <w:color w:val="auto"/>
                <w:sz w:val="24"/>
                <w:highlight w:val="none"/>
              </w:rPr>
            </w:pPr>
          </w:p>
        </w:tc>
      </w:tr>
    </w:tbl>
    <w:p w14:paraId="462E8707">
      <w:pPr>
        <w:spacing w:line="360" w:lineRule="auto"/>
        <w:ind w:firstLine="437"/>
        <w:outlineLvl w:val="2"/>
        <w:rPr>
          <w:rFonts w:ascii="宋体" w:hAnsi="宋体"/>
          <w:b/>
          <w:bCs/>
          <w:color w:val="auto"/>
          <w:sz w:val="24"/>
          <w:highlight w:val="none"/>
          <w:lang w:val="zh-CN"/>
        </w:rPr>
      </w:pPr>
      <w:bookmarkStart w:id="858" w:name="_Toc10340"/>
      <w:bookmarkStart w:id="859" w:name="_Toc1814"/>
      <w:bookmarkStart w:id="860" w:name="_Toc22618"/>
      <w:r>
        <w:rPr>
          <w:rFonts w:hint="eastAsia" w:ascii="宋体" w:hAnsi="宋体"/>
          <w:b/>
          <w:bCs/>
          <w:color w:val="auto"/>
          <w:sz w:val="24"/>
          <w:highlight w:val="none"/>
          <w:lang w:val="zh-CN"/>
        </w:rPr>
        <w:t>1.</w:t>
      </w:r>
      <w:r>
        <w:rPr>
          <w:rFonts w:ascii="宋体" w:hAnsi="宋体"/>
          <w:b/>
          <w:bCs/>
          <w:color w:val="auto"/>
          <w:sz w:val="24"/>
          <w:highlight w:val="none"/>
          <w:lang w:val="zh-CN"/>
        </w:rPr>
        <w:t>4 付款方式和发票开具方式</w:t>
      </w:r>
      <w:bookmarkEnd w:id="858"/>
      <w:bookmarkEnd w:id="859"/>
      <w:bookmarkEnd w:id="860"/>
    </w:p>
    <w:p w14:paraId="0845ED6A">
      <w:pPr>
        <w:spacing w:line="360" w:lineRule="auto"/>
        <w:ind w:firstLine="435"/>
        <w:rPr>
          <w:rFonts w:ascii="宋体" w:hAnsi="宋体"/>
          <w:color w:val="auto"/>
          <w:sz w:val="24"/>
          <w:highlight w:val="none"/>
        </w:rPr>
      </w:pPr>
      <w:r>
        <w:rPr>
          <w:rFonts w:hint="eastAsia" w:ascii="宋体" w:hAnsi="宋体"/>
          <w:color w:val="auto"/>
          <w:sz w:val="24"/>
          <w:highlight w:val="none"/>
        </w:rPr>
        <w:t>1.4.1</w:t>
      </w:r>
      <w:r>
        <w:rPr>
          <w:rFonts w:ascii="宋体" w:hAnsi="宋体"/>
          <w:color w:val="auto"/>
          <w:sz w:val="24"/>
          <w:highlight w:val="none"/>
        </w:rPr>
        <w:t>付款方式：</w:t>
      </w:r>
    </w:p>
    <w:p w14:paraId="1C185897">
      <w:pPr>
        <w:spacing w:line="360" w:lineRule="auto"/>
        <w:ind w:firstLine="435"/>
        <w:rPr>
          <w:rFonts w:hint="eastAsia" w:ascii="宋体" w:hAnsi="宋体"/>
          <w:color w:val="auto"/>
          <w:sz w:val="24"/>
          <w:highlight w:val="none"/>
          <w:u w:val="single"/>
        </w:rPr>
      </w:pPr>
      <w:r>
        <w:rPr>
          <w:rFonts w:hint="eastAsia" w:ascii="宋体" w:hAnsi="宋体"/>
          <w:color w:val="auto"/>
          <w:sz w:val="24"/>
          <w:highlight w:val="none"/>
          <w:u w:val="single"/>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24D7A7B7">
      <w:pPr>
        <w:spacing w:line="360" w:lineRule="auto"/>
        <w:ind w:firstLine="435"/>
        <w:rPr>
          <w:rFonts w:ascii="宋体" w:hAnsi="宋体"/>
          <w:color w:val="auto"/>
          <w:sz w:val="24"/>
          <w:highlight w:val="none"/>
        </w:rPr>
      </w:pPr>
      <w:r>
        <w:rPr>
          <w:rFonts w:hint="eastAsia" w:ascii="宋体" w:hAnsi="宋体"/>
          <w:color w:val="auto"/>
          <w:sz w:val="24"/>
          <w:highlight w:val="none"/>
        </w:rPr>
        <w:t>1.4.2发票开具方式：</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F5619F1">
      <w:pPr>
        <w:spacing w:line="360" w:lineRule="auto"/>
        <w:ind w:firstLine="437"/>
        <w:outlineLvl w:val="2"/>
        <w:rPr>
          <w:rFonts w:ascii="宋体" w:hAnsi="宋体"/>
          <w:b/>
          <w:bCs/>
          <w:color w:val="auto"/>
          <w:sz w:val="24"/>
          <w:highlight w:val="none"/>
          <w:lang w:val="zh-CN"/>
        </w:rPr>
      </w:pPr>
      <w:bookmarkStart w:id="861" w:name="_Toc32071"/>
      <w:bookmarkStart w:id="862" w:name="_Toc2846"/>
      <w:bookmarkStart w:id="863" w:name="_Toc19304"/>
      <w:r>
        <w:rPr>
          <w:rFonts w:hint="eastAsia" w:ascii="宋体" w:hAnsi="宋体"/>
          <w:b/>
          <w:bCs/>
          <w:color w:val="auto"/>
          <w:sz w:val="24"/>
          <w:highlight w:val="none"/>
          <w:lang w:val="zh-CN"/>
        </w:rPr>
        <w:t>1.</w:t>
      </w:r>
      <w:r>
        <w:rPr>
          <w:rFonts w:ascii="宋体" w:hAnsi="宋体"/>
          <w:b/>
          <w:bCs/>
          <w:color w:val="auto"/>
          <w:sz w:val="24"/>
          <w:highlight w:val="none"/>
          <w:lang w:val="zh-CN"/>
        </w:rPr>
        <w:t>5 货物交付期限</w:t>
      </w:r>
      <w:r>
        <w:rPr>
          <w:rFonts w:hint="eastAsia" w:ascii="宋体" w:hAnsi="宋体"/>
          <w:b/>
          <w:bCs/>
          <w:color w:val="auto"/>
          <w:sz w:val="24"/>
          <w:highlight w:val="none"/>
          <w:lang w:val="zh-CN"/>
        </w:rPr>
        <w:t>、地点和方式</w:t>
      </w:r>
      <w:bookmarkEnd w:id="861"/>
      <w:bookmarkEnd w:id="862"/>
      <w:bookmarkEnd w:id="863"/>
    </w:p>
    <w:p w14:paraId="3525EAFF">
      <w:pPr>
        <w:spacing w:line="360" w:lineRule="auto"/>
        <w:ind w:firstLine="435"/>
        <w:rPr>
          <w:rFonts w:ascii="宋体" w:hAnsi="宋体"/>
          <w:color w:val="auto"/>
          <w:sz w:val="24"/>
          <w:highlight w:val="none"/>
          <w:u w:val="single"/>
        </w:rPr>
      </w:pPr>
      <w:r>
        <w:rPr>
          <w:rFonts w:hint="eastAsia" w:ascii="宋体" w:hAnsi="宋体"/>
          <w:color w:val="auto"/>
          <w:sz w:val="24"/>
          <w:highlight w:val="none"/>
        </w:rPr>
        <w:t>1.5.1交付期限</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0219E1F">
      <w:pPr>
        <w:spacing w:line="360" w:lineRule="auto"/>
        <w:ind w:firstLine="435"/>
        <w:rPr>
          <w:rFonts w:ascii="宋体" w:hAnsi="宋体"/>
          <w:color w:val="auto"/>
          <w:sz w:val="24"/>
          <w:highlight w:val="none"/>
        </w:rPr>
      </w:pPr>
      <w:r>
        <w:rPr>
          <w:rFonts w:hint="eastAsia" w:ascii="宋体" w:hAnsi="宋体"/>
          <w:color w:val="auto"/>
          <w:sz w:val="24"/>
          <w:highlight w:val="none"/>
        </w:rPr>
        <w:t>1.5.2交付地点</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72C2CA6">
      <w:pPr>
        <w:spacing w:line="360" w:lineRule="auto"/>
        <w:ind w:firstLine="435"/>
        <w:rPr>
          <w:rFonts w:ascii="宋体" w:hAnsi="宋体"/>
          <w:color w:val="auto"/>
          <w:sz w:val="24"/>
          <w:highlight w:val="none"/>
        </w:rPr>
      </w:pPr>
      <w:r>
        <w:rPr>
          <w:rFonts w:hint="eastAsia" w:ascii="宋体" w:hAnsi="宋体"/>
          <w:color w:val="auto"/>
          <w:sz w:val="24"/>
          <w:highlight w:val="none"/>
        </w:rPr>
        <w:t>1.5.3交付方式：</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16601B7">
      <w:pPr>
        <w:spacing w:line="360" w:lineRule="auto"/>
        <w:ind w:firstLine="437"/>
        <w:outlineLvl w:val="2"/>
        <w:rPr>
          <w:rFonts w:ascii="宋体" w:hAnsi="宋体"/>
          <w:b/>
          <w:bCs/>
          <w:color w:val="auto"/>
          <w:sz w:val="24"/>
          <w:highlight w:val="none"/>
          <w:lang w:val="zh-CN"/>
        </w:rPr>
      </w:pPr>
      <w:bookmarkStart w:id="864" w:name="_Toc19554"/>
      <w:bookmarkStart w:id="865" w:name="_Toc27250"/>
      <w:bookmarkStart w:id="866" w:name="_Toc21423"/>
      <w:r>
        <w:rPr>
          <w:rFonts w:hint="eastAsia" w:ascii="宋体" w:hAnsi="宋体"/>
          <w:b/>
          <w:bCs/>
          <w:color w:val="auto"/>
          <w:sz w:val="24"/>
          <w:highlight w:val="none"/>
          <w:lang w:val="zh-CN"/>
        </w:rPr>
        <w:t>1.6 违约责任</w:t>
      </w:r>
      <w:bookmarkEnd w:id="864"/>
      <w:bookmarkEnd w:id="865"/>
      <w:bookmarkEnd w:id="866"/>
    </w:p>
    <w:p w14:paraId="26A42210">
      <w:pPr>
        <w:spacing w:line="360" w:lineRule="auto"/>
        <w:ind w:firstLine="435"/>
        <w:rPr>
          <w:rFonts w:ascii="宋体" w:hAnsi="宋体"/>
          <w:color w:val="auto"/>
          <w:sz w:val="24"/>
          <w:highlight w:val="none"/>
        </w:rPr>
      </w:pPr>
      <w:r>
        <w:rPr>
          <w:rFonts w:hint="eastAsia" w:ascii="宋体" w:hAnsi="宋体"/>
          <w:color w:val="auto"/>
          <w:sz w:val="24"/>
          <w:highlight w:val="none"/>
        </w:rPr>
        <w:t>1.6.1</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地点和方式交付货物，那么甲方可要求乙方支付违约金</w:t>
      </w:r>
      <w:r>
        <w:rPr>
          <w:rFonts w:hint="eastAsia" w:ascii="宋体" w:hAnsi="宋体"/>
          <w:color w:val="auto"/>
          <w:sz w:val="24"/>
          <w:highlight w:val="none"/>
        </w:rPr>
        <w:t>，</w:t>
      </w:r>
      <w:r>
        <w:rPr>
          <w:rFonts w:ascii="宋体" w:hAnsi="宋体"/>
          <w:color w:val="auto"/>
          <w:sz w:val="24"/>
          <w:highlight w:val="none"/>
        </w:rPr>
        <w:t>违约金按每迟延交付货物一日的应交付而未交付货物价格的</w:t>
      </w:r>
      <w:r>
        <w:rPr>
          <w:rFonts w:hint="eastAsia" w:ascii="宋体" w:hAnsi="宋体"/>
          <w:color w:val="auto"/>
          <w:sz w:val="24"/>
          <w:highlight w:val="none"/>
          <w:u w:val="single"/>
        </w:rPr>
        <w:t xml:space="preserve"> 0.2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hint="eastAsia" w:ascii="宋体" w:hAnsi="宋体"/>
          <w:color w:val="auto"/>
          <w:sz w:val="24"/>
          <w:highlight w:val="none"/>
          <w:u w:val="single"/>
        </w:rPr>
        <w:t xml:space="preserve"> 2.5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迟延交付货物的违约金计算数额达到前述最高限额之日起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0F6FFE76">
      <w:pPr>
        <w:spacing w:line="360" w:lineRule="auto"/>
        <w:ind w:firstLine="435"/>
        <w:rPr>
          <w:rFonts w:ascii="宋体" w:hAnsi="宋体"/>
          <w:color w:val="auto"/>
          <w:sz w:val="24"/>
          <w:highlight w:val="none"/>
        </w:rPr>
      </w:pPr>
      <w:r>
        <w:rPr>
          <w:rFonts w:hint="eastAsia" w:ascii="宋体" w:hAnsi="宋体"/>
          <w:color w:val="auto"/>
          <w:sz w:val="24"/>
          <w:highlight w:val="none"/>
        </w:rPr>
        <w:t>1.6.2</w:t>
      </w:r>
      <w:r>
        <w:rPr>
          <w:rFonts w:ascii="宋体" w:hAnsi="宋体"/>
          <w:color w:val="auto"/>
          <w:sz w:val="24"/>
          <w:highlight w:val="none"/>
        </w:rPr>
        <w:t>除不可抗力外，</w:t>
      </w:r>
      <w:r>
        <w:rPr>
          <w:rFonts w:hint="eastAsia" w:ascii="宋体" w:hAnsi="宋体"/>
          <w:color w:val="auto"/>
          <w:sz w:val="24"/>
          <w:highlight w:val="none"/>
        </w:rPr>
        <w:t>甲方未能按时组织验收，由财政部门责令限期改正，给予警告，对直接负责的主管人员和其他直接责任人员，由其行政主管部门给予处分，并予通报；</w:t>
      </w:r>
    </w:p>
    <w:p w14:paraId="7C0D095D">
      <w:pPr>
        <w:spacing w:line="360" w:lineRule="auto"/>
        <w:ind w:firstLine="435"/>
        <w:rPr>
          <w:rFonts w:ascii="宋体" w:hAnsi="宋体"/>
          <w:color w:val="auto"/>
          <w:sz w:val="24"/>
          <w:highlight w:val="none"/>
        </w:rPr>
      </w:pPr>
      <w:r>
        <w:rPr>
          <w:rFonts w:hint="eastAsia" w:ascii="宋体" w:hAnsi="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D82145D">
      <w:pPr>
        <w:spacing w:line="360" w:lineRule="auto"/>
        <w:ind w:firstLine="435"/>
        <w:rPr>
          <w:rFonts w:ascii="宋体" w:hAnsi="宋体"/>
          <w:color w:val="auto"/>
          <w:sz w:val="24"/>
          <w:highlight w:val="none"/>
        </w:rPr>
      </w:pPr>
      <w:r>
        <w:rPr>
          <w:rFonts w:hint="eastAsia" w:ascii="宋体" w:hAnsi="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402C51">
      <w:pPr>
        <w:spacing w:line="360" w:lineRule="auto"/>
        <w:ind w:firstLine="435"/>
        <w:rPr>
          <w:rFonts w:ascii="宋体" w:hAnsi="宋体"/>
          <w:color w:val="auto"/>
          <w:sz w:val="24"/>
          <w:highlight w:val="none"/>
        </w:rPr>
      </w:pPr>
      <w:r>
        <w:rPr>
          <w:rFonts w:hint="eastAsia" w:ascii="宋体" w:hAnsi="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7BFB589">
      <w:pPr>
        <w:spacing w:line="360" w:lineRule="auto"/>
        <w:ind w:firstLine="435"/>
        <w:rPr>
          <w:rFonts w:ascii="宋体" w:hAnsi="宋体"/>
          <w:color w:val="auto"/>
          <w:sz w:val="24"/>
          <w:highlight w:val="none"/>
        </w:rPr>
      </w:pPr>
      <w:r>
        <w:rPr>
          <w:rFonts w:hint="eastAsia" w:ascii="宋体" w:hAnsi="宋体"/>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3141A3A9">
      <w:pPr>
        <w:spacing w:line="360" w:lineRule="auto"/>
        <w:ind w:firstLine="437"/>
        <w:outlineLvl w:val="2"/>
        <w:rPr>
          <w:rFonts w:ascii="宋体" w:hAnsi="宋体"/>
          <w:b/>
          <w:bCs/>
          <w:color w:val="auto"/>
          <w:sz w:val="24"/>
          <w:highlight w:val="none"/>
          <w:lang w:val="zh-CN"/>
        </w:rPr>
      </w:pPr>
      <w:bookmarkStart w:id="867" w:name="_Toc15583"/>
      <w:bookmarkStart w:id="868" w:name="_Toc28375"/>
      <w:bookmarkStart w:id="869" w:name="_Toc16021"/>
      <w:r>
        <w:rPr>
          <w:rFonts w:hint="eastAsia" w:ascii="宋体" w:hAnsi="宋体"/>
          <w:b/>
          <w:bCs/>
          <w:color w:val="auto"/>
          <w:sz w:val="24"/>
          <w:highlight w:val="none"/>
          <w:lang w:val="zh-CN"/>
        </w:rPr>
        <w:t>1.7</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w:t>
      </w:r>
      <w:r>
        <w:rPr>
          <w:rFonts w:ascii="宋体" w:hAnsi="宋体"/>
          <w:b/>
          <w:bCs/>
          <w:color w:val="auto"/>
          <w:sz w:val="24"/>
          <w:highlight w:val="none"/>
          <w:lang w:val="zh-CN"/>
        </w:rPr>
        <w:t>争议的解决</w:t>
      </w:r>
      <w:bookmarkEnd w:id="867"/>
      <w:bookmarkEnd w:id="868"/>
      <w:bookmarkEnd w:id="869"/>
    </w:p>
    <w:p w14:paraId="71825F5E">
      <w:pPr>
        <w:spacing w:line="360" w:lineRule="auto"/>
        <w:ind w:firstLine="435"/>
        <w:rPr>
          <w:rFonts w:ascii="宋体" w:hAnsi="宋体"/>
          <w:color w:val="auto"/>
          <w:sz w:val="24"/>
          <w:highlight w:val="none"/>
        </w:rPr>
      </w:pPr>
      <w:r>
        <w:rPr>
          <w:rFonts w:hint="eastAsia" w:ascii="宋体" w:hAnsi="宋体"/>
          <w:color w:val="auto"/>
          <w:sz w:val="24"/>
          <w:highlight w:val="none"/>
        </w:rPr>
        <w:t>本合</w:t>
      </w:r>
      <w:r>
        <w:rPr>
          <w:rFonts w:ascii="宋体" w:hAnsi="宋体"/>
          <w:color w:val="auto"/>
          <w:sz w:val="24"/>
          <w:highlight w:val="none"/>
        </w:rPr>
        <w:t>同履行过程中发生的任何争议，双方当事人均可</w:t>
      </w:r>
      <w:r>
        <w:rPr>
          <w:rFonts w:hint="eastAsia" w:ascii="宋体" w:hAnsi="宋体"/>
          <w:color w:val="auto"/>
          <w:sz w:val="24"/>
          <w:highlight w:val="none"/>
        </w:rPr>
        <w:t>通过和解或者调解解决；不愿和解、调解或者和解、调解不成的，可以选择下列第</w:t>
      </w:r>
      <w:r>
        <w:rPr>
          <w:rFonts w:hint="eastAsia" w:ascii="宋体" w:hAnsi="宋体"/>
          <w:color w:val="auto"/>
          <w:sz w:val="24"/>
          <w:highlight w:val="none"/>
          <w:u w:val="single"/>
        </w:rPr>
        <w:t xml:space="preserve">  2  </w:t>
      </w:r>
      <w:r>
        <w:rPr>
          <w:rFonts w:hint="eastAsia" w:ascii="宋体" w:hAnsi="宋体"/>
          <w:color w:val="auto"/>
          <w:sz w:val="24"/>
          <w:highlight w:val="none"/>
        </w:rPr>
        <w:t>种方式解决：</w:t>
      </w:r>
    </w:p>
    <w:p w14:paraId="2F6C7F8C">
      <w:pPr>
        <w:spacing w:line="360" w:lineRule="auto"/>
        <w:ind w:firstLine="435"/>
        <w:rPr>
          <w:rFonts w:ascii="宋体" w:hAnsi="宋体"/>
          <w:color w:val="auto"/>
          <w:sz w:val="24"/>
          <w:highlight w:val="none"/>
        </w:rPr>
      </w:pPr>
      <w:r>
        <w:rPr>
          <w:rFonts w:hint="eastAsia" w:ascii="宋体" w:hAnsi="宋体"/>
          <w:color w:val="auto"/>
          <w:sz w:val="24"/>
          <w:highlight w:val="none"/>
        </w:rPr>
        <w:t>1.7.1将争议提交</w:t>
      </w:r>
      <w:r>
        <w:rPr>
          <w:rFonts w:hint="eastAsia" w:ascii="宋体" w:hAnsi="宋体"/>
          <w:color w:val="auto"/>
          <w:sz w:val="24"/>
          <w:highlight w:val="none"/>
          <w:u w:val="single"/>
        </w:rPr>
        <w:t xml:space="preserve">   合肥市   </w:t>
      </w:r>
      <w:r>
        <w:rPr>
          <w:rFonts w:hint="eastAsia" w:ascii="宋体" w:hAnsi="宋体"/>
          <w:color w:val="auto"/>
          <w:sz w:val="24"/>
          <w:highlight w:val="none"/>
        </w:rPr>
        <w:t>仲裁委员会依申请仲裁时其现行有效的仲裁规则裁决；</w:t>
      </w:r>
    </w:p>
    <w:p w14:paraId="5ED4EEB6">
      <w:pPr>
        <w:spacing w:line="360" w:lineRule="auto"/>
        <w:ind w:firstLine="435"/>
        <w:rPr>
          <w:rFonts w:ascii="宋体" w:hAnsi="宋体"/>
          <w:color w:val="auto"/>
          <w:sz w:val="24"/>
          <w:highlight w:val="none"/>
        </w:rPr>
      </w:pPr>
      <w:r>
        <w:rPr>
          <w:rFonts w:hint="eastAsia" w:ascii="宋体" w:hAnsi="宋体"/>
          <w:color w:val="auto"/>
          <w:sz w:val="24"/>
          <w:highlight w:val="none"/>
        </w:rPr>
        <w:t>1.7.2向</w:t>
      </w:r>
      <w:r>
        <w:rPr>
          <w:rFonts w:hint="eastAsia" w:ascii="宋体" w:hAnsi="宋体"/>
          <w:color w:val="auto"/>
          <w:sz w:val="24"/>
          <w:highlight w:val="none"/>
          <w:u w:val="single"/>
        </w:rPr>
        <w:t xml:space="preserve">  合同签订地有管辖权的</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5AFEF5A0">
      <w:pPr>
        <w:spacing w:line="360" w:lineRule="auto"/>
        <w:ind w:firstLine="437"/>
        <w:outlineLvl w:val="2"/>
        <w:rPr>
          <w:rFonts w:ascii="宋体" w:hAnsi="宋体"/>
          <w:b/>
          <w:bCs/>
          <w:color w:val="auto"/>
          <w:sz w:val="24"/>
          <w:highlight w:val="none"/>
          <w:lang w:val="zh-CN"/>
        </w:rPr>
      </w:pPr>
      <w:bookmarkStart w:id="870" w:name="_Toc11173"/>
      <w:bookmarkStart w:id="871" w:name="_Toc7245"/>
      <w:bookmarkStart w:id="872" w:name="_Toc15322"/>
      <w:r>
        <w:rPr>
          <w:rFonts w:hint="eastAsia" w:ascii="宋体" w:hAnsi="宋体"/>
          <w:b/>
          <w:bCs/>
          <w:color w:val="auto"/>
          <w:sz w:val="24"/>
          <w:highlight w:val="none"/>
          <w:lang w:val="zh-CN"/>
        </w:rPr>
        <w:t>1.8</w:t>
      </w:r>
      <w:r>
        <w:rPr>
          <w:rFonts w:ascii="宋体" w:hAnsi="宋体"/>
          <w:b/>
          <w:bCs/>
          <w:color w:val="auto"/>
          <w:sz w:val="24"/>
          <w:highlight w:val="none"/>
          <w:lang w:val="zh-CN"/>
        </w:rPr>
        <w:t xml:space="preserve"> 合同生效</w:t>
      </w:r>
      <w:bookmarkEnd w:id="870"/>
      <w:bookmarkEnd w:id="871"/>
      <w:bookmarkEnd w:id="872"/>
    </w:p>
    <w:p w14:paraId="4C882517">
      <w:pPr>
        <w:spacing w:line="360" w:lineRule="auto"/>
        <w:ind w:firstLine="435"/>
        <w:rPr>
          <w:rFonts w:ascii="宋体" w:hAnsi="宋体"/>
          <w:color w:val="auto"/>
          <w:sz w:val="24"/>
          <w:highlight w:val="none"/>
        </w:rPr>
      </w:pPr>
      <w:r>
        <w:rPr>
          <w:rFonts w:ascii="宋体" w:hAnsi="宋体"/>
          <w:color w:val="auto"/>
          <w:sz w:val="24"/>
          <w:highlight w:val="none"/>
        </w:rPr>
        <w:t>本合同自</w:t>
      </w:r>
      <w:r>
        <w:rPr>
          <w:rFonts w:hint="eastAsia" w:ascii="宋体" w:hAnsi="宋体"/>
          <w:color w:val="auto"/>
          <w:sz w:val="24"/>
          <w:highlight w:val="none"/>
        </w:rPr>
        <w:t>双方当事人盖章时</w:t>
      </w:r>
      <w:r>
        <w:rPr>
          <w:rFonts w:ascii="宋体" w:hAnsi="宋体"/>
          <w:color w:val="auto"/>
          <w:sz w:val="24"/>
          <w:highlight w:val="none"/>
        </w:rPr>
        <w:t>生效。</w:t>
      </w:r>
    </w:p>
    <w:p w14:paraId="38CC6301">
      <w:pPr>
        <w:autoSpaceDE w:val="0"/>
        <w:autoSpaceDN w:val="0"/>
        <w:adjustRightInd w:val="0"/>
        <w:spacing w:line="560" w:lineRule="exact"/>
        <w:rPr>
          <w:rFonts w:ascii="宋体" w:hAnsi="宋体"/>
          <w:color w:val="auto"/>
          <w:sz w:val="24"/>
          <w:highlight w:val="none"/>
          <w:lang w:val="zh-CN"/>
        </w:rPr>
      </w:pPr>
    </w:p>
    <w:p w14:paraId="53D94598">
      <w:pPr>
        <w:autoSpaceDE w:val="0"/>
        <w:autoSpaceDN w:val="0"/>
        <w:adjustRightInd w:val="0"/>
        <w:spacing w:line="560" w:lineRule="exact"/>
        <w:rPr>
          <w:rFonts w:ascii="宋体" w:hAnsi="宋体"/>
          <w:color w:val="auto"/>
          <w:sz w:val="24"/>
          <w:highlight w:val="none"/>
          <w:lang w:val="zh-CN"/>
        </w:rPr>
      </w:pPr>
    </w:p>
    <w:p w14:paraId="07243649">
      <w:pPr>
        <w:autoSpaceDE w:val="0"/>
        <w:autoSpaceDN w:val="0"/>
        <w:adjustRightInd w:val="0"/>
        <w:spacing w:line="560" w:lineRule="exact"/>
        <w:rPr>
          <w:rFonts w:ascii="宋体" w:hAnsi="宋体"/>
          <w:color w:val="auto"/>
          <w:sz w:val="24"/>
          <w:highlight w:val="none"/>
          <w:lang w:val="zh-CN"/>
        </w:rPr>
      </w:pPr>
    </w:p>
    <w:p w14:paraId="47911755">
      <w:pPr>
        <w:autoSpaceDE w:val="0"/>
        <w:autoSpaceDN w:val="0"/>
        <w:adjustRightInd w:val="0"/>
        <w:spacing w:line="560" w:lineRule="exact"/>
        <w:rPr>
          <w:rFonts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15B637F1">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65509A7D">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60D719FE">
      <w:pPr>
        <w:widowControl/>
        <w:spacing w:line="560" w:lineRule="exact"/>
        <w:jc w:val="left"/>
        <w:rPr>
          <w:rFonts w:ascii="宋体" w:hAnsi="宋体"/>
          <w:bCs/>
          <w:color w:val="auto"/>
          <w:sz w:val="24"/>
          <w:highlight w:val="none"/>
        </w:rPr>
      </w:pPr>
      <w:bookmarkStart w:id="873" w:name="_Toc331685783"/>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7C1C7F49">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乙方账户信息</w:t>
      </w:r>
    </w:p>
    <w:p w14:paraId="17F08047">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户名：</w:t>
      </w:r>
      <w:r>
        <w:rPr>
          <w:rFonts w:hint="eastAsia" w:ascii="宋体" w:hAnsi="宋体"/>
          <w:color w:val="auto"/>
          <w:sz w:val="24"/>
          <w:highlight w:val="none"/>
          <w:u w:val="single"/>
        </w:rPr>
        <w:t xml:space="preserve">            </w:t>
      </w:r>
    </w:p>
    <w:p w14:paraId="4BC74696">
      <w:pPr>
        <w:spacing w:line="560" w:lineRule="exact"/>
        <w:rPr>
          <w:rFonts w:ascii="宋体" w:hAnsi="宋体"/>
          <w:color w:val="auto"/>
          <w:sz w:val="24"/>
          <w:highlight w:val="none"/>
        </w:rPr>
      </w:pPr>
      <w:r>
        <w:rPr>
          <w:rFonts w:hint="eastAsia" w:ascii="宋体" w:hAnsi="宋体"/>
          <w:color w:val="auto"/>
          <w:sz w:val="24"/>
          <w:highlight w:val="none"/>
        </w:rPr>
        <w:t xml:space="preserve">                                         账号：</w:t>
      </w:r>
      <w:r>
        <w:rPr>
          <w:rFonts w:hint="eastAsia" w:ascii="宋体" w:hAnsi="宋体"/>
          <w:color w:val="auto"/>
          <w:sz w:val="24"/>
          <w:highlight w:val="none"/>
          <w:u w:val="single"/>
        </w:rPr>
        <w:t xml:space="preserve">            </w:t>
      </w:r>
    </w:p>
    <w:p w14:paraId="2F1F704F">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开户银行：</w:t>
      </w:r>
      <w:r>
        <w:rPr>
          <w:rFonts w:hint="eastAsia" w:ascii="宋体" w:hAnsi="宋体"/>
          <w:color w:val="auto"/>
          <w:sz w:val="24"/>
          <w:highlight w:val="none"/>
          <w:u w:val="single"/>
        </w:rPr>
        <w:t xml:space="preserve">        </w:t>
      </w:r>
    </w:p>
    <w:p w14:paraId="56587504">
      <w:pPr>
        <w:widowControl/>
        <w:jc w:val="left"/>
        <w:rPr>
          <w:rFonts w:ascii="宋体" w:hAnsi="宋体"/>
          <w:b/>
          <w:color w:val="auto"/>
          <w:sz w:val="24"/>
          <w:highlight w:val="none"/>
        </w:rPr>
      </w:pPr>
      <w:r>
        <w:rPr>
          <w:rFonts w:ascii="宋体" w:hAnsi="宋体"/>
          <w:b/>
          <w:color w:val="auto"/>
          <w:sz w:val="24"/>
          <w:highlight w:val="none"/>
        </w:rPr>
        <w:br w:type="page"/>
      </w:r>
    </w:p>
    <w:p w14:paraId="0B7385A5">
      <w:pPr>
        <w:spacing w:line="360" w:lineRule="auto"/>
        <w:jc w:val="center"/>
        <w:outlineLvl w:val="1"/>
        <w:rPr>
          <w:rFonts w:ascii="宋体" w:hAnsi="宋体"/>
          <w:b/>
          <w:color w:val="auto"/>
          <w:sz w:val="24"/>
          <w:highlight w:val="none"/>
        </w:rPr>
      </w:pPr>
      <w:r>
        <w:rPr>
          <w:rFonts w:hint="eastAsia" w:ascii="宋体" w:hAnsi="宋体"/>
          <w:b/>
          <w:color w:val="auto"/>
          <w:sz w:val="24"/>
          <w:highlight w:val="none"/>
        </w:rPr>
        <w:t>第二部分</w:t>
      </w:r>
      <w:r>
        <w:rPr>
          <w:rFonts w:ascii="宋体" w:hAnsi="宋体"/>
          <w:b/>
          <w:color w:val="auto"/>
          <w:sz w:val="24"/>
          <w:highlight w:val="none"/>
        </w:rPr>
        <w:t xml:space="preserve"> </w:t>
      </w:r>
      <w:r>
        <w:rPr>
          <w:rFonts w:hint="eastAsia" w:ascii="宋体" w:hAnsi="宋体"/>
          <w:b/>
          <w:color w:val="auto"/>
          <w:sz w:val="24"/>
          <w:highlight w:val="none"/>
        </w:rPr>
        <w:t>合同一般条款</w:t>
      </w:r>
      <w:bookmarkEnd w:id="873"/>
    </w:p>
    <w:p w14:paraId="6465FB3A">
      <w:pPr>
        <w:spacing w:line="360" w:lineRule="auto"/>
        <w:ind w:firstLine="437"/>
        <w:outlineLvl w:val="2"/>
        <w:rPr>
          <w:rFonts w:ascii="宋体" w:hAnsi="宋体"/>
          <w:b/>
          <w:bCs/>
          <w:color w:val="auto"/>
          <w:sz w:val="24"/>
          <w:highlight w:val="none"/>
          <w:lang w:val="zh-CN"/>
        </w:rPr>
      </w:pPr>
      <w:bookmarkStart w:id="874" w:name="_Ref467379195"/>
      <w:bookmarkStart w:id="875" w:name="_Ref467379225"/>
      <w:bookmarkStart w:id="876" w:name="_Ref467379205"/>
      <w:bookmarkStart w:id="877" w:name="_Ref467379101"/>
      <w:bookmarkStart w:id="878" w:name="_Toc28763"/>
      <w:bookmarkStart w:id="879" w:name="_Toc487900349"/>
      <w:bookmarkStart w:id="880" w:name="_Ref467378499"/>
      <w:bookmarkStart w:id="881" w:name="_Toc19614"/>
      <w:bookmarkStart w:id="882" w:name="_Ref467378463"/>
      <w:bookmarkStart w:id="883" w:name="_Ref467379214"/>
      <w:bookmarkStart w:id="884" w:name="_Ref467379109"/>
      <w:bookmarkStart w:id="885" w:name="_Ref467379094"/>
      <w:bookmarkStart w:id="886" w:name="_Toc259093669"/>
      <w:bookmarkStart w:id="887" w:name="_Ref467378404"/>
      <w:bookmarkStart w:id="888" w:name="_Toc16917"/>
      <w:bookmarkStart w:id="889" w:name="_Toc279701240"/>
      <w:r>
        <w:rPr>
          <w:rFonts w:hint="eastAsia" w:ascii="宋体" w:hAnsi="宋体"/>
          <w:b/>
          <w:bCs/>
          <w:color w:val="auto"/>
          <w:sz w:val="24"/>
          <w:highlight w:val="none"/>
          <w:lang w:val="zh-CN"/>
        </w:rPr>
        <w:t>2.1</w:t>
      </w:r>
      <w:r>
        <w:rPr>
          <w:rFonts w:ascii="宋体" w:hAnsi="宋体"/>
          <w:b/>
          <w:bCs/>
          <w:color w:val="auto"/>
          <w:sz w:val="24"/>
          <w:highlight w:val="none"/>
          <w:lang w:val="zh-CN"/>
        </w:rPr>
        <w:t xml:space="preserve"> 定义</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671159A9">
      <w:pPr>
        <w:spacing w:line="360" w:lineRule="auto"/>
        <w:ind w:firstLine="435"/>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27490456">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“合同”系指采购人和中标人签订的载明双方当事人所达成的协议，并包括所有的附件、附录和构成合同的其他文件。</w:t>
      </w:r>
    </w:p>
    <w:p w14:paraId="54FF2B39">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1.2“合同价”系指根据合同约定，中标人在完全履行合同义务后</w:t>
      </w:r>
      <w:r>
        <w:rPr>
          <w:rFonts w:hint="eastAsia" w:ascii="宋体" w:hAnsi="宋体"/>
          <w:color w:val="auto"/>
          <w:sz w:val="24"/>
          <w:highlight w:val="none"/>
        </w:rPr>
        <w:t>，</w:t>
      </w:r>
      <w:r>
        <w:rPr>
          <w:rFonts w:ascii="宋体" w:hAnsi="宋体"/>
          <w:color w:val="auto"/>
          <w:sz w:val="24"/>
          <w:highlight w:val="none"/>
        </w:rPr>
        <w:t>采购人应支付给中标人的价格。</w:t>
      </w:r>
    </w:p>
    <w:p w14:paraId="2D4DE336">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1.3“货物”系指</w:t>
      </w:r>
      <w:r>
        <w:rPr>
          <w:rFonts w:hint="eastAsia" w:ascii="宋体" w:hAnsi="宋体"/>
          <w:color w:val="auto"/>
          <w:sz w:val="24"/>
          <w:highlight w:val="none"/>
        </w:rPr>
        <w:t>中标人</w:t>
      </w:r>
      <w:r>
        <w:rPr>
          <w:rFonts w:ascii="宋体" w:hAnsi="宋体"/>
          <w:color w:val="auto"/>
          <w:sz w:val="24"/>
          <w:highlight w:val="none"/>
        </w:rPr>
        <w:t>根据合同约定应向采购人交付的一切</w:t>
      </w:r>
      <w:r>
        <w:rPr>
          <w:rFonts w:hint="eastAsia" w:ascii="宋体" w:hAnsi="宋体"/>
          <w:color w:val="auto"/>
          <w:sz w:val="24"/>
          <w:highlight w:val="none"/>
        </w:rPr>
        <w:t>各种形态和种类的物品，包括原材料、燃料、设备、</w:t>
      </w:r>
      <w:r>
        <w:rPr>
          <w:rFonts w:ascii="宋体" w:hAnsi="宋体"/>
          <w:color w:val="auto"/>
          <w:sz w:val="24"/>
          <w:highlight w:val="none"/>
        </w:rPr>
        <w:t>机械、仪表、备件</w:t>
      </w:r>
      <w:r>
        <w:rPr>
          <w:rFonts w:hint="eastAsia" w:ascii="宋体" w:hAnsi="宋体"/>
          <w:color w:val="auto"/>
          <w:sz w:val="24"/>
          <w:highlight w:val="none"/>
        </w:rPr>
        <w:t>、计算机软件、产品等</w:t>
      </w:r>
      <w:r>
        <w:rPr>
          <w:rFonts w:ascii="宋体" w:hAnsi="宋体"/>
          <w:color w:val="auto"/>
          <w:sz w:val="24"/>
          <w:highlight w:val="none"/>
        </w:rPr>
        <w:t>，并包括工具、手册等其他相关资料。</w:t>
      </w:r>
    </w:p>
    <w:p w14:paraId="4F794049">
      <w:pPr>
        <w:spacing w:line="360" w:lineRule="auto"/>
        <w:ind w:firstLine="435"/>
        <w:rPr>
          <w:rFonts w:ascii="宋体" w:hAnsi="宋体"/>
          <w:color w:val="auto"/>
          <w:sz w:val="24"/>
          <w:highlight w:val="none"/>
        </w:rPr>
      </w:pPr>
      <w:bookmarkStart w:id="890" w:name="_Ref46737884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olor w:val="auto"/>
          <w:sz w:val="24"/>
          <w:highlight w:val="none"/>
        </w:rPr>
        <w:t>中标人</w:t>
      </w:r>
      <w:r>
        <w:rPr>
          <w:rFonts w:ascii="宋体" w:hAnsi="宋体"/>
          <w:color w:val="auto"/>
          <w:sz w:val="24"/>
          <w:highlight w:val="none"/>
        </w:rPr>
        <w:t>签署合同的采购人</w:t>
      </w:r>
      <w:bookmarkEnd w:id="890"/>
      <w:r>
        <w:rPr>
          <w:rFonts w:hint="eastAsia" w:ascii="宋体" w:hAnsi="宋体"/>
          <w:color w:val="auto"/>
          <w:sz w:val="24"/>
          <w:highlight w:val="none"/>
        </w:rPr>
        <w:t>；采购人委托采购代理机构代表其与乙方签订合同的，采购人的授权委托书作为合同附件。</w:t>
      </w:r>
    </w:p>
    <w:p w14:paraId="5DF17A80">
      <w:pPr>
        <w:spacing w:line="360" w:lineRule="auto"/>
        <w:ind w:firstLine="435"/>
        <w:rPr>
          <w:rFonts w:ascii="宋体" w:hAnsi="宋体"/>
          <w:color w:val="auto"/>
          <w:sz w:val="24"/>
          <w:highlight w:val="none"/>
        </w:rPr>
      </w:pPr>
      <w:bookmarkStart w:id="891" w:name="_Ref46737940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“乙方”系指根据合同约定交付货物的中标人</w:t>
      </w:r>
      <w:bookmarkEnd w:id="891"/>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48C4F98">
      <w:pPr>
        <w:spacing w:line="360" w:lineRule="auto"/>
        <w:ind w:firstLine="435"/>
        <w:rPr>
          <w:rFonts w:ascii="宋体" w:hAnsi="宋体"/>
          <w:color w:val="auto"/>
          <w:sz w:val="24"/>
          <w:highlight w:val="none"/>
        </w:rPr>
      </w:pPr>
      <w:bookmarkStart w:id="892" w:name="_Ref467379436"/>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“现场”系指合同约定货物将要运至</w:t>
      </w:r>
      <w:r>
        <w:rPr>
          <w:rFonts w:hint="eastAsia" w:ascii="宋体" w:hAnsi="宋体"/>
          <w:color w:val="auto"/>
          <w:sz w:val="24"/>
          <w:highlight w:val="none"/>
        </w:rPr>
        <w:t>或者</w:t>
      </w:r>
      <w:r>
        <w:rPr>
          <w:rFonts w:ascii="宋体" w:hAnsi="宋体"/>
          <w:color w:val="auto"/>
          <w:sz w:val="24"/>
          <w:highlight w:val="none"/>
        </w:rPr>
        <w:t>安装的地点。</w:t>
      </w:r>
      <w:bookmarkEnd w:id="892"/>
    </w:p>
    <w:p w14:paraId="738AACB0">
      <w:pPr>
        <w:spacing w:line="360" w:lineRule="auto"/>
        <w:ind w:firstLine="437"/>
        <w:outlineLvl w:val="2"/>
        <w:rPr>
          <w:rFonts w:ascii="宋体" w:hAnsi="宋体"/>
          <w:b/>
          <w:bCs/>
          <w:color w:val="auto"/>
          <w:sz w:val="24"/>
          <w:highlight w:val="none"/>
          <w:lang w:val="zh-CN"/>
        </w:rPr>
      </w:pPr>
      <w:bookmarkStart w:id="893" w:name="_Toc13336"/>
      <w:bookmarkStart w:id="894" w:name="_Toc487900350"/>
      <w:bookmarkStart w:id="895" w:name="_Toc32504"/>
      <w:bookmarkStart w:id="896" w:name="_Toc279701241"/>
      <w:bookmarkStart w:id="897" w:name="_Toc259093670"/>
      <w:bookmarkStart w:id="898" w:name="_Toc27635"/>
      <w:r>
        <w:rPr>
          <w:rFonts w:hint="eastAsia" w:ascii="宋体" w:hAnsi="宋体"/>
          <w:b/>
          <w:bCs/>
          <w:color w:val="auto"/>
          <w:sz w:val="24"/>
          <w:highlight w:val="none"/>
          <w:lang w:val="zh-CN"/>
        </w:rPr>
        <w:t>2.</w:t>
      </w:r>
      <w:r>
        <w:rPr>
          <w:rFonts w:ascii="宋体" w:hAnsi="宋体"/>
          <w:b/>
          <w:bCs/>
          <w:color w:val="auto"/>
          <w:sz w:val="24"/>
          <w:highlight w:val="none"/>
          <w:lang w:val="zh-CN"/>
        </w:rPr>
        <w:t>2 技术规范</w:t>
      </w:r>
      <w:bookmarkEnd w:id="893"/>
      <w:bookmarkEnd w:id="894"/>
      <w:bookmarkEnd w:id="895"/>
      <w:bookmarkEnd w:id="896"/>
      <w:bookmarkEnd w:id="897"/>
      <w:bookmarkEnd w:id="898"/>
    </w:p>
    <w:p w14:paraId="45271764">
      <w:pPr>
        <w:spacing w:line="360" w:lineRule="auto"/>
        <w:ind w:firstLine="435"/>
        <w:rPr>
          <w:rFonts w:ascii="宋体" w:hAnsi="宋体"/>
          <w:color w:val="auto"/>
          <w:sz w:val="24"/>
          <w:highlight w:val="none"/>
        </w:rPr>
      </w:pPr>
      <w:r>
        <w:rPr>
          <w:rFonts w:ascii="宋体" w:hAnsi="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0AB0CE85">
      <w:pPr>
        <w:spacing w:line="360" w:lineRule="auto"/>
        <w:ind w:firstLine="437"/>
        <w:outlineLvl w:val="2"/>
        <w:rPr>
          <w:rFonts w:ascii="宋体" w:hAnsi="宋体"/>
          <w:b/>
          <w:bCs/>
          <w:color w:val="auto"/>
          <w:sz w:val="24"/>
          <w:highlight w:val="none"/>
          <w:lang w:val="zh-CN"/>
        </w:rPr>
      </w:pPr>
      <w:bookmarkStart w:id="899" w:name="_Toc9829"/>
      <w:bookmarkStart w:id="900" w:name="_Toc27853"/>
      <w:bookmarkStart w:id="901" w:name="_Toc279701242"/>
      <w:bookmarkStart w:id="902" w:name="_Toc31634"/>
      <w:bookmarkStart w:id="903" w:name="_Toc487900351"/>
      <w:bookmarkStart w:id="904" w:name="_Toc259093671"/>
      <w:r>
        <w:rPr>
          <w:rFonts w:hint="eastAsia" w:ascii="宋体" w:hAnsi="宋体"/>
          <w:b/>
          <w:bCs/>
          <w:color w:val="auto"/>
          <w:sz w:val="24"/>
          <w:highlight w:val="none"/>
          <w:lang w:val="zh-CN"/>
        </w:rPr>
        <w:t>2.</w:t>
      </w:r>
      <w:r>
        <w:rPr>
          <w:rFonts w:ascii="宋体" w:hAnsi="宋体"/>
          <w:b/>
          <w:bCs/>
          <w:color w:val="auto"/>
          <w:sz w:val="24"/>
          <w:highlight w:val="none"/>
          <w:lang w:val="zh-CN"/>
        </w:rPr>
        <w:t>3 知识产权</w:t>
      </w:r>
      <w:bookmarkEnd w:id="899"/>
      <w:bookmarkEnd w:id="900"/>
      <w:bookmarkEnd w:id="901"/>
      <w:bookmarkEnd w:id="902"/>
      <w:bookmarkEnd w:id="903"/>
      <w:bookmarkEnd w:id="904"/>
    </w:p>
    <w:p w14:paraId="3757F50D">
      <w:pPr>
        <w:spacing w:line="360" w:lineRule="auto"/>
        <w:ind w:firstLine="435"/>
        <w:rPr>
          <w:rFonts w:ascii="宋体" w:hAnsi="宋体"/>
          <w:color w:val="auto"/>
          <w:sz w:val="24"/>
          <w:highlight w:val="none"/>
        </w:rPr>
      </w:pPr>
      <w:r>
        <w:rPr>
          <w:rFonts w:hint="eastAsia" w:ascii="宋体" w:hAnsi="宋体"/>
          <w:color w:val="auto"/>
          <w:sz w:val="24"/>
          <w:highlight w:val="none"/>
        </w:rPr>
        <w:t>2.3.1乙</w:t>
      </w:r>
      <w:r>
        <w:rPr>
          <w:rFonts w:ascii="宋体" w:hAnsi="宋体"/>
          <w:color w:val="auto"/>
          <w:sz w:val="24"/>
          <w:highlight w:val="none"/>
        </w:rPr>
        <w:t>方应保证甲方在使用该货物或其任何一部分时不受任何第三方提出的侵犯其著作权、商标权、专利权等知识产权方面的起诉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w:t>
      </w:r>
    </w:p>
    <w:p w14:paraId="419810E3">
      <w:pPr>
        <w:spacing w:line="360" w:lineRule="auto"/>
        <w:ind w:firstLine="435"/>
        <w:rPr>
          <w:rFonts w:ascii="宋体" w:hAnsi="宋体"/>
          <w:color w:val="auto"/>
          <w:sz w:val="24"/>
          <w:highlight w:val="none"/>
        </w:rPr>
      </w:pPr>
      <w:r>
        <w:rPr>
          <w:rFonts w:hint="eastAsia" w:ascii="宋体" w:hAnsi="宋体"/>
          <w:color w:val="auto"/>
          <w:sz w:val="24"/>
          <w:highlight w:val="none"/>
        </w:rPr>
        <w:t>2.3.2具有知识产权的计算机软件等货物的知识产权归属，</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3B8018D2">
      <w:pPr>
        <w:spacing w:line="360" w:lineRule="auto"/>
        <w:ind w:firstLine="437"/>
        <w:outlineLvl w:val="2"/>
        <w:rPr>
          <w:rFonts w:ascii="宋体" w:hAnsi="宋体"/>
          <w:b/>
          <w:color w:val="auto"/>
          <w:sz w:val="24"/>
          <w:highlight w:val="none"/>
        </w:rPr>
      </w:pPr>
      <w:bookmarkStart w:id="905" w:name="_Toc11932"/>
      <w:bookmarkStart w:id="906" w:name="_Toc29149"/>
      <w:bookmarkStart w:id="907" w:name="_Toc4194"/>
      <w:r>
        <w:rPr>
          <w:rFonts w:hint="eastAsia" w:ascii="宋体" w:hAnsi="宋体"/>
          <w:b/>
          <w:bCs/>
          <w:color w:val="auto"/>
          <w:sz w:val="24"/>
          <w:highlight w:val="none"/>
          <w:lang w:val="zh-CN"/>
        </w:rPr>
        <w:t>2.4</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包装和装运</w:t>
      </w:r>
      <w:bookmarkEnd w:id="905"/>
      <w:bookmarkEnd w:id="906"/>
      <w:bookmarkEnd w:id="907"/>
    </w:p>
    <w:p w14:paraId="0D3C1144">
      <w:pPr>
        <w:spacing w:line="360" w:lineRule="auto"/>
        <w:ind w:firstLine="435"/>
        <w:rPr>
          <w:rFonts w:ascii="宋体" w:hAnsi="宋体"/>
          <w:color w:val="auto"/>
          <w:sz w:val="24"/>
          <w:highlight w:val="none"/>
        </w:rPr>
      </w:pPr>
      <w:r>
        <w:rPr>
          <w:rFonts w:hint="eastAsia" w:ascii="宋体" w:hAnsi="宋体"/>
          <w:color w:val="auto"/>
          <w:sz w:val="24"/>
          <w:highlight w:val="none"/>
        </w:rPr>
        <w:t>2.4.1除</w:t>
      </w:r>
      <w:r>
        <w:rPr>
          <w:rFonts w:ascii="宋体" w:hAnsi="宋体"/>
          <w:b/>
          <w:i/>
          <w:color w:val="auto"/>
          <w:sz w:val="24"/>
          <w:highlight w:val="none"/>
          <w:u w:val="single"/>
        </w:rPr>
        <w:t>合同专用条款</w:t>
      </w:r>
      <w:r>
        <w:rPr>
          <w:rFonts w:hint="eastAsia" w:ascii="宋体" w:hAnsi="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C518DB0">
      <w:pPr>
        <w:spacing w:line="360" w:lineRule="auto"/>
        <w:ind w:firstLine="435"/>
        <w:rPr>
          <w:rFonts w:ascii="宋体" w:hAnsi="宋体"/>
          <w:color w:val="auto"/>
          <w:sz w:val="24"/>
          <w:highlight w:val="none"/>
        </w:rPr>
      </w:pPr>
      <w:r>
        <w:rPr>
          <w:rFonts w:hint="eastAsia" w:ascii="宋体" w:hAnsi="宋体"/>
          <w:color w:val="auto"/>
          <w:sz w:val="24"/>
          <w:highlight w:val="none"/>
        </w:rPr>
        <w:t>2.4.2装运货物的要求和通知，详见</w:t>
      </w:r>
      <w:r>
        <w:rPr>
          <w:rFonts w:ascii="宋体" w:hAnsi="宋体"/>
          <w:b/>
          <w:i/>
          <w:color w:val="auto"/>
          <w:sz w:val="24"/>
          <w:highlight w:val="none"/>
          <w:u w:val="single"/>
        </w:rPr>
        <w:t>合同专用条款</w:t>
      </w:r>
      <w:r>
        <w:rPr>
          <w:rFonts w:hint="eastAsia" w:ascii="宋体" w:hAnsi="宋体"/>
          <w:color w:val="auto"/>
          <w:sz w:val="24"/>
          <w:highlight w:val="none"/>
        </w:rPr>
        <w:t>。</w:t>
      </w:r>
    </w:p>
    <w:p w14:paraId="64A6552F">
      <w:pPr>
        <w:spacing w:line="360" w:lineRule="auto"/>
        <w:ind w:firstLine="437"/>
        <w:outlineLvl w:val="2"/>
        <w:rPr>
          <w:rFonts w:ascii="宋体" w:hAnsi="宋体"/>
          <w:b/>
          <w:bCs/>
          <w:color w:val="auto"/>
          <w:sz w:val="24"/>
          <w:highlight w:val="none"/>
          <w:lang w:val="zh-CN"/>
        </w:rPr>
      </w:pPr>
      <w:bookmarkStart w:id="908" w:name="_Ref467379527"/>
      <w:bookmarkStart w:id="909" w:name="_Ref467379536"/>
      <w:bookmarkStart w:id="910" w:name="_Toc259093674"/>
      <w:bookmarkStart w:id="911" w:name="_Toc279701245"/>
      <w:bookmarkStart w:id="912" w:name="_Ref467378541"/>
      <w:bookmarkStart w:id="913" w:name="_Toc487900354"/>
      <w:bookmarkStart w:id="914" w:name="_Ref467378591"/>
      <w:bookmarkStart w:id="915" w:name="_Ref467379542"/>
      <w:bookmarkStart w:id="916" w:name="_Toc26182"/>
      <w:bookmarkStart w:id="917" w:name="_Toc19074"/>
      <w:bookmarkStart w:id="918" w:name="_Toc30272"/>
      <w:r>
        <w:rPr>
          <w:rFonts w:hint="eastAsia" w:ascii="宋体" w:hAnsi="宋体"/>
          <w:b/>
          <w:bCs/>
          <w:color w:val="auto"/>
          <w:sz w:val="24"/>
          <w:highlight w:val="none"/>
          <w:lang w:val="zh-CN"/>
        </w:rPr>
        <w:t>2.</w:t>
      </w:r>
      <w:bookmarkEnd w:id="908"/>
      <w:bookmarkEnd w:id="909"/>
      <w:bookmarkEnd w:id="910"/>
      <w:bookmarkEnd w:id="911"/>
      <w:bookmarkEnd w:id="912"/>
      <w:bookmarkEnd w:id="913"/>
      <w:bookmarkEnd w:id="914"/>
      <w:bookmarkEnd w:id="915"/>
      <w:r>
        <w:rPr>
          <w:rFonts w:hint="eastAsia" w:ascii="宋体" w:hAnsi="宋体"/>
          <w:b/>
          <w:bCs/>
          <w:color w:val="auto"/>
          <w:sz w:val="24"/>
          <w:highlight w:val="none"/>
          <w:lang w:val="zh-CN"/>
        </w:rPr>
        <w:t>5</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履约检查和问题反馈</w:t>
      </w:r>
      <w:bookmarkEnd w:id="916"/>
      <w:bookmarkEnd w:id="917"/>
      <w:bookmarkEnd w:id="918"/>
    </w:p>
    <w:p w14:paraId="0EA067F7">
      <w:pPr>
        <w:spacing w:line="360" w:lineRule="auto"/>
        <w:ind w:firstLine="435"/>
        <w:rPr>
          <w:rFonts w:ascii="宋体" w:hAnsi="宋体"/>
          <w:color w:val="auto"/>
          <w:sz w:val="24"/>
          <w:highlight w:val="none"/>
        </w:rPr>
      </w:pPr>
      <w:bookmarkStart w:id="919" w:name="_Ref467379657"/>
      <w:r>
        <w:rPr>
          <w:rFonts w:hint="eastAsia" w:ascii="宋体" w:hAnsi="宋体"/>
          <w:color w:val="auto"/>
          <w:sz w:val="24"/>
          <w:highlight w:val="none"/>
        </w:rPr>
        <w:t>2.5</w:t>
      </w:r>
      <w:r>
        <w:rPr>
          <w:rFonts w:ascii="宋体" w:hAnsi="宋体"/>
          <w:color w:val="auto"/>
          <w:sz w:val="24"/>
          <w:highlight w:val="none"/>
        </w:rPr>
        <w:t>.1</w:t>
      </w:r>
      <w:bookmarkEnd w:id="919"/>
      <w:bookmarkStart w:id="920" w:name="_Toc186431854"/>
      <w:bookmarkStart w:id="921" w:name="_Toc279701247"/>
      <w:bookmarkStart w:id="922" w:name="_Toc487900357"/>
      <w:bookmarkStart w:id="923" w:name="_Ref467379793"/>
      <w:bookmarkStart w:id="924" w:name="_Toc259093676"/>
      <w:bookmarkStart w:id="925" w:name="_Ref467379807"/>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，对乙方是否能够按照合同约定交付货物进行履约检查，以确保乙方所交付的货物能够依约满足甲方项目需求，但不得因履约检查妨碍乙方的正常工作，乙方应予积极配合；</w:t>
      </w:r>
    </w:p>
    <w:p w14:paraId="3DE68242">
      <w:pPr>
        <w:spacing w:line="360" w:lineRule="auto"/>
        <w:ind w:firstLine="435"/>
        <w:rPr>
          <w:rFonts w:ascii="宋体" w:hAnsi="宋体"/>
          <w:color w:val="auto"/>
          <w:sz w:val="24"/>
          <w:highlight w:val="none"/>
        </w:rPr>
      </w:pPr>
      <w:r>
        <w:rPr>
          <w:rFonts w:hint="eastAsia" w:ascii="宋体" w:hAnsi="宋体"/>
          <w:color w:val="auto"/>
          <w:sz w:val="24"/>
          <w:highlight w:val="none"/>
        </w:rPr>
        <w:t>2.5.2合同履行期间，甲方有权将履行过程中出现的问题反馈给乙方，双方当事人应以书面形式约定需要完善和改进的内容</w:t>
      </w:r>
      <w:bookmarkEnd w:id="920"/>
      <w:bookmarkStart w:id="926" w:name="_Toc186431855"/>
      <w:r>
        <w:rPr>
          <w:rFonts w:hint="eastAsia" w:ascii="宋体" w:hAnsi="宋体"/>
          <w:color w:val="auto"/>
          <w:sz w:val="24"/>
          <w:highlight w:val="none"/>
        </w:rPr>
        <w:t>。</w:t>
      </w:r>
    </w:p>
    <w:bookmarkEnd w:id="926"/>
    <w:p w14:paraId="427BBB93">
      <w:pPr>
        <w:spacing w:line="360" w:lineRule="auto"/>
        <w:ind w:firstLine="437"/>
        <w:outlineLvl w:val="2"/>
        <w:rPr>
          <w:rFonts w:ascii="宋体" w:hAnsi="宋体"/>
          <w:b/>
          <w:bCs/>
          <w:color w:val="auto"/>
          <w:sz w:val="24"/>
          <w:highlight w:val="none"/>
          <w:lang w:val="zh-CN"/>
        </w:rPr>
      </w:pPr>
      <w:bookmarkStart w:id="927" w:name="_Toc28451"/>
      <w:bookmarkStart w:id="928" w:name="_Toc7836"/>
      <w:bookmarkStart w:id="929" w:name="_Toc19219"/>
      <w:r>
        <w:rPr>
          <w:rFonts w:hint="eastAsia" w:ascii="宋体" w:hAnsi="宋体"/>
          <w:b/>
          <w:bCs/>
          <w:color w:val="auto"/>
          <w:sz w:val="24"/>
          <w:highlight w:val="none"/>
          <w:lang w:val="zh-CN"/>
        </w:rPr>
        <w:t xml:space="preserve">2.6 </w:t>
      </w:r>
      <w:r>
        <w:rPr>
          <w:rFonts w:ascii="宋体" w:hAnsi="宋体"/>
          <w:b/>
          <w:bCs/>
          <w:color w:val="auto"/>
          <w:sz w:val="24"/>
          <w:highlight w:val="none"/>
          <w:lang w:val="zh-CN"/>
        </w:rPr>
        <w:t>结算方式和付款条件</w:t>
      </w:r>
      <w:bookmarkEnd w:id="921"/>
      <w:bookmarkEnd w:id="922"/>
      <w:bookmarkEnd w:id="923"/>
      <w:bookmarkEnd w:id="924"/>
      <w:bookmarkEnd w:id="925"/>
      <w:bookmarkEnd w:id="927"/>
      <w:bookmarkEnd w:id="928"/>
      <w:bookmarkEnd w:id="929"/>
    </w:p>
    <w:p w14:paraId="686B2E46">
      <w:pPr>
        <w:spacing w:line="360" w:lineRule="auto"/>
        <w:ind w:firstLine="435"/>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5D74F2B6">
      <w:pPr>
        <w:spacing w:line="360" w:lineRule="auto"/>
        <w:ind w:firstLine="437"/>
        <w:outlineLvl w:val="2"/>
        <w:rPr>
          <w:rFonts w:ascii="宋体" w:hAnsi="宋体"/>
          <w:b/>
          <w:bCs/>
          <w:color w:val="auto"/>
          <w:sz w:val="24"/>
          <w:highlight w:val="none"/>
          <w:lang w:val="zh-CN"/>
        </w:rPr>
      </w:pPr>
      <w:bookmarkStart w:id="930" w:name="_Toc259093677"/>
      <w:bookmarkStart w:id="931" w:name="_Ref467379923"/>
      <w:bookmarkStart w:id="932" w:name="_Toc487900358"/>
      <w:bookmarkStart w:id="933" w:name="_Toc279701248"/>
      <w:bookmarkStart w:id="934" w:name="_Ref467379863"/>
      <w:bookmarkStart w:id="935" w:name="_Ref467379852"/>
      <w:bookmarkStart w:id="936" w:name="_Toc16110"/>
      <w:bookmarkStart w:id="937" w:name="_Toc774"/>
      <w:bookmarkStart w:id="938" w:name="_Toc3225"/>
      <w:r>
        <w:rPr>
          <w:rFonts w:hint="eastAsia" w:ascii="宋体" w:hAnsi="宋体"/>
          <w:b/>
          <w:bCs/>
          <w:color w:val="auto"/>
          <w:sz w:val="24"/>
          <w:highlight w:val="none"/>
          <w:lang w:val="zh-CN"/>
        </w:rPr>
        <w:t xml:space="preserve">2.7 </w:t>
      </w:r>
      <w:r>
        <w:rPr>
          <w:rFonts w:ascii="宋体" w:hAnsi="宋体"/>
          <w:b/>
          <w:bCs/>
          <w:color w:val="auto"/>
          <w:sz w:val="24"/>
          <w:highlight w:val="none"/>
          <w:lang w:val="zh-CN"/>
        </w:rPr>
        <w:t>技术资料</w:t>
      </w:r>
      <w:bookmarkEnd w:id="930"/>
      <w:bookmarkEnd w:id="931"/>
      <w:bookmarkEnd w:id="932"/>
      <w:bookmarkEnd w:id="933"/>
      <w:bookmarkEnd w:id="934"/>
      <w:bookmarkEnd w:id="935"/>
      <w:r>
        <w:rPr>
          <w:rFonts w:ascii="宋体" w:hAnsi="宋体"/>
          <w:b/>
          <w:bCs/>
          <w:color w:val="auto"/>
          <w:sz w:val="24"/>
          <w:highlight w:val="none"/>
          <w:lang w:val="zh-CN"/>
        </w:rPr>
        <w:t>和保密义务</w:t>
      </w:r>
      <w:bookmarkEnd w:id="936"/>
      <w:bookmarkEnd w:id="937"/>
      <w:bookmarkEnd w:id="938"/>
    </w:p>
    <w:p w14:paraId="3414CDFB">
      <w:pPr>
        <w:spacing w:line="360" w:lineRule="auto"/>
        <w:ind w:firstLine="435"/>
        <w:rPr>
          <w:rFonts w:ascii="宋体" w:hAnsi="宋体"/>
          <w:color w:val="auto"/>
          <w:sz w:val="24"/>
          <w:highlight w:val="none"/>
        </w:rPr>
      </w:pPr>
      <w:r>
        <w:rPr>
          <w:rFonts w:hint="eastAsia" w:ascii="宋体" w:hAnsi="宋体"/>
          <w:color w:val="auto"/>
          <w:sz w:val="24"/>
          <w:highlight w:val="none"/>
        </w:rPr>
        <w:t>2.7</w:t>
      </w:r>
      <w:r>
        <w:rPr>
          <w:rFonts w:ascii="宋体" w:hAnsi="宋体"/>
          <w:color w:val="auto"/>
          <w:sz w:val="24"/>
          <w:highlight w:val="none"/>
        </w:rPr>
        <w:t>.1</w:t>
      </w:r>
      <w:r>
        <w:rPr>
          <w:rFonts w:hint="eastAsia" w:ascii="宋体" w:hAnsi="宋体"/>
          <w:color w:val="auto"/>
          <w:sz w:val="24"/>
          <w:highlight w:val="none"/>
        </w:rPr>
        <w:t>乙方有权依据合同约定和项目需要，向甲方了解有关情况，调阅有关资料等，甲方应予积极配合；</w:t>
      </w:r>
    </w:p>
    <w:p w14:paraId="7C11A1BD">
      <w:pPr>
        <w:spacing w:line="360" w:lineRule="auto"/>
        <w:ind w:firstLine="435"/>
        <w:rPr>
          <w:rFonts w:ascii="宋体" w:hAnsi="宋体"/>
          <w:color w:val="auto"/>
          <w:sz w:val="24"/>
          <w:highlight w:val="none"/>
        </w:rPr>
      </w:pPr>
      <w:r>
        <w:rPr>
          <w:rFonts w:hint="eastAsia" w:ascii="宋体" w:hAnsi="宋体"/>
          <w:color w:val="auto"/>
          <w:sz w:val="24"/>
          <w:highlight w:val="none"/>
        </w:rPr>
        <w:t>2.7.2乙方有义务妥善保管和保护由甲方提供的前款信息和资料等；</w:t>
      </w:r>
    </w:p>
    <w:p w14:paraId="60289496">
      <w:pPr>
        <w:spacing w:line="360" w:lineRule="auto"/>
        <w:ind w:firstLine="435"/>
        <w:rPr>
          <w:rFonts w:ascii="宋体" w:hAnsi="宋体"/>
          <w:color w:val="auto"/>
          <w:sz w:val="24"/>
          <w:highlight w:val="none"/>
        </w:rPr>
      </w:pPr>
      <w:r>
        <w:rPr>
          <w:rFonts w:hint="eastAsia" w:ascii="宋体" w:hAnsi="宋体"/>
          <w:color w:val="auto"/>
          <w:sz w:val="24"/>
          <w:highlight w:val="none"/>
        </w:rPr>
        <w:t>2.7</w:t>
      </w:r>
      <w:r>
        <w:rPr>
          <w:rFonts w:ascii="宋体" w:hAnsi="宋体"/>
          <w:color w:val="auto"/>
          <w:sz w:val="24"/>
          <w:highlight w:val="none"/>
        </w:rPr>
        <w:t>.</w:t>
      </w: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58DFE32">
      <w:pPr>
        <w:spacing w:line="360" w:lineRule="auto"/>
        <w:ind w:firstLine="437"/>
        <w:outlineLvl w:val="2"/>
        <w:rPr>
          <w:rFonts w:ascii="宋体" w:hAnsi="宋体"/>
          <w:b/>
          <w:bCs/>
          <w:color w:val="auto"/>
          <w:sz w:val="24"/>
          <w:highlight w:val="none"/>
          <w:lang w:val="zh-CN"/>
        </w:rPr>
      </w:pPr>
      <w:bookmarkStart w:id="939" w:name="_Toc7860"/>
      <w:r>
        <w:rPr>
          <w:rFonts w:ascii="宋体" w:hAnsi="宋体"/>
          <w:b/>
          <w:bCs/>
          <w:color w:val="auto"/>
          <w:sz w:val="24"/>
          <w:highlight w:val="none"/>
          <w:lang w:val="zh-CN"/>
        </w:rPr>
        <w:t>2.8 质量保证</w:t>
      </w:r>
      <w:bookmarkEnd w:id="939"/>
    </w:p>
    <w:p w14:paraId="41FB581F">
      <w:pPr>
        <w:spacing w:line="360" w:lineRule="auto"/>
        <w:ind w:firstLine="435"/>
        <w:rPr>
          <w:rFonts w:ascii="宋体" w:hAnsi="宋体"/>
          <w:color w:val="auto"/>
          <w:sz w:val="24"/>
          <w:highlight w:val="none"/>
        </w:rPr>
      </w:pPr>
      <w:r>
        <w:rPr>
          <w:rFonts w:hint="eastAsia" w:ascii="宋体" w:hAnsi="宋体"/>
          <w:color w:val="auto"/>
          <w:sz w:val="24"/>
          <w:highlight w:val="none"/>
        </w:rPr>
        <w:t>2.8.1乙方应建立和完善履行合同的内部质量保证体系，并提供相关内部规章制度给甲方，以便甲方进行监督检查；</w:t>
      </w:r>
    </w:p>
    <w:p w14:paraId="1BC5A82C">
      <w:pPr>
        <w:spacing w:line="360" w:lineRule="auto"/>
        <w:ind w:firstLine="435"/>
        <w:rPr>
          <w:rFonts w:ascii="宋体" w:hAnsi="宋体"/>
          <w:color w:val="auto"/>
          <w:sz w:val="24"/>
          <w:highlight w:val="none"/>
        </w:rPr>
      </w:pPr>
      <w:r>
        <w:rPr>
          <w:rFonts w:hint="eastAsia" w:ascii="宋体" w:hAnsi="宋体"/>
          <w:color w:val="auto"/>
          <w:sz w:val="24"/>
          <w:highlight w:val="none"/>
        </w:rPr>
        <w:t>2.8.2乙方应保证履行合同的人员数量和素质、软件和硬件设备的配置、场地、环境和设施等满足全面履行合同的要求，并应接受甲方的监督检查。</w:t>
      </w:r>
    </w:p>
    <w:p w14:paraId="36E87AF0">
      <w:pPr>
        <w:spacing w:line="360" w:lineRule="auto"/>
        <w:ind w:firstLine="437"/>
        <w:outlineLvl w:val="2"/>
        <w:rPr>
          <w:rFonts w:ascii="宋体" w:hAnsi="宋体"/>
          <w:b/>
          <w:bCs/>
          <w:color w:val="auto"/>
          <w:sz w:val="24"/>
          <w:highlight w:val="none"/>
          <w:lang w:val="zh-CN"/>
        </w:rPr>
      </w:pPr>
      <w:bookmarkStart w:id="940" w:name="_Toc17244"/>
      <w:bookmarkStart w:id="941" w:name="_Toc259093681"/>
      <w:bookmarkStart w:id="942" w:name="_Toc279701252"/>
      <w:bookmarkStart w:id="943" w:name="_Toc487900362"/>
      <w:r>
        <w:rPr>
          <w:rFonts w:ascii="宋体" w:hAnsi="宋体"/>
          <w:b/>
          <w:bCs/>
          <w:color w:val="auto"/>
          <w:sz w:val="24"/>
          <w:highlight w:val="none"/>
          <w:lang w:val="zh-CN"/>
        </w:rPr>
        <w:t>2.9 货物的风险负担</w:t>
      </w:r>
      <w:bookmarkEnd w:id="940"/>
    </w:p>
    <w:p w14:paraId="388EADDB">
      <w:pPr>
        <w:spacing w:line="360" w:lineRule="auto"/>
        <w:ind w:firstLine="435"/>
        <w:rPr>
          <w:rFonts w:ascii="宋体" w:hAnsi="宋体"/>
          <w:b/>
          <w:color w:val="auto"/>
          <w:sz w:val="24"/>
          <w:highlight w:val="none"/>
        </w:rPr>
      </w:pPr>
      <w:r>
        <w:rPr>
          <w:rFonts w:hint="eastAsia" w:ascii="宋体" w:hAnsi="宋体"/>
          <w:color w:val="auto"/>
          <w:sz w:val="24"/>
          <w:highlight w:val="none"/>
        </w:rPr>
        <w:t>货物或者在途货物或者交付给第一承运人后的货物毁损、灭失的风险负担</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4847DC2A">
      <w:pPr>
        <w:spacing w:line="360" w:lineRule="auto"/>
        <w:ind w:firstLine="437"/>
        <w:outlineLvl w:val="2"/>
        <w:rPr>
          <w:rFonts w:ascii="宋体" w:hAnsi="宋体"/>
          <w:b/>
          <w:bCs/>
          <w:color w:val="auto"/>
          <w:sz w:val="24"/>
          <w:highlight w:val="none"/>
          <w:lang w:val="zh-CN"/>
        </w:rPr>
      </w:pPr>
      <w:bookmarkStart w:id="944" w:name="_Toc14055"/>
      <w:r>
        <w:rPr>
          <w:rFonts w:ascii="宋体" w:hAnsi="宋体"/>
          <w:b/>
          <w:bCs/>
          <w:color w:val="auto"/>
          <w:sz w:val="24"/>
          <w:highlight w:val="none"/>
          <w:lang w:val="zh-CN"/>
        </w:rPr>
        <w:t>2.10 延迟交货</w:t>
      </w:r>
      <w:bookmarkEnd w:id="941"/>
      <w:bookmarkEnd w:id="942"/>
      <w:bookmarkEnd w:id="943"/>
      <w:bookmarkEnd w:id="944"/>
    </w:p>
    <w:p w14:paraId="37BF203E">
      <w:pPr>
        <w:spacing w:line="360" w:lineRule="auto"/>
        <w:ind w:firstLine="435"/>
        <w:rPr>
          <w:rFonts w:ascii="宋体" w:hAnsi="宋体"/>
          <w:color w:val="auto"/>
          <w:sz w:val="24"/>
          <w:highlight w:val="none"/>
        </w:rPr>
      </w:pPr>
      <w:r>
        <w:rPr>
          <w:rFonts w:ascii="宋体" w:hAnsi="宋体"/>
          <w:color w:val="auto"/>
          <w:sz w:val="24"/>
          <w:highlight w:val="none"/>
        </w:rPr>
        <w:t>在合同履行过程中，如果乙方遇到不能按时交付货物的情况，应及时以书面形式将不能按时</w:t>
      </w:r>
      <w:r>
        <w:rPr>
          <w:rFonts w:hint="eastAsia" w:ascii="宋体" w:hAnsi="宋体"/>
          <w:color w:val="auto"/>
          <w:sz w:val="24"/>
          <w:highlight w:val="none"/>
        </w:rPr>
        <w:t>交付货物</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方收到乙方通知后，认为其理由正当的，可以书面形式酌情同意乙方可以延长交货的具体时间。</w:t>
      </w:r>
    </w:p>
    <w:p w14:paraId="41DC02C8">
      <w:pPr>
        <w:spacing w:line="360" w:lineRule="auto"/>
        <w:ind w:firstLine="437"/>
        <w:outlineLvl w:val="2"/>
        <w:rPr>
          <w:rFonts w:ascii="宋体" w:hAnsi="宋体"/>
          <w:b/>
          <w:bCs/>
          <w:color w:val="auto"/>
          <w:sz w:val="24"/>
          <w:highlight w:val="none"/>
          <w:lang w:val="zh-CN"/>
        </w:rPr>
      </w:pPr>
      <w:bookmarkStart w:id="945" w:name="_Toc7502"/>
      <w:bookmarkStart w:id="946" w:name="_Toc487900364"/>
      <w:bookmarkStart w:id="947" w:name="_Ref467378121"/>
      <w:bookmarkStart w:id="948" w:name="_Toc279701254"/>
      <w:bookmarkStart w:id="949" w:name="_Toc259093683"/>
      <w:r>
        <w:rPr>
          <w:rFonts w:ascii="宋体" w:hAnsi="宋体"/>
          <w:b/>
          <w:bCs/>
          <w:color w:val="auto"/>
          <w:sz w:val="24"/>
          <w:highlight w:val="none"/>
          <w:lang w:val="zh-CN"/>
        </w:rPr>
        <w:t>2.11 合同变更</w:t>
      </w:r>
      <w:bookmarkEnd w:id="945"/>
    </w:p>
    <w:p w14:paraId="427C994A">
      <w:pPr>
        <w:spacing w:line="360" w:lineRule="auto"/>
        <w:ind w:firstLine="435"/>
        <w:rPr>
          <w:rFonts w:ascii="宋体" w:hAnsi="宋体"/>
          <w:color w:val="auto"/>
          <w:sz w:val="24"/>
          <w:highlight w:val="none"/>
        </w:rPr>
      </w:pPr>
      <w:r>
        <w:rPr>
          <w:rFonts w:hint="eastAsia" w:ascii="宋体" w:hAnsi="宋体"/>
          <w:color w:val="auto"/>
          <w:sz w:val="24"/>
          <w:highlight w:val="none"/>
        </w:rPr>
        <w:t>2.11.1双方当事人协商一致，可以签订书面补充合同的形式变更合同，但不得违背采购文件确定的事项；</w:t>
      </w:r>
    </w:p>
    <w:p w14:paraId="4A900169">
      <w:pPr>
        <w:spacing w:line="360" w:lineRule="auto"/>
        <w:ind w:firstLine="435"/>
        <w:rPr>
          <w:rFonts w:ascii="宋体" w:hAnsi="宋体"/>
          <w:color w:val="auto"/>
          <w:sz w:val="24"/>
          <w:highlight w:val="none"/>
        </w:rPr>
      </w:pPr>
      <w:r>
        <w:rPr>
          <w:rFonts w:hint="eastAsia" w:ascii="宋体" w:hAnsi="宋体"/>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950" w:name="_Toc259093688"/>
      <w:bookmarkStart w:id="951" w:name="_Toc279701259"/>
      <w:bookmarkStart w:id="952" w:name="_Toc487900369"/>
    </w:p>
    <w:p w14:paraId="3F2D83C2">
      <w:pPr>
        <w:spacing w:line="360" w:lineRule="auto"/>
        <w:ind w:firstLine="437"/>
        <w:outlineLvl w:val="2"/>
        <w:rPr>
          <w:rFonts w:ascii="宋体" w:hAnsi="宋体"/>
          <w:b/>
          <w:bCs/>
          <w:color w:val="auto"/>
          <w:sz w:val="24"/>
          <w:highlight w:val="none"/>
          <w:lang w:val="zh-CN"/>
        </w:rPr>
      </w:pPr>
      <w:bookmarkStart w:id="953" w:name="_Toc22955"/>
      <w:bookmarkStart w:id="954" w:name="_Toc10366"/>
      <w:bookmarkStart w:id="955" w:name="_Toc15237"/>
      <w:r>
        <w:rPr>
          <w:rFonts w:hint="eastAsia" w:ascii="宋体" w:hAnsi="宋体"/>
          <w:b/>
          <w:bCs/>
          <w:color w:val="auto"/>
          <w:sz w:val="24"/>
          <w:highlight w:val="none"/>
          <w:lang w:val="zh-CN"/>
        </w:rPr>
        <w:t xml:space="preserve">2.12 </w:t>
      </w:r>
      <w:r>
        <w:rPr>
          <w:rFonts w:ascii="宋体" w:hAnsi="宋体"/>
          <w:b/>
          <w:bCs/>
          <w:color w:val="auto"/>
          <w:sz w:val="24"/>
          <w:highlight w:val="none"/>
          <w:lang w:val="zh-CN"/>
        </w:rPr>
        <w:t>合同转让</w:t>
      </w:r>
      <w:bookmarkEnd w:id="950"/>
      <w:bookmarkEnd w:id="951"/>
      <w:bookmarkEnd w:id="952"/>
      <w:r>
        <w:rPr>
          <w:rFonts w:ascii="宋体" w:hAnsi="宋体"/>
          <w:b/>
          <w:bCs/>
          <w:color w:val="auto"/>
          <w:sz w:val="24"/>
          <w:highlight w:val="none"/>
          <w:lang w:val="zh-CN"/>
        </w:rPr>
        <w:t>和分包</w:t>
      </w:r>
      <w:bookmarkEnd w:id="953"/>
      <w:bookmarkEnd w:id="954"/>
      <w:bookmarkEnd w:id="955"/>
    </w:p>
    <w:p w14:paraId="3A5838CD">
      <w:pPr>
        <w:spacing w:line="360" w:lineRule="auto"/>
        <w:ind w:firstLine="435"/>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5821AD1E">
      <w:pPr>
        <w:spacing w:line="360" w:lineRule="auto"/>
        <w:ind w:firstLine="437"/>
        <w:outlineLvl w:val="2"/>
        <w:rPr>
          <w:rFonts w:ascii="宋体" w:hAnsi="宋体"/>
          <w:b/>
          <w:bCs/>
          <w:color w:val="auto"/>
          <w:sz w:val="24"/>
          <w:highlight w:val="none"/>
          <w:lang w:val="zh-CN"/>
        </w:rPr>
      </w:pPr>
      <w:bookmarkStart w:id="956" w:name="_Toc13566"/>
      <w:bookmarkStart w:id="957" w:name="_Toc16508"/>
      <w:bookmarkStart w:id="958" w:name="_Toc14066"/>
      <w:r>
        <w:rPr>
          <w:rFonts w:hint="eastAsia" w:ascii="宋体" w:hAnsi="宋体"/>
          <w:b/>
          <w:bCs/>
          <w:color w:val="auto"/>
          <w:sz w:val="24"/>
          <w:highlight w:val="none"/>
          <w:lang w:val="zh-CN"/>
        </w:rPr>
        <w:t>2.13</w:t>
      </w:r>
      <w:r>
        <w:rPr>
          <w:rFonts w:ascii="宋体" w:hAnsi="宋体"/>
          <w:b/>
          <w:bCs/>
          <w:color w:val="auto"/>
          <w:sz w:val="24"/>
          <w:highlight w:val="none"/>
          <w:lang w:val="zh-CN"/>
        </w:rPr>
        <w:t xml:space="preserve"> 不可抗力</w:t>
      </w:r>
      <w:bookmarkEnd w:id="956"/>
      <w:bookmarkEnd w:id="957"/>
      <w:bookmarkEnd w:id="958"/>
    </w:p>
    <w:p w14:paraId="349AC0C7">
      <w:pPr>
        <w:spacing w:line="360" w:lineRule="auto"/>
        <w:ind w:firstLine="435"/>
        <w:rPr>
          <w:rFonts w:ascii="宋体" w:hAnsi="宋体"/>
          <w:color w:val="auto"/>
          <w:sz w:val="24"/>
          <w:highlight w:val="none"/>
        </w:rPr>
      </w:pPr>
      <w:r>
        <w:rPr>
          <w:rFonts w:hint="eastAsia" w:ascii="宋体" w:hAnsi="宋体"/>
          <w:color w:val="auto"/>
          <w:sz w:val="24"/>
          <w:highlight w:val="none"/>
        </w:rPr>
        <w:t>2.13</w:t>
      </w:r>
      <w:r>
        <w:rPr>
          <w:rFonts w:ascii="宋体" w:hAnsi="宋体"/>
          <w:color w:val="auto"/>
          <w:sz w:val="24"/>
          <w:highlight w:val="none"/>
        </w:rPr>
        <w:t>.1如果任何一方遭遇法律规定的不可抗力，致使合同履行受阻时，履行合同的期限应予延长，延长的期限应相当于不可抗力所影响的时间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725E7BC2">
      <w:pPr>
        <w:spacing w:line="360" w:lineRule="auto"/>
        <w:ind w:firstLine="435"/>
        <w:rPr>
          <w:rFonts w:ascii="宋体" w:hAnsi="宋体"/>
          <w:color w:val="auto"/>
          <w:sz w:val="24"/>
          <w:highlight w:val="none"/>
        </w:rPr>
      </w:pPr>
      <w:r>
        <w:rPr>
          <w:rFonts w:hint="eastAsia" w:ascii="宋体" w:hAnsi="宋体"/>
          <w:color w:val="auto"/>
          <w:sz w:val="24"/>
          <w:highlight w:val="none"/>
        </w:rPr>
        <w:t>2.13.2因不可抗力致使不能实现合同目的的，当事人可以解除合同；</w:t>
      </w:r>
    </w:p>
    <w:p w14:paraId="6A942123">
      <w:pPr>
        <w:spacing w:line="360" w:lineRule="auto"/>
        <w:ind w:firstLine="435"/>
        <w:rPr>
          <w:rFonts w:ascii="宋体" w:hAnsi="宋体"/>
          <w:color w:val="auto"/>
          <w:sz w:val="24"/>
          <w:highlight w:val="none"/>
        </w:rPr>
      </w:pPr>
      <w:r>
        <w:rPr>
          <w:rFonts w:hint="eastAsia" w:ascii="宋体" w:hAnsi="宋体"/>
          <w:color w:val="auto"/>
          <w:sz w:val="24"/>
          <w:highlight w:val="none"/>
        </w:rPr>
        <w:t>2.13.3因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7412F19D">
      <w:pPr>
        <w:spacing w:line="360" w:lineRule="auto"/>
        <w:ind w:firstLine="435"/>
        <w:rPr>
          <w:rFonts w:ascii="宋体" w:hAnsi="宋体"/>
          <w:color w:val="auto"/>
          <w:sz w:val="24"/>
          <w:highlight w:val="none"/>
        </w:rPr>
      </w:pPr>
      <w:r>
        <w:rPr>
          <w:rFonts w:hint="eastAsia" w:ascii="宋体" w:hAnsi="宋体"/>
          <w:color w:val="auto"/>
          <w:sz w:val="24"/>
          <w:highlight w:val="none"/>
        </w:rPr>
        <w:t>2.13</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B2A23D9">
      <w:pPr>
        <w:spacing w:line="360" w:lineRule="auto"/>
        <w:ind w:firstLine="437"/>
        <w:outlineLvl w:val="2"/>
        <w:rPr>
          <w:rFonts w:ascii="宋体" w:hAnsi="宋体"/>
          <w:b/>
          <w:bCs/>
          <w:color w:val="auto"/>
          <w:sz w:val="24"/>
          <w:highlight w:val="none"/>
          <w:lang w:val="zh-CN"/>
        </w:rPr>
      </w:pPr>
      <w:bookmarkStart w:id="959" w:name="_Toc6969"/>
      <w:bookmarkStart w:id="960" w:name="_Toc30676"/>
      <w:bookmarkStart w:id="961" w:name="_Toc689"/>
      <w:bookmarkStart w:id="962" w:name="_Toc279701255"/>
      <w:bookmarkStart w:id="963" w:name="_Toc259093684"/>
      <w:bookmarkStart w:id="964" w:name="_Toc487900365"/>
      <w:r>
        <w:rPr>
          <w:rFonts w:hint="eastAsia" w:ascii="宋体" w:hAnsi="宋体"/>
          <w:b/>
          <w:bCs/>
          <w:color w:val="auto"/>
          <w:sz w:val="24"/>
          <w:highlight w:val="none"/>
          <w:lang w:val="zh-CN"/>
        </w:rPr>
        <w:t>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4 </w:t>
      </w:r>
      <w:r>
        <w:rPr>
          <w:rFonts w:ascii="宋体" w:hAnsi="宋体"/>
          <w:b/>
          <w:bCs/>
          <w:color w:val="auto"/>
          <w:sz w:val="24"/>
          <w:highlight w:val="none"/>
          <w:lang w:val="zh-CN"/>
        </w:rPr>
        <w:t>税费</w:t>
      </w:r>
      <w:bookmarkEnd w:id="959"/>
      <w:bookmarkEnd w:id="960"/>
      <w:bookmarkEnd w:id="961"/>
      <w:bookmarkEnd w:id="962"/>
      <w:bookmarkEnd w:id="963"/>
      <w:bookmarkEnd w:id="964"/>
    </w:p>
    <w:p w14:paraId="79F58FBB">
      <w:pPr>
        <w:spacing w:line="360" w:lineRule="auto"/>
        <w:ind w:firstLine="435"/>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w:t>
      </w:r>
      <w:r>
        <w:rPr>
          <w:rFonts w:hint="eastAsia" w:ascii="宋体" w:hAnsi="宋体"/>
          <w:color w:val="auto"/>
          <w:sz w:val="24"/>
          <w:highlight w:val="none"/>
        </w:rPr>
        <w:t>缴纳</w:t>
      </w:r>
      <w:r>
        <w:rPr>
          <w:rFonts w:ascii="宋体" w:hAnsi="宋体"/>
          <w:color w:val="auto"/>
          <w:sz w:val="24"/>
          <w:highlight w:val="none"/>
        </w:rPr>
        <w:t>。</w:t>
      </w:r>
    </w:p>
    <w:p w14:paraId="3AE75470">
      <w:pPr>
        <w:spacing w:line="360" w:lineRule="auto"/>
        <w:ind w:firstLine="437"/>
        <w:outlineLvl w:val="2"/>
        <w:rPr>
          <w:rFonts w:ascii="宋体" w:hAnsi="宋体"/>
          <w:b/>
          <w:bCs/>
          <w:color w:val="auto"/>
          <w:sz w:val="24"/>
          <w:highlight w:val="none"/>
          <w:lang w:val="zh-CN"/>
        </w:rPr>
      </w:pPr>
      <w:bookmarkStart w:id="965" w:name="_Toc259093687"/>
      <w:bookmarkStart w:id="966" w:name="_Toc279701258"/>
      <w:bookmarkStart w:id="967" w:name="_Toc16959"/>
      <w:bookmarkStart w:id="968" w:name="_Toc8298"/>
      <w:bookmarkStart w:id="969" w:name="_Toc7102"/>
      <w:bookmarkStart w:id="970" w:name="_Toc487900368"/>
      <w:r>
        <w:rPr>
          <w:rFonts w:hint="eastAsia" w:ascii="宋体" w:hAnsi="宋体"/>
          <w:b/>
          <w:bCs/>
          <w:color w:val="auto"/>
          <w:sz w:val="24"/>
          <w:highlight w:val="none"/>
          <w:lang w:val="zh-CN"/>
        </w:rPr>
        <w:t>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5 </w:t>
      </w:r>
      <w:r>
        <w:rPr>
          <w:rFonts w:ascii="宋体" w:hAnsi="宋体"/>
          <w:b/>
          <w:bCs/>
          <w:color w:val="auto"/>
          <w:sz w:val="24"/>
          <w:highlight w:val="none"/>
          <w:lang w:val="zh-CN"/>
        </w:rPr>
        <w:t>乙方破产</w:t>
      </w:r>
      <w:bookmarkEnd w:id="965"/>
      <w:bookmarkEnd w:id="966"/>
      <w:bookmarkEnd w:id="967"/>
      <w:bookmarkEnd w:id="968"/>
      <w:bookmarkEnd w:id="969"/>
      <w:bookmarkEnd w:id="970"/>
    </w:p>
    <w:p w14:paraId="1EC71D00">
      <w:pPr>
        <w:spacing w:line="360" w:lineRule="auto"/>
        <w:ind w:firstLine="435"/>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096FF090">
      <w:pPr>
        <w:spacing w:line="360" w:lineRule="auto"/>
        <w:ind w:firstLine="437"/>
        <w:outlineLvl w:val="2"/>
        <w:rPr>
          <w:rFonts w:ascii="宋体" w:hAnsi="宋体"/>
          <w:b/>
          <w:color w:val="auto"/>
          <w:sz w:val="24"/>
          <w:highlight w:val="none"/>
        </w:rPr>
      </w:pPr>
      <w:bookmarkStart w:id="971" w:name="_Toc15387"/>
      <w:bookmarkStart w:id="972" w:name="_Toc29333"/>
      <w:bookmarkStart w:id="973" w:name="_Toc6134"/>
      <w:r>
        <w:rPr>
          <w:rFonts w:hint="eastAsia" w:ascii="宋体" w:hAnsi="宋体"/>
          <w:b/>
          <w:bCs/>
          <w:color w:val="auto"/>
          <w:sz w:val="24"/>
          <w:highlight w:val="none"/>
          <w:lang w:val="zh-CN"/>
        </w:rPr>
        <w:t>2.16 合同中止、终止</w:t>
      </w:r>
      <w:bookmarkEnd w:id="971"/>
      <w:bookmarkEnd w:id="972"/>
      <w:bookmarkEnd w:id="973"/>
    </w:p>
    <w:p w14:paraId="583E5CB7">
      <w:pPr>
        <w:spacing w:line="360" w:lineRule="auto"/>
        <w:ind w:firstLine="435"/>
        <w:rPr>
          <w:rFonts w:ascii="宋体" w:hAnsi="宋体"/>
          <w:color w:val="auto"/>
          <w:sz w:val="24"/>
          <w:highlight w:val="none"/>
        </w:rPr>
      </w:pPr>
      <w:r>
        <w:rPr>
          <w:rFonts w:hint="eastAsia" w:ascii="宋体" w:hAnsi="宋体"/>
          <w:color w:val="auto"/>
          <w:sz w:val="24"/>
          <w:highlight w:val="none"/>
        </w:rPr>
        <w:t>2.16.1双方当事人不得擅自中止或者终止合同；</w:t>
      </w:r>
    </w:p>
    <w:p w14:paraId="70B10C18">
      <w:pPr>
        <w:spacing w:line="360" w:lineRule="auto"/>
        <w:ind w:firstLine="435"/>
        <w:rPr>
          <w:rFonts w:ascii="宋体" w:hAnsi="宋体"/>
          <w:color w:val="auto"/>
          <w:sz w:val="24"/>
          <w:highlight w:val="none"/>
        </w:rPr>
      </w:pPr>
      <w:r>
        <w:rPr>
          <w:rFonts w:hint="eastAsia" w:ascii="宋体" w:hAnsi="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DEF7C16">
      <w:pPr>
        <w:spacing w:line="360" w:lineRule="auto"/>
        <w:ind w:firstLine="437"/>
        <w:outlineLvl w:val="2"/>
        <w:rPr>
          <w:rFonts w:ascii="宋体" w:hAnsi="宋体"/>
          <w:b/>
          <w:bCs/>
          <w:color w:val="auto"/>
          <w:sz w:val="24"/>
          <w:highlight w:val="none"/>
          <w:lang w:val="zh-CN"/>
        </w:rPr>
      </w:pPr>
      <w:bookmarkStart w:id="974" w:name="_Toc1125"/>
      <w:bookmarkStart w:id="975" w:name="_Toc6596"/>
      <w:bookmarkStart w:id="976" w:name="_Toc14563"/>
      <w:r>
        <w:rPr>
          <w:rFonts w:hint="eastAsia" w:ascii="宋体" w:hAnsi="宋体"/>
          <w:b/>
          <w:bCs/>
          <w:color w:val="auto"/>
          <w:sz w:val="24"/>
          <w:highlight w:val="none"/>
          <w:lang w:val="zh-CN"/>
        </w:rPr>
        <w:t>2.17 检验和验收</w:t>
      </w:r>
      <w:bookmarkEnd w:id="974"/>
      <w:bookmarkEnd w:id="975"/>
      <w:bookmarkEnd w:id="976"/>
    </w:p>
    <w:p w14:paraId="2B952347">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1货物交付前，乙方应对货物的质量、数量等方面进行详细、全面的检验，并向甲方出具证明货物符合合同约定的文件；货物交付时，乙方在</w:t>
      </w:r>
      <w:r>
        <w:rPr>
          <w:rFonts w:hint="eastAsia" w:ascii="宋体" w:hAnsi="宋体"/>
          <w:b/>
          <w:i/>
          <w:color w:val="auto"/>
          <w:sz w:val="24"/>
          <w:highlight w:val="none"/>
          <w:u w:val="single"/>
        </w:rPr>
        <w:t>合同专用条款</w:t>
      </w:r>
      <w:r>
        <w:rPr>
          <w:rFonts w:hint="eastAsia" w:ascii="宋体" w:hAnsi="宋体"/>
          <w:color w:val="auto"/>
          <w:sz w:val="24"/>
          <w:highlight w:val="none"/>
        </w:rPr>
        <w:t>约定时间内组织验收，并可依法邀请相关方参加，验收应出具验收书。</w:t>
      </w:r>
    </w:p>
    <w:p w14:paraId="5D1B7619">
      <w:pPr>
        <w:spacing w:line="360" w:lineRule="auto"/>
        <w:ind w:firstLine="435"/>
        <w:rPr>
          <w:rFonts w:ascii="宋体" w:hAnsi="宋体"/>
          <w:color w:val="auto"/>
          <w:sz w:val="24"/>
          <w:highlight w:val="none"/>
        </w:rPr>
      </w:pPr>
      <w:r>
        <w:rPr>
          <w:rFonts w:hint="eastAsia" w:ascii="宋体" w:hAnsi="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7BA4FE8">
      <w:pPr>
        <w:spacing w:line="360" w:lineRule="auto"/>
        <w:ind w:firstLine="435"/>
        <w:rPr>
          <w:rFonts w:ascii="宋体" w:hAnsi="宋体"/>
          <w:color w:val="auto"/>
          <w:sz w:val="24"/>
          <w:highlight w:val="none"/>
        </w:rPr>
      </w:pPr>
      <w:r>
        <w:rPr>
          <w:rFonts w:hint="eastAsia" w:ascii="宋体" w:hAnsi="宋体"/>
          <w:color w:val="auto"/>
          <w:sz w:val="24"/>
          <w:highlight w:val="none"/>
        </w:rPr>
        <w:t>2.17.3检验和验收标准、程序等具体内容以及前述验收书的效力详见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bookmarkEnd w:id="946"/>
    <w:bookmarkEnd w:id="947"/>
    <w:bookmarkEnd w:id="948"/>
    <w:bookmarkEnd w:id="949"/>
    <w:p w14:paraId="206128F5">
      <w:pPr>
        <w:spacing w:line="360" w:lineRule="auto"/>
        <w:ind w:firstLine="437"/>
        <w:outlineLvl w:val="2"/>
        <w:rPr>
          <w:rFonts w:ascii="宋体" w:hAnsi="宋体"/>
          <w:b/>
          <w:color w:val="auto"/>
          <w:sz w:val="24"/>
          <w:highlight w:val="none"/>
        </w:rPr>
      </w:pPr>
      <w:bookmarkStart w:id="977" w:name="_Toc279701262"/>
      <w:bookmarkStart w:id="978" w:name="_Toc259093691"/>
      <w:bookmarkStart w:id="979" w:name="_Toc18540"/>
      <w:bookmarkStart w:id="980" w:name="_Toc30599"/>
      <w:bookmarkStart w:id="981" w:name="_Toc487900372"/>
      <w:bookmarkStart w:id="982" w:name="_Toc4355"/>
      <w:r>
        <w:rPr>
          <w:rFonts w:hint="eastAsia" w:ascii="宋体" w:hAnsi="宋体"/>
          <w:b/>
          <w:bCs/>
          <w:color w:val="auto"/>
          <w:sz w:val="24"/>
          <w:highlight w:val="none"/>
          <w:lang w:val="zh-CN"/>
        </w:rPr>
        <w:t>2.1</w:t>
      </w:r>
      <w:r>
        <w:rPr>
          <w:rFonts w:ascii="宋体" w:hAnsi="宋体"/>
          <w:b/>
          <w:bCs/>
          <w:color w:val="auto"/>
          <w:sz w:val="24"/>
          <w:highlight w:val="none"/>
          <w:lang w:val="zh-CN"/>
        </w:rPr>
        <w:t>8</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计量单位</w:t>
      </w:r>
      <w:bookmarkEnd w:id="977"/>
      <w:bookmarkEnd w:id="978"/>
      <w:bookmarkEnd w:id="979"/>
      <w:bookmarkEnd w:id="980"/>
      <w:bookmarkEnd w:id="981"/>
      <w:bookmarkEnd w:id="982"/>
    </w:p>
    <w:p w14:paraId="6796A735">
      <w:pPr>
        <w:spacing w:line="360" w:lineRule="auto"/>
        <w:ind w:firstLine="435"/>
        <w:rPr>
          <w:rFonts w:ascii="宋体" w:hAnsi="宋体"/>
          <w:color w:val="auto"/>
          <w:sz w:val="24"/>
          <w:highlight w:val="none"/>
        </w:rPr>
      </w:pPr>
      <w:r>
        <w:rPr>
          <w:rFonts w:ascii="宋体" w:hAnsi="宋体"/>
          <w:color w:val="auto"/>
          <w:sz w:val="24"/>
          <w:highlight w:val="none"/>
        </w:rPr>
        <w:t>除技术规范中另有规定外,合同的计量单位均使用国家法定计量单位。</w:t>
      </w:r>
    </w:p>
    <w:p w14:paraId="56DD565B">
      <w:pPr>
        <w:spacing w:line="360" w:lineRule="auto"/>
        <w:ind w:firstLine="437"/>
        <w:outlineLvl w:val="2"/>
        <w:rPr>
          <w:rFonts w:ascii="宋体" w:hAnsi="宋体"/>
          <w:b/>
          <w:bCs/>
          <w:color w:val="auto"/>
          <w:sz w:val="24"/>
          <w:highlight w:val="none"/>
        </w:rPr>
      </w:pPr>
      <w:bookmarkStart w:id="983" w:name="_Toc259093692"/>
      <w:bookmarkStart w:id="984" w:name="_Toc487900373"/>
      <w:bookmarkStart w:id="985" w:name="_Toc12773"/>
      <w:bookmarkStart w:id="986" w:name="_Toc10330"/>
      <w:bookmarkStart w:id="987" w:name="_Toc279701263"/>
      <w:bookmarkStart w:id="988" w:name="_Toc18567"/>
      <w:r>
        <w:rPr>
          <w:rFonts w:hint="eastAsia" w:ascii="宋体" w:hAnsi="宋体"/>
          <w:b/>
          <w:bCs/>
          <w:color w:val="auto"/>
          <w:sz w:val="24"/>
          <w:highlight w:val="none"/>
        </w:rPr>
        <w:t>2.</w:t>
      </w:r>
      <w:r>
        <w:rPr>
          <w:rFonts w:ascii="宋体" w:hAnsi="宋体"/>
          <w:b/>
          <w:bCs/>
          <w:color w:val="auto"/>
          <w:sz w:val="24"/>
          <w:highlight w:val="none"/>
        </w:rPr>
        <w:t>19</w:t>
      </w:r>
      <w:r>
        <w:rPr>
          <w:rFonts w:hint="eastAsia" w:ascii="宋体" w:hAnsi="宋体"/>
          <w:b/>
          <w:bCs/>
          <w:color w:val="auto"/>
          <w:sz w:val="24"/>
          <w:highlight w:val="none"/>
        </w:rPr>
        <w:t xml:space="preserve"> </w:t>
      </w:r>
      <w:r>
        <w:rPr>
          <w:rFonts w:hint="eastAsia" w:ascii="宋体" w:hAnsi="宋体"/>
          <w:b/>
          <w:bCs/>
          <w:color w:val="auto"/>
          <w:sz w:val="24"/>
          <w:highlight w:val="none"/>
          <w:lang w:val="zh-CN"/>
        </w:rPr>
        <w:t>合同使用的文字和</w:t>
      </w:r>
      <w:r>
        <w:rPr>
          <w:rFonts w:ascii="宋体" w:hAnsi="宋体"/>
          <w:b/>
          <w:bCs/>
          <w:color w:val="auto"/>
          <w:sz w:val="24"/>
          <w:highlight w:val="none"/>
          <w:lang w:val="zh-CN"/>
        </w:rPr>
        <w:t>适用的法律</w:t>
      </w:r>
      <w:bookmarkEnd w:id="983"/>
      <w:bookmarkEnd w:id="984"/>
      <w:bookmarkEnd w:id="985"/>
      <w:bookmarkEnd w:id="986"/>
      <w:bookmarkEnd w:id="987"/>
      <w:bookmarkEnd w:id="988"/>
    </w:p>
    <w:p w14:paraId="408F391C">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19.1合同使用汉语书就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71A5FF5C">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19</w:t>
      </w:r>
      <w:r>
        <w:rPr>
          <w:rFonts w:hint="eastAsia" w:ascii="宋体" w:hAnsi="宋体"/>
          <w:color w:val="auto"/>
          <w:sz w:val="24"/>
          <w:highlight w:val="none"/>
        </w:rPr>
        <w:t>.2合同适用</w:t>
      </w:r>
      <w:r>
        <w:rPr>
          <w:rFonts w:ascii="宋体" w:hAnsi="宋体"/>
          <w:color w:val="auto"/>
          <w:sz w:val="24"/>
          <w:highlight w:val="none"/>
        </w:rPr>
        <w:t>中华人民共和国法律。</w:t>
      </w:r>
    </w:p>
    <w:p w14:paraId="6088C628">
      <w:pPr>
        <w:spacing w:line="360" w:lineRule="auto"/>
        <w:ind w:firstLine="437"/>
        <w:outlineLvl w:val="2"/>
        <w:rPr>
          <w:rFonts w:ascii="宋体" w:hAnsi="宋体"/>
          <w:b/>
          <w:color w:val="auto"/>
          <w:sz w:val="24"/>
          <w:highlight w:val="none"/>
        </w:rPr>
      </w:pPr>
      <w:bookmarkStart w:id="989" w:name="_Toc3148"/>
      <w:bookmarkStart w:id="990" w:name="_Toc259093693"/>
      <w:bookmarkStart w:id="991" w:name="_Toc279701264"/>
      <w:bookmarkStart w:id="992" w:name="_Toc12004"/>
      <w:bookmarkStart w:id="993" w:name="_Toc16673"/>
      <w:bookmarkStart w:id="994" w:name="_Toc487900374"/>
      <w:r>
        <w:rPr>
          <w:rFonts w:hint="eastAsia" w:ascii="宋体" w:hAnsi="宋体"/>
          <w:b/>
          <w:bCs/>
          <w:color w:val="auto"/>
          <w:sz w:val="24"/>
          <w:highlight w:val="none"/>
          <w:lang w:val="zh-CN"/>
        </w:rPr>
        <w:t>2.2</w:t>
      </w:r>
      <w:r>
        <w:rPr>
          <w:rFonts w:ascii="宋体" w:hAnsi="宋体"/>
          <w:b/>
          <w:bCs/>
          <w:color w:val="auto"/>
          <w:sz w:val="24"/>
          <w:highlight w:val="none"/>
          <w:lang w:val="zh-CN"/>
        </w:rPr>
        <w:t>0</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履约保证金</w:t>
      </w:r>
      <w:bookmarkEnd w:id="989"/>
      <w:bookmarkEnd w:id="990"/>
      <w:bookmarkEnd w:id="991"/>
      <w:bookmarkEnd w:id="992"/>
      <w:bookmarkEnd w:id="993"/>
    </w:p>
    <w:p w14:paraId="33136071">
      <w:pPr>
        <w:spacing w:line="360" w:lineRule="auto"/>
        <w:ind w:firstLine="435"/>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w:t>
      </w:r>
      <w:r>
        <w:rPr>
          <w:rFonts w:hint="eastAsia" w:ascii="宋体" w:hAnsi="宋体"/>
          <w:color w:val="auto"/>
          <w:sz w:val="24"/>
          <w:highlight w:val="none"/>
        </w:rPr>
        <w:t>.1采购文件要求乙方提交履约保证金的，乙方</w:t>
      </w:r>
      <w:r>
        <w:rPr>
          <w:rFonts w:ascii="宋体" w:hAnsi="宋体"/>
          <w:color w:val="auto"/>
          <w:sz w:val="24"/>
          <w:highlight w:val="none"/>
        </w:rPr>
        <w:t>应按</w:t>
      </w:r>
      <w:r>
        <w:rPr>
          <w:rFonts w:ascii="宋体" w:hAnsi="宋体"/>
          <w:b/>
          <w:i/>
          <w:color w:val="auto"/>
          <w:sz w:val="24"/>
          <w:highlight w:val="none"/>
          <w:u w:val="single"/>
        </w:rPr>
        <w:t>合同专用条款</w:t>
      </w:r>
      <w:r>
        <w:rPr>
          <w:rFonts w:ascii="宋体" w:hAnsi="宋体"/>
          <w:color w:val="auto"/>
          <w:sz w:val="24"/>
          <w:highlight w:val="none"/>
        </w:rPr>
        <w:t>约定的方式</w:t>
      </w:r>
      <w:r>
        <w:rPr>
          <w:rFonts w:hint="eastAsia" w:ascii="宋体" w:hAnsi="宋体"/>
          <w:color w:val="auto"/>
          <w:sz w:val="24"/>
          <w:highlight w:val="none"/>
        </w:rPr>
        <w:t>，以支票、汇票、本票或者金融机构、担保机构出具的保函等非现金形式，提交不超过合同价10%的履约保证金；</w:t>
      </w:r>
    </w:p>
    <w:p w14:paraId="6FCB1E7F">
      <w:pPr>
        <w:spacing w:line="360" w:lineRule="auto"/>
        <w:ind w:firstLine="435"/>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0.2履约保证金在</w:t>
      </w:r>
      <w:r>
        <w:rPr>
          <w:rFonts w:ascii="宋体" w:hAnsi="宋体"/>
          <w:b/>
          <w:i/>
          <w:color w:val="auto"/>
          <w:sz w:val="24"/>
          <w:highlight w:val="none"/>
          <w:u w:val="single"/>
        </w:rPr>
        <w:t>合同专用条款</w:t>
      </w:r>
      <w:r>
        <w:rPr>
          <w:rFonts w:ascii="宋体" w:hAnsi="宋体"/>
          <w:color w:val="auto"/>
          <w:sz w:val="24"/>
          <w:highlight w:val="none"/>
        </w:rPr>
        <w:t>约定期间内或者货物质量保证期内不予退还或者应完全有效</w:t>
      </w:r>
      <w:r>
        <w:rPr>
          <w:rFonts w:hint="eastAsia" w:ascii="宋体" w:hAnsi="宋体"/>
          <w:color w:val="auto"/>
          <w:sz w:val="24"/>
          <w:highlight w:val="none"/>
        </w:rPr>
        <w:t>，前述约定期间届满或者</w:t>
      </w:r>
      <w:r>
        <w:rPr>
          <w:rFonts w:ascii="宋体" w:hAnsi="宋体"/>
          <w:color w:val="auto"/>
          <w:sz w:val="24"/>
          <w:highlight w:val="none"/>
        </w:rPr>
        <w:t>货物质量保证期届满之日起</w:t>
      </w:r>
      <w:r>
        <w:rPr>
          <w:rFonts w:hint="eastAsia" w:ascii="宋体" w:hAnsi="宋体"/>
          <w:color w:val="auto"/>
          <w:sz w:val="24"/>
          <w:highlight w:val="none"/>
          <w:u w:val="single"/>
        </w:rPr>
        <w:t xml:space="preserve">  </w:t>
      </w:r>
      <w:r>
        <w:rPr>
          <w:rFonts w:hint="eastAsia" w:ascii="宋体" w:hAnsi="宋体"/>
          <w:color w:val="auto"/>
          <w:sz w:val="24"/>
          <w:highlight w:val="none"/>
        </w:rPr>
        <w:t>个</w:t>
      </w:r>
      <w:r>
        <w:rPr>
          <w:rFonts w:ascii="宋体" w:hAnsi="宋体"/>
          <w:color w:val="auto"/>
          <w:sz w:val="24"/>
          <w:highlight w:val="none"/>
        </w:rPr>
        <w:t>工作日内，甲方应将履约保证金退还乙方</w:t>
      </w:r>
      <w:r>
        <w:rPr>
          <w:rFonts w:hint="eastAsia" w:ascii="宋体" w:hAnsi="宋体"/>
          <w:color w:val="auto"/>
          <w:sz w:val="24"/>
          <w:highlight w:val="none"/>
        </w:rPr>
        <w:t>；</w:t>
      </w:r>
    </w:p>
    <w:p w14:paraId="3EA0CB35">
      <w:pPr>
        <w:spacing w:line="360" w:lineRule="auto"/>
        <w:ind w:firstLine="435"/>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w:t>
      </w:r>
      <w:r>
        <w:rPr>
          <w:rFonts w:hint="eastAsia" w:ascii="宋体" w:hAnsi="宋体"/>
          <w:color w:val="auto"/>
          <w:sz w:val="24"/>
          <w:highlight w:val="none"/>
        </w:rPr>
        <w:t>.3</w:t>
      </w:r>
      <w:r>
        <w:rPr>
          <w:rFonts w:ascii="宋体" w:hAnsi="宋体"/>
          <w:color w:val="auto"/>
          <w:sz w:val="24"/>
          <w:highlight w:val="none"/>
        </w:rPr>
        <w:t>如果乙方不履行合同</w:t>
      </w:r>
      <w:r>
        <w:rPr>
          <w:rFonts w:hint="eastAsia" w:ascii="宋体" w:hAnsi="宋体"/>
          <w:color w:val="auto"/>
          <w:sz w:val="24"/>
          <w:highlight w:val="none"/>
        </w:rPr>
        <w:t>，履约保证金不予退还；如果乙方</w:t>
      </w:r>
      <w:r>
        <w:rPr>
          <w:rFonts w:ascii="宋体" w:hAnsi="宋体"/>
          <w:color w:val="auto"/>
          <w:sz w:val="24"/>
          <w:highlight w:val="none"/>
        </w:rPr>
        <w:t>未能按合同</w:t>
      </w:r>
      <w:r>
        <w:rPr>
          <w:rFonts w:hint="eastAsia" w:ascii="宋体" w:hAnsi="宋体"/>
          <w:color w:val="auto"/>
          <w:sz w:val="24"/>
          <w:highlight w:val="none"/>
        </w:rPr>
        <w:t>约</w:t>
      </w:r>
      <w:r>
        <w:rPr>
          <w:rFonts w:ascii="宋体" w:hAnsi="宋体"/>
          <w:color w:val="auto"/>
          <w:sz w:val="24"/>
          <w:highlight w:val="none"/>
        </w:rPr>
        <w:t>定全面履行义务，那么甲方有权从履约保证金中取得补偿或赔偿</w:t>
      </w:r>
      <w:r>
        <w:rPr>
          <w:rFonts w:hint="eastAsia" w:ascii="宋体" w:hAnsi="宋体"/>
          <w:color w:val="auto"/>
          <w:sz w:val="24"/>
          <w:highlight w:val="none"/>
        </w:rPr>
        <w:t>，同时不影响甲方要求乙方承担合同约定的超过履约保证金的违约责任的权利。</w:t>
      </w:r>
    </w:p>
    <w:bookmarkEnd w:id="994"/>
    <w:p w14:paraId="7442ADA3">
      <w:pPr>
        <w:spacing w:line="360" w:lineRule="auto"/>
        <w:ind w:firstLine="437"/>
        <w:outlineLvl w:val="2"/>
        <w:rPr>
          <w:rFonts w:ascii="宋体" w:hAnsi="宋体"/>
          <w:b/>
          <w:color w:val="auto"/>
          <w:sz w:val="24"/>
          <w:highlight w:val="none"/>
        </w:rPr>
      </w:pPr>
      <w:bookmarkStart w:id="995" w:name="_Toc6885"/>
      <w:bookmarkStart w:id="996" w:name="_Toc19890"/>
      <w:bookmarkStart w:id="997" w:name="_Toc14001"/>
      <w:r>
        <w:rPr>
          <w:rFonts w:hint="eastAsia" w:ascii="宋体" w:hAnsi="宋体"/>
          <w:b/>
          <w:bCs/>
          <w:color w:val="auto"/>
          <w:sz w:val="24"/>
          <w:highlight w:val="none"/>
          <w:lang w:val="zh-CN"/>
        </w:rPr>
        <w:t>2.2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 合同份数</w:t>
      </w:r>
      <w:bookmarkEnd w:id="995"/>
      <w:bookmarkEnd w:id="996"/>
      <w:bookmarkEnd w:id="997"/>
    </w:p>
    <w:p w14:paraId="702910B8">
      <w:pPr>
        <w:spacing w:line="360" w:lineRule="auto"/>
        <w:ind w:firstLine="435"/>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440DE1DB">
      <w:pPr>
        <w:spacing w:line="360" w:lineRule="auto"/>
        <w:jc w:val="center"/>
        <w:outlineLvl w:val="1"/>
        <w:rPr>
          <w:rFonts w:ascii="宋体" w:hAnsi="宋体"/>
          <w:b/>
          <w:color w:val="auto"/>
          <w:sz w:val="24"/>
          <w:highlight w:val="none"/>
        </w:rPr>
      </w:pPr>
      <w:r>
        <w:rPr>
          <w:rFonts w:ascii="宋体" w:hAnsi="宋体"/>
          <w:color w:val="auto"/>
          <w:sz w:val="24"/>
          <w:highlight w:val="none"/>
        </w:rPr>
        <w:br w:type="page"/>
      </w:r>
      <w:bookmarkStart w:id="998" w:name="_Toc331685784"/>
      <w:r>
        <w:rPr>
          <w:rFonts w:hint="eastAsia" w:ascii="宋体" w:hAnsi="宋体"/>
          <w:b/>
          <w:color w:val="auto"/>
          <w:sz w:val="24"/>
          <w:highlight w:val="none"/>
        </w:rPr>
        <w:t>第三部分</w:t>
      </w:r>
      <w:r>
        <w:rPr>
          <w:rFonts w:ascii="宋体" w:hAnsi="宋体"/>
          <w:b/>
          <w:color w:val="auto"/>
          <w:sz w:val="24"/>
          <w:highlight w:val="none"/>
        </w:rPr>
        <w:t xml:space="preserve"> </w:t>
      </w:r>
      <w:r>
        <w:rPr>
          <w:rFonts w:hint="eastAsia" w:ascii="宋体" w:hAnsi="宋体"/>
          <w:b/>
          <w:color w:val="auto"/>
          <w:sz w:val="24"/>
          <w:highlight w:val="none"/>
        </w:rPr>
        <w:t>合同专用条款</w:t>
      </w:r>
      <w:bookmarkEnd w:id="998"/>
    </w:p>
    <w:p w14:paraId="71ADDC1C">
      <w:pPr>
        <w:spacing w:line="360" w:lineRule="auto"/>
        <w:ind w:firstLine="435"/>
        <w:rPr>
          <w:rFonts w:ascii="宋体" w:hAnsi="宋体"/>
          <w:color w:val="auto"/>
          <w:sz w:val="24"/>
          <w:highlight w:val="none"/>
        </w:rPr>
      </w:pPr>
      <w:r>
        <w:rPr>
          <w:rFonts w:hint="eastAsia" w:ascii="宋体" w:hAnsi="宋体"/>
          <w:color w:val="auto"/>
          <w:sz w:val="24"/>
          <w:highlight w:val="none"/>
        </w:rPr>
        <w:t>本部分</w:t>
      </w:r>
      <w:r>
        <w:rPr>
          <w:rFonts w:ascii="宋体" w:hAnsi="宋体"/>
          <w:color w:val="auto"/>
          <w:sz w:val="24"/>
          <w:highlight w:val="none"/>
        </w:rPr>
        <w:t>是对</w:t>
      </w:r>
      <w:r>
        <w:rPr>
          <w:rFonts w:hint="eastAsia" w:ascii="宋体" w:hAnsi="宋体"/>
          <w:color w:val="auto"/>
          <w:sz w:val="24"/>
          <w:highlight w:val="none"/>
        </w:rPr>
        <w:t>前两</w:t>
      </w:r>
      <w:r>
        <w:rPr>
          <w:rFonts w:ascii="宋体" w:hAnsi="宋体"/>
          <w:color w:val="auto"/>
          <w:sz w:val="24"/>
          <w:highlight w:val="none"/>
        </w:rPr>
        <w:t>部分的补充和修改</w:t>
      </w:r>
      <w:r>
        <w:rPr>
          <w:rFonts w:hint="eastAsia" w:ascii="宋体" w:hAnsi="宋体"/>
          <w:color w:val="auto"/>
          <w:sz w:val="24"/>
          <w:highlight w:val="none"/>
        </w:rPr>
        <w:t>，</w:t>
      </w:r>
      <w:r>
        <w:rPr>
          <w:rFonts w:ascii="宋体" w:hAnsi="宋体"/>
          <w:color w:val="auto"/>
          <w:sz w:val="24"/>
          <w:highlight w:val="none"/>
        </w:rPr>
        <w:t>如果</w:t>
      </w:r>
      <w:r>
        <w:rPr>
          <w:rFonts w:hint="eastAsia" w:ascii="宋体" w:hAnsi="宋体"/>
          <w:color w:val="auto"/>
          <w:sz w:val="24"/>
          <w:highlight w:val="none"/>
        </w:rPr>
        <w:t>前两</w:t>
      </w:r>
      <w:r>
        <w:rPr>
          <w:rFonts w:ascii="宋体" w:hAnsi="宋体"/>
          <w:color w:val="auto"/>
          <w:sz w:val="24"/>
          <w:highlight w:val="none"/>
        </w:rPr>
        <w:t>部分和本部分的约定不一致</w:t>
      </w:r>
      <w:r>
        <w:rPr>
          <w:rFonts w:hint="eastAsia" w:ascii="宋体" w:hAnsi="宋体"/>
          <w:color w:val="auto"/>
          <w:sz w:val="24"/>
          <w:highlight w:val="none"/>
        </w:rPr>
        <w:t>，</w:t>
      </w:r>
      <w:r>
        <w:rPr>
          <w:rFonts w:ascii="宋体" w:hAnsi="宋体"/>
          <w:color w:val="auto"/>
          <w:sz w:val="24"/>
          <w:highlight w:val="none"/>
        </w:rPr>
        <w:t>应以本部分的约定为准</w:t>
      </w:r>
      <w:r>
        <w:rPr>
          <w:rFonts w:hint="eastAsia" w:ascii="宋体" w:hAnsi="宋体"/>
          <w:color w:val="auto"/>
          <w:sz w:val="24"/>
          <w:highlight w:val="none"/>
        </w:rPr>
        <w:t>。</w:t>
      </w:r>
      <w:r>
        <w:rPr>
          <w:rFonts w:ascii="宋体" w:hAnsi="宋体"/>
          <w:color w:val="auto"/>
          <w:sz w:val="24"/>
          <w:highlight w:val="none"/>
        </w:rPr>
        <w:t>本部分的条款号应与</w:t>
      </w:r>
      <w:r>
        <w:rPr>
          <w:rFonts w:hint="eastAsia" w:ascii="宋体" w:hAnsi="宋体"/>
          <w:color w:val="auto"/>
          <w:sz w:val="24"/>
          <w:highlight w:val="none"/>
        </w:rPr>
        <w:t>前两部分</w:t>
      </w:r>
      <w:r>
        <w:rPr>
          <w:rFonts w:ascii="宋体" w:hAnsi="宋体"/>
          <w:color w:val="auto"/>
          <w:sz w:val="24"/>
          <w:highlight w:val="none"/>
        </w:rPr>
        <w:t>的条款号保持对应</w:t>
      </w:r>
      <w:r>
        <w:rPr>
          <w:rFonts w:hint="eastAsia" w:ascii="宋体" w:hAnsi="宋体"/>
          <w:color w:val="auto"/>
          <w:sz w:val="24"/>
          <w:highlight w:val="none"/>
        </w:rPr>
        <w:t>；与前两部分</w:t>
      </w:r>
      <w:r>
        <w:rPr>
          <w:rFonts w:ascii="宋体" w:hAnsi="宋体"/>
          <w:color w:val="auto"/>
          <w:sz w:val="24"/>
          <w:highlight w:val="none"/>
        </w:rPr>
        <w:t>无对应关系的内容可另行编制条款号</w:t>
      </w:r>
      <w:r>
        <w:rPr>
          <w:rFonts w:hint="eastAsia" w:ascii="宋体" w:hAnsi="宋体"/>
          <w:color w:val="auto"/>
          <w:sz w:val="24"/>
          <w:highlight w:val="none"/>
        </w:rPr>
        <w:t>。</w:t>
      </w:r>
    </w:p>
    <w:tbl>
      <w:tblPr>
        <w:tblStyle w:val="1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8C11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794" w:type="dxa"/>
            <w:tcBorders>
              <w:left w:val="single" w:color="auto" w:sz="4" w:space="0"/>
            </w:tcBorders>
            <w:noWrap w:val="0"/>
            <w:vAlign w:val="center"/>
          </w:tcPr>
          <w:p w14:paraId="77DE11D3">
            <w:pPr>
              <w:jc w:val="center"/>
              <w:rPr>
                <w:rFonts w:ascii="宋体" w:hAnsi="宋体"/>
                <w:b/>
                <w:color w:val="auto"/>
                <w:sz w:val="24"/>
                <w:highlight w:val="none"/>
              </w:rPr>
            </w:pPr>
            <w:r>
              <w:rPr>
                <w:rFonts w:ascii="宋体" w:hAnsi="宋体"/>
                <w:b/>
                <w:color w:val="auto"/>
                <w:sz w:val="24"/>
                <w:highlight w:val="none"/>
              </w:rPr>
              <w:t>条款号</w:t>
            </w:r>
          </w:p>
        </w:tc>
        <w:tc>
          <w:tcPr>
            <w:tcW w:w="7568" w:type="dxa"/>
            <w:noWrap w:val="0"/>
            <w:vAlign w:val="center"/>
          </w:tcPr>
          <w:p w14:paraId="308551A1">
            <w:pPr>
              <w:jc w:val="center"/>
              <w:rPr>
                <w:rFonts w:ascii="宋体" w:hAnsi="宋体"/>
                <w:b/>
                <w:color w:val="auto"/>
                <w:sz w:val="24"/>
                <w:highlight w:val="none"/>
              </w:rPr>
            </w:pPr>
            <w:r>
              <w:rPr>
                <w:rFonts w:ascii="宋体" w:hAnsi="宋体"/>
                <w:b/>
                <w:color w:val="auto"/>
                <w:sz w:val="24"/>
                <w:highlight w:val="none"/>
              </w:rPr>
              <w:t>约定内容</w:t>
            </w:r>
          </w:p>
        </w:tc>
      </w:tr>
      <w:tr w14:paraId="4B1EA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154B3BDB">
            <w:pPr>
              <w:spacing w:line="560" w:lineRule="exact"/>
              <w:rPr>
                <w:rFonts w:ascii="宋体" w:hAnsi="宋体"/>
                <w:color w:val="auto"/>
                <w:sz w:val="24"/>
                <w:highlight w:val="none"/>
              </w:rPr>
            </w:pPr>
          </w:p>
        </w:tc>
        <w:tc>
          <w:tcPr>
            <w:tcW w:w="7568" w:type="dxa"/>
            <w:noWrap w:val="0"/>
            <w:vAlign w:val="center"/>
          </w:tcPr>
          <w:p w14:paraId="19B96F10">
            <w:pPr>
              <w:spacing w:line="560" w:lineRule="exact"/>
              <w:rPr>
                <w:rFonts w:ascii="宋体" w:hAnsi="宋体"/>
                <w:color w:val="auto"/>
                <w:sz w:val="24"/>
                <w:highlight w:val="none"/>
              </w:rPr>
            </w:pPr>
          </w:p>
        </w:tc>
      </w:tr>
      <w:tr w14:paraId="3EBCE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794" w:type="dxa"/>
            <w:tcBorders>
              <w:left w:val="single" w:color="auto" w:sz="4" w:space="0"/>
            </w:tcBorders>
            <w:noWrap w:val="0"/>
            <w:vAlign w:val="center"/>
          </w:tcPr>
          <w:p w14:paraId="31B965AB">
            <w:pPr>
              <w:spacing w:line="560" w:lineRule="exact"/>
              <w:rPr>
                <w:rFonts w:ascii="宋体" w:hAnsi="宋体"/>
                <w:color w:val="auto"/>
                <w:sz w:val="24"/>
                <w:highlight w:val="none"/>
              </w:rPr>
            </w:pPr>
          </w:p>
        </w:tc>
        <w:tc>
          <w:tcPr>
            <w:tcW w:w="7568" w:type="dxa"/>
            <w:noWrap w:val="0"/>
            <w:vAlign w:val="center"/>
          </w:tcPr>
          <w:p w14:paraId="7D92B32C">
            <w:pPr>
              <w:spacing w:line="560" w:lineRule="exact"/>
              <w:rPr>
                <w:rFonts w:ascii="宋体" w:hAnsi="宋体"/>
                <w:color w:val="auto"/>
                <w:sz w:val="24"/>
                <w:highlight w:val="none"/>
              </w:rPr>
            </w:pPr>
          </w:p>
        </w:tc>
      </w:tr>
      <w:tr w14:paraId="4EE55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7B26A3B7">
            <w:pPr>
              <w:spacing w:line="560" w:lineRule="exact"/>
              <w:rPr>
                <w:rFonts w:ascii="宋体" w:hAnsi="宋体"/>
                <w:color w:val="auto"/>
                <w:sz w:val="24"/>
                <w:highlight w:val="none"/>
              </w:rPr>
            </w:pPr>
          </w:p>
        </w:tc>
        <w:tc>
          <w:tcPr>
            <w:tcW w:w="7568" w:type="dxa"/>
            <w:noWrap w:val="0"/>
            <w:vAlign w:val="center"/>
          </w:tcPr>
          <w:p w14:paraId="44E8DAC8">
            <w:pPr>
              <w:spacing w:line="360" w:lineRule="auto"/>
              <w:outlineLvl w:val="2"/>
              <w:rPr>
                <w:rFonts w:ascii="宋体" w:hAnsi="宋体"/>
                <w:color w:val="auto"/>
                <w:sz w:val="24"/>
                <w:highlight w:val="none"/>
              </w:rPr>
            </w:pPr>
          </w:p>
        </w:tc>
      </w:tr>
      <w:tr w14:paraId="600C0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left w:val="single" w:color="auto" w:sz="4" w:space="0"/>
            </w:tcBorders>
            <w:noWrap w:val="0"/>
            <w:vAlign w:val="center"/>
          </w:tcPr>
          <w:p w14:paraId="2F4D4A4A">
            <w:pPr>
              <w:spacing w:line="560" w:lineRule="exact"/>
              <w:rPr>
                <w:rFonts w:ascii="宋体" w:hAnsi="宋体"/>
                <w:color w:val="auto"/>
                <w:sz w:val="24"/>
                <w:highlight w:val="none"/>
              </w:rPr>
            </w:pPr>
          </w:p>
        </w:tc>
        <w:tc>
          <w:tcPr>
            <w:tcW w:w="7568" w:type="dxa"/>
            <w:noWrap w:val="0"/>
            <w:vAlign w:val="center"/>
          </w:tcPr>
          <w:p w14:paraId="17B5E153">
            <w:pPr>
              <w:spacing w:line="560" w:lineRule="exact"/>
              <w:rPr>
                <w:rFonts w:ascii="宋体" w:hAnsi="宋体"/>
                <w:color w:val="auto"/>
                <w:sz w:val="24"/>
                <w:highlight w:val="none"/>
                <w:u w:val="single"/>
              </w:rPr>
            </w:pPr>
          </w:p>
        </w:tc>
      </w:tr>
      <w:tr w14:paraId="26BC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left w:val="single" w:color="auto" w:sz="4" w:space="0"/>
            </w:tcBorders>
            <w:noWrap w:val="0"/>
            <w:vAlign w:val="center"/>
          </w:tcPr>
          <w:p w14:paraId="1DFED0A6">
            <w:pPr>
              <w:spacing w:line="560" w:lineRule="exact"/>
              <w:rPr>
                <w:rFonts w:ascii="宋体" w:hAnsi="宋体"/>
                <w:color w:val="auto"/>
                <w:sz w:val="24"/>
                <w:highlight w:val="none"/>
              </w:rPr>
            </w:pPr>
          </w:p>
        </w:tc>
        <w:tc>
          <w:tcPr>
            <w:tcW w:w="7568" w:type="dxa"/>
            <w:noWrap w:val="0"/>
            <w:vAlign w:val="center"/>
          </w:tcPr>
          <w:p w14:paraId="10968349">
            <w:pPr>
              <w:spacing w:line="560" w:lineRule="exact"/>
              <w:rPr>
                <w:rFonts w:ascii="宋体" w:hAnsi="宋体"/>
                <w:color w:val="auto"/>
                <w:sz w:val="24"/>
                <w:highlight w:val="none"/>
              </w:rPr>
            </w:pPr>
          </w:p>
        </w:tc>
      </w:tr>
      <w:tr w14:paraId="43949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794" w:type="dxa"/>
            <w:tcBorders>
              <w:left w:val="single" w:color="auto" w:sz="4" w:space="0"/>
            </w:tcBorders>
            <w:noWrap w:val="0"/>
            <w:vAlign w:val="center"/>
          </w:tcPr>
          <w:p w14:paraId="68E67B49">
            <w:pPr>
              <w:spacing w:line="560" w:lineRule="exact"/>
              <w:rPr>
                <w:rFonts w:ascii="宋体" w:hAnsi="宋体"/>
                <w:color w:val="auto"/>
                <w:sz w:val="24"/>
                <w:highlight w:val="none"/>
              </w:rPr>
            </w:pPr>
          </w:p>
        </w:tc>
        <w:tc>
          <w:tcPr>
            <w:tcW w:w="7568" w:type="dxa"/>
            <w:noWrap w:val="0"/>
            <w:vAlign w:val="center"/>
          </w:tcPr>
          <w:p w14:paraId="08A199A3">
            <w:pPr>
              <w:spacing w:line="360" w:lineRule="auto"/>
              <w:rPr>
                <w:rFonts w:ascii="宋体" w:hAnsi="宋体"/>
                <w:color w:val="auto"/>
                <w:sz w:val="24"/>
                <w:highlight w:val="none"/>
                <w:u w:val="single"/>
              </w:rPr>
            </w:pPr>
          </w:p>
        </w:tc>
      </w:tr>
      <w:tr w14:paraId="6C4DE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5037BC4">
            <w:pPr>
              <w:spacing w:line="560" w:lineRule="exact"/>
              <w:rPr>
                <w:rFonts w:ascii="宋体" w:hAnsi="宋体"/>
                <w:color w:val="auto"/>
                <w:sz w:val="24"/>
                <w:highlight w:val="none"/>
              </w:rPr>
            </w:pPr>
          </w:p>
        </w:tc>
        <w:tc>
          <w:tcPr>
            <w:tcW w:w="7568" w:type="dxa"/>
            <w:noWrap w:val="0"/>
            <w:vAlign w:val="center"/>
          </w:tcPr>
          <w:p w14:paraId="7E553CAA">
            <w:pPr>
              <w:spacing w:line="560" w:lineRule="exact"/>
              <w:rPr>
                <w:rFonts w:ascii="宋体" w:hAnsi="宋体"/>
                <w:color w:val="auto"/>
                <w:sz w:val="24"/>
                <w:highlight w:val="none"/>
              </w:rPr>
            </w:pPr>
          </w:p>
        </w:tc>
      </w:tr>
      <w:tr w14:paraId="6AA26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6624918">
            <w:pPr>
              <w:spacing w:line="560" w:lineRule="exact"/>
              <w:rPr>
                <w:rFonts w:ascii="宋体" w:hAnsi="宋体"/>
                <w:color w:val="auto"/>
                <w:sz w:val="24"/>
                <w:highlight w:val="none"/>
              </w:rPr>
            </w:pPr>
          </w:p>
        </w:tc>
        <w:tc>
          <w:tcPr>
            <w:tcW w:w="7568" w:type="dxa"/>
            <w:noWrap w:val="0"/>
            <w:vAlign w:val="center"/>
          </w:tcPr>
          <w:p w14:paraId="003C3F6E">
            <w:pPr>
              <w:spacing w:line="560" w:lineRule="exact"/>
              <w:rPr>
                <w:rFonts w:ascii="宋体" w:hAnsi="宋体"/>
                <w:color w:val="auto"/>
                <w:sz w:val="24"/>
                <w:highlight w:val="none"/>
              </w:rPr>
            </w:pPr>
          </w:p>
        </w:tc>
      </w:tr>
      <w:tr w14:paraId="748A2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DAD1B90">
            <w:pPr>
              <w:spacing w:line="560" w:lineRule="exact"/>
              <w:rPr>
                <w:rFonts w:ascii="宋体" w:hAnsi="宋体"/>
                <w:color w:val="auto"/>
                <w:sz w:val="24"/>
                <w:highlight w:val="none"/>
              </w:rPr>
            </w:pPr>
          </w:p>
        </w:tc>
        <w:tc>
          <w:tcPr>
            <w:tcW w:w="7568" w:type="dxa"/>
            <w:noWrap w:val="0"/>
            <w:vAlign w:val="center"/>
          </w:tcPr>
          <w:p w14:paraId="78C9F1E7">
            <w:pPr>
              <w:spacing w:line="560" w:lineRule="exact"/>
              <w:rPr>
                <w:rFonts w:ascii="宋体" w:hAnsi="宋体"/>
                <w:color w:val="auto"/>
                <w:sz w:val="24"/>
                <w:highlight w:val="none"/>
              </w:rPr>
            </w:pPr>
          </w:p>
        </w:tc>
      </w:tr>
      <w:tr w14:paraId="3ED72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21222D35">
            <w:pPr>
              <w:spacing w:line="560" w:lineRule="exact"/>
              <w:rPr>
                <w:rFonts w:ascii="宋体" w:hAnsi="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78914485">
            <w:pPr>
              <w:spacing w:line="560" w:lineRule="exact"/>
              <w:rPr>
                <w:rFonts w:ascii="宋体" w:hAnsi="宋体"/>
                <w:color w:val="auto"/>
                <w:sz w:val="24"/>
                <w:highlight w:val="none"/>
              </w:rPr>
            </w:pPr>
          </w:p>
        </w:tc>
      </w:tr>
      <w:tr w14:paraId="79A8D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44D5BD18">
            <w:pPr>
              <w:spacing w:line="560" w:lineRule="exact"/>
              <w:rPr>
                <w:rFonts w:ascii="宋体" w:hAnsi="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2497E87D">
            <w:pPr>
              <w:rPr>
                <w:rFonts w:ascii="宋体" w:hAnsi="宋体"/>
                <w:color w:val="auto"/>
                <w:sz w:val="24"/>
                <w:highlight w:val="none"/>
              </w:rPr>
            </w:pPr>
          </w:p>
        </w:tc>
      </w:tr>
    </w:tbl>
    <w:p w14:paraId="4590ECFD">
      <w:pPr>
        <w:outlineLvl w:val="9"/>
        <w:rPr>
          <w:rFonts w:ascii="仿宋_GB2312" w:hAnsi="Georgia" w:eastAsia="仿宋_GB2312" w:cs="宋体"/>
          <w:color w:val="auto"/>
          <w:kern w:val="0"/>
          <w:sz w:val="24"/>
          <w:highlight w:val="none"/>
        </w:rPr>
      </w:pPr>
    </w:p>
    <w:p w14:paraId="78730AF2">
      <w:pPr>
        <w:outlineLvl w:val="9"/>
        <w:rPr>
          <w:rFonts w:ascii="仿宋_GB2312" w:hAnsi="Georgia" w:eastAsia="仿宋_GB2312" w:cs="宋体"/>
          <w:color w:val="auto"/>
          <w:kern w:val="0"/>
          <w:sz w:val="24"/>
          <w:highlight w:val="none"/>
        </w:rPr>
      </w:pPr>
    </w:p>
    <w:p w14:paraId="736641F3">
      <w:pPr>
        <w:pStyle w:val="3"/>
        <w:rPr>
          <w:rFonts w:hint="eastAsia" w:eastAsia="仿宋"/>
          <w:color w:val="auto"/>
          <w:sz w:val="24"/>
          <w:szCs w:val="24"/>
          <w:highlight w:val="none"/>
        </w:rPr>
      </w:pPr>
      <w:r>
        <w:rPr>
          <w:rFonts w:ascii="仿宋_GB2312" w:hAnsi="Georgia" w:eastAsia="仿宋_GB2312" w:cs="宋体"/>
          <w:color w:val="auto"/>
          <w:kern w:val="0"/>
          <w:sz w:val="24"/>
          <w:highlight w:val="none"/>
        </w:rPr>
        <w:br w:type="page"/>
      </w:r>
      <w:bookmarkStart w:id="999" w:name="_Toc497923303"/>
      <w:bookmarkStart w:id="1000" w:name="_Toc500235608"/>
      <w:bookmarkStart w:id="1001" w:name="_Toc500009176"/>
      <w:bookmarkStart w:id="1002" w:name="_Toc526265702"/>
      <w:r>
        <w:rPr>
          <w:rFonts w:hint="eastAsia" w:eastAsia="仿宋"/>
          <w:color w:val="auto"/>
          <w:sz w:val="24"/>
          <w:szCs w:val="24"/>
          <w:highlight w:val="none"/>
        </w:rPr>
        <w:t>附件一：履约保证金格式</w:t>
      </w:r>
      <w:bookmarkEnd w:id="999"/>
      <w:bookmarkEnd w:id="1000"/>
      <w:bookmarkEnd w:id="1001"/>
      <w:bookmarkEnd w:id="1002"/>
    </w:p>
    <w:p w14:paraId="69A6E5F0">
      <w:pPr>
        <w:autoSpaceDE w:val="0"/>
        <w:autoSpaceDN w:val="0"/>
        <w:adjustRightInd w:val="0"/>
        <w:spacing w:line="360" w:lineRule="auto"/>
        <w:contextualSpacing/>
        <w:jc w:val="center"/>
        <w:rPr>
          <w:rFonts w:hint="eastAsia" w:ascii="黑体" w:hAnsi="黑体" w:eastAsia="黑体" w:cs="Microsoft JhengHei"/>
          <w:color w:val="auto"/>
          <w:kern w:val="0"/>
          <w:position w:val="-5"/>
          <w:sz w:val="24"/>
          <w:highlight w:val="none"/>
        </w:rPr>
      </w:pPr>
      <w:r>
        <w:rPr>
          <w:rFonts w:hint="eastAsia" w:ascii="黑体" w:hAnsi="黑体" w:eastAsia="黑体" w:cs="Microsoft JhengHei"/>
          <w:color w:val="auto"/>
          <w:kern w:val="0"/>
          <w:position w:val="-5"/>
          <w:sz w:val="24"/>
          <w:highlight w:val="none"/>
        </w:rPr>
        <w:t>履约保函</w:t>
      </w:r>
    </w:p>
    <w:p w14:paraId="0F15FD48">
      <w:pPr>
        <w:spacing w:line="360" w:lineRule="auto"/>
        <w:ind w:right="2974" w:rightChars="1416"/>
        <w:jc w:val="right"/>
        <w:rPr>
          <w:rFonts w:hint="eastAsia" w:ascii="宋体" w:hAnsi="宋体" w:eastAsia="仿宋"/>
          <w:color w:val="auto"/>
          <w:sz w:val="24"/>
          <w:highlight w:val="none"/>
        </w:rPr>
      </w:pPr>
      <w:r>
        <w:rPr>
          <w:rFonts w:hint="eastAsia" w:ascii="宋体" w:hAnsi="宋体" w:eastAsia="仿宋"/>
          <w:color w:val="auto"/>
          <w:sz w:val="24"/>
          <w:highlight w:val="none"/>
        </w:rPr>
        <w:t xml:space="preserve">编号：             </w:t>
      </w:r>
    </w:p>
    <w:p w14:paraId="1953D8D6">
      <w:pPr>
        <w:snapToGrid w:val="0"/>
        <w:spacing w:line="360" w:lineRule="auto"/>
        <w:rPr>
          <w:rFonts w:hint="eastAsia" w:ascii="宋体" w:hAnsi="宋体" w:eastAsia="仿宋" w:cs="宋体"/>
          <w:color w:val="auto"/>
          <w:sz w:val="24"/>
          <w:highlight w:val="none"/>
        </w:rPr>
      </w:pPr>
      <w:r>
        <w:rPr>
          <w:rFonts w:hint="eastAsia" w:ascii="宋体" w:hAnsi="宋体" w:eastAsia="仿宋" w:cs="宋体"/>
          <w:color w:val="auto"/>
          <w:sz w:val="24"/>
          <w:highlight w:val="none"/>
        </w:rPr>
        <w:t>致受益人</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05BA1DFA">
      <w:pPr>
        <w:snapToGrid w:val="0"/>
        <w:spacing w:line="360" w:lineRule="auto"/>
        <w:ind w:firstLine="480" w:firstLineChars="200"/>
        <w:jc w:val="left"/>
        <w:rPr>
          <w:rFonts w:hint="eastAsia" w:ascii="宋体" w:hAnsi="宋体" w:eastAsia="仿宋" w:cs="宋体"/>
          <w:b/>
          <w:bCs/>
          <w:color w:val="auto"/>
          <w:sz w:val="24"/>
          <w:highlight w:val="none"/>
        </w:rPr>
      </w:pPr>
      <w:r>
        <w:rPr>
          <w:rFonts w:hint="eastAsia" w:ascii="宋体" w:hAnsi="宋体" w:eastAsia="仿宋" w:cs="宋体"/>
          <w:color w:val="auto"/>
          <w:sz w:val="24"/>
          <w:highlight w:val="none"/>
        </w:rPr>
        <w:t>因</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（下称“被保证人”，地址：</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）与你方签订了</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项目合同（项目编号：</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），我方愿就被保证人履行上述合同的义务向你方提供如下保证：</w:t>
      </w:r>
    </w:p>
    <w:p w14:paraId="51E5F02E">
      <w:pPr>
        <w:numPr>
          <w:ilvl w:val="0"/>
          <w:numId w:val="2"/>
        </w:numPr>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rPr>
        <w:t>本保函项下我方承担的保证责任最高限额（下称“担保金额”）为(币种金额、大写)</w:t>
      </w:r>
      <w:r>
        <w:rPr>
          <w:rFonts w:hint="eastAsia" w:ascii="宋体" w:hAnsi="宋体" w:eastAsia="仿宋" w:cs="宋体"/>
          <w:color w:val="auto"/>
          <w:sz w:val="24"/>
          <w:highlight w:val="none"/>
          <w:u w:val="single"/>
        </w:rPr>
        <w:t>人民币</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3CA9A9DF">
      <w:pPr>
        <w:snapToGrid w:val="0"/>
        <w:spacing w:line="360" w:lineRule="auto"/>
        <w:ind w:firstLine="480" w:firstLineChars="200"/>
        <w:jc w:val="left"/>
        <w:rPr>
          <w:rFonts w:hint="eastAsia"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二、我方在本保函项下提供的保证为</w:t>
      </w:r>
      <w:r>
        <w:rPr>
          <w:rFonts w:hint="eastAsia" w:ascii="宋体" w:hAnsi="宋体" w:eastAsia="仿宋" w:cs="宋体"/>
          <w:snapToGrid w:val="0"/>
          <w:color w:val="auto"/>
          <w:kern w:val="0"/>
          <w:sz w:val="24"/>
          <w:highlight w:val="none"/>
          <w:u w:val="single"/>
        </w:rPr>
        <w:t xml:space="preserve">  连带  </w:t>
      </w:r>
      <w:r>
        <w:rPr>
          <w:rFonts w:hint="eastAsia" w:ascii="宋体" w:hAnsi="宋体" w:eastAsia="仿宋" w:cs="宋体"/>
          <w:snapToGrid w:val="0"/>
          <w:color w:val="auto"/>
          <w:kern w:val="0"/>
          <w:sz w:val="24"/>
          <w:highlight w:val="none"/>
        </w:rPr>
        <w:t>责任保证。</w:t>
      </w:r>
    </w:p>
    <w:p w14:paraId="7A82F20E">
      <w:pPr>
        <w:snapToGrid w:val="0"/>
        <w:spacing w:line="360" w:lineRule="auto"/>
        <w:ind w:firstLine="480" w:firstLineChars="200"/>
        <w:jc w:val="left"/>
        <w:rPr>
          <w:rFonts w:hint="eastAsia"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三、本保函的有效期为以下第</w:t>
      </w:r>
      <w:r>
        <w:rPr>
          <w:rFonts w:hint="eastAsia" w:ascii="宋体" w:hAnsi="宋体" w:eastAsia="仿宋" w:cs="宋体"/>
          <w:snapToGrid w:val="0"/>
          <w:color w:val="auto"/>
          <w:kern w:val="0"/>
          <w:sz w:val="24"/>
          <w:highlight w:val="none"/>
          <w:u w:val="single"/>
        </w:rPr>
        <w:t xml:space="preserve">   1    </w:t>
      </w:r>
      <w:r>
        <w:rPr>
          <w:rFonts w:hint="eastAsia" w:ascii="宋体" w:hAnsi="宋体" w:eastAsia="仿宋" w:cs="宋体"/>
          <w:snapToGrid w:val="0"/>
          <w:color w:val="auto"/>
          <w:kern w:val="0"/>
          <w:sz w:val="24"/>
          <w:highlight w:val="none"/>
        </w:rPr>
        <w:t>种：</w:t>
      </w:r>
    </w:p>
    <w:p w14:paraId="655D5E85">
      <w:pPr>
        <w:snapToGrid w:val="0"/>
        <w:spacing w:line="360" w:lineRule="auto"/>
        <w:ind w:firstLine="480" w:firstLineChars="200"/>
        <w:jc w:val="left"/>
        <w:rPr>
          <w:rFonts w:hint="eastAsia" w:ascii="宋体" w:hAnsi="宋体" w:eastAsia="仿宋"/>
          <w:snapToGrid w:val="0"/>
          <w:color w:val="auto"/>
          <w:kern w:val="0"/>
          <w:sz w:val="24"/>
          <w:highlight w:val="none"/>
        </w:rPr>
      </w:pPr>
      <w:r>
        <w:rPr>
          <w:rFonts w:hint="eastAsia" w:ascii="宋体" w:hAnsi="宋体" w:eastAsia="仿宋" w:cs="宋体"/>
          <w:snapToGrid w:val="0"/>
          <w:color w:val="auto"/>
          <w:kern w:val="0"/>
          <w:sz w:val="24"/>
          <w:highlight w:val="none"/>
        </w:rPr>
        <w:t>1.本保函有效期自生效之日起至</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年</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月</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日止</w:t>
      </w:r>
      <w:r>
        <w:rPr>
          <w:rFonts w:hint="eastAsia" w:ascii="宋体" w:hAnsi="宋体" w:eastAsia="仿宋"/>
          <w:snapToGrid w:val="0"/>
          <w:color w:val="auto"/>
          <w:kern w:val="0"/>
          <w:sz w:val="24"/>
          <w:highlight w:val="none"/>
        </w:rPr>
        <w:t>。</w:t>
      </w:r>
    </w:p>
    <w:p w14:paraId="0A26A51F">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w:t>
      </w:r>
      <w:r>
        <w:rPr>
          <w:rFonts w:hint="eastAsia" w:ascii="宋体" w:hAnsi="宋体" w:eastAsia="仿宋"/>
          <w:snapToGrid w:val="0"/>
          <w:color w:val="auto"/>
          <w:kern w:val="0"/>
          <w:sz w:val="24"/>
          <w:highlight w:val="none"/>
          <w:u w:val="single"/>
        </w:rPr>
        <w:t xml:space="preserve">                                /                    </w:t>
      </w:r>
      <w:r>
        <w:rPr>
          <w:rFonts w:hint="eastAsia" w:ascii="宋体" w:hAnsi="宋体" w:eastAsia="仿宋"/>
          <w:snapToGrid w:val="0"/>
          <w:color w:val="auto"/>
          <w:kern w:val="0"/>
          <w:sz w:val="24"/>
          <w:highlight w:val="none"/>
        </w:rPr>
        <w:t>。</w:t>
      </w:r>
    </w:p>
    <w:p w14:paraId="65FFE0CB">
      <w:pPr>
        <w:snapToGrid w:val="0"/>
        <w:spacing w:line="360" w:lineRule="auto"/>
        <w:ind w:firstLine="480" w:firstLineChars="200"/>
        <w:jc w:val="left"/>
        <w:rPr>
          <w:rFonts w:hint="eastAsia" w:ascii="宋体" w:hAnsi="宋体" w:eastAsia="仿宋"/>
          <w:snapToGrid w:val="0"/>
          <w:color w:val="auto"/>
          <w:kern w:val="0"/>
          <w:sz w:val="24"/>
          <w:highlight w:val="none"/>
        </w:rPr>
      </w:pPr>
      <w:r>
        <w:rPr>
          <w:rFonts w:hint="eastAsia" w:ascii="宋体" w:hAnsi="宋体" w:eastAsia="仿宋"/>
          <w:color w:val="auto"/>
          <w:sz w:val="24"/>
          <w:highlight w:val="none"/>
        </w:rPr>
        <w:t>四、在本保函的有效期内，如被保证人</w:t>
      </w:r>
      <w:r>
        <w:rPr>
          <w:rFonts w:hint="eastAsia" w:ascii="宋体" w:hAnsi="宋体" w:eastAsia="仿宋"/>
          <w:snapToGrid w:val="0"/>
          <w:color w:val="auto"/>
          <w:kern w:val="0"/>
          <w:sz w:val="24"/>
          <w:highlight w:val="none"/>
        </w:rPr>
        <w:t>违反上述合同的约定给你方造成经济损失的，我方将在收到你方提交的本保函原件及符合下列全部条件的索赔通知后</w:t>
      </w:r>
      <w:r>
        <w:rPr>
          <w:rFonts w:hint="eastAsia" w:ascii="宋体" w:hAnsi="宋体" w:eastAsia="仿宋"/>
          <w:snapToGrid w:val="0"/>
          <w:color w:val="auto"/>
          <w:kern w:val="0"/>
          <w:sz w:val="24"/>
          <w:highlight w:val="none"/>
          <w:u w:val="single"/>
        </w:rPr>
        <w:t>10</w:t>
      </w:r>
      <w:r>
        <w:rPr>
          <w:rFonts w:hint="eastAsia" w:ascii="宋体" w:hAnsi="宋体" w:eastAsia="仿宋"/>
          <w:snapToGrid w:val="0"/>
          <w:color w:val="auto"/>
          <w:kern w:val="0"/>
          <w:sz w:val="24"/>
          <w:highlight w:val="none"/>
        </w:rPr>
        <w:t>个工作日内，以上述担保金额为限支付你方索赔金额：</w:t>
      </w:r>
    </w:p>
    <w:p w14:paraId="39FC4D29">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snapToGrid w:val="0"/>
          <w:color w:val="auto"/>
          <w:kern w:val="0"/>
          <w:sz w:val="24"/>
          <w:highlight w:val="none"/>
        </w:rPr>
        <w:t>（一）索赔通知必须以书面形式提出，列明索赔金额，并由你方法定代表人（负责人）或授权代理人签字并加盖公章；代理人签署索赔通知的，应当同时提交法定代表人（负责人）签发的授权文件。</w:t>
      </w:r>
    </w:p>
    <w:p w14:paraId="5049AE02">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（二）索赔通知必须同时附有：</w:t>
      </w:r>
    </w:p>
    <w:p w14:paraId="5B0C5C72">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1.一项书面声明，声明索赔款项并未由</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或其代理人直接或间接地支付给你方；</w:t>
      </w:r>
    </w:p>
    <w:p w14:paraId="0673F7EE">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 证明</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违反上述合同的约定以及有责任支付你方索赔金额的证据，包括但不限于已发生法律效力的法院判决书或仲裁裁决书等。</w:t>
      </w:r>
    </w:p>
    <w:p w14:paraId="69EAD94D">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3.索赔资料应在有效期内送达我方，否则我方不承担责任。</w:t>
      </w:r>
    </w:p>
    <w:p w14:paraId="7797C330">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（三）索赔通知必须在本保函有效期内到达以下地址</w:t>
      </w:r>
      <w:r>
        <w:rPr>
          <w:rFonts w:hint="eastAsia" w:ascii="宋体" w:hAnsi="宋体" w:eastAsia="仿宋"/>
          <w:color w:val="auto"/>
          <w:sz w:val="24"/>
          <w:highlight w:val="none"/>
          <w:u w:val="single"/>
        </w:rPr>
        <w:t xml:space="preserve"> </w:t>
      </w:r>
      <w:r>
        <w:rPr>
          <w:rFonts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70C27E39">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snapToGrid w:val="0"/>
          <w:color w:val="auto"/>
          <w:kern w:val="0"/>
          <w:sz w:val="24"/>
          <w:highlight w:val="none"/>
        </w:rPr>
        <w:t>五、</w:t>
      </w:r>
      <w:r>
        <w:rPr>
          <w:rFonts w:hint="eastAsia" w:ascii="宋体" w:hAnsi="宋体" w:eastAsia="仿宋"/>
          <w:color w:val="auto"/>
          <w:sz w:val="24"/>
          <w:highlight w:val="none"/>
        </w:rPr>
        <w:t>本保函担保金额将随被保证人逐步履行保函项下合同约定或法定的义务以及我方</w:t>
      </w:r>
      <w:r>
        <w:rPr>
          <w:rFonts w:hint="eastAsia" w:ascii="宋体" w:hAnsi="宋体" w:eastAsia="仿宋"/>
          <w:snapToGrid w:val="0"/>
          <w:color w:val="auto"/>
          <w:kern w:val="0"/>
          <w:sz w:val="24"/>
          <w:highlight w:val="none"/>
        </w:rPr>
        <w:t>按你方索赔通知要求分次支付</w:t>
      </w:r>
      <w:r>
        <w:rPr>
          <w:rFonts w:hint="eastAsia" w:ascii="宋体" w:hAnsi="宋体" w:eastAsia="仿宋"/>
          <w:color w:val="auto"/>
          <w:sz w:val="24"/>
          <w:highlight w:val="none"/>
        </w:rPr>
        <w:t>而相应递减。</w:t>
      </w:r>
    </w:p>
    <w:p w14:paraId="6ECF07EA">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六、本保函项下的权利不得转让，不得设定担保。</w:t>
      </w:r>
    </w:p>
    <w:p w14:paraId="260C8DF1">
      <w:pPr>
        <w:pStyle w:val="8"/>
        <w:snapToGrid w:val="0"/>
        <w:spacing w:after="0" w:line="360" w:lineRule="auto"/>
        <w:ind w:left="0" w:leftChars="0" w:firstLine="480" w:firstLineChars="200"/>
        <w:rPr>
          <w:rFonts w:hint="eastAsia" w:ascii="宋体" w:hAnsi="宋体" w:eastAsia="仿宋"/>
          <w:iCs/>
          <w:color w:val="auto"/>
          <w:sz w:val="24"/>
          <w:highlight w:val="none"/>
          <w:u w:val="single"/>
        </w:rPr>
      </w:pPr>
      <w:r>
        <w:rPr>
          <w:rFonts w:hint="eastAsia" w:ascii="宋体" w:hAnsi="宋体" w:eastAsia="仿宋"/>
          <w:iCs/>
          <w:color w:val="auto"/>
          <w:sz w:val="24"/>
          <w:highlight w:val="none"/>
        </w:rPr>
        <w:t>七、本保函项下的合同或基础交易不成立、不生效、无效、被撤销、被解除，本保函无效；被保证人基于保函项下的合同或基础交易或其他原因的抗辩，我方均有权主张。</w:t>
      </w:r>
    </w:p>
    <w:p w14:paraId="67C8C7F1">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snapToGrid w:val="0"/>
          <w:color w:val="auto"/>
          <w:kern w:val="0"/>
          <w:sz w:val="24"/>
          <w:highlight w:val="none"/>
        </w:rPr>
        <w:t>八、</w:t>
      </w:r>
      <w:r>
        <w:rPr>
          <w:rFonts w:hint="eastAsia" w:ascii="宋体" w:hAnsi="宋体" w:eastAsia="仿宋"/>
          <w:iCs/>
          <w:color w:val="auto"/>
          <w:sz w:val="24"/>
          <w:highlight w:val="none"/>
        </w:rPr>
        <w:t>因本保函发生争议协商解决不成，按以下第</w:t>
      </w:r>
      <w:r>
        <w:rPr>
          <w:rFonts w:hint="eastAsia" w:ascii="宋体" w:hAnsi="宋体" w:eastAsia="仿宋"/>
          <w:iCs/>
          <w:color w:val="auto"/>
          <w:sz w:val="24"/>
          <w:highlight w:val="none"/>
          <w:u w:val="single"/>
        </w:rPr>
        <w:t>（一）</w:t>
      </w:r>
      <w:r>
        <w:rPr>
          <w:rFonts w:hint="eastAsia" w:ascii="宋体" w:hAnsi="宋体" w:eastAsia="仿宋"/>
          <w:iCs/>
          <w:color w:val="auto"/>
          <w:sz w:val="24"/>
          <w:highlight w:val="none"/>
        </w:rPr>
        <w:t>种方式解决：</w:t>
      </w:r>
    </w:p>
    <w:p w14:paraId="79042346">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（一）向</w:t>
      </w:r>
      <w:r>
        <w:rPr>
          <w:rFonts w:hint="eastAsia" w:ascii="宋体" w:hAnsi="宋体" w:eastAsia="仿宋"/>
          <w:iCs/>
          <w:color w:val="auto"/>
          <w:sz w:val="24"/>
          <w:highlight w:val="none"/>
          <w:u w:val="single"/>
        </w:rPr>
        <w:t xml:space="preserve">      </w:t>
      </w:r>
      <w:r>
        <w:rPr>
          <w:rFonts w:hint="eastAsia" w:ascii="宋体" w:hAnsi="宋体" w:eastAsia="仿宋"/>
          <w:iCs/>
          <w:color w:val="auto"/>
          <w:sz w:val="24"/>
          <w:highlight w:val="none"/>
        </w:rPr>
        <w:t>所在地的人民法院起诉。</w:t>
      </w:r>
    </w:p>
    <w:p w14:paraId="6B1945F7">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（二）提交</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仲裁委员会（仲裁地点为</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）,按照申请仲裁时该会现行有效的仲裁规则进行仲裁。仲裁裁决是终局的，对双方均有约束力。</w:t>
      </w:r>
    </w:p>
    <w:p w14:paraId="7D6C9285">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snapToGrid w:val="0"/>
          <w:color w:val="auto"/>
          <w:kern w:val="0"/>
          <w:sz w:val="24"/>
          <w:highlight w:val="none"/>
        </w:rPr>
        <w:t>九、</w:t>
      </w:r>
      <w:r>
        <w:rPr>
          <w:rFonts w:hint="eastAsia" w:ascii="宋体" w:hAnsi="宋体" w:eastAsia="仿宋"/>
          <w:iCs/>
          <w:color w:val="auto"/>
          <w:sz w:val="24"/>
          <w:highlight w:val="none"/>
        </w:rPr>
        <w:t>本保函有效期届满或提前终止，本保函失效，我方在本保函项下的责任消灭，受益人应立即将本保函原件退还我方；受益人未履行上述义务，本保函仍在有效期届至或提前终止之日失效。</w:t>
      </w:r>
    </w:p>
    <w:p w14:paraId="38AE7EC3">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十、本保函适用中华人民共和国法律。</w:t>
      </w:r>
    </w:p>
    <w:p w14:paraId="70F35C99">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十一、其他条款：</w:t>
      </w:r>
    </w:p>
    <w:p w14:paraId="265EC30A">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w:t>
      </w:r>
    </w:p>
    <w:p w14:paraId="2F717BB5">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十二、本保函自我方负责人或授权代理人签字并加盖公章之日起生效。</w:t>
      </w:r>
    </w:p>
    <w:p w14:paraId="5C32A234">
      <w:pPr>
        <w:pStyle w:val="8"/>
        <w:snapToGrid w:val="0"/>
        <w:spacing w:after="0" w:line="360" w:lineRule="auto"/>
        <w:ind w:left="0" w:leftChars="0" w:firstLine="200"/>
        <w:rPr>
          <w:rFonts w:hint="eastAsia" w:ascii="宋体" w:hAnsi="宋体" w:eastAsia="仿宋"/>
          <w:iCs/>
          <w:color w:val="auto"/>
          <w:sz w:val="24"/>
          <w:highlight w:val="none"/>
        </w:rPr>
      </w:pPr>
    </w:p>
    <w:p w14:paraId="53FB24A8">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保证人（公章）： </w:t>
      </w:r>
      <w:r>
        <w:rPr>
          <w:rFonts w:hint="eastAsia" w:ascii="宋体" w:hAnsi="宋体" w:eastAsia="仿宋"/>
          <w:iCs/>
          <w:color w:val="auto"/>
          <w:sz w:val="24"/>
          <w:highlight w:val="none"/>
          <w:u w:val="single"/>
        </w:rPr>
        <w:t xml:space="preserve">                        </w:t>
      </w:r>
    </w:p>
    <w:p w14:paraId="34A9849B">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负责人或授权代理人（签字）：</w:t>
      </w:r>
      <w:r>
        <w:rPr>
          <w:rFonts w:hint="eastAsia" w:ascii="宋体" w:hAnsi="宋体" w:eastAsia="仿宋"/>
          <w:iCs/>
          <w:color w:val="auto"/>
          <w:sz w:val="24"/>
          <w:highlight w:val="none"/>
          <w:u w:val="single"/>
        </w:rPr>
        <w:t xml:space="preserve">              </w:t>
      </w:r>
    </w:p>
    <w:p w14:paraId="16AC810B">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邮编： </w:t>
      </w:r>
    </w:p>
    <w:p w14:paraId="31B6E5C9">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电话：</w:t>
      </w:r>
      <w:r>
        <w:rPr>
          <w:rFonts w:ascii="宋体" w:hAnsi="宋体" w:eastAsia="仿宋"/>
          <w:color w:val="auto"/>
          <w:sz w:val="24"/>
          <w:highlight w:val="none"/>
        </w:rPr>
        <w:t xml:space="preserve"> </w:t>
      </w:r>
    </w:p>
    <w:p w14:paraId="1A55ECAF">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传真： </w:t>
      </w:r>
    </w:p>
    <w:p w14:paraId="4C0BC02E">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签发日期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年</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月</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日</w:t>
      </w:r>
    </w:p>
    <w:p w14:paraId="484127E2">
      <w:pPr>
        <w:autoSpaceDE w:val="0"/>
        <w:autoSpaceDN w:val="0"/>
        <w:adjustRightInd w:val="0"/>
        <w:spacing w:line="200" w:lineRule="exact"/>
        <w:contextualSpacing/>
        <w:jc w:val="left"/>
        <w:rPr>
          <w:rFonts w:hint="eastAsia" w:ascii="宋体" w:hAnsi="宋体" w:eastAsia="仿宋" w:cs="Microsoft JhengHei"/>
          <w:color w:val="auto"/>
          <w:kern w:val="0"/>
          <w:sz w:val="20"/>
          <w:szCs w:val="20"/>
          <w:highlight w:val="none"/>
        </w:rPr>
      </w:pPr>
    </w:p>
    <w:p w14:paraId="3677F682">
      <w:pPr>
        <w:rPr>
          <w:rFonts w:hint="eastAsia" w:eastAsia="仿宋"/>
          <w:color w:val="auto"/>
          <w:highlight w:val="none"/>
        </w:rPr>
      </w:pPr>
      <w:r>
        <w:rPr>
          <w:rFonts w:hint="eastAsia" w:eastAsia="仿宋"/>
          <w:color w:val="auto"/>
          <w:highlight w:val="none"/>
        </w:rPr>
        <w:t>注：</w:t>
      </w:r>
    </w:p>
    <w:p w14:paraId="04DF26CD">
      <w:pPr>
        <w:rPr>
          <w:rFonts w:hint="eastAsia" w:eastAsia="仿宋"/>
          <w:color w:val="auto"/>
          <w:highlight w:val="none"/>
        </w:rPr>
      </w:pPr>
      <w:r>
        <w:rPr>
          <w:rFonts w:hint="eastAsia" w:eastAsia="仿宋"/>
          <w:color w:val="auto"/>
          <w:highlight w:val="none"/>
        </w:rPr>
        <w:t>1.允许投标人实际开具的银行保函或担保机构或保证保险机构出具的担保的格式与本文件提供的格式有所不同，但不得更改本文件提供的银行保函或担保格式中的实质性内容。</w:t>
      </w:r>
    </w:p>
    <w:p w14:paraId="085A386B">
      <w:pPr>
        <w:rPr>
          <w:rFonts w:hint="eastAsia" w:eastAsia="仿宋"/>
          <w:color w:val="auto"/>
          <w:highlight w:val="none"/>
        </w:rPr>
      </w:pPr>
      <w:r>
        <w:rPr>
          <w:rFonts w:hint="eastAsia" w:eastAsia="仿宋"/>
          <w:color w:val="auto"/>
          <w:highlight w:val="none"/>
        </w:rPr>
        <w:t>2.投标人开具的银行保函（或担保机构担保或保证保险）必须具有明确有效的查询途径（网址链接及查询方式）。</w:t>
      </w:r>
    </w:p>
    <w:p w14:paraId="30B9FF48">
      <w:pPr>
        <w:spacing w:line="380" w:lineRule="exact"/>
        <w:ind w:left="420"/>
        <w:rPr>
          <w:rFonts w:ascii="仿宋_GB2312" w:hAnsi="Georgia" w:eastAsia="仿宋_GB2312" w:cs="宋体"/>
          <w:color w:val="auto"/>
          <w:kern w:val="0"/>
          <w:sz w:val="24"/>
          <w:highlight w:val="none"/>
        </w:rPr>
      </w:pPr>
    </w:p>
    <w:p w14:paraId="4E209CB7">
      <w:pPr>
        <w:spacing w:line="380" w:lineRule="exact"/>
        <w:ind w:left="420"/>
        <w:rPr>
          <w:rFonts w:ascii="仿宋_GB2312" w:hAnsi="Georgia" w:eastAsia="仿宋_GB2312" w:cs="宋体"/>
          <w:color w:val="auto"/>
          <w:kern w:val="0"/>
          <w:sz w:val="24"/>
          <w:highlight w:val="none"/>
        </w:rPr>
      </w:pPr>
    </w:p>
    <w:p w14:paraId="65D0495A">
      <w:pPr>
        <w:widowControl/>
        <w:rPr>
          <w:rFonts w:ascii="宋体" w:hAnsi="宋体" w:eastAsia="仿宋"/>
          <w:color w:val="auto"/>
          <w:highlight w:val="none"/>
        </w:rPr>
      </w:pPr>
    </w:p>
    <w:p w14:paraId="62E9ACC4">
      <w:pPr>
        <w:pStyle w:val="2"/>
        <w:widowControl/>
        <w:jc w:val="center"/>
        <w:rPr>
          <w:rFonts w:ascii="宋体" w:hAnsi="宋体" w:eastAsia="仿宋"/>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498C1C1">
      <w:pPr>
        <w:pStyle w:val="2"/>
        <w:widowControl/>
        <w:spacing w:before="0" w:after="0" w:line="240" w:lineRule="auto"/>
        <w:jc w:val="center"/>
        <w:rPr>
          <w:rFonts w:hint="eastAsia" w:ascii="宋体" w:hAnsi="宋体" w:eastAsia="仿宋"/>
          <w:color w:val="auto"/>
          <w:highlight w:val="none"/>
        </w:rPr>
      </w:pPr>
      <w:bookmarkStart w:id="1003" w:name="_Toc13236"/>
      <w:bookmarkStart w:id="1004" w:name="_Toc445554784"/>
      <w:bookmarkStart w:id="1005" w:name="_Toc466024585"/>
      <w:r>
        <w:rPr>
          <w:rFonts w:hint="eastAsia" w:ascii="宋体" w:hAnsi="宋体" w:eastAsia="仿宋"/>
          <w:color w:val="auto"/>
          <w:highlight w:val="none"/>
        </w:rPr>
        <w:t>第六章  投标文件格式</w:t>
      </w:r>
      <w:bookmarkEnd w:id="1003"/>
      <w:bookmarkEnd w:id="1004"/>
      <w:bookmarkEnd w:id="1005"/>
    </w:p>
    <w:p w14:paraId="40162A3A">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42C88DF9">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74C28AF9">
      <w:pPr>
        <w:widowControl/>
        <w:adjustRightInd w:val="0"/>
        <w:snapToGrid w:val="0"/>
        <w:spacing w:line="360" w:lineRule="auto"/>
        <w:ind w:firstLine="480" w:firstLineChars="200"/>
        <w:rPr>
          <w:rFonts w:hint="eastAsia" w:ascii="仿宋_GB2312" w:hAnsi="黑体" w:eastAsia="仿宋_GB2312"/>
          <w:color w:val="auto"/>
          <w:sz w:val="24"/>
          <w:highlight w:val="none"/>
        </w:rPr>
      </w:pPr>
      <w:r>
        <w:rPr>
          <w:rFonts w:hint="eastAsia" w:ascii="仿宋_GB2312" w:hAnsi="黑体" w:eastAsia="仿宋_GB2312"/>
          <w:color w:val="auto"/>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526287DD">
      <w:pPr>
        <w:widowControl/>
        <w:adjustRightInd w:val="0"/>
        <w:snapToGrid w:val="0"/>
        <w:spacing w:line="360" w:lineRule="auto"/>
        <w:ind w:firstLine="480" w:firstLineChars="200"/>
        <w:rPr>
          <w:rFonts w:hint="eastAsia" w:ascii="仿宋_GB2312" w:hAnsi="宋体" w:eastAsia="仿宋_GB2312"/>
          <w:color w:val="auto"/>
          <w:sz w:val="24"/>
          <w:highlight w:val="none"/>
        </w:rPr>
      </w:pPr>
      <w:r>
        <w:rPr>
          <w:rFonts w:hint="eastAsia" w:ascii="仿宋_GB2312" w:hAnsi="黑体" w:eastAsia="仿宋_GB2312"/>
          <w:color w:val="auto"/>
          <w:sz w:val="24"/>
          <w:highlight w:val="none"/>
        </w:rPr>
        <w:t>2.采用全流程电子招标投标时，投标文件格式要求盖章的，可为电子签章，或盖章后的扫描件。投标文件格式要求签字的，电子投标文件中，应采用签字后的扫描件。</w:t>
      </w:r>
    </w:p>
    <w:p w14:paraId="5D6636F2">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55917940">
      <w:pPr>
        <w:widowControl/>
        <w:spacing w:line="560" w:lineRule="exact"/>
        <w:ind w:firstLine="420" w:firstLineChars="200"/>
        <w:jc w:val="center"/>
        <w:rPr>
          <w:rFonts w:hint="eastAsia" w:ascii="宋体" w:hAnsi="宋体" w:eastAsia="仿宋"/>
          <w:color w:val="auto"/>
          <w:szCs w:val="21"/>
          <w:highlight w:val="none"/>
        </w:rPr>
      </w:pPr>
    </w:p>
    <w:p w14:paraId="0F14BF03">
      <w:pPr>
        <w:widowControl/>
        <w:spacing w:line="560" w:lineRule="exact"/>
        <w:ind w:firstLine="420" w:firstLineChars="200"/>
        <w:jc w:val="center"/>
        <w:rPr>
          <w:rFonts w:hint="eastAsia" w:ascii="宋体" w:hAnsi="宋体" w:eastAsia="仿宋"/>
          <w:color w:val="auto"/>
          <w:szCs w:val="21"/>
          <w:highlight w:val="none"/>
        </w:rPr>
      </w:pPr>
    </w:p>
    <w:p w14:paraId="28DAC1D3">
      <w:pPr>
        <w:widowControl/>
        <w:spacing w:line="560" w:lineRule="exact"/>
        <w:ind w:firstLine="420" w:firstLineChars="200"/>
        <w:jc w:val="center"/>
        <w:rPr>
          <w:rFonts w:hint="eastAsia" w:ascii="宋体" w:hAnsi="宋体" w:eastAsia="仿宋"/>
          <w:color w:val="auto"/>
          <w:szCs w:val="21"/>
          <w:highlight w:val="none"/>
        </w:rPr>
      </w:pPr>
    </w:p>
    <w:p w14:paraId="69319EED">
      <w:pPr>
        <w:widowControl/>
        <w:spacing w:line="560" w:lineRule="exact"/>
        <w:ind w:firstLine="420" w:firstLineChars="200"/>
        <w:jc w:val="center"/>
        <w:rPr>
          <w:rFonts w:hint="eastAsia" w:ascii="宋体" w:hAnsi="宋体" w:cs="宋体"/>
          <w:color w:val="auto"/>
          <w:szCs w:val="21"/>
          <w:highlight w:val="none"/>
        </w:rPr>
      </w:pPr>
    </w:p>
    <w:p w14:paraId="37963878">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rPr>
        <w:t xml:space="preserve">             </w:t>
      </w:r>
      <w:r>
        <w:rPr>
          <w:rFonts w:hint="eastAsia" w:ascii="宋体" w:hAnsi="宋体" w:cs="宋体"/>
          <w:color w:val="auto"/>
          <w:sz w:val="44"/>
          <w:szCs w:val="44"/>
          <w:highlight w:val="none"/>
        </w:rPr>
        <w:t>（项目名称）招标</w:t>
      </w:r>
    </w:p>
    <w:p w14:paraId="644FF0A5">
      <w:pPr>
        <w:widowControl/>
        <w:spacing w:line="560" w:lineRule="exact"/>
        <w:ind w:firstLine="400" w:firstLineChars="200"/>
        <w:jc w:val="center"/>
        <w:rPr>
          <w:rFonts w:hint="eastAsia" w:ascii="宋体" w:hAnsi="宋体" w:cs="宋体"/>
          <w:color w:val="auto"/>
          <w:sz w:val="20"/>
          <w:szCs w:val="20"/>
          <w:highlight w:val="none"/>
        </w:rPr>
      </w:pPr>
    </w:p>
    <w:p w14:paraId="4906FD01">
      <w:pPr>
        <w:widowControl/>
        <w:spacing w:line="560" w:lineRule="exact"/>
        <w:ind w:firstLine="400" w:firstLineChars="200"/>
        <w:jc w:val="center"/>
        <w:rPr>
          <w:rFonts w:hint="eastAsia" w:ascii="宋体" w:hAnsi="宋体" w:cs="宋体"/>
          <w:color w:val="auto"/>
          <w:sz w:val="20"/>
          <w:szCs w:val="20"/>
          <w:highlight w:val="none"/>
        </w:rPr>
      </w:pPr>
    </w:p>
    <w:p w14:paraId="38A35B51">
      <w:pPr>
        <w:widowControl/>
        <w:snapToGrid w:val="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03409C68">
      <w:pPr>
        <w:widowControl/>
        <w:spacing w:line="560" w:lineRule="exact"/>
        <w:ind w:firstLine="560" w:firstLineChars="200"/>
        <w:rPr>
          <w:rFonts w:hint="eastAsia" w:ascii="宋体" w:hAnsi="宋体" w:cs="宋体"/>
          <w:color w:val="auto"/>
          <w:sz w:val="28"/>
          <w:szCs w:val="28"/>
          <w:highlight w:val="none"/>
        </w:rPr>
      </w:pPr>
    </w:p>
    <w:p w14:paraId="105952A9">
      <w:pPr>
        <w:widowControl/>
        <w:spacing w:line="560" w:lineRule="exact"/>
        <w:ind w:firstLine="560" w:firstLineChars="200"/>
        <w:rPr>
          <w:rFonts w:hint="eastAsia" w:ascii="宋体" w:hAnsi="宋体" w:cs="宋体"/>
          <w:color w:val="auto"/>
          <w:sz w:val="28"/>
          <w:szCs w:val="28"/>
          <w:highlight w:val="none"/>
        </w:rPr>
      </w:pPr>
    </w:p>
    <w:p w14:paraId="7E14D2CC">
      <w:pPr>
        <w:widowControl/>
        <w:spacing w:line="560" w:lineRule="exact"/>
        <w:ind w:firstLine="560" w:firstLineChars="200"/>
        <w:rPr>
          <w:rFonts w:hint="eastAsia" w:ascii="宋体" w:hAnsi="宋体" w:cs="宋体"/>
          <w:color w:val="auto"/>
          <w:sz w:val="28"/>
          <w:szCs w:val="28"/>
          <w:highlight w:val="none"/>
        </w:rPr>
      </w:pPr>
    </w:p>
    <w:p w14:paraId="33D7589D">
      <w:pPr>
        <w:widowControl/>
        <w:spacing w:line="560" w:lineRule="exact"/>
        <w:ind w:firstLine="560" w:firstLineChars="200"/>
        <w:rPr>
          <w:rFonts w:hint="eastAsia" w:ascii="宋体" w:hAnsi="宋体" w:cs="宋体"/>
          <w:color w:val="auto"/>
          <w:sz w:val="28"/>
          <w:szCs w:val="28"/>
          <w:highlight w:val="none"/>
        </w:rPr>
      </w:pPr>
    </w:p>
    <w:p w14:paraId="53601A00">
      <w:pPr>
        <w:widowControl/>
        <w:spacing w:line="560" w:lineRule="exact"/>
        <w:ind w:firstLine="560" w:firstLineChars="200"/>
        <w:rPr>
          <w:rFonts w:hint="eastAsia" w:ascii="宋体" w:hAnsi="宋体" w:cs="宋体"/>
          <w:color w:val="auto"/>
          <w:sz w:val="28"/>
          <w:szCs w:val="28"/>
          <w:highlight w:val="none"/>
        </w:rPr>
      </w:pPr>
    </w:p>
    <w:p w14:paraId="3B22AE48">
      <w:pPr>
        <w:widowControl/>
        <w:spacing w:line="560" w:lineRule="exact"/>
        <w:ind w:firstLine="560" w:firstLineChars="200"/>
        <w:rPr>
          <w:rFonts w:hint="eastAsia" w:ascii="宋体" w:hAnsi="宋体" w:cs="宋体"/>
          <w:color w:val="auto"/>
          <w:sz w:val="28"/>
          <w:szCs w:val="28"/>
          <w:highlight w:val="none"/>
        </w:rPr>
      </w:pPr>
    </w:p>
    <w:p w14:paraId="403B6B5E">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62E55D79">
      <w:pPr>
        <w:widowControl/>
        <w:spacing w:line="560" w:lineRule="exact"/>
        <w:ind w:firstLine="560" w:firstLineChars="200"/>
        <w:rPr>
          <w:rFonts w:hint="eastAsia" w:ascii="宋体" w:hAnsi="宋体" w:cs="宋体"/>
          <w:color w:val="auto"/>
          <w:sz w:val="28"/>
          <w:szCs w:val="28"/>
          <w:highlight w:val="none"/>
        </w:rPr>
      </w:pPr>
    </w:p>
    <w:p w14:paraId="4E5F230D">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w:t>
      </w:r>
      <w:r>
        <w:rPr>
          <w:rFonts w:hint="eastAsia" w:ascii="宋体" w:hAnsi="宋体" w:cs="宋体"/>
          <w:color w:val="auto"/>
          <w:sz w:val="28"/>
          <w:szCs w:val="28"/>
          <w:highlight w:val="none"/>
          <w:u w:val="single"/>
        </w:rPr>
        <w:t xml:space="preserve">        </w:t>
      </w:r>
    </w:p>
    <w:p w14:paraId="5570BF74">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613DFBEE">
      <w:pPr>
        <w:widowControl/>
        <w:jc w:val="center"/>
        <w:rPr>
          <w:rFonts w:hint="eastAsia" w:ascii="宋体" w:hAnsi="宋体" w:cs="宋体"/>
          <w:b/>
          <w:bCs/>
          <w:color w:val="auto"/>
          <w:sz w:val="44"/>
          <w:szCs w:val="44"/>
          <w:highlight w:val="none"/>
        </w:rPr>
      </w:pPr>
    </w:p>
    <w:p w14:paraId="71960BBE">
      <w:pPr>
        <w:widowControl/>
        <w:jc w:val="center"/>
        <w:rPr>
          <w:rFonts w:hint="eastAsia" w:ascii="宋体" w:hAnsi="宋体" w:cs="宋体"/>
          <w:b/>
          <w:bCs/>
          <w:color w:val="auto"/>
          <w:sz w:val="44"/>
          <w:szCs w:val="44"/>
          <w:highlight w:val="none"/>
        </w:rPr>
      </w:pPr>
    </w:p>
    <w:p w14:paraId="4177C73B">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6F9A3344">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535EC3B2">
      <w:pPr>
        <w:widowControl/>
        <w:rPr>
          <w:rFonts w:hint="eastAsia" w:ascii="宋体" w:hAnsi="宋体" w:cs="宋体"/>
          <w:bCs/>
          <w:color w:val="auto"/>
          <w:sz w:val="28"/>
          <w:szCs w:val="28"/>
          <w:highlight w:val="none"/>
        </w:rPr>
      </w:pPr>
    </w:p>
    <w:p w14:paraId="1FB52A5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一、投标函</w:t>
      </w:r>
    </w:p>
    <w:p w14:paraId="4544F9E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二、开标一览表</w:t>
      </w:r>
    </w:p>
    <w:p w14:paraId="34F391D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43D55B1F">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四、投标人综合情况简介</w:t>
      </w:r>
    </w:p>
    <w:p w14:paraId="7791B8E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五、中小企业声明函（货物）</w:t>
      </w:r>
    </w:p>
    <w:p w14:paraId="0835A91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276D3166">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七、联合体协议书(如有)</w:t>
      </w:r>
    </w:p>
    <w:p w14:paraId="3E0E1487">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八、分包意向协议书（如有）</w:t>
      </w:r>
    </w:p>
    <w:p w14:paraId="491227C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九、资格审查材料</w:t>
      </w:r>
    </w:p>
    <w:p w14:paraId="5D75CC3B">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十、符合性审查与详细评审材料</w:t>
      </w:r>
    </w:p>
    <w:p w14:paraId="40098BD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十一、主要标的承诺函</w:t>
      </w:r>
    </w:p>
    <w:p w14:paraId="6CD12AE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十二、投标人认为应该提供的其他材料</w:t>
      </w:r>
    </w:p>
    <w:p w14:paraId="3EC77EAF">
      <w:pPr>
        <w:widowControl/>
        <w:rPr>
          <w:rFonts w:hint="eastAsia" w:ascii="宋体" w:hAnsi="宋体" w:cs="宋体"/>
          <w:bCs/>
          <w:color w:val="auto"/>
          <w:highlight w:val="none"/>
        </w:rPr>
      </w:pPr>
    </w:p>
    <w:p w14:paraId="1239DA10">
      <w:pPr>
        <w:pStyle w:val="3"/>
        <w:widowControl/>
        <w:spacing w:before="120" w:after="120" w:line="240" w:lineRule="auto"/>
        <w:jc w:val="center"/>
        <w:rPr>
          <w:rStyle w:val="23"/>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933F0AA">
      <w:pPr>
        <w:widowControl/>
        <w:rPr>
          <w:rFonts w:hint="eastAsia" w:ascii="宋体" w:hAnsi="宋体" w:cs="宋体"/>
          <w:b/>
          <w:color w:val="auto"/>
          <w:szCs w:val="21"/>
          <w:highlight w:val="none"/>
        </w:rPr>
      </w:pPr>
    </w:p>
    <w:p w14:paraId="1981713E">
      <w:pPr>
        <w:pStyle w:val="3"/>
        <w:widowControl/>
        <w:spacing w:before="120" w:after="120" w:line="240" w:lineRule="auto"/>
        <w:jc w:val="center"/>
        <w:rPr>
          <w:rStyle w:val="23"/>
          <w:rFonts w:hint="eastAsia" w:ascii="宋体" w:hAnsi="宋体" w:eastAsia="宋体" w:cs="宋体"/>
          <w:b/>
          <w:bCs w:val="0"/>
          <w:color w:val="auto"/>
          <w:sz w:val="30"/>
          <w:szCs w:val="30"/>
          <w:highlight w:val="none"/>
        </w:rPr>
      </w:pPr>
      <w:bookmarkStart w:id="1006" w:name="_Toc466024587"/>
      <w:bookmarkStart w:id="1007" w:name="_Toc445554786"/>
      <w:r>
        <w:rPr>
          <w:rStyle w:val="23"/>
          <w:rFonts w:hint="eastAsia" w:ascii="宋体" w:hAnsi="宋体" w:eastAsia="宋体" w:cs="宋体"/>
          <w:b/>
          <w:bCs w:val="0"/>
          <w:color w:val="auto"/>
          <w:sz w:val="30"/>
          <w:szCs w:val="30"/>
          <w:highlight w:val="none"/>
        </w:rPr>
        <w:t>一、投标函</w:t>
      </w:r>
    </w:p>
    <w:p w14:paraId="44F87D26">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328661D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45BC5340">
      <w:pPr>
        <w:widowControl/>
        <w:spacing w:line="400" w:lineRule="exact"/>
        <w:ind w:firstLine="420" w:firstLineChars="200"/>
        <w:rPr>
          <w:rFonts w:hint="eastAsia" w:ascii="宋体" w:hAnsi="宋体" w:cs="宋体"/>
          <w:color w:val="auto"/>
          <w:szCs w:val="21"/>
          <w:highlight w:val="none"/>
        </w:rPr>
      </w:pPr>
    </w:p>
    <w:p w14:paraId="4086FE2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1.我方已仔细研究了编号为【项目编号】的【项目名称】招标文件的全部内容，接受你方在招标文件中对投标人的约束条件。我方愿意以开标一览表中确定的投标总价，按照合同的约定履行合同义务。</w:t>
      </w:r>
    </w:p>
    <w:p w14:paraId="7834FF46">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2.我方承诺在招标文件规定的投标有效期内不修改、撤销投标文件</w:t>
      </w:r>
      <w:r>
        <w:rPr>
          <w:rFonts w:hint="eastAsia" w:ascii="宋体" w:hAnsi="宋体" w:cs="宋体"/>
          <w:color w:val="auto"/>
          <w:highlight w:val="none"/>
        </w:rPr>
        <w:t>，且随时准备接受你方发出的中标通知书</w:t>
      </w:r>
      <w:r>
        <w:rPr>
          <w:rFonts w:hint="eastAsia" w:ascii="宋体" w:hAnsi="宋体" w:cs="宋体"/>
          <w:color w:val="auto"/>
          <w:szCs w:val="21"/>
          <w:highlight w:val="none"/>
        </w:rPr>
        <w:t>。</w:t>
      </w:r>
    </w:p>
    <w:p w14:paraId="1A11600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3.我方已详细审查全部招标文件，包括全部澄清、修改、答疑补充文件。我们完全理解并同意放弃对这方面有不明及误解的权力。</w:t>
      </w:r>
    </w:p>
    <w:p w14:paraId="74826F3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4.我方在此声明，所递交的投标文件及有关资料内容完整、真实和准确，且不存在招标文件第二章“投标人须知”第1.3.3项规定的任何一种情形。</w:t>
      </w:r>
    </w:p>
    <w:p w14:paraId="662C511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5.如我方中标：</w:t>
      </w:r>
    </w:p>
    <w:p w14:paraId="754637CA">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26C0784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662471D0">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71B027D5">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0E6AF5AA">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6.我方同意按照你方要求提供与我方投标有关的一切数据或资料，完全理解你方不一定接受最低价的投标或收到的任何投标。</w:t>
      </w:r>
    </w:p>
    <w:p w14:paraId="71CEAB8F">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7.我方对投标文件中所提供资料、文件、证书及证件的真实性、合法性和有效性负责。</w:t>
      </w:r>
    </w:p>
    <w:p w14:paraId="24B3EF83">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 xml:space="preserve">                                               </w:t>
      </w:r>
    </w:p>
    <w:p w14:paraId="200F7FDE">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rPr>
      </w:pPr>
    </w:p>
    <w:p w14:paraId="08116378">
      <w:pPr>
        <w:pStyle w:val="31"/>
        <w:spacing w:line="390" w:lineRule="atLeas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4E2DD9E0">
      <w:pPr>
        <w:pStyle w:val="31"/>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3911F0D7">
      <w:pPr>
        <w:pStyle w:val="31"/>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53DECFFB">
      <w:pPr>
        <w:pStyle w:val="31"/>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0D45C249">
      <w:pPr>
        <w:pStyle w:val="31"/>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3166518A">
      <w:pPr>
        <w:pStyle w:val="31"/>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0A51FE3">
      <w:pPr>
        <w:pStyle w:val="31"/>
        <w:spacing w:line="200" w:lineRule="atLeast"/>
        <w:rPr>
          <w:rFonts w:hint="eastAsia" w:ascii="宋体" w:hAnsi="宋体" w:cs="宋体"/>
          <w:color w:val="auto"/>
          <w:sz w:val="20"/>
          <w:szCs w:val="20"/>
          <w:highlight w:val="none"/>
        </w:rPr>
      </w:pPr>
    </w:p>
    <w:p w14:paraId="7484F8DF">
      <w:pPr>
        <w:pStyle w:val="31"/>
        <w:spacing w:before="6" w:line="220" w:lineRule="atLeast"/>
        <w:rPr>
          <w:rFonts w:hint="eastAsia" w:ascii="宋体" w:hAnsi="宋体" w:cs="宋体"/>
          <w:color w:val="auto"/>
          <w:sz w:val="22"/>
          <w:szCs w:val="22"/>
          <w:highlight w:val="none"/>
        </w:rPr>
      </w:pPr>
    </w:p>
    <w:p w14:paraId="656FDB60">
      <w:pPr>
        <w:pStyle w:val="31"/>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792092A7">
      <w:pPr>
        <w:pStyle w:val="3"/>
        <w:widowControl/>
        <w:spacing w:before="120" w:after="120" w:line="240" w:lineRule="auto"/>
        <w:jc w:val="center"/>
        <w:rPr>
          <w:rStyle w:val="23"/>
          <w:rFonts w:hint="eastAsia" w:ascii="宋体" w:hAnsi="宋体" w:eastAsia="宋体" w:cs="宋体"/>
          <w:b/>
          <w:bCs w:val="0"/>
          <w:color w:val="auto"/>
          <w:sz w:val="30"/>
          <w:szCs w:val="30"/>
          <w:highlight w:val="none"/>
        </w:rPr>
      </w:pPr>
      <w:r>
        <w:rPr>
          <w:rStyle w:val="23"/>
          <w:rFonts w:hint="eastAsia" w:ascii="宋体" w:hAnsi="宋体" w:eastAsia="宋体" w:cs="宋体"/>
          <w:b/>
          <w:bCs w:val="0"/>
          <w:color w:val="auto"/>
          <w:sz w:val="30"/>
          <w:szCs w:val="30"/>
          <w:highlight w:val="none"/>
        </w:rPr>
        <w:t>二、开标一览表</w:t>
      </w:r>
      <w:bookmarkEnd w:id="1006"/>
      <w:bookmarkEnd w:id="1007"/>
    </w:p>
    <w:p w14:paraId="69C33FF2">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44DDC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5CC251DC">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532BA495">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1574A669">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06276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E52301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6BACB15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0378A538">
            <w:pPr>
              <w:widowControl/>
              <w:adjustRightInd w:val="0"/>
              <w:snapToGrid w:val="0"/>
              <w:rPr>
                <w:rFonts w:hint="eastAsia" w:ascii="宋体" w:hAnsi="宋体" w:cs="宋体"/>
                <w:color w:val="auto"/>
                <w:kern w:val="0"/>
                <w:szCs w:val="21"/>
                <w:highlight w:val="none"/>
              </w:rPr>
            </w:pPr>
          </w:p>
        </w:tc>
      </w:tr>
      <w:tr w14:paraId="6171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038DACC2">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12DFF88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26E35038">
            <w:pPr>
              <w:widowControl/>
              <w:adjustRightInd w:val="0"/>
              <w:snapToGrid w:val="0"/>
              <w:rPr>
                <w:rFonts w:hint="eastAsia" w:ascii="宋体" w:hAnsi="宋体" w:cs="宋体"/>
                <w:color w:val="auto"/>
                <w:kern w:val="0"/>
                <w:szCs w:val="21"/>
                <w:highlight w:val="none"/>
              </w:rPr>
            </w:pPr>
          </w:p>
        </w:tc>
      </w:tr>
      <w:tr w14:paraId="4C8F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580498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6280308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分包号（无分包，不填写）</w:t>
            </w:r>
          </w:p>
        </w:tc>
        <w:tc>
          <w:tcPr>
            <w:tcW w:w="6095" w:type="dxa"/>
            <w:noWrap w:val="0"/>
            <w:vAlign w:val="center"/>
          </w:tcPr>
          <w:p w14:paraId="1944CA77">
            <w:pPr>
              <w:widowControl/>
              <w:adjustRightInd w:val="0"/>
              <w:snapToGrid w:val="0"/>
              <w:rPr>
                <w:rFonts w:hint="eastAsia" w:ascii="宋体" w:hAnsi="宋体" w:cs="宋体"/>
                <w:color w:val="auto"/>
                <w:kern w:val="0"/>
                <w:szCs w:val="21"/>
                <w:highlight w:val="none"/>
              </w:rPr>
            </w:pPr>
          </w:p>
        </w:tc>
      </w:tr>
      <w:tr w14:paraId="2245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FEBC6B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3828C1A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p w14:paraId="226A1B7B">
            <w:pPr>
              <w:widowControl/>
              <w:adjustRightInd w:val="0"/>
              <w:snapToGrid w:val="0"/>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投标报价为表3-1、表3-2、表3-3汇总之和</w:t>
            </w:r>
          </w:p>
        </w:tc>
        <w:tc>
          <w:tcPr>
            <w:tcW w:w="6095" w:type="dxa"/>
            <w:noWrap w:val="0"/>
            <w:vAlign w:val="center"/>
          </w:tcPr>
          <w:p w14:paraId="70326C8D">
            <w:pPr>
              <w:widowControl/>
              <w:adjustRightInd w:val="0"/>
              <w:snapToGrid w:val="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元</w:t>
            </w:r>
          </w:p>
        </w:tc>
      </w:tr>
      <w:tr w14:paraId="36DE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3CE746B2">
            <w:pPr>
              <w:widowControl/>
              <w:adjustRightInd w:val="0"/>
              <w:snapToGrid w:val="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2715" w:type="dxa"/>
            <w:noWrap w:val="0"/>
            <w:vAlign w:val="center"/>
          </w:tcPr>
          <w:p w14:paraId="7E9BD3AC">
            <w:pPr>
              <w:widowControl/>
              <w:adjustRightInd w:val="0"/>
              <w:snapToGrid w:val="0"/>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备注</w:t>
            </w:r>
          </w:p>
        </w:tc>
        <w:tc>
          <w:tcPr>
            <w:tcW w:w="6095" w:type="dxa"/>
            <w:noWrap w:val="0"/>
            <w:vAlign w:val="center"/>
          </w:tcPr>
          <w:p w14:paraId="65641DDF">
            <w:pPr>
              <w:widowControl/>
              <w:adjustRightInd w:val="0"/>
              <w:snapToGrid w:val="0"/>
              <w:jc w:val="center"/>
              <w:rPr>
                <w:rFonts w:hint="eastAsia" w:ascii="宋体" w:hAnsi="宋体" w:cs="宋体"/>
                <w:color w:val="auto"/>
                <w:kern w:val="0"/>
                <w:szCs w:val="21"/>
                <w:highlight w:val="none"/>
              </w:rPr>
            </w:pPr>
          </w:p>
        </w:tc>
      </w:tr>
    </w:tbl>
    <w:p w14:paraId="3635FB69">
      <w:pPr>
        <w:widowControl/>
        <w:spacing w:line="200" w:lineRule="atLeast"/>
        <w:rPr>
          <w:rFonts w:hint="eastAsia" w:ascii="宋体" w:hAnsi="宋体" w:cs="宋体"/>
          <w:color w:val="auto"/>
          <w:kern w:val="0"/>
          <w:szCs w:val="21"/>
          <w:highlight w:val="none"/>
        </w:rPr>
      </w:pPr>
    </w:p>
    <w:p w14:paraId="06F174CC">
      <w:pPr>
        <w:widowControl/>
        <w:spacing w:before="18" w:line="280" w:lineRule="atLeast"/>
        <w:rPr>
          <w:rFonts w:hint="eastAsia" w:ascii="宋体" w:hAnsi="宋体" w:cs="宋体"/>
          <w:color w:val="auto"/>
          <w:kern w:val="0"/>
          <w:szCs w:val="21"/>
          <w:highlight w:val="none"/>
        </w:rPr>
      </w:pPr>
    </w:p>
    <w:p w14:paraId="44393C81">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投</w:t>
      </w:r>
      <w:r>
        <w:rPr>
          <w:rFonts w:hint="eastAsia" w:ascii="宋体" w:hAnsi="宋体" w:cs="宋体"/>
          <w:color w:val="auto"/>
          <w:spacing w:val="43"/>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pacing w:val="43"/>
          <w:kern w:val="0"/>
          <w:szCs w:val="21"/>
          <w:highlight w:val="none"/>
        </w:rPr>
        <w:t xml:space="preserve"> </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0AFA8433">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51EEE906">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EB391C7">
      <w:pPr>
        <w:widowControl/>
        <w:spacing w:line="200" w:lineRule="atLeast"/>
        <w:rPr>
          <w:rFonts w:hint="eastAsia" w:ascii="宋体" w:hAnsi="宋体" w:cs="宋体"/>
          <w:color w:val="auto"/>
          <w:kern w:val="0"/>
          <w:szCs w:val="21"/>
          <w:highlight w:val="none"/>
        </w:rPr>
      </w:pPr>
    </w:p>
    <w:p w14:paraId="39FA80FF">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5C772D2">
      <w:pPr>
        <w:pStyle w:val="3"/>
        <w:widowControl/>
        <w:spacing w:before="120" w:after="120" w:line="240" w:lineRule="auto"/>
        <w:jc w:val="center"/>
        <w:rPr>
          <w:rStyle w:val="23"/>
          <w:rFonts w:hint="eastAsia" w:ascii="宋体" w:hAnsi="宋体" w:eastAsia="宋体" w:cs="宋体"/>
          <w:b w:val="0"/>
          <w:bCs/>
          <w:color w:val="auto"/>
          <w:sz w:val="30"/>
          <w:szCs w:val="30"/>
          <w:highlight w:val="none"/>
        </w:rPr>
      </w:pPr>
      <w:bookmarkStart w:id="1008" w:name="_Toc445554787"/>
      <w:bookmarkStart w:id="1009" w:name="_Toc466024588"/>
      <w:r>
        <w:rPr>
          <w:rStyle w:val="23"/>
          <w:rFonts w:hint="eastAsia" w:ascii="宋体" w:hAnsi="宋体" w:eastAsia="宋体" w:cs="宋体"/>
          <w:b/>
          <w:bCs w:val="0"/>
          <w:color w:val="auto"/>
          <w:sz w:val="30"/>
          <w:szCs w:val="30"/>
          <w:highlight w:val="none"/>
        </w:rPr>
        <w:t>三、分项报价表</w:t>
      </w:r>
      <w:bookmarkEnd w:id="1008"/>
      <w:bookmarkEnd w:id="1009"/>
    </w:p>
    <w:p w14:paraId="22BF2F26">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表3-1  分项报价表</w:t>
      </w:r>
    </w:p>
    <w:p w14:paraId="1A7B0A77">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216"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850"/>
        <w:gridCol w:w="850"/>
      </w:tblGrid>
      <w:tr w14:paraId="3C13C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38" w:type="dxa"/>
            <w:vMerge w:val="restart"/>
            <w:noWrap w:val="0"/>
            <w:vAlign w:val="center"/>
          </w:tcPr>
          <w:p w14:paraId="1BF1D07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652072F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vMerge w:val="restart"/>
            <w:noWrap w:val="0"/>
            <w:vAlign w:val="center"/>
          </w:tcPr>
          <w:p w14:paraId="72B065E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799BD3B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567" w:type="dxa"/>
            <w:vMerge w:val="restart"/>
            <w:noWrap w:val="0"/>
            <w:vAlign w:val="center"/>
          </w:tcPr>
          <w:p w14:paraId="6A06509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528" w:type="dxa"/>
            <w:gridSpan w:val="6"/>
            <w:noWrap w:val="0"/>
            <w:vAlign w:val="center"/>
          </w:tcPr>
          <w:p w14:paraId="39E9A5C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992" w:type="dxa"/>
            <w:noWrap w:val="0"/>
            <w:vAlign w:val="center"/>
          </w:tcPr>
          <w:p w14:paraId="7E19F74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993" w:type="dxa"/>
            <w:noWrap w:val="0"/>
            <w:vAlign w:val="center"/>
          </w:tcPr>
          <w:p w14:paraId="087531A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51" w:type="dxa"/>
            <w:noWrap w:val="0"/>
            <w:vAlign w:val="center"/>
          </w:tcPr>
          <w:p w14:paraId="2FDE369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850" w:type="dxa"/>
            <w:noWrap w:val="0"/>
            <w:vAlign w:val="center"/>
          </w:tcPr>
          <w:p w14:paraId="786A937D">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850" w:type="dxa"/>
            <w:noWrap w:val="0"/>
            <w:vAlign w:val="center"/>
          </w:tcPr>
          <w:p w14:paraId="53BCBDD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03011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43023C8A">
            <w:pPr>
              <w:widowControl/>
              <w:adjustRightInd w:val="0"/>
              <w:snapToGrid w:val="0"/>
              <w:jc w:val="center"/>
              <w:rPr>
                <w:rFonts w:hint="eastAsia" w:ascii="宋体" w:hAnsi="宋体" w:cs="宋体"/>
                <w:color w:val="auto"/>
                <w:kern w:val="0"/>
                <w:szCs w:val="21"/>
                <w:highlight w:val="none"/>
              </w:rPr>
            </w:pPr>
          </w:p>
        </w:tc>
        <w:tc>
          <w:tcPr>
            <w:tcW w:w="1156" w:type="dxa"/>
            <w:vMerge w:val="continue"/>
            <w:noWrap w:val="0"/>
            <w:vAlign w:val="center"/>
          </w:tcPr>
          <w:p w14:paraId="7377588F">
            <w:pPr>
              <w:widowControl/>
              <w:adjustRightInd w:val="0"/>
              <w:snapToGrid w:val="0"/>
              <w:jc w:val="center"/>
              <w:rPr>
                <w:rFonts w:hint="eastAsia" w:ascii="宋体" w:hAnsi="宋体" w:cs="宋体"/>
                <w:color w:val="auto"/>
                <w:kern w:val="0"/>
                <w:szCs w:val="21"/>
                <w:highlight w:val="none"/>
              </w:rPr>
            </w:pPr>
          </w:p>
        </w:tc>
        <w:tc>
          <w:tcPr>
            <w:tcW w:w="1124" w:type="dxa"/>
            <w:vMerge w:val="continue"/>
            <w:noWrap w:val="0"/>
            <w:vAlign w:val="center"/>
          </w:tcPr>
          <w:p w14:paraId="63C5055C">
            <w:pPr>
              <w:widowControl/>
              <w:adjustRightInd w:val="0"/>
              <w:snapToGrid w:val="0"/>
              <w:jc w:val="center"/>
              <w:rPr>
                <w:rFonts w:hint="eastAsia" w:ascii="宋体" w:hAnsi="宋体" w:cs="宋体"/>
                <w:color w:val="auto"/>
                <w:kern w:val="0"/>
                <w:szCs w:val="21"/>
                <w:highlight w:val="none"/>
              </w:rPr>
            </w:pPr>
          </w:p>
        </w:tc>
        <w:tc>
          <w:tcPr>
            <w:tcW w:w="567" w:type="dxa"/>
            <w:vMerge w:val="continue"/>
            <w:noWrap w:val="0"/>
            <w:vAlign w:val="center"/>
          </w:tcPr>
          <w:p w14:paraId="2B96C2CF">
            <w:pPr>
              <w:widowControl/>
              <w:adjustRightInd w:val="0"/>
              <w:snapToGrid w:val="0"/>
              <w:jc w:val="center"/>
              <w:rPr>
                <w:rFonts w:hint="eastAsia" w:ascii="宋体" w:hAnsi="宋体" w:cs="宋体"/>
                <w:color w:val="auto"/>
                <w:kern w:val="0"/>
                <w:szCs w:val="21"/>
                <w:highlight w:val="none"/>
              </w:rPr>
            </w:pPr>
          </w:p>
        </w:tc>
        <w:tc>
          <w:tcPr>
            <w:tcW w:w="567" w:type="dxa"/>
            <w:vMerge w:val="continue"/>
            <w:noWrap w:val="0"/>
            <w:vAlign w:val="center"/>
          </w:tcPr>
          <w:p w14:paraId="5628653A">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086B4A06">
            <w:pPr>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0FA1F991">
            <w:pPr>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797FF315">
            <w:pPr>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050" w:type="dxa"/>
            <w:noWrap w:val="0"/>
            <w:vAlign w:val="center"/>
          </w:tcPr>
          <w:p w14:paraId="0D277DDB">
            <w:pPr>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6C2D6B01">
            <w:pPr>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651" w:type="dxa"/>
            <w:noWrap w:val="0"/>
            <w:vAlign w:val="center"/>
          </w:tcPr>
          <w:p w14:paraId="20C7A8FD">
            <w:pPr>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09" w:type="dxa"/>
            <w:noWrap w:val="0"/>
            <w:vAlign w:val="center"/>
          </w:tcPr>
          <w:p w14:paraId="1E15A77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2" w:type="dxa"/>
            <w:noWrap w:val="0"/>
            <w:vAlign w:val="center"/>
          </w:tcPr>
          <w:p w14:paraId="09534EC4">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6A2FDC71">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7DA0CEF1">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0D5886B5">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5662DDAE">
            <w:pPr>
              <w:widowControl/>
              <w:adjustRightInd w:val="0"/>
              <w:snapToGrid w:val="0"/>
              <w:jc w:val="center"/>
              <w:rPr>
                <w:rFonts w:hint="eastAsia" w:ascii="宋体" w:hAnsi="宋体" w:cs="宋体"/>
                <w:color w:val="auto"/>
                <w:kern w:val="0"/>
                <w:szCs w:val="21"/>
                <w:highlight w:val="none"/>
              </w:rPr>
            </w:pPr>
          </w:p>
        </w:tc>
      </w:tr>
      <w:tr w14:paraId="7F409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5832D3FF">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2674CB23">
            <w:pPr>
              <w:jc w:val="center"/>
              <w:rPr>
                <w:rFonts w:hint="eastAsia" w:ascii="宋体" w:hAnsi="宋体" w:cs="宋体"/>
                <w:color w:val="auto"/>
                <w:szCs w:val="21"/>
                <w:highlight w:val="none"/>
              </w:rPr>
            </w:pPr>
          </w:p>
        </w:tc>
        <w:tc>
          <w:tcPr>
            <w:tcW w:w="1124" w:type="dxa"/>
            <w:noWrap w:val="0"/>
            <w:vAlign w:val="center"/>
          </w:tcPr>
          <w:p w14:paraId="4C4F26E9">
            <w:pPr>
              <w:jc w:val="center"/>
              <w:rPr>
                <w:rFonts w:hint="eastAsia" w:ascii="宋体" w:hAnsi="宋体" w:cs="宋体"/>
                <w:color w:val="auto"/>
                <w:szCs w:val="21"/>
                <w:highlight w:val="none"/>
              </w:rPr>
            </w:pPr>
          </w:p>
        </w:tc>
        <w:tc>
          <w:tcPr>
            <w:tcW w:w="567" w:type="dxa"/>
            <w:noWrap w:val="0"/>
            <w:vAlign w:val="center"/>
          </w:tcPr>
          <w:p w14:paraId="15A68D57">
            <w:pPr>
              <w:jc w:val="center"/>
              <w:rPr>
                <w:rFonts w:hint="eastAsia" w:ascii="宋体" w:hAnsi="宋体" w:cs="宋体"/>
                <w:color w:val="auto"/>
                <w:szCs w:val="21"/>
                <w:highlight w:val="none"/>
              </w:rPr>
            </w:pPr>
          </w:p>
        </w:tc>
        <w:tc>
          <w:tcPr>
            <w:tcW w:w="567" w:type="dxa"/>
            <w:noWrap w:val="0"/>
            <w:vAlign w:val="center"/>
          </w:tcPr>
          <w:p w14:paraId="7E455E0E">
            <w:pPr>
              <w:jc w:val="center"/>
              <w:rPr>
                <w:rFonts w:hint="eastAsia" w:ascii="宋体" w:hAnsi="宋体" w:cs="宋体"/>
                <w:color w:val="auto"/>
                <w:szCs w:val="21"/>
                <w:highlight w:val="none"/>
              </w:rPr>
            </w:pPr>
          </w:p>
        </w:tc>
        <w:tc>
          <w:tcPr>
            <w:tcW w:w="1134" w:type="dxa"/>
            <w:noWrap w:val="0"/>
            <w:vAlign w:val="center"/>
          </w:tcPr>
          <w:p w14:paraId="4FE6DB98">
            <w:pPr>
              <w:jc w:val="center"/>
              <w:rPr>
                <w:rFonts w:hint="eastAsia" w:ascii="宋体" w:hAnsi="宋体" w:cs="宋体"/>
                <w:color w:val="auto"/>
                <w:szCs w:val="21"/>
                <w:highlight w:val="none"/>
              </w:rPr>
            </w:pPr>
          </w:p>
        </w:tc>
        <w:tc>
          <w:tcPr>
            <w:tcW w:w="1050" w:type="dxa"/>
            <w:noWrap w:val="0"/>
            <w:vAlign w:val="center"/>
          </w:tcPr>
          <w:p w14:paraId="32F25CF2">
            <w:pPr>
              <w:jc w:val="center"/>
              <w:rPr>
                <w:rFonts w:hint="eastAsia" w:ascii="宋体" w:hAnsi="宋体" w:cs="宋体"/>
                <w:color w:val="auto"/>
                <w:szCs w:val="21"/>
                <w:highlight w:val="none"/>
              </w:rPr>
            </w:pPr>
          </w:p>
        </w:tc>
        <w:tc>
          <w:tcPr>
            <w:tcW w:w="934" w:type="dxa"/>
            <w:noWrap w:val="0"/>
            <w:vAlign w:val="center"/>
          </w:tcPr>
          <w:p w14:paraId="53BD1C12">
            <w:pPr>
              <w:jc w:val="center"/>
              <w:rPr>
                <w:rFonts w:hint="eastAsia" w:ascii="宋体" w:hAnsi="宋体" w:cs="宋体"/>
                <w:color w:val="auto"/>
                <w:szCs w:val="21"/>
                <w:highlight w:val="none"/>
              </w:rPr>
            </w:pPr>
          </w:p>
        </w:tc>
        <w:tc>
          <w:tcPr>
            <w:tcW w:w="1050" w:type="dxa"/>
            <w:noWrap w:val="0"/>
            <w:vAlign w:val="center"/>
          </w:tcPr>
          <w:p w14:paraId="618813B2">
            <w:pPr>
              <w:jc w:val="center"/>
              <w:rPr>
                <w:rFonts w:hint="eastAsia" w:ascii="宋体" w:hAnsi="宋体" w:cs="宋体"/>
                <w:color w:val="auto"/>
                <w:szCs w:val="21"/>
                <w:highlight w:val="none"/>
              </w:rPr>
            </w:pPr>
          </w:p>
        </w:tc>
        <w:tc>
          <w:tcPr>
            <w:tcW w:w="651" w:type="dxa"/>
            <w:noWrap w:val="0"/>
            <w:vAlign w:val="center"/>
          </w:tcPr>
          <w:p w14:paraId="11526D0A">
            <w:pPr>
              <w:jc w:val="center"/>
              <w:rPr>
                <w:rFonts w:hint="eastAsia" w:ascii="宋体" w:hAnsi="宋体" w:cs="宋体"/>
                <w:color w:val="auto"/>
                <w:szCs w:val="21"/>
                <w:highlight w:val="none"/>
              </w:rPr>
            </w:pPr>
          </w:p>
        </w:tc>
        <w:tc>
          <w:tcPr>
            <w:tcW w:w="709" w:type="dxa"/>
            <w:noWrap w:val="0"/>
            <w:vAlign w:val="center"/>
          </w:tcPr>
          <w:p w14:paraId="1B40DB89">
            <w:pPr>
              <w:jc w:val="center"/>
              <w:rPr>
                <w:rFonts w:hint="eastAsia" w:ascii="宋体" w:hAnsi="宋体" w:cs="宋体"/>
                <w:color w:val="auto"/>
                <w:szCs w:val="21"/>
                <w:highlight w:val="none"/>
              </w:rPr>
            </w:pPr>
          </w:p>
        </w:tc>
        <w:tc>
          <w:tcPr>
            <w:tcW w:w="992" w:type="dxa"/>
            <w:noWrap w:val="0"/>
            <w:vAlign w:val="center"/>
          </w:tcPr>
          <w:p w14:paraId="1944D5FA">
            <w:pPr>
              <w:jc w:val="center"/>
              <w:rPr>
                <w:rFonts w:hint="eastAsia" w:ascii="宋体" w:hAnsi="宋体" w:cs="宋体"/>
                <w:color w:val="auto"/>
                <w:szCs w:val="21"/>
                <w:highlight w:val="none"/>
              </w:rPr>
            </w:pPr>
          </w:p>
        </w:tc>
        <w:tc>
          <w:tcPr>
            <w:tcW w:w="993" w:type="dxa"/>
            <w:noWrap w:val="0"/>
            <w:vAlign w:val="center"/>
          </w:tcPr>
          <w:p w14:paraId="66DBCD9D">
            <w:pPr>
              <w:jc w:val="center"/>
              <w:rPr>
                <w:rFonts w:hint="eastAsia" w:ascii="宋体" w:hAnsi="宋体" w:cs="宋体"/>
                <w:color w:val="auto"/>
                <w:szCs w:val="21"/>
                <w:highlight w:val="none"/>
              </w:rPr>
            </w:pPr>
          </w:p>
        </w:tc>
        <w:tc>
          <w:tcPr>
            <w:tcW w:w="851" w:type="dxa"/>
            <w:noWrap w:val="0"/>
            <w:vAlign w:val="center"/>
          </w:tcPr>
          <w:p w14:paraId="0A44B841">
            <w:pPr>
              <w:jc w:val="center"/>
              <w:rPr>
                <w:rFonts w:hint="eastAsia" w:ascii="宋体" w:hAnsi="宋体" w:cs="宋体"/>
                <w:color w:val="auto"/>
                <w:szCs w:val="21"/>
                <w:highlight w:val="none"/>
              </w:rPr>
            </w:pPr>
          </w:p>
        </w:tc>
        <w:tc>
          <w:tcPr>
            <w:tcW w:w="850" w:type="dxa"/>
            <w:noWrap w:val="0"/>
            <w:vAlign w:val="center"/>
          </w:tcPr>
          <w:p w14:paraId="1F5140B5">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1C4BAC41">
            <w:pPr>
              <w:widowControl/>
              <w:adjustRightInd w:val="0"/>
              <w:snapToGrid w:val="0"/>
              <w:jc w:val="center"/>
              <w:rPr>
                <w:rFonts w:hint="eastAsia" w:ascii="宋体" w:hAnsi="宋体" w:cs="宋体"/>
                <w:color w:val="auto"/>
                <w:kern w:val="0"/>
                <w:szCs w:val="21"/>
                <w:highlight w:val="none"/>
              </w:rPr>
            </w:pPr>
          </w:p>
        </w:tc>
      </w:tr>
      <w:tr w14:paraId="455D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453CAD02">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09F77723">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77B14B29">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28DCBB53">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10CF7501">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34726D38">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447701BF">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38E4380F">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7A49C040">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753A75F5">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71173A29">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2066FD84">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58FDB827">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689F0C12">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6BB8FAB4">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4D9658C6">
            <w:pPr>
              <w:widowControl/>
              <w:adjustRightInd w:val="0"/>
              <w:snapToGrid w:val="0"/>
              <w:jc w:val="center"/>
              <w:rPr>
                <w:rFonts w:hint="eastAsia" w:ascii="宋体" w:hAnsi="宋体" w:cs="宋体"/>
                <w:color w:val="auto"/>
                <w:kern w:val="0"/>
                <w:szCs w:val="21"/>
                <w:highlight w:val="none"/>
              </w:rPr>
            </w:pPr>
          </w:p>
        </w:tc>
      </w:tr>
      <w:tr w14:paraId="7AF4F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1238ADAA">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1D05045C">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7C67EBB7">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6E208A02">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6CCE53E7">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79FDD022">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83F682D">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4C2AB30B">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42D9B396">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1F62CFCB">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203A4D62">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58E7E70E">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0E39D551">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396C726E">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1B375828">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1D23F838">
            <w:pPr>
              <w:widowControl/>
              <w:adjustRightInd w:val="0"/>
              <w:snapToGrid w:val="0"/>
              <w:jc w:val="center"/>
              <w:rPr>
                <w:rFonts w:hint="eastAsia" w:ascii="宋体" w:hAnsi="宋体" w:cs="宋体"/>
                <w:color w:val="auto"/>
                <w:kern w:val="0"/>
                <w:szCs w:val="21"/>
                <w:highlight w:val="none"/>
              </w:rPr>
            </w:pPr>
          </w:p>
        </w:tc>
      </w:tr>
      <w:tr w14:paraId="485F1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513A2AC1">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6BFAE9AA">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0467A7F4">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5D0510DB">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43A4A0B3">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5C572E82">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5E7D816">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7295200B">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3D550760">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6AAE0186">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1A5F9C72">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5BD68FAE">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45CC554B">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7F37D64F">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42098528">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632B49CB">
            <w:pPr>
              <w:widowControl/>
              <w:adjustRightInd w:val="0"/>
              <w:snapToGrid w:val="0"/>
              <w:jc w:val="center"/>
              <w:rPr>
                <w:rFonts w:hint="eastAsia" w:ascii="宋体" w:hAnsi="宋体" w:cs="宋体"/>
                <w:color w:val="auto"/>
                <w:kern w:val="0"/>
                <w:szCs w:val="21"/>
                <w:highlight w:val="none"/>
              </w:rPr>
            </w:pPr>
          </w:p>
        </w:tc>
      </w:tr>
      <w:tr w14:paraId="4B1F6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E393DE7">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460F53F9">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059C7970">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2816D203">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13959F3E">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6177F33F">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FE5E67C">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1E825590">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DB34329">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065897AA">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69CE1165">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567A9207">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35F006D9">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051D0557">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7817A0B5">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503A4DA0">
            <w:pPr>
              <w:widowControl/>
              <w:adjustRightInd w:val="0"/>
              <w:snapToGrid w:val="0"/>
              <w:jc w:val="center"/>
              <w:rPr>
                <w:rFonts w:hint="eastAsia" w:ascii="宋体" w:hAnsi="宋体" w:cs="宋体"/>
                <w:color w:val="auto"/>
                <w:kern w:val="0"/>
                <w:szCs w:val="21"/>
                <w:highlight w:val="none"/>
              </w:rPr>
            </w:pPr>
          </w:p>
        </w:tc>
      </w:tr>
      <w:tr w14:paraId="65018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680" w:type="dxa"/>
            <w:gridSpan w:val="11"/>
            <w:noWrap w:val="0"/>
            <w:vAlign w:val="center"/>
          </w:tcPr>
          <w:p w14:paraId="5D03622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992" w:type="dxa"/>
            <w:noWrap w:val="0"/>
            <w:vAlign w:val="center"/>
          </w:tcPr>
          <w:p w14:paraId="68BB6C3E">
            <w:pPr>
              <w:widowControl/>
              <w:adjustRightInd w:val="0"/>
              <w:snapToGrid w:val="0"/>
              <w:jc w:val="center"/>
              <w:rPr>
                <w:rFonts w:hint="eastAsia" w:ascii="宋体" w:hAnsi="宋体" w:cs="宋体"/>
                <w:color w:val="auto"/>
                <w:kern w:val="0"/>
                <w:szCs w:val="21"/>
                <w:highlight w:val="none"/>
              </w:rPr>
            </w:pPr>
          </w:p>
        </w:tc>
        <w:tc>
          <w:tcPr>
            <w:tcW w:w="3544" w:type="dxa"/>
            <w:gridSpan w:val="4"/>
            <w:noWrap w:val="0"/>
            <w:vAlign w:val="center"/>
          </w:tcPr>
          <w:p w14:paraId="22DEC30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000047F6">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33C9925">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437F33F3">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2.投标总价=分项报价表合计+质保期内备件及易损件分项报价表合计+专用工具分项报价表合计。</w:t>
      </w:r>
    </w:p>
    <w:p w14:paraId="64223B7E">
      <w:pPr>
        <w:widowControl/>
        <w:spacing w:line="200" w:lineRule="atLeas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14:paraId="60BA8A00">
      <w:pPr>
        <w:widowControl/>
        <w:spacing w:line="200" w:lineRule="atLeast"/>
        <w:rPr>
          <w:rFonts w:hint="eastAsia" w:ascii="宋体" w:hAnsi="宋体" w:cs="宋体"/>
          <w:color w:val="auto"/>
          <w:kern w:val="0"/>
          <w:sz w:val="20"/>
          <w:szCs w:val="20"/>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r>
        <w:rPr>
          <w:rFonts w:hint="eastAsia" w:ascii="宋体" w:hAnsi="宋体" w:cs="宋体"/>
          <w:color w:val="auto"/>
          <w:kern w:val="0"/>
          <w:sz w:val="20"/>
          <w:szCs w:val="20"/>
          <w:highlight w:val="none"/>
        </w:rPr>
        <w:t xml:space="preserve"> </w:t>
      </w:r>
    </w:p>
    <w:p w14:paraId="464EC43C">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表3-2  质保期内备件及易损件</w:t>
      </w:r>
      <w:r>
        <w:rPr>
          <w:rFonts w:hint="eastAsia" w:ascii="宋体" w:hAnsi="宋体" w:cs="宋体"/>
          <w:color w:val="auto"/>
          <w:kern w:val="0"/>
          <w:sz w:val="28"/>
          <w:szCs w:val="28"/>
          <w:highlight w:val="none"/>
        </w:rPr>
        <w:t>分项报价表</w:t>
      </w:r>
    </w:p>
    <w:p w14:paraId="15AC857E">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27F49B6D">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516C74B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61256A5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0D0534B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5B98126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7DE7562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7EBCAF5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50BC5AF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073F206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481E1F4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1655AA3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68A7588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7E9D4FA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483422EC">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E525AD6">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719A4380">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5365A7FE">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587AA6E6">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56BF2E93">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03B6DC7A">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1C8794E9">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35975457">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0918984">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737551D8">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A872F2A">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30ADF669">
            <w:pPr>
              <w:widowControl/>
              <w:adjustRightInd w:val="0"/>
              <w:snapToGrid w:val="0"/>
              <w:jc w:val="center"/>
              <w:rPr>
                <w:rFonts w:hint="eastAsia" w:ascii="宋体" w:hAnsi="宋体" w:cs="宋体"/>
                <w:color w:val="auto"/>
                <w:kern w:val="0"/>
                <w:szCs w:val="21"/>
                <w:highlight w:val="none"/>
              </w:rPr>
            </w:pPr>
          </w:p>
        </w:tc>
      </w:tr>
      <w:tr w14:paraId="617F8720">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35B52E9">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6637574B">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5F2585D8">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07BD4766">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082EBBDE">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2DDDA5B5">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290E9219">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3212971B">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558DEC74">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74A005D0">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8682E58">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540761A5">
            <w:pPr>
              <w:widowControl/>
              <w:adjustRightInd w:val="0"/>
              <w:snapToGrid w:val="0"/>
              <w:jc w:val="center"/>
              <w:rPr>
                <w:rFonts w:hint="eastAsia" w:ascii="宋体" w:hAnsi="宋体" w:cs="宋体"/>
                <w:color w:val="auto"/>
                <w:kern w:val="0"/>
                <w:szCs w:val="21"/>
                <w:highlight w:val="none"/>
              </w:rPr>
            </w:pPr>
          </w:p>
        </w:tc>
      </w:tr>
      <w:tr w14:paraId="00A7D29E">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3872B92">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697D596E">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172DCD1D">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7A0EBBAA">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7CCA838F">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0CF53BA3">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035D7B4A">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14E4A0EE">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09A78716">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1951C68E">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5F8F41C">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2ACE3F2">
            <w:pPr>
              <w:widowControl/>
              <w:adjustRightInd w:val="0"/>
              <w:snapToGrid w:val="0"/>
              <w:jc w:val="center"/>
              <w:rPr>
                <w:rFonts w:hint="eastAsia" w:ascii="宋体" w:hAnsi="宋体" w:cs="宋体"/>
                <w:color w:val="auto"/>
                <w:kern w:val="0"/>
                <w:szCs w:val="21"/>
                <w:highlight w:val="none"/>
              </w:rPr>
            </w:pPr>
          </w:p>
        </w:tc>
      </w:tr>
      <w:tr w14:paraId="0D38BC0B">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4818CFB6">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合计（此表价格含在投标总价内）</w:t>
            </w:r>
          </w:p>
        </w:tc>
        <w:tc>
          <w:tcPr>
            <w:tcW w:w="1050" w:type="dxa"/>
            <w:tcBorders>
              <w:top w:val="single" w:color="000000" w:sz="4" w:space="0"/>
              <w:left w:val="nil"/>
              <w:bottom w:val="single" w:color="000000" w:sz="4" w:space="0"/>
              <w:right w:val="single" w:color="000000" w:sz="4" w:space="0"/>
            </w:tcBorders>
            <w:noWrap w:val="0"/>
            <w:vAlign w:val="center"/>
          </w:tcPr>
          <w:p w14:paraId="57057459">
            <w:pPr>
              <w:widowControl/>
              <w:adjustRightInd w:val="0"/>
              <w:snapToGrid w:val="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10EB87E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3122DBC0">
      <w:pPr>
        <w:widowControl/>
        <w:spacing w:before="8" w:line="110" w:lineRule="atLeast"/>
        <w:rPr>
          <w:rFonts w:hint="eastAsia" w:ascii="宋体" w:hAnsi="宋体" w:cs="宋体"/>
          <w:color w:val="auto"/>
          <w:kern w:val="0"/>
          <w:sz w:val="20"/>
          <w:szCs w:val="20"/>
          <w:highlight w:val="none"/>
        </w:rPr>
      </w:pPr>
      <w:r>
        <w:rPr>
          <w:rFonts w:hint="eastAsia" w:ascii="宋体" w:hAnsi="宋体" w:cs="宋体"/>
          <w:color w:val="auto"/>
          <w:kern w:val="0"/>
          <w:sz w:val="11"/>
          <w:szCs w:val="11"/>
          <w:highlight w:val="none"/>
        </w:rPr>
        <w:t xml:space="preserve"> </w:t>
      </w:r>
      <w:r>
        <w:rPr>
          <w:rFonts w:hint="eastAsia" w:ascii="宋体" w:hAnsi="宋体" w:cs="宋体"/>
          <w:color w:val="auto"/>
          <w:kern w:val="0"/>
          <w:sz w:val="20"/>
          <w:szCs w:val="20"/>
          <w:highlight w:val="none"/>
        </w:rPr>
        <w:t xml:space="preserve">  </w:t>
      </w:r>
    </w:p>
    <w:p w14:paraId="773C2EF9">
      <w:pPr>
        <w:widowControl/>
        <w:spacing w:before="3" w:line="180" w:lineRule="atLeast"/>
        <w:rPr>
          <w:rFonts w:hint="eastAsia" w:ascii="宋体" w:hAnsi="宋体" w:cs="宋体"/>
          <w:color w:val="auto"/>
          <w:kern w:val="0"/>
          <w:sz w:val="20"/>
          <w:szCs w:val="20"/>
          <w:highlight w:val="none"/>
        </w:rPr>
      </w:pPr>
    </w:p>
    <w:p w14:paraId="3DE5A371">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表3-3  专用工具</w:t>
      </w:r>
      <w:r>
        <w:rPr>
          <w:rFonts w:hint="eastAsia" w:ascii="宋体" w:hAnsi="宋体" w:cs="宋体"/>
          <w:color w:val="auto"/>
          <w:kern w:val="0"/>
          <w:sz w:val="28"/>
          <w:szCs w:val="28"/>
          <w:highlight w:val="none"/>
        </w:rPr>
        <w:t>分项报价表</w:t>
      </w:r>
    </w:p>
    <w:p w14:paraId="3CEEE8D2">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24797FE7">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763B26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12DE2991">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7D3A09D5">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7DCA96F1">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47E10D3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7EB2318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22E05E9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070AE6B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4CC2CA0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0C38C81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00CE577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151BAB25">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48E36899">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26329EF">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04E4AD72">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40EDDB41">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295D9C3A">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1B12711E">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1215F0A5">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7999C40E">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7A37AE2">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1D9A773A">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63740C19">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53D1C5E">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E0B9812">
            <w:pPr>
              <w:widowControl/>
              <w:adjustRightInd w:val="0"/>
              <w:snapToGrid w:val="0"/>
              <w:jc w:val="center"/>
              <w:rPr>
                <w:rFonts w:hint="eastAsia" w:ascii="宋体" w:hAnsi="宋体" w:cs="宋体"/>
                <w:color w:val="auto"/>
                <w:kern w:val="0"/>
                <w:szCs w:val="21"/>
                <w:highlight w:val="none"/>
              </w:rPr>
            </w:pPr>
          </w:p>
        </w:tc>
      </w:tr>
      <w:tr w14:paraId="6341671F">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3610A32">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04B5B66B">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20CB9D6F">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47D46B0B">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2C5991EF">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1484B1C9">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3131DCB1">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F3EF6D7">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55F16F79">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337D4757">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A7A2A86">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3449A756">
            <w:pPr>
              <w:widowControl/>
              <w:adjustRightInd w:val="0"/>
              <w:snapToGrid w:val="0"/>
              <w:jc w:val="center"/>
              <w:rPr>
                <w:rFonts w:hint="eastAsia" w:ascii="宋体" w:hAnsi="宋体" w:cs="宋体"/>
                <w:color w:val="auto"/>
                <w:kern w:val="0"/>
                <w:szCs w:val="21"/>
                <w:highlight w:val="none"/>
              </w:rPr>
            </w:pPr>
          </w:p>
        </w:tc>
      </w:tr>
      <w:tr w14:paraId="5329F577">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9DF4FC7">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615C52D0">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28122584">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1297E4AD">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077E3C67">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7E8418CE">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5A6483F3">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5F78A8C6">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1E3A85B6">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651F2B1A">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A97D13B">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FBC7F5F">
            <w:pPr>
              <w:widowControl/>
              <w:adjustRightInd w:val="0"/>
              <w:snapToGrid w:val="0"/>
              <w:jc w:val="center"/>
              <w:rPr>
                <w:rFonts w:hint="eastAsia" w:ascii="宋体" w:hAnsi="宋体" w:cs="宋体"/>
                <w:color w:val="auto"/>
                <w:kern w:val="0"/>
                <w:szCs w:val="21"/>
                <w:highlight w:val="none"/>
              </w:rPr>
            </w:pPr>
          </w:p>
        </w:tc>
      </w:tr>
      <w:tr w14:paraId="66A02E5B">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406EE27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r>
              <w:rPr>
                <w:rFonts w:hint="eastAsia" w:ascii="宋体" w:hAnsi="宋体" w:cs="宋体"/>
                <w:b/>
                <w:color w:val="auto"/>
                <w:kern w:val="0"/>
                <w:szCs w:val="21"/>
                <w:highlight w:val="none"/>
              </w:rPr>
              <w:t>此表价格含在投标总价内</w:t>
            </w:r>
            <w:r>
              <w:rPr>
                <w:rFonts w:hint="eastAsia" w:ascii="宋体" w:hAnsi="宋体" w:cs="宋体"/>
                <w:color w:val="auto"/>
                <w:kern w:val="0"/>
                <w:szCs w:val="21"/>
                <w:highlight w:val="none"/>
              </w:rPr>
              <w:t>）</w:t>
            </w:r>
          </w:p>
        </w:tc>
        <w:tc>
          <w:tcPr>
            <w:tcW w:w="1050" w:type="dxa"/>
            <w:tcBorders>
              <w:top w:val="single" w:color="000000" w:sz="4" w:space="0"/>
              <w:left w:val="nil"/>
              <w:bottom w:val="single" w:color="000000" w:sz="4" w:space="0"/>
              <w:right w:val="single" w:color="000000" w:sz="4" w:space="0"/>
            </w:tcBorders>
            <w:noWrap w:val="0"/>
            <w:vAlign w:val="center"/>
          </w:tcPr>
          <w:p w14:paraId="58617B95">
            <w:pPr>
              <w:widowControl/>
              <w:adjustRightInd w:val="0"/>
              <w:snapToGrid w:val="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2FF0253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002453B8">
      <w:pPr>
        <w:widowControl/>
        <w:spacing w:before="8" w:line="110" w:lineRule="atLeast"/>
        <w:rPr>
          <w:rFonts w:hint="eastAsia" w:ascii="宋体" w:hAnsi="宋体" w:cs="宋体"/>
          <w:color w:val="auto"/>
          <w:kern w:val="0"/>
          <w:sz w:val="20"/>
          <w:szCs w:val="20"/>
          <w:highlight w:val="none"/>
        </w:rPr>
      </w:pPr>
      <w:r>
        <w:rPr>
          <w:rFonts w:hint="eastAsia" w:ascii="宋体" w:hAnsi="宋体" w:cs="宋体"/>
          <w:color w:val="auto"/>
          <w:kern w:val="0"/>
          <w:sz w:val="11"/>
          <w:szCs w:val="11"/>
          <w:highlight w:val="none"/>
        </w:rPr>
        <w:t xml:space="preserve"> </w:t>
      </w:r>
      <w:r>
        <w:rPr>
          <w:rFonts w:hint="eastAsia" w:ascii="宋体" w:hAnsi="宋体" w:cs="宋体"/>
          <w:color w:val="auto"/>
          <w:kern w:val="0"/>
          <w:sz w:val="20"/>
          <w:szCs w:val="20"/>
          <w:highlight w:val="none"/>
        </w:rPr>
        <w:t xml:space="preserve">  </w:t>
      </w:r>
    </w:p>
    <w:p w14:paraId="632240FD">
      <w:pPr>
        <w:widowControl/>
        <w:spacing w:before="7"/>
        <w:ind w:left="5680" w:right="-20"/>
        <w:rPr>
          <w:rFonts w:hint="eastAsia" w:ascii="宋体" w:hAnsi="宋体" w:cs="宋体"/>
          <w:color w:val="auto"/>
          <w:kern w:val="0"/>
          <w:szCs w:val="21"/>
          <w:highlight w:val="none"/>
        </w:rPr>
      </w:pPr>
    </w:p>
    <w:p w14:paraId="58476DC9">
      <w:pPr>
        <w:widowControl/>
        <w:spacing w:before="7"/>
        <w:ind w:left="5680" w:right="-20"/>
        <w:rPr>
          <w:rFonts w:hint="eastAsia" w:ascii="宋体" w:hAnsi="宋体" w:cs="宋体"/>
          <w:color w:val="auto"/>
          <w:kern w:val="0"/>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6BCAF07A">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表3-4  质保期外备件及易损件</w:t>
      </w:r>
      <w:r>
        <w:rPr>
          <w:rFonts w:hint="eastAsia" w:ascii="宋体" w:hAnsi="宋体" w:cs="宋体"/>
          <w:color w:val="auto"/>
          <w:kern w:val="0"/>
          <w:sz w:val="28"/>
          <w:szCs w:val="28"/>
          <w:highlight w:val="none"/>
        </w:rPr>
        <w:t>分项报价表</w:t>
      </w:r>
    </w:p>
    <w:p w14:paraId="262F746A">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222B52FD">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FE52242">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379438F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63BF808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749022F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1B2F32A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250A1D0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40AD2FD0">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632D2CF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18C4DD1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330785D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646CF50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6B31DF2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6D755519">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8235CBE">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48F94126">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6F279112">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36AD812D">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269A9E7B">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679550D7">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52E333AA">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BA72D85">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2A9E441F">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3E9D8C90">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508C32F">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7E0ED458">
            <w:pPr>
              <w:widowControl/>
              <w:adjustRightInd w:val="0"/>
              <w:snapToGrid w:val="0"/>
              <w:jc w:val="center"/>
              <w:rPr>
                <w:rFonts w:hint="eastAsia" w:ascii="宋体" w:hAnsi="宋体" w:cs="宋体"/>
                <w:color w:val="auto"/>
                <w:kern w:val="0"/>
                <w:szCs w:val="21"/>
                <w:highlight w:val="none"/>
              </w:rPr>
            </w:pPr>
          </w:p>
        </w:tc>
      </w:tr>
      <w:tr w14:paraId="1527A790">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E7935E9">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1CF370C1">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65BAE5F2">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2DEBF49E">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706F32A0">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09697A74">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4E6A7E64">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FF5D566">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28F5124D">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1F6590FB">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879F113">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038EC19">
            <w:pPr>
              <w:widowControl/>
              <w:adjustRightInd w:val="0"/>
              <w:snapToGrid w:val="0"/>
              <w:jc w:val="center"/>
              <w:rPr>
                <w:rFonts w:hint="eastAsia" w:ascii="宋体" w:hAnsi="宋体" w:cs="宋体"/>
                <w:color w:val="auto"/>
                <w:kern w:val="0"/>
                <w:szCs w:val="21"/>
                <w:highlight w:val="none"/>
              </w:rPr>
            </w:pPr>
          </w:p>
        </w:tc>
      </w:tr>
      <w:tr w14:paraId="04FEAEBE">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EA41EBE">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734F14A6">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0D50BA4E">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6CA6E078">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3DEAA0D7">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26BBA478">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7695D095">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78416E66">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F21A553">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69B98FA1">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3CD7086">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6F4FD37">
            <w:pPr>
              <w:widowControl/>
              <w:adjustRightInd w:val="0"/>
              <w:snapToGrid w:val="0"/>
              <w:jc w:val="center"/>
              <w:rPr>
                <w:rFonts w:hint="eastAsia" w:ascii="宋体" w:hAnsi="宋体" w:cs="宋体"/>
                <w:color w:val="auto"/>
                <w:kern w:val="0"/>
                <w:szCs w:val="21"/>
                <w:highlight w:val="none"/>
              </w:rPr>
            </w:pPr>
          </w:p>
        </w:tc>
      </w:tr>
      <w:tr w14:paraId="58BA4767">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718BF99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r>
              <w:rPr>
                <w:rFonts w:hint="eastAsia" w:ascii="宋体" w:hAnsi="宋体" w:cs="宋体"/>
                <w:b/>
                <w:color w:val="auto"/>
                <w:kern w:val="0"/>
                <w:szCs w:val="21"/>
                <w:highlight w:val="none"/>
              </w:rPr>
              <w:t>此表价格不含在投标总价内</w:t>
            </w:r>
            <w:r>
              <w:rPr>
                <w:rFonts w:hint="eastAsia" w:ascii="宋体" w:hAnsi="宋体" w:cs="宋体"/>
                <w:color w:val="auto"/>
                <w:kern w:val="0"/>
                <w:szCs w:val="21"/>
                <w:highlight w:val="none"/>
              </w:rPr>
              <w:t>）</w:t>
            </w:r>
          </w:p>
        </w:tc>
        <w:tc>
          <w:tcPr>
            <w:tcW w:w="1050" w:type="dxa"/>
            <w:tcBorders>
              <w:top w:val="single" w:color="000000" w:sz="4" w:space="0"/>
              <w:left w:val="nil"/>
              <w:bottom w:val="single" w:color="000000" w:sz="4" w:space="0"/>
              <w:right w:val="single" w:color="000000" w:sz="4" w:space="0"/>
            </w:tcBorders>
            <w:noWrap w:val="0"/>
            <w:vAlign w:val="center"/>
          </w:tcPr>
          <w:p w14:paraId="006C3F42">
            <w:pPr>
              <w:widowControl/>
              <w:adjustRightInd w:val="0"/>
              <w:snapToGrid w:val="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123CF34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22B35E63">
      <w:pPr>
        <w:widowControl/>
        <w:spacing w:line="272" w:lineRule="atLeast"/>
        <w:ind w:left="160" w:right="-20"/>
        <w:rPr>
          <w:rFonts w:hint="eastAsia" w:ascii="宋体" w:hAnsi="宋体" w:cs="宋体"/>
          <w:color w:val="auto"/>
          <w:kern w:val="0"/>
          <w:szCs w:val="21"/>
          <w:highlight w:val="none"/>
        </w:rPr>
      </w:pPr>
    </w:p>
    <w:p w14:paraId="46C6C95C">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1DAFEE5B">
      <w:pPr>
        <w:pStyle w:val="3"/>
        <w:widowControl/>
        <w:wordWrap w:val="0"/>
        <w:spacing w:before="120" w:after="120" w:line="240" w:lineRule="auto"/>
        <w:jc w:val="center"/>
        <w:rPr>
          <w:rFonts w:hint="eastAsia" w:ascii="宋体" w:hAnsi="宋体" w:cs="宋体"/>
          <w:color w:val="auto"/>
          <w:kern w:val="0"/>
          <w:sz w:val="30"/>
          <w:szCs w:val="30"/>
          <w:highlight w:val="none"/>
        </w:rPr>
      </w:pPr>
      <w:bookmarkStart w:id="1010" w:name="_Toc466024589"/>
      <w:r>
        <w:rPr>
          <w:rStyle w:val="23"/>
          <w:rFonts w:hint="eastAsia" w:ascii="宋体" w:hAnsi="宋体" w:eastAsia="宋体" w:cs="宋体"/>
          <w:b/>
          <w:bCs w:val="0"/>
          <w:color w:val="auto"/>
          <w:sz w:val="30"/>
          <w:szCs w:val="30"/>
          <w:highlight w:val="none"/>
        </w:rPr>
        <w:t>四、投标人综合情况简介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25C2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5829275A">
            <w:pPr>
              <w:widowControl/>
              <w:wordWrap w:val="0"/>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项目名称：【项目名称】</w:t>
            </w:r>
          </w:p>
        </w:tc>
      </w:tr>
      <w:tr w14:paraId="2BB6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721C5130">
            <w:pPr>
              <w:wordWrap w:val="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kern w:val="0"/>
                <w:szCs w:val="21"/>
                <w:highlight w:val="none"/>
              </w:rPr>
              <w:t>：</w:t>
            </w:r>
            <w:r>
              <w:rPr>
                <w:rFonts w:hint="eastAsia" w:ascii="宋体" w:hAnsi="宋体" w:cs="宋体"/>
                <w:color w:val="auto"/>
                <w:szCs w:val="21"/>
                <w:highlight w:val="none"/>
              </w:rPr>
              <w:t>【项目编号】</w:t>
            </w:r>
          </w:p>
        </w:tc>
      </w:tr>
      <w:tr w14:paraId="7928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2BEA1B4F">
            <w:pPr>
              <w:wordWrap w:val="0"/>
              <w:spacing w:before="31" w:line="2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基本信息</w:t>
            </w:r>
          </w:p>
        </w:tc>
        <w:tc>
          <w:tcPr>
            <w:tcW w:w="1536" w:type="dxa"/>
            <w:noWrap w:val="0"/>
            <w:vAlign w:val="center"/>
          </w:tcPr>
          <w:p w14:paraId="050BD482">
            <w:pPr>
              <w:widowControl/>
              <w:wordWrap w:val="0"/>
              <w:spacing w:line="240" w:lineRule="exact"/>
              <w:jc w:val="center"/>
              <w:rPr>
                <w:rFonts w:hint="eastAsia" w:ascii="宋体" w:hAnsi="宋体" w:cs="宋体"/>
                <w:color w:val="auto"/>
                <w:szCs w:val="21"/>
                <w:highlight w:val="none"/>
                <w:lang w:eastAsia="en-US"/>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全称</w:t>
            </w:r>
          </w:p>
        </w:tc>
        <w:tc>
          <w:tcPr>
            <w:tcW w:w="6912" w:type="dxa"/>
            <w:gridSpan w:val="3"/>
            <w:noWrap w:val="0"/>
            <w:vAlign w:val="center"/>
          </w:tcPr>
          <w:p w14:paraId="6DC3B4EA">
            <w:pPr>
              <w:keepNext/>
              <w:keepLines/>
              <w:widowControl/>
              <w:spacing w:before="120" w:after="120"/>
              <w:ind w:right="630"/>
              <w:jc w:val="left"/>
              <w:outlineLvl w:val="1"/>
              <w:rPr>
                <w:rFonts w:hint="eastAsia" w:ascii="宋体" w:hAnsi="宋体" w:cs="宋体"/>
                <w:b/>
                <w:bCs/>
                <w:color w:val="auto"/>
                <w:highlight w:val="none"/>
              </w:rPr>
            </w:pPr>
          </w:p>
        </w:tc>
      </w:tr>
      <w:tr w14:paraId="492F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0F435B04">
            <w:pPr>
              <w:wordWrap w:val="0"/>
              <w:spacing w:before="31" w:line="240" w:lineRule="exact"/>
              <w:jc w:val="center"/>
              <w:rPr>
                <w:rFonts w:hint="eastAsia" w:ascii="宋体" w:hAnsi="宋体" w:cs="宋体"/>
                <w:color w:val="auto"/>
                <w:szCs w:val="21"/>
                <w:highlight w:val="none"/>
              </w:rPr>
            </w:pPr>
          </w:p>
        </w:tc>
        <w:tc>
          <w:tcPr>
            <w:tcW w:w="1536" w:type="dxa"/>
            <w:noWrap w:val="0"/>
            <w:vAlign w:val="center"/>
          </w:tcPr>
          <w:p w14:paraId="7765389E">
            <w:pPr>
              <w:widowControl/>
              <w:wordWrap w:val="0"/>
              <w:spacing w:line="2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w:t>
            </w:r>
            <w:r>
              <w:rPr>
                <w:rFonts w:hint="eastAsia" w:ascii="宋体" w:hAnsi="宋体" w:cs="宋体"/>
                <w:color w:val="auto"/>
                <w:kern w:val="0"/>
                <w:szCs w:val="21"/>
                <w:highlight w:val="none"/>
                <w:lang w:eastAsia="en-US"/>
              </w:rPr>
              <w:t>地址</w:t>
            </w:r>
          </w:p>
        </w:tc>
        <w:tc>
          <w:tcPr>
            <w:tcW w:w="6912" w:type="dxa"/>
            <w:gridSpan w:val="3"/>
            <w:noWrap w:val="0"/>
            <w:vAlign w:val="center"/>
          </w:tcPr>
          <w:p w14:paraId="506DA4F5">
            <w:pPr>
              <w:widowControl/>
              <w:wordWrap w:val="0"/>
              <w:spacing w:line="240" w:lineRule="exact"/>
              <w:jc w:val="center"/>
              <w:rPr>
                <w:rFonts w:hint="eastAsia" w:ascii="宋体" w:hAnsi="宋体" w:cs="宋体"/>
                <w:color w:val="auto"/>
                <w:kern w:val="0"/>
                <w:szCs w:val="21"/>
                <w:highlight w:val="none"/>
              </w:rPr>
            </w:pPr>
          </w:p>
        </w:tc>
      </w:tr>
      <w:tr w14:paraId="7EF3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34FFD5A6">
            <w:pPr>
              <w:wordWrap w:val="0"/>
              <w:rPr>
                <w:rFonts w:hint="eastAsia" w:ascii="宋体" w:hAnsi="宋体" w:cs="宋体"/>
                <w:color w:val="auto"/>
                <w:szCs w:val="21"/>
                <w:highlight w:val="none"/>
              </w:rPr>
            </w:pPr>
          </w:p>
        </w:tc>
        <w:tc>
          <w:tcPr>
            <w:tcW w:w="1536" w:type="dxa"/>
            <w:noWrap w:val="0"/>
            <w:vAlign w:val="center"/>
          </w:tcPr>
          <w:p w14:paraId="0B1C58A1">
            <w:pPr>
              <w:widowControl/>
              <w:wordWrap w:val="0"/>
              <w:spacing w:line="2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联系人</w:t>
            </w:r>
          </w:p>
        </w:tc>
        <w:tc>
          <w:tcPr>
            <w:tcW w:w="2579" w:type="dxa"/>
            <w:noWrap w:val="0"/>
            <w:vAlign w:val="center"/>
          </w:tcPr>
          <w:p w14:paraId="52740A1E">
            <w:pPr>
              <w:widowControl/>
              <w:wordWrap w:val="0"/>
              <w:spacing w:line="240" w:lineRule="exact"/>
              <w:jc w:val="center"/>
              <w:rPr>
                <w:rFonts w:hint="eastAsia" w:ascii="宋体" w:hAnsi="宋体" w:cs="宋体"/>
                <w:color w:val="auto"/>
                <w:kern w:val="0"/>
                <w:szCs w:val="21"/>
                <w:highlight w:val="none"/>
              </w:rPr>
            </w:pPr>
          </w:p>
        </w:tc>
        <w:tc>
          <w:tcPr>
            <w:tcW w:w="1674" w:type="dxa"/>
            <w:noWrap w:val="0"/>
            <w:vAlign w:val="center"/>
          </w:tcPr>
          <w:p w14:paraId="5D69D984">
            <w:pPr>
              <w:widowControl/>
              <w:wordWrap w:val="0"/>
              <w:spacing w:line="2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联系电话</w:t>
            </w:r>
          </w:p>
        </w:tc>
        <w:tc>
          <w:tcPr>
            <w:tcW w:w="2659" w:type="dxa"/>
            <w:noWrap w:val="0"/>
            <w:vAlign w:val="center"/>
          </w:tcPr>
          <w:p w14:paraId="7CA207B1">
            <w:pPr>
              <w:widowControl/>
              <w:wordWrap w:val="0"/>
              <w:spacing w:line="240" w:lineRule="exact"/>
              <w:jc w:val="center"/>
              <w:rPr>
                <w:rFonts w:hint="eastAsia" w:ascii="宋体" w:hAnsi="宋体" w:cs="宋体"/>
                <w:color w:val="auto"/>
                <w:kern w:val="0"/>
                <w:szCs w:val="21"/>
                <w:highlight w:val="none"/>
              </w:rPr>
            </w:pPr>
          </w:p>
        </w:tc>
      </w:tr>
      <w:tr w14:paraId="1245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1CDE8C96">
            <w:pPr>
              <w:wordWrap w:val="0"/>
              <w:spacing w:before="120" w:beforeLines="50" w:line="480" w:lineRule="auto"/>
              <w:rPr>
                <w:rFonts w:hint="eastAsia" w:ascii="宋体" w:hAnsi="宋体" w:cs="宋体"/>
                <w:color w:val="auto"/>
                <w:szCs w:val="21"/>
                <w:highlight w:val="none"/>
              </w:rPr>
            </w:pPr>
            <w:r>
              <w:rPr>
                <w:rFonts w:hint="eastAsia" w:ascii="宋体" w:hAnsi="宋体" w:cs="宋体"/>
                <w:color w:val="auto"/>
                <w:szCs w:val="21"/>
                <w:highlight w:val="none"/>
              </w:rPr>
              <w:t>投标人公章：</w:t>
            </w:r>
          </w:p>
          <w:p w14:paraId="75D3629C">
            <w:pPr>
              <w:wordWrap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填表日期：</w:t>
            </w:r>
          </w:p>
        </w:tc>
      </w:tr>
      <w:tr w14:paraId="7171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007B53C4">
            <w:pPr>
              <w:wordWrap w:val="0"/>
              <w:spacing w:before="120" w:beforeLines="50" w:line="360" w:lineRule="auto"/>
              <w:rPr>
                <w:rFonts w:hint="eastAsia" w:ascii="宋体" w:hAnsi="宋体" w:cs="宋体"/>
                <w:color w:val="auto"/>
                <w:highlight w:val="none"/>
              </w:rPr>
            </w:pPr>
            <w:r>
              <w:rPr>
                <w:rFonts w:hint="eastAsia" w:ascii="宋体" w:hAnsi="宋体" w:cs="宋体"/>
                <w:color w:val="auto"/>
                <w:highlight w:val="none"/>
              </w:rPr>
              <w:t>填表说明：</w:t>
            </w:r>
          </w:p>
          <w:p w14:paraId="66769CA3">
            <w:pPr>
              <w:wordWrap w:val="0"/>
              <w:spacing w:line="360" w:lineRule="auto"/>
              <w:rPr>
                <w:rFonts w:hint="eastAsia" w:ascii="宋体" w:hAnsi="宋体" w:cs="宋体"/>
                <w:color w:val="auto"/>
                <w:kern w:val="0"/>
                <w:highlight w:val="none"/>
              </w:rPr>
            </w:pPr>
            <w:r>
              <w:rPr>
                <w:rFonts w:hint="eastAsia" w:ascii="宋体" w:hAnsi="宋体" w:cs="宋体"/>
                <w:color w:val="auto"/>
                <w:highlight w:val="none"/>
              </w:rPr>
              <w:t>请填表人认真、准确填写，并加盖单位公章，为便于成交后进行政府采购合同备案，请填写完整。</w:t>
            </w:r>
          </w:p>
        </w:tc>
      </w:tr>
    </w:tbl>
    <w:p w14:paraId="31431E46">
      <w:pPr>
        <w:pStyle w:val="3"/>
        <w:widowControl/>
        <w:spacing w:before="120" w:after="120" w:line="240" w:lineRule="auto"/>
        <w:jc w:val="center"/>
        <w:rPr>
          <w:rStyle w:val="23"/>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23"/>
          <w:rFonts w:hint="eastAsia" w:ascii="宋体" w:hAnsi="宋体" w:eastAsia="宋体" w:cs="宋体"/>
          <w:b/>
          <w:bCs/>
          <w:color w:val="auto"/>
          <w:sz w:val="30"/>
          <w:szCs w:val="30"/>
          <w:highlight w:val="none"/>
        </w:rPr>
        <w:t>五、</w:t>
      </w:r>
      <w:bookmarkEnd w:id="1010"/>
      <w:r>
        <w:rPr>
          <w:rStyle w:val="23"/>
          <w:rFonts w:hint="eastAsia" w:ascii="宋体" w:hAnsi="宋体" w:eastAsia="宋体" w:cs="宋体"/>
          <w:b/>
          <w:bCs/>
          <w:color w:val="auto"/>
          <w:sz w:val="30"/>
          <w:szCs w:val="30"/>
          <w:highlight w:val="none"/>
        </w:rPr>
        <w:t>中小企业声明函（货物）</w:t>
      </w:r>
    </w:p>
    <w:p w14:paraId="23AB219D">
      <w:pPr>
        <w:pStyle w:val="11"/>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06874A32">
      <w:pPr>
        <w:pStyle w:val="7"/>
        <w:snapToGrid w:val="0"/>
        <w:spacing w:line="360" w:lineRule="auto"/>
        <w:ind w:firstLine="420" w:firstLineChars="200"/>
        <w:rPr>
          <w:rFonts w:hint="eastAsia" w:ascii="宋体" w:hAnsi="宋体" w:eastAsia="宋体" w:cs="宋体"/>
          <w:color w:val="auto"/>
          <w:sz w:val="21"/>
          <w:szCs w:val="21"/>
          <w:highlight w:val="none"/>
        </w:rPr>
      </w:pPr>
    </w:p>
    <w:p w14:paraId="4E9B307A">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color w:val="auto"/>
          <w:sz w:val="21"/>
          <w:szCs w:val="21"/>
          <w:highlight w:val="none"/>
          <w:u w:val="single" w:color="000000"/>
          <w:lang w:bidi="ar"/>
        </w:rPr>
        <w:t>（单位名称）</w:t>
      </w:r>
      <w:r>
        <w:rPr>
          <w:rFonts w:hint="eastAsia" w:cs="宋体"/>
          <w:color w:val="auto"/>
          <w:kern w:val="2"/>
          <w:sz w:val="21"/>
          <w:szCs w:val="21"/>
          <w:highlight w:val="none"/>
        </w:rPr>
        <w:t>的</w:t>
      </w:r>
      <w:r>
        <w:rPr>
          <w:rFonts w:hint="eastAsia" w:cs="宋体"/>
          <w:i/>
          <w:color w:val="auto"/>
          <w:sz w:val="21"/>
          <w:szCs w:val="21"/>
          <w:highlight w:val="none"/>
          <w:u w:val="single" w:color="000000"/>
          <w:lang w:bidi="ar"/>
        </w:rPr>
        <w:t>（项目名称）</w:t>
      </w:r>
      <w:r>
        <w:rPr>
          <w:rFonts w:hint="eastAsia" w:cs="宋体"/>
          <w:color w:val="auto"/>
          <w:kern w:val="2"/>
          <w:sz w:val="21"/>
          <w:szCs w:val="21"/>
          <w:highlight w:val="none"/>
        </w:rPr>
        <w:t>采购活动，提供的货物全部由符合政策要求的中小企业制造。相关企业（含联合体中的中小企业、签订分包意向协议的中小企业）的具体情况如下：</w:t>
      </w:r>
    </w:p>
    <w:p w14:paraId="60420CE2">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Fonts w:hint="eastAsia" w:cs="宋体"/>
          <w:color w:val="auto"/>
          <w:kern w:val="2"/>
          <w:sz w:val="21"/>
          <w:szCs w:val="21"/>
          <w:highlight w:val="none"/>
          <w:vertAlign w:val="superscript"/>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0356C4E0">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2DF61576">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3E999769">
      <w:pPr>
        <w:pStyle w:val="15"/>
        <w:widowControl w:val="0"/>
        <w:autoSpaceDE w:val="0"/>
        <w:autoSpaceDN w:val="0"/>
        <w:snapToGrid w:val="0"/>
        <w:spacing w:before="0" w:beforeAutospacing="0" w:after="0" w:afterAutospacing="0" w:line="360" w:lineRule="auto"/>
        <w:ind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67C0B70B">
      <w:pPr>
        <w:pStyle w:val="15"/>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16A175A0">
      <w:pPr>
        <w:pStyle w:val="15"/>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6873F578">
      <w:pPr>
        <w:pStyle w:val="15"/>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173AD4D5">
      <w:pPr>
        <w:pStyle w:val="15"/>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注一：不符合中小企业扶持政策的，或所有标的信息不能填写全面的，无需提供；请投标人务必全面、准确了解相关政策、产品及制造商等相关信息后，谨慎提交。</w:t>
      </w:r>
    </w:p>
    <w:p w14:paraId="70B00087">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投标人须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属于提供虚假材料谋取中标，</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投标人可自行登录工业和信息化部官网进行中小企业规模类型自测（查询网址https://www.miit.gov.cn/）。</w:t>
      </w:r>
    </w:p>
    <w:p w14:paraId="6B349597">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0998F9C3">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331D38D4">
      <w:pPr>
        <w:spacing w:line="360" w:lineRule="auto"/>
        <w:rPr>
          <w:rFonts w:hint="eastAsia" w:ascii="宋体" w:hAnsi="宋体" w:cs="宋体"/>
          <w:color w:val="auto"/>
          <w:highlight w:val="none"/>
        </w:rPr>
      </w:pPr>
      <w:bookmarkStart w:id="1011" w:name="OLE_LINK14"/>
      <w:bookmarkStart w:id="1012" w:name="OLE_LINK13"/>
    </w:p>
    <w:p w14:paraId="45B8DB71">
      <w:pPr>
        <w:spacing w:line="360" w:lineRule="auto"/>
        <w:rPr>
          <w:rFonts w:hint="eastAsia" w:ascii="宋体" w:hAnsi="宋体" w:cs="宋体"/>
          <w:color w:val="auto"/>
          <w:highlight w:val="none"/>
        </w:rPr>
      </w:pPr>
    </w:p>
    <w:p w14:paraId="1B230FC4">
      <w:pPr>
        <w:rPr>
          <w:rFonts w:hint="eastAsia" w:ascii="宋体" w:hAnsi="宋体" w:cs="宋体"/>
          <w:color w:val="auto"/>
          <w:highlight w:val="none"/>
        </w:rPr>
      </w:pPr>
    </w:p>
    <w:p w14:paraId="371B1DF5">
      <w:pPr>
        <w:pStyle w:val="11"/>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bookmarkEnd w:id="1011"/>
    <w:bookmarkEnd w:id="1012"/>
    <w:p w14:paraId="5D28B2B9">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0585A529">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20D58C26">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75839E2D">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1398796E">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0A5659D0">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30C2A761">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4177394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0A8D9EB">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2ECA8A18">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150D6CFC">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4F9E0045">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49CAED2C">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7C9C22D3">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573D266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1D75A37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3450685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7738E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6447DAA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2ABE655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2BD6F0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87A063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C077C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AC7724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789AD5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6D8277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A223B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05A4A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94DA0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3E1926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39464F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9350D0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F2F8C5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B8C41E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25101B0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39967CE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06D64AB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88474A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2B30EE4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2D3F65B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3CF584EF">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cols w:space="720" w:num="1"/>
          <w:docGrid w:linePitch="312" w:charSpace="0"/>
        </w:sectPr>
      </w:pPr>
    </w:p>
    <w:p w14:paraId="194FCE6D">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Cs w:val="0"/>
          <w:color w:val="auto"/>
          <w:kern w:val="0"/>
          <w:sz w:val="28"/>
          <w:szCs w:val="28"/>
          <w:highlight w:val="none"/>
        </w:rPr>
        <w:t>六、</w:t>
      </w:r>
      <w:r>
        <w:rPr>
          <w:rFonts w:hint="eastAsia" w:ascii="宋体" w:hAnsi="宋体" w:cs="宋体"/>
          <w:color w:val="auto"/>
          <w:kern w:val="0"/>
          <w:sz w:val="28"/>
          <w:szCs w:val="28"/>
          <w:highlight w:val="none"/>
        </w:rPr>
        <w:t>法定代表人（单位负责人）身份证明或授权委托书</w:t>
      </w:r>
    </w:p>
    <w:p w14:paraId="093299C6">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15D03C72">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投标人名称：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7E0D7C24">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40306D4F">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380CEC4F">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0EC5B743">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5A4C2A59">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637CADEB">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投标人名称）的法定代表人（单位负责人）。</w:t>
      </w:r>
    </w:p>
    <w:p w14:paraId="20DAF966">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74E8F60B">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1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4BAF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2C6E45B1">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12FC38C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473BC210">
      <w:pPr>
        <w:widowControl/>
        <w:spacing w:before="12" w:line="360" w:lineRule="auto"/>
        <w:rPr>
          <w:rFonts w:hint="eastAsia" w:ascii="宋体" w:hAnsi="宋体" w:cs="宋体"/>
          <w:color w:val="auto"/>
          <w:kern w:val="0"/>
          <w:highlight w:val="none"/>
        </w:rPr>
      </w:pPr>
    </w:p>
    <w:p w14:paraId="03E54990">
      <w:pPr>
        <w:widowControl/>
        <w:spacing w:before="12" w:line="360" w:lineRule="auto"/>
        <w:rPr>
          <w:rFonts w:hint="eastAsia" w:ascii="宋体" w:hAnsi="宋体" w:cs="宋体"/>
          <w:color w:val="auto"/>
          <w:kern w:val="0"/>
          <w:highlight w:val="none"/>
        </w:rPr>
      </w:pPr>
    </w:p>
    <w:p w14:paraId="31CA80D1">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投标人：</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3B27F41B">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2A995000">
      <w:pPr>
        <w:widowControl/>
        <w:ind w:left="2874" w:right="-20"/>
        <w:rPr>
          <w:rFonts w:hint="eastAsia" w:ascii="宋体" w:hAnsi="宋体" w:cs="宋体"/>
          <w:color w:val="auto"/>
          <w:kern w:val="0"/>
          <w:sz w:val="28"/>
          <w:szCs w:val="28"/>
          <w:highlight w:val="none"/>
        </w:rPr>
      </w:pPr>
    </w:p>
    <w:p w14:paraId="6CDAEC53">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608411AD">
      <w:pPr>
        <w:widowControl/>
        <w:spacing w:before="3" w:line="260" w:lineRule="atLeast"/>
        <w:rPr>
          <w:rFonts w:hint="eastAsia" w:ascii="宋体" w:hAnsi="宋体" w:cs="宋体"/>
          <w:color w:val="auto"/>
          <w:kern w:val="0"/>
          <w:sz w:val="26"/>
          <w:szCs w:val="26"/>
          <w:highlight w:val="none"/>
        </w:rPr>
      </w:pPr>
    </w:p>
    <w:p w14:paraId="1FC8976C">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（投标人名称）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投标文件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74E708DD">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1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FDC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898" w:type="dxa"/>
            <w:noWrap w:val="0"/>
            <w:vAlign w:val="center"/>
          </w:tcPr>
          <w:p w14:paraId="6098CCD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代理人身份证（正面）</w:t>
            </w:r>
          </w:p>
        </w:tc>
        <w:tc>
          <w:tcPr>
            <w:tcW w:w="3899" w:type="dxa"/>
            <w:noWrap w:val="0"/>
            <w:vAlign w:val="center"/>
          </w:tcPr>
          <w:p w14:paraId="77E8D5E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代理人身份证（反面）</w:t>
            </w:r>
          </w:p>
        </w:tc>
      </w:tr>
      <w:tr w14:paraId="7501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24A43327">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2BC7B94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15685725">
      <w:pPr>
        <w:widowControl/>
        <w:spacing w:line="360" w:lineRule="auto"/>
        <w:rPr>
          <w:rFonts w:hint="eastAsia" w:ascii="宋体" w:hAnsi="宋体" w:cs="宋体"/>
          <w:color w:val="auto"/>
          <w:kern w:val="0"/>
          <w:highlight w:val="none"/>
        </w:rPr>
      </w:pPr>
    </w:p>
    <w:p w14:paraId="26019E71">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216F295F">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2B6CAF2C">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投标人：</w:t>
      </w:r>
      <w:r>
        <w:rPr>
          <w:rFonts w:hint="eastAsia" w:ascii="宋体" w:hAnsi="宋体" w:cs="宋体"/>
          <w:color w:val="auto"/>
          <w:szCs w:val="24"/>
          <w:highlight w:val="none"/>
          <w:u w:val="single"/>
        </w:rPr>
        <w:t xml:space="preserve">                            （盖单位章）</w:t>
      </w:r>
    </w:p>
    <w:p w14:paraId="45151689">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188D6A30">
      <w:pPr>
        <w:pStyle w:val="31"/>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E7F950E">
      <w:pPr>
        <w:widowControl/>
        <w:spacing w:line="295" w:lineRule="atLeast"/>
        <w:ind w:left="556" w:right="-20"/>
        <w:rPr>
          <w:rFonts w:hint="eastAsia" w:ascii="宋体" w:hAnsi="宋体" w:cs="宋体"/>
          <w:color w:val="auto"/>
          <w:kern w:val="0"/>
          <w:szCs w:val="21"/>
          <w:highlight w:val="none"/>
        </w:rPr>
      </w:pPr>
    </w:p>
    <w:p w14:paraId="232705EB">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FCFE927">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七、联合体协议书（如有）</w:t>
      </w:r>
    </w:p>
    <w:p w14:paraId="10ADC454">
      <w:pPr>
        <w:widowControl/>
        <w:spacing w:before="7" w:line="110" w:lineRule="atLeast"/>
        <w:rPr>
          <w:rFonts w:hint="eastAsia" w:ascii="宋体" w:hAnsi="宋体" w:cs="宋体"/>
          <w:color w:val="auto"/>
          <w:kern w:val="0"/>
          <w:sz w:val="11"/>
          <w:szCs w:val="11"/>
          <w:highlight w:val="none"/>
        </w:rPr>
      </w:pPr>
      <w:r>
        <w:rPr>
          <w:rFonts w:hint="eastAsia" w:ascii="宋体" w:hAnsi="宋体" w:cs="宋体"/>
          <w:color w:val="auto"/>
          <w:kern w:val="0"/>
          <w:sz w:val="11"/>
          <w:szCs w:val="11"/>
          <w:highlight w:val="none"/>
        </w:rPr>
        <w:t xml:space="preserve"> </w:t>
      </w:r>
    </w:p>
    <w:p w14:paraId="5F3B19D9">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（所有成员单位名称）自愿组成联合体，共同参加【项目名称】的采购活动。现就联合体投标事宜订立如下协议。</w:t>
      </w:r>
    </w:p>
    <w:p w14:paraId="1D5D4E65">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（某成员单位名称）为牵头人。</w:t>
      </w:r>
    </w:p>
    <w:p w14:paraId="50854142">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536D75A">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3、联合体将严格按照招标文件的各项要求，递交投标文件，履行合同，并对外承担连带责任。</w:t>
      </w:r>
    </w:p>
    <w:p w14:paraId="4BC28575">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4、联合体各成员单位内部的职责分工如下：</w:t>
      </w:r>
    </w:p>
    <w:p w14:paraId="3F280339">
      <w:pPr>
        <w:pStyle w:val="31"/>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（1）牵头人单位：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55B051E4">
      <w:pPr>
        <w:pStyle w:val="31"/>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（2）成员单位一：</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7169D521">
      <w:pPr>
        <w:pStyle w:val="31"/>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3064CE9A">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w:t>
      </w:r>
    </w:p>
    <w:p w14:paraId="74E5A1D2">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 xml:space="preserve">5、本协议书自签署之日起生效，合同履行完毕后自动失效。 </w:t>
      </w:r>
    </w:p>
    <w:p w14:paraId="775B2FF0">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6、本协议书一式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份，联合体牵头人、成员和采购人各执一份。</w:t>
      </w:r>
    </w:p>
    <w:p w14:paraId="5F6331D5">
      <w:pPr>
        <w:pStyle w:val="31"/>
        <w:topLinePunct/>
        <w:spacing w:line="440" w:lineRule="atLeast"/>
        <w:rPr>
          <w:rFonts w:hint="eastAsia" w:ascii="宋体" w:hAnsi="宋体" w:cs="宋体"/>
          <w:color w:val="auto"/>
          <w:szCs w:val="24"/>
          <w:highlight w:val="none"/>
        </w:rPr>
      </w:pPr>
    </w:p>
    <w:p w14:paraId="5B167DD0">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牵头人名称：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26546BA9">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A3B48F3">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3C3E2DF2">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81BFC9C">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3C4B666C">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29EA5CC5">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2591A493">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6DA134D6">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1A33363E">
      <w:pPr>
        <w:pStyle w:val="31"/>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DDC889B">
      <w:pPr>
        <w:widowControl/>
        <w:spacing w:line="200" w:lineRule="atLeast"/>
        <w:rPr>
          <w:rFonts w:hint="eastAsia" w:ascii="宋体" w:hAnsi="宋体" w:cs="宋体"/>
          <w:color w:val="auto"/>
          <w:kern w:val="0"/>
          <w:sz w:val="24"/>
          <w:highlight w:val="none"/>
        </w:rPr>
      </w:pPr>
    </w:p>
    <w:p w14:paraId="4D9B5ADF">
      <w:pPr>
        <w:widowControl/>
        <w:rPr>
          <w:rFonts w:hint="eastAsia" w:ascii="宋体" w:hAnsi="宋体" w:cs="宋体"/>
          <w:color w:val="auto"/>
          <w:highlight w:val="none"/>
        </w:rPr>
      </w:pPr>
    </w:p>
    <w:p w14:paraId="41E58C19">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4854CF24">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八、分包意向协议书（如有）</w:t>
      </w:r>
    </w:p>
    <w:p w14:paraId="21C6D5CA">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我方承诺一旦在【项目名称】中获得采购合同，拟按下表进行分包。在本项目中签署的一切文件和处理的一切事宜，我方及分包单位均予以承认。分包单位将严格按照招标文件、投标文件的各项要求履行合同，且不再次分包，我方对外承担连带责任。</w:t>
      </w:r>
    </w:p>
    <w:p w14:paraId="0E34BAC8">
      <w:pPr>
        <w:pStyle w:val="31"/>
        <w:topLinePunct/>
        <w:spacing w:line="440" w:lineRule="atLeast"/>
        <w:ind w:firstLine="420"/>
        <w:rPr>
          <w:rFonts w:hint="eastAsia" w:ascii="宋体" w:hAnsi="宋体" w:cs="宋体"/>
          <w:color w:val="auto"/>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00"/>
        <w:gridCol w:w="1266"/>
        <w:gridCol w:w="1322"/>
        <w:gridCol w:w="2389"/>
      </w:tblGrid>
      <w:tr w14:paraId="0AB2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6F3DC7BC">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序号</w:t>
            </w:r>
          </w:p>
        </w:tc>
        <w:tc>
          <w:tcPr>
            <w:tcW w:w="2300" w:type="dxa"/>
            <w:noWrap w:val="0"/>
            <w:vAlign w:val="center"/>
          </w:tcPr>
          <w:p w14:paraId="58E26411">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单位名称</w:t>
            </w:r>
          </w:p>
          <w:p w14:paraId="71B09C49">
            <w:pPr>
              <w:pStyle w:val="31"/>
              <w:topLinePunct/>
              <w:jc w:val="center"/>
              <w:rPr>
                <w:rFonts w:ascii="宋体" w:hAnsi="宋体" w:cs="宋体"/>
                <w:b/>
                <w:bCs/>
                <w:color w:val="auto"/>
                <w:szCs w:val="24"/>
                <w:highlight w:val="none"/>
              </w:rPr>
            </w:pPr>
            <w:r>
              <w:rPr>
                <w:rFonts w:hint="eastAsia" w:ascii="宋体" w:hAnsi="宋体" w:cs="宋体"/>
                <w:b/>
                <w:bCs/>
                <w:color w:val="auto"/>
                <w:szCs w:val="24"/>
                <w:highlight w:val="none"/>
              </w:rPr>
              <w:t>（分包单位）</w:t>
            </w:r>
          </w:p>
        </w:tc>
        <w:tc>
          <w:tcPr>
            <w:tcW w:w="1266" w:type="dxa"/>
            <w:noWrap w:val="0"/>
            <w:vAlign w:val="center"/>
          </w:tcPr>
          <w:p w14:paraId="748F874D">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资质</w:t>
            </w:r>
          </w:p>
          <w:p w14:paraId="54AC2BAF">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（如有）</w:t>
            </w:r>
          </w:p>
        </w:tc>
        <w:tc>
          <w:tcPr>
            <w:tcW w:w="1322" w:type="dxa"/>
            <w:noWrap w:val="0"/>
            <w:vAlign w:val="center"/>
          </w:tcPr>
          <w:p w14:paraId="010E4502">
            <w:pPr>
              <w:pStyle w:val="31"/>
              <w:topLinePunct/>
              <w:jc w:val="center"/>
              <w:rPr>
                <w:rFonts w:ascii="宋体" w:hAnsi="宋体" w:cs="宋体"/>
                <w:b/>
                <w:bCs/>
                <w:color w:val="auto"/>
                <w:szCs w:val="24"/>
                <w:highlight w:val="none"/>
              </w:rPr>
            </w:pPr>
            <w:r>
              <w:rPr>
                <w:rFonts w:hint="eastAsia" w:ascii="宋体" w:hAnsi="宋体" w:cs="宋体"/>
                <w:b/>
                <w:bCs/>
                <w:color w:val="auto"/>
                <w:szCs w:val="24"/>
                <w:highlight w:val="none"/>
              </w:rPr>
              <w:t>拟分包内容</w:t>
            </w:r>
          </w:p>
        </w:tc>
        <w:tc>
          <w:tcPr>
            <w:tcW w:w="2389" w:type="dxa"/>
            <w:noWrap w:val="0"/>
            <w:vAlign w:val="center"/>
          </w:tcPr>
          <w:p w14:paraId="031882C7">
            <w:pPr>
              <w:pStyle w:val="31"/>
              <w:topLinePunct/>
              <w:jc w:val="center"/>
              <w:rPr>
                <w:rFonts w:ascii="宋体" w:hAnsi="宋体" w:cs="宋体"/>
                <w:b/>
                <w:bCs/>
                <w:color w:val="auto"/>
                <w:szCs w:val="24"/>
                <w:highlight w:val="none"/>
              </w:rPr>
            </w:pPr>
            <w:r>
              <w:rPr>
                <w:rFonts w:hint="eastAsia" w:ascii="宋体" w:hAnsi="宋体" w:cs="宋体"/>
                <w:b/>
                <w:bCs/>
                <w:color w:val="auto"/>
                <w:szCs w:val="24"/>
                <w:highlight w:val="none"/>
              </w:rPr>
              <w:t>拟分包合同金额占合同金额的比例</w:t>
            </w:r>
          </w:p>
        </w:tc>
      </w:tr>
      <w:tr w14:paraId="60BA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46D30EC1">
            <w:pPr>
              <w:pStyle w:val="31"/>
              <w:topLinePunct/>
              <w:jc w:val="left"/>
              <w:rPr>
                <w:rFonts w:hint="eastAsia" w:ascii="宋体" w:hAnsi="宋体" w:cs="宋体"/>
                <w:color w:val="auto"/>
                <w:szCs w:val="24"/>
                <w:highlight w:val="none"/>
              </w:rPr>
            </w:pPr>
            <w:r>
              <w:rPr>
                <w:rFonts w:hint="eastAsia" w:ascii="宋体" w:hAnsi="宋体" w:cs="宋体"/>
                <w:color w:val="auto"/>
                <w:szCs w:val="24"/>
                <w:highlight w:val="none"/>
              </w:rPr>
              <w:t>1</w:t>
            </w:r>
          </w:p>
        </w:tc>
        <w:tc>
          <w:tcPr>
            <w:tcW w:w="2300" w:type="dxa"/>
            <w:noWrap w:val="0"/>
            <w:vAlign w:val="top"/>
          </w:tcPr>
          <w:p w14:paraId="3E39D9D5">
            <w:pPr>
              <w:pStyle w:val="31"/>
              <w:topLinePunct/>
              <w:jc w:val="left"/>
              <w:rPr>
                <w:rFonts w:hint="eastAsia" w:ascii="宋体" w:hAnsi="宋体" w:cs="宋体"/>
                <w:color w:val="auto"/>
                <w:szCs w:val="24"/>
                <w:highlight w:val="none"/>
              </w:rPr>
            </w:pPr>
          </w:p>
        </w:tc>
        <w:tc>
          <w:tcPr>
            <w:tcW w:w="1266" w:type="dxa"/>
            <w:noWrap w:val="0"/>
            <w:vAlign w:val="top"/>
          </w:tcPr>
          <w:p w14:paraId="125AD46B">
            <w:pPr>
              <w:pStyle w:val="31"/>
              <w:topLinePunct/>
              <w:jc w:val="left"/>
              <w:rPr>
                <w:rFonts w:hint="eastAsia" w:ascii="宋体" w:hAnsi="宋体" w:cs="宋体"/>
                <w:color w:val="auto"/>
                <w:szCs w:val="24"/>
                <w:highlight w:val="none"/>
              </w:rPr>
            </w:pPr>
          </w:p>
        </w:tc>
        <w:tc>
          <w:tcPr>
            <w:tcW w:w="1322" w:type="dxa"/>
            <w:noWrap w:val="0"/>
            <w:vAlign w:val="top"/>
          </w:tcPr>
          <w:p w14:paraId="6DCF3480">
            <w:pPr>
              <w:pStyle w:val="31"/>
              <w:topLinePunct/>
              <w:jc w:val="left"/>
              <w:rPr>
                <w:rFonts w:hint="eastAsia" w:ascii="宋体" w:hAnsi="宋体" w:cs="宋体"/>
                <w:color w:val="auto"/>
                <w:szCs w:val="24"/>
                <w:highlight w:val="none"/>
              </w:rPr>
            </w:pPr>
          </w:p>
        </w:tc>
        <w:tc>
          <w:tcPr>
            <w:tcW w:w="2389" w:type="dxa"/>
            <w:noWrap w:val="0"/>
            <w:vAlign w:val="top"/>
          </w:tcPr>
          <w:p w14:paraId="21CD3C4B">
            <w:pPr>
              <w:pStyle w:val="31"/>
              <w:topLinePunct/>
              <w:jc w:val="left"/>
              <w:rPr>
                <w:rFonts w:hint="eastAsia" w:ascii="宋体" w:hAnsi="宋体" w:cs="宋体"/>
                <w:color w:val="auto"/>
                <w:szCs w:val="24"/>
                <w:highlight w:val="none"/>
              </w:rPr>
            </w:pPr>
          </w:p>
        </w:tc>
      </w:tr>
      <w:tr w14:paraId="248A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432CF1CA">
            <w:pPr>
              <w:pStyle w:val="31"/>
              <w:topLinePunct/>
              <w:jc w:val="left"/>
              <w:rPr>
                <w:rFonts w:hint="eastAsia" w:ascii="宋体" w:hAnsi="宋体" w:cs="宋体"/>
                <w:color w:val="auto"/>
                <w:szCs w:val="24"/>
                <w:highlight w:val="none"/>
              </w:rPr>
            </w:pPr>
            <w:r>
              <w:rPr>
                <w:rFonts w:hint="eastAsia" w:ascii="宋体" w:hAnsi="宋体" w:cs="宋体"/>
                <w:color w:val="auto"/>
                <w:szCs w:val="24"/>
                <w:highlight w:val="none"/>
              </w:rPr>
              <w:t>2</w:t>
            </w:r>
          </w:p>
        </w:tc>
        <w:tc>
          <w:tcPr>
            <w:tcW w:w="2300" w:type="dxa"/>
            <w:noWrap w:val="0"/>
            <w:vAlign w:val="top"/>
          </w:tcPr>
          <w:p w14:paraId="0D513CD0">
            <w:pPr>
              <w:pStyle w:val="31"/>
              <w:topLinePunct/>
              <w:jc w:val="left"/>
              <w:rPr>
                <w:rFonts w:hint="eastAsia" w:ascii="宋体" w:hAnsi="宋体" w:cs="宋体"/>
                <w:color w:val="auto"/>
                <w:szCs w:val="24"/>
                <w:highlight w:val="none"/>
              </w:rPr>
            </w:pPr>
          </w:p>
        </w:tc>
        <w:tc>
          <w:tcPr>
            <w:tcW w:w="1266" w:type="dxa"/>
            <w:noWrap w:val="0"/>
            <w:vAlign w:val="top"/>
          </w:tcPr>
          <w:p w14:paraId="29DF0A97">
            <w:pPr>
              <w:pStyle w:val="31"/>
              <w:topLinePunct/>
              <w:jc w:val="left"/>
              <w:rPr>
                <w:rFonts w:hint="eastAsia" w:ascii="宋体" w:hAnsi="宋体" w:cs="宋体"/>
                <w:color w:val="auto"/>
                <w:szCs w:val="24"/>
                <w:highlight w:val="none"/>
              </w:rPr>
            </w:pPr>
          </w:p>
        </w:tc>
        <w:tc>
          <w:tcPr>
            <w:tcW w:w="1322" w:type="dxa"/>
            <w:noWrap w:val="0"/>
            <w:vAlign w:val="top"/>
          </w:tcPr>
          <w:p w14:paraId="3A772A94">
            <w:pPr>
              <w:pStyle w:val="31"/>
              <w:topLinePunct/>
              <w:jc w:val="left"/>
              <w:rPr>
                <w:rFonts w:hint="eastAsia" w:ascii="宋体" w:hAnsi="宋体" w:cs="宋体"/>
                <w:color w:val="auto"/>
                <w:szCs w:val="24"/>
                <w:highlight w:val="none"/>
              </w:rPr>
            </w:pPr>
          </w:p>
        </w:tc>
        <w:tc>
          <w:tcPr>
            <w:tcW w:w="2389" w:type="dxa"/>
            <w:noWrap w:val="0"/>
            <w:vAlign w:val="top"/>
          </w:tcPr>
          <w:p w14:paraId="0F87848A">
            <w:pPr>
              <w:pStyle w:val="31"/>
              <w:topLinePunct/>
              <w:jc w:val="left"/>
              <w:rPr>
                <w:rFonts w:hint="eastAsia" w:ascii="宋体" w:hAnsi="宋体" w:cs="宋体"/>
                <w:color w:val="auto"/>
                <w:szCs w:val="24"/>
                <w:highlight w:val="none"/>
              </w:rPr>
            </w:pPr>
          </w:p>
        </w:tc>
      </w:tr>
      <w:tr w14:paraId="7729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5E41B59C">
            <w:pPr>
              <w:pStyle w:val="31"/>
              <w:topLinePunct/>
              <w:jc w:val="left"/>
              <w:rPr>
                <w:rFonts w:ascii="宋体" w:hAnsi="宋体" w:cs="宋体"/>
                <w:color w:val="auto"/>
                <w:szCs w:val="24"/>
                <w:highlight w:val="none"/>
              </w:rPr>
            </w:pPr>
            <w:r>
              <w:rPr>
                <w:rFonts w:hint="eastAsia" w:ascii="宋体" w:hAnsi="宋体" w:cs="宋体"/>
                <w:color w:val="auto"/>
                <w:szCs w:val="24"/>
                <w:highlight w:val="none"/>
              </w:rPr>
              <w:t>...</w:t>
            </w:r>
          </w:p>
        </w:tc>
        <w:tc>
          <w:tcPr>
            <w:tcW w:w="2300" w:type="dxa"/>
            <w:noWrap w:val="0"/>
            <w:vAlign w:val="top"/>
          </w:tcPr>
          <w:p w14:paraId="1B013EB6">
            <w:pPr>
              <w:pStyle w:val="31"/>
              <w:topLinePunct/>
              <w:jc w:val="left"/>
              <w:rPr>
                <w:rFonts w:hint="eastAsia" w:ascii="宋体" w:hAnsi="宋体" w:cs="宋体"/>
                <w:color w:val="auto"/>
                <w:szCs w:val="24"/>
                <w:highlight w:val="none"/>
              </w:rPr>
            </w:pPr>
          </w:p>
        </w:tc>
        <w:tc>
          <w:tcPr>
            <w:tcW w:w="1266" w:type="dxa"/>
            <w:noWrap w:val="0"/>
            <w:vAlign w:val="top"/>
          </w:tcPr>
          <w:p w14:paraId="383E54C2">
            <w:pPr>
              <w:pStyle w:val="31"/>
              <w:topLinePunct/>
              <w:jc w:val="left"/>
              <w:rPr>
                <w:rFonts w:hint="eastAsia" w:ascii="宋体" w:hAnsi="宋体" w:cs="宋体"/>
                <w:color w:val="auto"/>
                <w:szCs w:val="24"/>
                <w:highlight w:val="none"/>
              </w:rPr>
            </w:pPr>
          </w:p>
        </w:tc>
        <w:tc>
          <w:tcPr>
            <w:tcW w:w="1322" w:type="dxa"/>
            <w:noWrap w:val="0"/>
            <w:vAlign w:val="top"/>
          </w:tcPr>
          <w:p w14:paraId="1A6BB6E3">
            <w:pPr>
              <w:pStyle w:val="31"/>
              <w:topLinePunct/>
              <w:jc w:val="left"/>
              <w:rPr>
                <w:rFonts w:hint="eastAsia" w:ascii="宋体" w:hAnsi="宋体" w:cs="宋体"/>
                <w:color w:val="auto"/>
                <w:szCs w:val="24"/>
                <w:highlight w:val="none"/>
              </w:rPr>
            </w:pPr>
          </w:p>
        </w:tc>
        <w:tc>
          <w:tcPr>
            <w:tcW w:w="2389" w:type="dxa"/>
            <w:noWrap w:val="0"/>
            <w:vAlign w:val="top"/>
          </w:tcPr>
          <w:p w14:paraId="3F4B64CE">
            <w:pPr>
              <w:pStyle w:val="31"/>
              <w:topLinePunct/>
              <w:jc w:val="left"/>
              <w:rPr>
                <w:rFonts w:hint="eastAsia" w:ascii="宋体" w:hAnsi="宋体" w:cs="宋体"/>
                <w:color w:val="auto"/>
                <w:szCs w:val="24"/>
                <w:highlight w:val="none"/>
              </w:rPr>
            </w:pPr>
          </w:p>
        </w:tc>
      </w:tr>
    </w:tbl>
    <w:p w14:paraId="6C564BDD">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注：</w:t>
      </w:r>
    </w:p>
    <w:p w14:paraId="414C0547">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1.如本项目允许分包，且投标人拟进行分包时，必须提供；如未提供，或提供了但未填写拟签订分包合同的单位名称、拟分包合同金额占合同总金额的比例，投标无效。</w:t>
      </w:r>
    </w:p>
    <w:p w14:paraId="4EBB8B50">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2.如招标公告载明的资格要求与拟分包内容相关，则投标人须在本表中列明分包单位的相应资质，并附资质证书的原件扫描件或电子证书，否则投标无效。</w:t>
      </w:r>
    </w:p>
    <w:p w14:paraId="0DA6C851">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3.投标人为享受政府采购支持中小企业发展政策而向中小微企业分包时，须同时提供分包单位的中小企业声明函，分包单位的企业划型以中小企业声明函作为判断依据。</w:t>
      </w:r>
    </w:p>
    <w:p w14:paraId="54BCD7AF">
      <w:pPr>
        <w:pStyle w:val="31"/>
        <w:topLinePunct/>
        <w:spacing w:line="440" w:lineRule="atLeast"/>
        <w:jc w:val="right"/>
        <w:rPr>
          <w:rFonts w:hint="eastAsia" w:ascii="宋体" w:hAnsi="宋体" w:cs="宋体"/>
          <w:color w:val="auto"/>
          <w:szCs w:val="24"/>
          <w:highlight w:val="none"/>
        </w:rPr>
      </w:pPr>
    </w:p>
    <w:p w14:paraId="622E96FE">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投标人名称：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03220876">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7682AFD">
      <w:pPr>
        <w:pStyle w:val="31"/>
        <w:topLinePunct/>
        <w:spacing w:line="440" w:lineRule="atLeast"/>
        <w:rPr>
          <w:rFonts w:hint="eastAsia" w:ascii="宋体" w:hAnsi="宋体" w:cs="宋体"/>
          <w:color w:val="auto"/>
          <w:szCs w:val="24"/>
          <w:highlight w:val="none"/>
        </w:rPr>
      </w:pPr>
    </w:p>
    <w:p w14:paraId="50C8BE6D">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2E6C4249">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6A0893EC">
      <w:pPr>
        <w:pStyle w:val="31"/>
        <w:topLinePunct/>
        <w:spacing w:line="440" w:lineRule="atLeast"/>
        <w:rPr>
          <w:rFonts w:hint="eastAsia" w:ascii="宋体" w:hAnsi="宋体" w:cs="宋体"/>
          <w:color w:val="auto"/>
          <w:szCs w:val="24"/>
          <w:highlight w:val="none"/>
        </w:rPr>
      </w:pPr>
    </w:p>
    <w:p w14:paraId="6CAB9277">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43251A9">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38CB020B">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15281515">
      <w:pPr>
        <w:pStyle w:val="31"/>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6873950">
      <w:pPr>
        <w:spacing w:line="440" w:lineRule="exact"/>
        <w:rPr>
          <w:rFonts w:hint="eastAsia" w:ascii="宋体" w:hAnsi="宋体" w:cs="宋体"/>
          <w:color w:val="auto"/>
          <w:szCs w:val="21"/>
          <w:highlight w:val="none"/>
        </w:rPr>
      </w:pPr>
    </w:p>
    <w:p w14:paraId="633119D3">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07A88E9E">
      <w:pPr>
        <w:pStyle w:val="3"/>
        <w:widowControl/>
        <w:spacing w:before="120" w:after="120" w:line="240" w:lineRule="auto"/>
        <w:jc w:val="center"/>
        <w:rPr>
          <w:rStyle w:val="23"/>
          <w:rFonts w:hint="eastAsia" w:ascii="宋体" w:hAnsi="宋体" w:eastAsia="宋体" w:cs="宋体"/>
          <w:b/>
          <w:bCs w:val="0"/>
          <w:color w:val="auto"/>
          <w:sz w:val="30"/>
          <w:szCs w:val="30"/>
          <w:highlight w:val="none"/>
        </w:rPr>
      </w:pPr>
      <w:r>
        <w:rPr>
          <w:rStyle w:val="23"/>
          <w:rFonts w:hint="eastAsia" w:ascii="宋体" w:hAnsi="宋体" w:eastAsia="宋体" w:cs="宋体"/>
          <w:b/>
          <w:bCs w:val="0"/>
          <w:color w:val="auto"/>
          <w:sz w:val="30"/>
          <w:szCs w:val="30"/>
          <w:highlight w:val="none"/>
        </w:rPr>
        <w:t>九、资格审查材料</w:t>
      </w:r>
    </w:p>
    <w:p w14:paraId="44970E3E">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3CA967E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65C413AF">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2．建议设置审查索引，以便资格审查小组顺利开展审查工作；</w:t>
      </w:r>
    </w:p>
    <w:p w14:paraId="3865E19F">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3．内容须清晰、明确，若提供相关资料内容模糊不清或无法辨认，资格审查小组有权不予认可。</w:t>
      </w:r>
    </w:p>
    <w:p w14:paraId="0359DA34">
      <w:pPr>
        <w:tabs>
          <w:tab w:val="left" w:pos="1260"/>
        </w:tabs>
        <w:jc w:val="center"/>
        <w:rPr>
          <w:rFonts w:hint="eastAsia" w:cs="宋体"/>
          <w:bCs/>
          <w:color w:val="auto"/>
          <w:sz w:val="24"/>
          <w:highlight w:val="none"/>
        </w:rPr>
      </w:pPr>
    </w:p>
    <w:p w14:paraId="01399867">
      <w:pPr>
        <w:pStyle w:val="4"/>
        <w:keepNext w:val="0"/>
        <w:tabs>
          <w:tab w:val="left" w:pos="1260"/>
        </w:tabs>
        <w:jc w:val="center"/>
        <w:rPr>
          <w:rFonts w:hint="eastAsia" w:cs="宋体"/>
          <w:color w:val="auto"/>
          <w:sz w:val="24"/>
          <w:highlight w:val="none"/>
          <w:lang w:eastAsia="zh-CN"/>
        </w:rPr>
      </w:pPr>
      <w:r>
        <w:rPr>
          <w:rFonts w:hint="eastAsia" w:cs="宋体"/>
          <w:bCs w:val="0"/>
          <w:color w:val="auto"/>
          <w:sz w:val="24"/>
          <w:highlight w:val="none"/>
          <w:lang w:eastAsia="zh-CN"/>
        </w:rPr>
        <w:t>（一）招标文件要求的相关资格证明</w:t>
      </w:r>
    </w:p>
    <w:p w14:paraId="6F9C5D04">
      <w:pPr>
        <w:rPr>
          <w:rFonts w:hint="eastAsia" w:ascii="宋体" w:hAnsi="宋体" w:cs="宋体"/>
          <w:b/>
          <w:color w:val="auto"/>
          <w:highlight w:val="none"/>
        </w:rPr>
      </w:pPr>
      <w:r>
        <w:rPr>
          <w:rFonts w:hint="eastAsia" w:ascii="宋体" w:hAnsi="宋体" w:cs="宋体"/>
          <w:b/>
          <w:color w:val="auto"/>
          <w:highlight w:val="none"/>
        </w:rPr>
        <w:t>1-1营业执照等证明材料原件扫描件或电子证照</w:t>
      </w:r>
    </w:p>
    <w:p w14:paraId="77DBF6A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投标人为企业（包括公司、合伙企业、个人独资企业）的，提供有效的营业执照；</w:t>
      </w:r>
    </w:p>
    <w:p w14:paraId="68CD6B4C">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投标人为事业单位的，提供有效的事业单位法人证书；</w:t>
      </w:r>
    </w:p>
    <w:p w14:paraId="4E94977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投标人为社会团体的，提供有效的社会团体法人登记证书；</w:t>
      </w:r>
    </w:p>
    <w:p w14:paraId="22ED4FE5">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投标人为个体工商户的，提供有效的营业执照；</w:t>
      </w:r>
    </w:p>
    <w:p w14:paraId="0B7B0221">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投标人为不具法人资格的专业服务机构的，提供有效的执业许可证等证明材料；</w:t>
      </w:r>
    </w:p>
    <w:p w14:paraId="73A8F7A5">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投标人为自然人的，提供有效的自然人身份证明；</w:t>
      </w:r>
    </w:p>
    <w:p w14:paraId="517D1A66">
      <w:pPr>
        <w:rPr>
          <w:rFonts w:hint="eastAsia" w:ascii="宋体" w:hAnsi="宋体" w:cs="宋体"/>
          <w:color w:val="auto"/>
          <w:sz w:val="18"/>
          <w:szCs w:val="18"/>
          <w:highlight w:val="none"/>
        </w:rPr>
      </w:pPr>
      <w:r>
        <w:rPr>
          <w:rFonts w:hint="eastAsia" w:ascii="宋体" w:hAnsi="宋体" w:cs="宋体"/>
          <w:color w:val="auto"/>
          <w:sz w:val="18"/>
          <w:szCs w:val="18"/>
          <w:highlight w:val="none"/>
        </w:rPr>
        <w:t>其他投标人应按照有关法律、法规和规章规定，提供有效的相应证明材料。</w:t>
      </w:r>
    </w:p>
    <w:p w14:paraId="2A39BA28">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34571A1B">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1.联合体投标的联合体各方均须提供。</w:t>
      </w:r>
    </w:p>
    <w:p w14:paraId="220198E0">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59D74AED">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52D9DB02">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7C4A53C2">
      <w:pPr>
        <w:pStyle w:val="25"/>
        <w:rPr>
          <w:rFonts w:hint="eastAsia"/>
          <w:color w:val="auto"/>
          <w:highlight w:val="none"/>
        </w:rPr>
      </w:pPr>
    </w:p>
    <w:p w14:paraId="48847BA2">
      <w:pPr>
        <w:rPr>
          <w:rFonts w:hint="eastAsia" w:ascii="宋体" w:hAnsi="宋体" w:cs="宋体"/>
          <w:b/>
          <w:color w:val="auto"/>
          <w:highlight w:val="none"/>
        </w:rPr>
      </w:pPr>
      <w:r>
        <w:rPr>
          <w:rFonts w:hint="eastAsia" w:ascii="宋体" w:hAnsi="宋体" w:cs="宋体"/>
          <w:b/>
          <w:color w:val="auto"/>
          <w:highlight w:val="none"/>
        </w:rPr>
        <w:t>1-2资质证书（如有）</w:t>
      </w:r>
    </w:p>
    <w:p w14:paraId="33A6C4C1">
      <w:pPr>
        <w:rPr>
          <w:rFonts w:hint="eastAsia" w:ascii="宋体" w:hAnsi="宋体" w:cs="宋体"/>
          <w:snapToGrid w:val="0"/>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snapToGrid w:val="0"/>
          <w:color w:val="auto"/>
          <w:sz w:val="18"/>
          <w:szCs w:val="18"/>
          <w:highlight w:val="none"/>
        </w:rPr>
        <w:t>资质证书包括但不限于投标货物生产（制造）、销售、服务（安装、改造、维修、保养）许可证及有关投标货物（产品）有效鉴定证明等材料。</w:t>
      </w:r>
    </w:p>
    <w:p w14:paraId="5C3E3F94">
      <w:pPr>
        <w:rPr>
          <w:rFonts w:hint="eastAsia" w:ascii="宋体" w:hAnsi="宋体" w:cs="宋体"/>
          <w:color w:val="auto"/>
          <w:szCs w:val="21"/>
          <w:highlight w:val="none"/>
        </w:rPr>
      </w:pPr>
    </w:p>
    <w:p w14:paraId="18E52F86">
      <w:pPr>
        <w:rPr>
          <w:rFonts w:hint="eastAsia" w:ascii="宋体" w:hAnsi="宋体" w:cs="宋体"/>
          <w:b/>
          <w:color w:val="auto"/>
          <w:highlight w:val="none"/>
        </w:rPr>
      </w:pPr>
      <w:r>
        <w:rPr>
          <w:rFonts w:hint="eastAsia" w:ascii="宋体" w:hAnsi="宋体" w:cs="宋体"/>
          <w:b/>
          <w:color w:val="auto"/>
          <w:highlight w:val="none"/>
        </w:rPr>
        <w:t>1-3制造商的相关资质证明（如有）</w:t>
      </w:r>
    </w:p>
    <w:p w14:paraId="656D470E">
      <w:pPr>
        <w:rPr>
          <w:rFonts w:hint="eastAsia" w:ascii="宋体" w:hAnsi="宋体" w:cs="宋体"/>
          <w:b/>
          <w:color w:val="auto"/>
          <w:highlight w:val="none"/>
        </w:rPr>
      </w:pPr>
    </w:p>
    <w:p w14:paraId="0C7DBD53">
      <w:pPr>
        <w:rPr>
          <w:rFonts w:hint="eastAsia" w:ascii="宋体" w:hAnsi="宋体" w:cs="宋体"/>
          <w:b/>
          <w:color w:val="auto"/>
          <w:highlight w:val="none"/>
        </w:rPr>
      </w:pPr>
      <w:r>
        <w:rPr>
          <w:rFonts w:hint="eastAsia" w:ascii="宋体" w:hAnsi="宋体" w:cs="宋体"/>
          <w:b/>
          <w:color w:val="auto"/>
          <w:highlight w:val="none"/>
        </w:rPr>
        <w:t>1-4产品的相关资质证明文件（如有）</w:t>
      </w:r>
    </w:p>
    <w:p w14:paraId="55C91322">
      <w:pPr>
        <w:rPr>
          <w:rFonts w:hint="eastAsia" w:ascii="宋体" w:hAnsi="宋体" w:cs="宋体"/>
          <w:b/>
          <w:color w:val="auto"/>
          <w:highlight w:val="none"/>
        </w:rPr>
      </w:pPr>
    </w:p>
    <w:p w14:paraId="6146A237">
      <w:pPr>
        <w:rPr>
          <w:rFonts w:hint="eastAsia" w:ascii="宋体" w:hAnsi="宋体" w:cs="宋体"/>
          <w:b/>
          <w:color w:val="auto"/>
          <w:highlight w:val="none"/>
        </w:rPr>
      </w:pPr>
      <w:r>
        <w:rPr>
          <w:rFonts w:hint="eastAsia" w:ascii="宋体" w:hAnsi="宋体" w:cs="宋体"/>
          <w:b/>
          <w:color w:val="auto"/>
          <w:highlight w:val="none"/>
        </w:rPr>
        <w:t>1-5其他要求的相关</w:t>
      </w:r>
      <w:r>
        <w:rPr>
          <w:rFonts w:hint="eastAsia" w:ascii="宋体" w:hAnsi="宋体" w:cs="宋体"/>
          <w:b/>
          <w:color w:val="auto"/>
          <w:szCs w:val="21"/>
          <w:highlight w:val="none"/>
        </w:rPr>
        <w:t>资格证明材料</w:t>
      </w:r>
      <w:r>
        <w:rPr>
          <w:rFonts w:hint="eastAsia" w:ascii="宋体" w:hAnsi="宋体" w:cs="宋体"/>
          <w:b/>
          <w:color w:val="auto"/>
          <w:highlight w:val="none"/>
        </w:rPr>
        <w:t>（如有）</w:t>
      </w:r>
    </w:p>
    <w:p w14:paraId="422FF519">
      <w:pPr>
        <w:widowControl/>
        <w:tabs>
          <w:tab w:val="left" w:pos="5580"/>
        </w:tabs>
        <w:spacing w:line="360" w:lineRule="auto"/>
        <w:rPr>
          <w:rFonts w:hint="eastAsia" w:ascii="宋体" w:hAnsi="宋体" w:cs="宋体"/>
          <w:color w:val="auto"/>
          <w:szCs w:val="21"/>
          <w:highlight w:val="none"/>
        </w:rPr>
      </w:pPr>
    </w:p>
    <w:p w14:paraId="2A5059EA">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注意对照招标公告及第四章规定，提供各类资格证明材料</w:t>
      </w:r>
    </w:p>
    <w:p w14:paraId="7A88DEDF">
      <w:pPr>
        <w:widowControl/>
        <w:tabs>
          <w:tab w:val="left" w:pos="5580"/>
        </w:tabs>
        <w:spacing w:line="360" w:lineRule="auto"/>
        <w:jc w:val="center"/>
        <w:outlineLvl w:val="2"/>
        <w:rPr>
          <w:rFonts w:hint="eastAsia" w:ascii="宋体" w:hAnsi="宋体" w:cs="宋体"/>
          <w:b/>
          <w:color w:val="auto"/>
          <w:sz w:val="24"/>
          <w:highlight w:val="none"/>
        </w:rPr>
      </w:pPr>
      <w:r>
        <w:rPr>
          <w:rFonts w:hint="eastAsia" w:ascii="宋体" w:hAnsi="宋体" w:cs="宋体"/>
          <w:b/>
          <w:color w:val="auto"/>
          <w:szCs w:val="21"/>
          <w:highlight w:val="none"/>
        </w:rPr>
        <w:br w:type="page"/>
      </w:r>
      <w:r>
        <w:rPr>
          <w:rFonts w:hint="eastAsia" w:ascii="宋体" w:hAnsi="宋体" w:cs="宋体"/>
          <w:b/>
          <w:bCs/>
          <w:color w:val="auto"/>
          <w:kern w:val="0"/>
          <w:sz w:val="24"/>
          <w:highlight w:val="none"/>
          <w:lang w:bidi="en-US"/>
        </w:rPr>
        <w:t>（二）政府采购供应商资格承诺函</w:t>
      </w:r>
    </w:p>
    <w:p w14:paraId="1FC1A633">
      <w:pPr>
        <w:snapToGrid w:val="0"/>
        <w:spacing w:line="360" w:lineRule="auto"/>
        <w:rPr>
          <w:rFonts w:hint="eastAsia" w:ascii="宋体" w:hAnsi="宋体" w:cs="宋体"/>
          <w:color w:val="auto"/>
          <w:highlight w:val="none"/>
          <w:u w:val="single"/>
          <w:lang w:bidi="en-US"/>
        </w:rPr>
      </w:pPr>
      <w:r>
        <w:rPr>
          <w:rFonts w:hint="eastAsia" w:ascii="宋体" w:hAnsi="宋体" w:cs="宋体"/>
          <w:color w:val="auto"/>
          <w:highlight w:val="none"/>
          <w:lang w:bidi="en-US"/>
        </w:rPr>
        <w:t>致：【采购人名称】</w:t>
      </w:r>
    </w:p>
    <w:p w14:paraId="2CFF36C7">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7662693E">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2BB36A56">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4C39A680">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3697A5EB">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2BD8DB1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68F260DD">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2E79FF90">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14BE6B85">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（七）符合其他法律法规规定的政府采购供应商条件。</w:t>
      </w:r>
    </w:p>
    <w:p w14:paraId="32EA4D45">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6281A72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7B9A16B1">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1DB953FB">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（盖单位章）</w:t>
      </w:r>
    </w:p>
    <w:p w14:paraId="14D0AB1E">
      <w:pPr>
        <w:bidi/>
        <w:ind w:left="0" w:right="0"/>
        <w:jc w:val="left"/>
        <w:rPr>
          <w:rFonts w:hint="eastAsia" w:ascii="仿宋" w:hAnsi="仿宋" w:eastAsia="仿宋" w:cs="仿宋"/>
          <w:color w:val="auto"/>
          <w:highlight w:val="none"/>
          <w:lang w:bidi="en-US"/>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3A52FDD4">
      <w:pPr>
        <w:tabs>
          <w:tab w:val="left" w:pos="5580"/>
        </w:tabs>
        <w:jc w:val="center"/>
        <w:outlineLvl w:val="2"/>
        <w:rPr>
          <w:rFonts w:ascii="宋体" w:hAnsi="宋体" w:cs="宋体"/>
          <w:b/>
          <w:bCs/>
          <w:color w:val="auto"/>
          <w:kern w:val="0"/>
          <w:sz w:val="24"/>
          <w:highlight w:val="none"/>
          <w:lang w:bidi="en-US"/>
        </w:rPr>
      </w:pPr>
      <w:r>
        <w:rPr>
          <w:rFonts w:hint="eastAsia" w:ascii="宋体" w:hAnsi="宋体" w:cs="宋体"/>
          <w:color w:val="auto"/>
          <w:szCs w:val="21"/>
          <w:highlight w:val="none"/>
        </w:rPr>
        <w:br w:type="page"/>
      </w:r>
      <w:r>
        <w:rPr>
          <w:rFonts w:hint="eastAsia" w:ascii="宋体" w:hAnsi="宋体" w:cs="宋体"/>
          <w:b/>
          <w:bCs/>
          <w:color w:val="auto"/>
          <w:kern w:val="0"/>
          <w:sz w:val="24"/>
          <w:highlight w:val="none"/>
          <w:lang w:bidi="en-US"/>
        </w:rPr>
        <w:t>（三）用于资格审查的业绩证明材料（如有）</w:t>
      </w:r>
    </w:p>
    <w:p w14:paraId="767F7197">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61D7984E">
      <w:pPr>
        <w:pStyle w:val="11"/>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1423F260">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0E4642EA">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0FFE25B7">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16281DF6">
      <w:pPr>
        <w:jc w:val="center"/>
        <w:rPr>
          <w:rFonts w:hint="eastAsia" w:ascii="宋体" w:hAnsi="宋体" w:cs="宋体"/>
          <w:color w:val="auto"/>
          <w:sz w:val="28"/>
          <w:highlight w:val="none"/>
        </w:rPr>
      </w:pPr>
    </w:p>
    <w:p w14:paraId="5970975E">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17"/>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4F1E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3EDC725">
            <w:pPr>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1B681F39">
            <w:pPr>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6F88AA3C">
            <w:pPr>
              <w:widowControl/>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03554C25">
            <w:pPr>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6C637B17">
            <w:pPr>
              <w:jc w:val="center"/>
              <w:rPr>
                <w:rFonts w:hint="eastAsia" w:ascii="宋体" w:hAnsi="宋体" w:cs="宋体"/>
                <w:b/>
                <w:color w:val="auto"/>
                <w:highlight w:val="none"/>
              </w:rPr>
            </w:pPr>
            <w:r>
              <w:rPr>
                <w:rFonts w:hint="eastAsia" w:ascii="宋体" w:hAnsi="宋体" w:cs="宋体"/>
                <w:b/>
                <w:color w:val="auto"/>
                <w:highlight w:val="none"/>
              </w:rPr>
              <w:t>业主单位</w:t>
            </w:r>
          </w:p>
          <w:p w14:paraId="41DFD8F2">
            <w:pPr>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39B3DA5F">
            <w:pPr>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38042213">
            <w:pPr>
              <w:jc w:val="center"/>
              <w:rPr>
                <w:rFonts w:hint="eastAsia" w:ascii="宋体" w:hAnsi="宋体" w:cs="宋体"/>
                <w:b/>
                <w:color w:val="auto"/>
                <w:highlight w:val="none"/>
              </w:rPr>
            </w:pPr>
            <w:r>
              <w:rPr>
                <w:rFonts w:hint="eastAsia" w:ascii="宋体" w:hAnsi="宋体" w:cs="宋体"/>
                <w:b/>
                <w:color w:val="auto"/>
                <w:highlight w:val="none"/>
              </w:rPr>
              <w:t>备注</w:t>
            </w:r>
          </w:p>
        </w:tc>
      </w:tr>
      <w:tr w14:paraId="7164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B2A8A41">
            <w:pPr>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53BF6D27">
            <w:pPr>
              <w:rPr>
                <w:rFonts w:hint="eastAsia" w:ascii="宋体" w:hAnsi="宋体" w:cs="宋体"/>
                <w:color w:val="auto"/>
                <w:highlight w:val="none"/>
              </w:rPr>
            </w:pPr>
          </w:p>
        </w:tc>
        <w:tc>
          <w:tcPr>
            <w:tcW w:w="953" w:type="pct"/>
            <w:noWrap w:val="0"/>
            <w:vAlign w:val="center"/>
          </w:tcPr>
          <w:p w14:paraId="7BB8D01C">
            <w:pPr>
              <w:rPr>
                <w:rFonts w:hint="eastAsia" w:ascii="宋体" w:hAnsi="宋体" w:cs="宋体"/>
                <w:color w:val="auto"/>
                <w:highlight w:val="none"/>
              </w:rPr>
            </w:pPr>
          </w:p>
        </w:tc>
        <w:tc>
          <w:tcPr>
            <w:tcW w:w="644" w:type="pct"/>
            <w:noWrap w:val="0"/>
            <w:vAlign w:val="center"/>
          </w:tcPr>
          <w:p w14:paraId="61078F55">
            <w:pPr>
              <w:rPr>
                <w:rFonts w:hint="eastAsia" w:ascii="宋体" w:hAnsi="宋体" w:cs="宋体"/>
                <w:color w:val="auto"/>
                <w:highlight w:val="none"/>
              </w:rPr>
            </w:pPr>
          </w:p>
        </w:tc>
        <w:tc>
          <w:tcPr>
            <w:tcW w:w="963" w:type="pct"/>
            <w:noWrap w:val="0"/>
            <w:vAlign w:val="center"/>
          </w:tcPr>
          <w:p w14:paraId="18F9E285">
            <w:pPr>
              <w:rPr>
                <w:rFonts w:hint="eastAsia" w:ascii="宋体" w:hAnsi="宋体" w:cs="宋体"/>
                <w:color w:val="auto"/>
                <w:highlight w:val="none"/>
              </w:rPr>
            </w:pPr>
          </w:p>
        </w:tc>
        <w:tc>
          <w:tcPr>
            <w:tcW w:w="793" w:type="pct"/>
            <w:noWrap w:val="0"/>
            <w:vAlign w:val="top"/>
          </w:tcPr>
          <w:p w14:paraId="054856D0">
            <w:pPr>
              <w:rPr>
                <w:rFonts w:hint="eastAsia" w:ascii="宋体" w:hAnsi="宋体" w:cs="宋体"/>
                <w:color w:val="auto"/>
                <w:highlight w:val="none"/>
              </w:rPr>
            </w:pPr>
          </w:p>
        </w:tc>
        <w:tc>
          <w:tcPr>
            <w:tcW w:w="478" w:type="pct"/>
            <w:noWrap w:val="0"/>
            <w:vAlign w:val="center"/>
          </w:tcPr>
          <w:p w14:paraId="03736C58">
            <w:pPr>
              <w:rPr>
                <w:rFonts w:hint="eastAsia" w:ascii="宋体" w:hAnsi="宋体" w:cs="宋体"/>
                <w:color w:val="auto"/>
                <w:highlight w:val="none"/>
              </w:rPr>
            </w:pPr>
          </w:p>
        </w:tc>
      </w:tr>
      <w:tr w14:paraId="6177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07A25F3">
            <w:pPr>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5BAB74B1">
            <w:pPr>
              <w:rPr>
                <w:rFonts w:hint="eastAsia" w:ascii="宋体" w:hAnsi="宋体" w:cs="宋体"/>
                <w:color w:val="auto"/>
                <w:highlight w:val="none"/>
              </w:rPr>
            </w:pPr>
          </w:p>
        </w:tc>
        <w:tc>
          <w:tcPr>
            <w:tcW w:w="953" w:type="pct"/>
            <w:noWrap w:val="0"/>
            <w:vAlign w:val="center"/>
          </w:tcPr>
          <w:p w14:paraId="7B279AAA">
            <w:pPr>
              <w:rPr>
                <w:rFonts w:hint="eastAsia" w:ascii="宋体" w:hAnsi="宋体" w:cs="宋体"/>
                <w:color w:val="auto"/>
                <w:highlight w:val="none"/>
              </w:rPr>
            </w:pPr>
          </w:p>
        </w:tc>
        <w:tc>
          <w:tcPr>
            <w:tcW w:w="644" w:type="pct"/>
            <w:noWrap w:val="0"/>
            <w:vAlign w:val="center"/>
          </w:tcPr>
          <w:p w14:paraId="3A1B2455">
            <w:pPr>
              <w:rPr>
                <w:rFonts w:hint="eastAsia" w:ascii="宋体" w:hAnsi="宋体" w:cs="宋体"/>
                <w:color w:val="auto"/>
                <w:highlight w:val="none"/>
              </w:rPr>
            </w:pPr>
          </w:p>
        </w:tc>
        <w:tc>
          <w:tcPr>
            <w:tcW w:w="963" w:type="pct"/>
            <w:noWrap w:val="0"/>
            <w:vAlign w:val="center"/>
          </w:tcPr>
          <w:p w14:paraId="41D1A819">
            <w:pPr>
              <w:rPr>
                <w:rFonts w:hint="eastAsia" w:ascii="宋体" w:hAnsi="宋体" w:cs="宋体"/>
                <w:color w:val="auto"/>
                <w:highlight w:val="none"/>
              </w:rPr>
            </w:pPr>
          </w:p>
        </w:tc>
        <w:tc>
          <w:tcPr>
            <w:tcW w:w="793" w:type="pct"/>
            <w:noWrap w:val="0"/>
            <w:vAlign w:val="top"/>
          </w:tcPr>
          <w:p w14:paraId="7B29F71B">
            <w:pPr>
              <w:rPr>
                <w:rFonts w:hint="eastAsia" w:ascii="宋体" w:hAnsi="宋体" w:cs="宋体"/>
                <w:color w:val="auto"/>
                <w:highlight w:val="none"/>
              </w:rPr>
            </w:pPr>
          </w:p>
        </w:tc>
        <w:tc>
          <w:tcPr>
            <w:tcW w:w="478" w:type="pct"/>
            <w:noWrap w:val="0"/>
            <w:vAlign w:val="center"/>
          </w:tcPr>
          <w:p w14:paraId="355BE32E">
            <w:pPr>
              <w:rPr>
                <w:rFonts w:hint="eastAsia" w:ascii="宋体" w:hAnsi="宋体" w:cs="宋体"/>
                <w:color w:val="auto"/>
                <w:highlight w:val="none"/>
              </w:rPr>
            </w:pPr>
          </w:p>
        </w:tc>
      </w:tr>
      <w:tr w14:paraId="646B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12" w:type="pct"/>
            <w:noWrap w:val="0"/>
            <w:vAlign w:val="center"/>
          </w:tcPr>
          <w:p w14:paraId="161359B5">
            <w:pPr>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4D02B234">
            <w:pPr>
              <w:rPr>
                <w:rFonts w:hint="eastAsia" w:ascii="宋体" w:hAnsi="宋体" w:cs="宋体"/>
                <w:color w:val="auto"/>
                <w:highlight w:val="none"/>
              </w:rPr>
            </w:pPr>
          </w:p>
        </w:tc>
        <w:tc>
          <w:tcPr>
            <w:tcW w:w="953" w:type="pct"/>
            <w:noWrap w:val="0"/>
            <w:vAlign w:val="center"/>
          </w:tcPr>
          <w:p w14:paraId="1E9B5DA7">
            <w:pPr>
              <w:rPr>
                <w:rFonts w:hint="eastAsia" w:ascii="宋体" w:hAnsi="宋体" w:cs="宋体"/>
                <w:color w:val="auto"/>
                <w:highlight w:val="none"/>
              </w:rPr>
            </w:pPr>
          </w:p>
        </w:tc>
        <w:tc>
          <w:tcPr>
            <w:tcW w:w="644" w:type="pct"/>
            <w:noWrap w:val="0"/>
            <w:vAlign w:val="center"/>
          </w:tcPr>
          <w:p w14:paraId="73508970">
            <w:pPr>
              <w:rPr>
                <w:rFonts w:hint="eastAsia" w:ascii="宋体" w:hAnsi="宋体" w:cs="宋体"/>
                <w:color w:val="auto"/>
                <w:highlight w:val="none"/>
              </w:rPr>
            </w:pPr>
          </w:p>
        </w:tc>
        <w:tc>
          <w:tcPr>
            <w:tcW w:w="963" w:type="pct"/>
            <w:noWrap w:val="0"/>
            <w:vAlign w:val="center"/>
          </w:tcPr>
          <w:p w14:paraId="2D9FFCCC">
            <w:pPr>
              <w:rPr>
                <w:rFonts w:hint="eastAsia" w:ascii="宋体" w:hAnsi="宋体" w:cs="宋体"/>
                <w:color w:val="auto"/>
                <w:highlight w:val="none"/>
              </w:rPr>
            </w:pPr>
          </w:p>
        </w:tc>
        <w:tc>
          <w:tcPr>
            <w:tcW w:w="793" w:type="pct"/>
            <w:noWrap w:val="0"/>
            <w:vAlign w:val="top"/>
          </w:tcPr>
          <w:p w14:paraId="3FD2DE92">
            <w:pPr>
              <w:rPr>
                <w:rFonts w:hint="eastAsia" w:ascii="宋体" w:hAnsi="宋体" w:cs="宋体"/>
                <w:color w:val="auto"/>
                <w:highlight w:val="none"/>
              </w:rPr>
            </w:pPr>
          </w:p>
        </w:tc>
        <w:tc>
          <w:tcPr>
            <w:tcW w:w="478" w:type="pct"/>
            <w:noWrap w:val="0"/>
            <w:vAlign w:val="center"/>
          </w:tcPr>
          <w:p w14:paraId="11F20FD3">
            <w:pPr>
              <w:rPr>
                <w:rFonts w:hint="eastAsia" w:ascii="宋体" w:hAnsi="宋体" w:cs="宋体"/>
                <w:color w:val="auto"/>
                <w:highlight w:val="none"/>
              </w:rPr>
            </w:pPr>
          </w:p>
        </w:tc>
      </w:tr>
      <w:tr w14:paraId="66D4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A52BC12">
            <w:pPr>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29831636">
            <w:pPr>
              <w:rPr>
                <w:rFonts w:hint="eastAsia" w:ascii="宋体" w:hAnsi="宋体" w:cs="宋体"/>
                <w:color w:val="auto"/>
                <w:highlight w:val="none"/>
              </w:rPr>
            </w:pPr>
          </w:p>
        </w:tc>
        <w:tc>
          <w:tcPr>
            <w:tcW w:w="953" w:type="pct"/>
            <w:noWrap w:val="0"/>
            <w:vAlign w:val="center"/>
          </w:tcPr>
          <w:p w14:paraId="776F3A1D">
            <w:pPr>
              <w:rPr>
                <w:rFonts w:hint="eastAsia" w:ascii="宋体" w:hAnsi="宋体" w:cs="宋体"/>
                <w:color w:val="auto"/>
                <w:highlight w:val="none"/>
              </w:rPr>
            </w:pPr>
          </w:p>
        </w:tc>
        <w:tc>
          <w:tcPr>
            <w:tcW w:w="644" w:type="pct"/>
            <w:noWrap w:val="0"/>
            <w:vAlign w:val="center"/>
          </w:tcPr>
          <w:p w14:paraId="509B47F4">
            <w:pPr>
              <w:rPr>
                <w:rFonts w:hint="eastAsia" w:ascii="宋体" w:hAnsi="宋体" w:cs="宋体"/>
                <w:color w:val="auto"/>
                <w:highlight w:val="none"/>
              </w:rPr>
            </w:pPr>
          </w:p>
        </w:tc>
        <w:tc>
          <w:tcPr>
            <w:tcW w:w="963" w:type="pct"/>
            <w:noWrap w:val="0"/>
            <w:vAlign w:val="center"/>
          </w:tcPr>
          <w:p w14:paraId="160475E7">
            <w:pPr>
              <w:rPr>
                <w:rFonts w:hint="eastAsia" w:ascii="宋体" w:hAnsi="宋体" w:cs="宋体"/>
                <w:color w:val="auto"/>
                <w:highlight w:val="none"/>
              </w:rPr>
            </w:pPr>
          </w:p>
        </w:tc>
        <w:tc>
          <w:tcPr>
            <w:tcW w:w="793" w:type="pct"/>
            <w:noWrap w:val="0"/>
            <w:vAlign w:val="top"/>
          </w:tcPr>
          <w:p w14:paraId="7EBD7363">
            <w:pPr>
              <w:rPr>
                <w:rFonts w:hint="eastAsia" w:ascii="宋体" w:hAnsi="宋体" w:cs="宋体"/>
                <w:color w:val="auto"/>
                <w:highlight w:val="none"/>
              </w:rPr>
            </w:pPr>
          </w:p>
        </w:tc>
        <w:tc>
          <w:tcPr>
            <w:tcW w:w="478" w:type="pct"/>
            <w:noWrap w:val="0"/>
            <w:vAlign w:val="center"/>
          </w:tcPr>
          <w:p w14:paraId="63F859CA">
            <w:pPr>
              <w:rPr>
                <w:rFonts w:hint="eastAsia" w:ascii="宋体" w:hAnsi="宋体" w:cs="宋体"/>
                <w:color w:val="auto"/>
                <w:highlight w:val="none"/>
              </w:rPr>
            </w:pPr>
          </w:p>
        </w:tc>
      </w:tr>
      <w:tr w14:paraId="1A41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6ABA6A3">
            <w:pPr>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38A38817">
            <w:pPr>
              <w:rPr>
                <w:rFonts w:hint="eastAsia" w:ascii="宋体" w:hAnsi="宋体" w:cs="宋体"/>
                <w:color w:val="auto"/>
                <w:highlight w:val="none"/>
              </w:rPr>
            </w:pPr>
          </w:p>
        </w:tc>
        <w:tc>
          <w:tcPr>
            <w:tcW w:w="953" w:type="pct"/>
            <w:noWrap w:val="0"/>
            <w:vAlign w:val="center"/>
          </w:tcPr>
          <w:p w14:paraId="3E2F4D26">
            <w:pPr>
              <w:rPr>
                <w:rFonts w:hint="eastAsia" w:ascii="宋体" w:hAnsi="宋体" w:cs="宋体"/>
                <w:color w:val="auto"/>
                <w:highlight w:val="none"/>
              </w:rPr>
            </w:pPr>
          </w:p>
        </w:tc>
        <w:tc>
          <w:tcPr>
            <w:tcW w:w="644" w:type="pct"/>
            <w:noWrap w:val="0"/>
            <w:vAlign w:val="center"/>
          </w:tcPr>
          <w:p w14:paraId="6AF6ECBA">
            <w:pPr>
              <w:rPr>
                <w:rFonts w:hint="eastAsia" w:ascii="宋体" w:hAnsi="宋体" w:cs="宋体"/>
                <w:color w:val="auto"/>
                <w:highlight w:val="none"/>
              </w:rPr>
            </w:pPr>
          </w:p>
        </w:tc>
        <w:tc>
          <w:tcPr>
            <w:tcW w:w="963" w:type="pct"/>
            <w:noWrap w:val="0"/>
            <w:vAlign w:val="center"/>
          </w:tcPr>
          <w:p w14:paraId="27F6F99C">
            <w:pPr>
              <w:rPr>
                <w:rFonts w:hint="eastAsia" w:ascii="宋体" w:hAnsi="宋体" w:cs="宋体"/>
                <w:color w:val="auto"/>
                <w:highlight w:val="none"/>
              </w:rPr>
            </w:pPr>
          </w:p>
        </w:tc>
        <w:tc>
          <w:tcPr>
            <w:tcW w:w="793" w:type="pct"/>
            <w:noWrap w:val="0"/>
            <w:vAlign w:val="top"/>
          </w:tcPr>
          <w:p w14:paraId="4ACB726D">
            <w:pPr>
              <w:rPr>
                <w:rFonts w:hint="eastAsia" w:ascii="宋体" w:hAnsi="宋体" w:cs="宋体"/>
                <w:color w:val="auto"/>
                <w:highlight w:val="none"/>
              </w:rPr>
            </w:pPr>
          </w:p>
        </w:tc>
        <w:tc>
          <w:tcPr>
            <w:tcW w:w="478" w:type="pct"/>
            <w:noWrap w:val="0"/>
            <w:vAlign w:val="center"/>
          </w:tcPr>
          <w:p w14:paraId="42E9D7EB">
            <w:pPr>
              <w:rPr>
                <w:rFonts w:hint="eastAsia" w:ascii="宋体" w:hAnsi="宋体" w:cs="宋体"/>
                <w:color w:val="auto"/>
                <w:highlight w:val="none"/>
              </w:rPr>
            </w:pPr>
          </w:p>
        </w:tc>
      </w:tr>
      <w:tr w14:paraId="5690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9CC6ABB">
            <w:pPr>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1806C690">
            <w:pPr>
              <w:rPr>
                <w:rFonts w:hint="eastAsia" w:ascii="宋体" w:hAnsi="宋体" w:cs="宋体"/>
                <w:color w:val="auto"/>
                <w:highlight w:val="none"/>
              </w:rPr>
            </w:pPr>
          </w:p>
        </w:tc>
        <w:tc>
          <w:tcPr>
            <w:tcW w:w="953" w:type="pct"/>
            <w:noWrap w:val="0"/>
            <w:vAlign w:val="center"/>
          </w:tcPr>
          <w:p w14:paraId="0B2D3F7B">
            <w:pPr>
              <w:rPr>
                <w:rFonts w:hint="eastAsia" w:ascii="宋体" w:hAnsi="宋体" w:cs="宋体"/>
                <w:color w:val="auto"/>
                <w:highlight w:val="none"/>
              </w:rPr>
            </w:pPr>
          </w:p>
        </w:tc>
        <w:tc>
          <w:tcPr>
            <w:tcW w:w="644" w:type="pct"/>
            <w:noWrap w:val="0"/>
            <w:vAlign w:val="center"/>
          </w:tcPr>
          <w:p w14:paraId="70FF678C">
            <w:pPr>
              <w:rPr>
                <w:rFonts w:hint="eastAsia" w:ascii="宋体" w:hAnsi="宋体" w:cs="宋体"/>
                <w:color w:val="auto"/>
                <w:highlight w:val="none"/>
              </w:rPr>
            </w:pPr>
          </w:p>
        </w:tc>
        <w:tc>
          <w:tcPr>
            <w:tcW w:w="963" w:type="pct"/>
            <w:noWrap w:val="0"/>
            <w:vAlign w:val="center"/>
          </w:tcPr>
          <w:p w14:paraId="1B544DCB">
            <w:pPr>
              <w:rPr>
                <w:rFonts w:hint="eastAsia" w:ascii="宋体" w:hAnsi="宋体" w:cs="宋体"/>
                <w:color w:val="auto"/>
                <w:highlight w:val="none"/>
              </w:rPr>
            </w:pPr>
          </w:p>
        </w:tc>
        <w:tc>
          <w:tcPr>
            <w:tcW w:w="793" w:type="pct"/>
            <w:noWrap w:val="0"/>
            <w:vAlign w:val="top"/>
          </w:tcPr>
          <w:p w14:paraId="1FC500D6">
            <w:pPr>
              <w:rPr>
                <w:rFonts w:hint="eastAsia" w:ascii="宋体" w:hAnsi="宋体" w:cs="宋体"/>
                <w:color w:val="auto"/>
                <w:highlight w:val="none"/>
              </w:rPr>
            </w:pPr>
          </w:p>
        </w:tc>
        <w:tc>
          <w:tcPr>
            <w:tcW w:w="478" w:type="pct"/>
            <w:noWrap w:val="0"/>
            <w:vAlign w:val="center"/>
          </w:tcPr>
          <w:p w14:paraId="5785D59A">
            <w:pPr>
              <w:rPr>
                <w:rFonts w:hint="eastAsia" w:ascii="宋体" w:hAnsi="宋体" w:cs="宋体"/>
                <w:color w:val="auto"/>
                <w:highlight w:val="none"/>
              </w:rPr>
            </w:pPr>
          </w:p>
        </w:tc>
      </w:tr>
    </w:tbl>
    <w:p w14:paraId="0180C51D">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注：应附中标/成交通知书（如有）和合同协议书，以及验收报告（验收证明文件）（如有）等材料（具体以资格要求为准），具体年份时间要求见招标公告。</w:t>
      </w:r>
    </w:p>
    <w:p w14:paraId="14420B7C">
      <w:pPr>
        <w:rPr>
          <w:rFonts w:hint="eastAsia" w:ascii="宋体" w:hAnsi="宋体" w:cs="宋体"/>
          <w:color w:val="auto"/>
          <w:highlight w:val="none"/>
          <w:lang w:bidi="en-US"/>
        </w:rPr>
      </w:pPr>
    </w:p>
    <w:p w14:paraId="473D8396">
      <w:pPr>
        <w:rPr>
          <w:rFonts w:hint="eastAsia" w:ascii="宋体" w:hAnsi="宋体" w:cs="宋体"/>
          <w:color w:val="auto"/>
          <w:highlight w:val="none"/>
          <w:lang w:bidi="en-US"/>
        </w:rPr>
      </w:pPr>
    </w:p>
    <w:p w14:paraId="5AFD67F6">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E169047">
      <w:pPr>
        <w:pStyle w:val="4"/>
        <w:keepNext w:val="0"/>
        <w:tabs>
          <w:tab w:val="left" w:pos="1260"/>
        </w:tabs>
        <w:jc w:val="center"/>
        <w:rPr>
          <w:rFonts w:hint="eastAsia" w:cs="宋体"/>
          <w:bCs w:val="0"/>
          <w:color w:val="auto"/>
          <w:sz w:val="24"/>
          <w:highlight w:val="none"/>
          <w:lang w:eastAsia="zh-CN"/>
        </w:rPr>
      </w:pPr>
      <w:r>
        <w:rPr>
          <w:rFonts w:hint="eastAsia" w:cs="宋体"/>
          <w:bCs w:val="0"/>
          <w:color w:val="auto"/>
          <w:sz w:val="24"/>
          <w:highlight w:val="none"/>
          <w:lang w:eastAsia="zh-CN"/>
        </w:rPr>
        <w:t>（四）制造商授权书</w:t>
      </w:r>
    </w:p>
    <w:p w14:paraId="0733CD2B">
      <w:pPr>
        <w:jc w:val="center"/>
        <w:rPr>
          <w:b/>
          <w:bCs/>
          <w:color w:val="auto"/>
          <w:highlight w:val="none"/>
        </w:rPr>
      </w:pPr>
      <w:r>
        <w:rPr>
          <w:rFonts w:hint="eastAsia"/>
          <w:b/>
          <w:bCs/>
          <w:color w:val="auto"/>
          <w:highlight w:val="none"/>
        </w:rPr>
        <w:t>注：非进口产品无需提供制造商授权书</w:t>
      </w:r>
    </w:p>
    <w:p w14:paraId="6DF58551">
      <w:pPr>
        <w:tabs>
          <w:tab w:val="left" w:pos="0"/>
        </w:tabs>
        <w:spacing w:line="44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lang w:bidi="en-US"/>
        </w:rPr>
        <w:t>【采购人名称】</w:t>
      </w:r>
    </w:p>
    <w:p w14:paraId="4BC77CD9">
      <w:pPr>
        <w:tabs>
          <w:tab w:val="left" w:pos="0"/>
        </w:tabs>
        <w:spacing w:line="440" w:lineRule="exact"/>
        <w:ind w:left="105" w:lef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（制造商名称）是按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（国家/地区名称）法律成立的制造商，主要营业地点设在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（制造商地址）。兹指派按中华人民共和国的法律正式成立的，主要营业地点设在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（投标人地址）的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（项目名称）投标活动。我单位同意按照成交合同供货，并对产品质量承担责任。</w:t>
      </w:r>
    </w:p>
    <w:p w14:paraId="32E78B9C">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p>
    <w:p w14:paraId="3F80734F">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（盖单位章）  制造商名称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1558FD0">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签字人职务</w:t>
      </w:r>
      <w:r>
        <w:rPr>
          <w:rFonts w:hint="eastAsia" w:ascii="宋体" w:hAnsi="宋体" w:cs="宋体"/>
          <w:color w:val="auto"/>
          <w:szCs w:val="21"/>
          <w:highlight w:val="none"/>
          <w:u w:val="single"/>
        </w:rPr>
        <w:t xml:space="preserve">                             </w:t>
      </w:r>
    </w:p>
    <w:p w14:paraId="1974CBE3">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签字人姓名</w:t>
      </w:r>
      <w:r>
        <w:rPr>
          <w:rFonts w:hint="eastAsia" w:ascii="宋体" w:hAnsi="宋体" w:cs="宋体"/>
          <w:color w:val="auto"/>
          <w:szCs w:val="21"/>
          <w:highlight w:val="none"/>
          <w:u w:val="single"/>
        </w:rPr>
        <w:t xml:space="preserve">                             </w:t>
      </w:r>
    </w:p>
    <w:p w14:paraId="75C6B49E">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签字人签名</w:t>
      </w:r>
      <w:r>
        <w:rPr>
          <w:rFonts w:hint="eastAsia" w:ascii="宋体" w:hAnsi="宋体" w:cs="宋体"/>
          <w:color w:val="auto"/>
          <w:szCs w:val="21"/>
          <w:highlight w:val="none"/>
          <w:u w:val="single"/>
        </w:rPr>
        <w:t xml:space="preserve">                             </w:t>
      </w:r>
    </w:p>
    <w:p w14:paraId="35B7536E">
      <w:pPr>
        <w:widowControl/>
        <w:spacing w:before="5" w:line="200" w:lineRule="atLeast"/>
        <w:rPr>
          <w:rFonts w:hint="eastAsia" w:ascii="宋体" w:hAnsi="宋体" w:cs="宋体"/>
          <w:color w:val="auto"/>
          <w:kern w:val="0"/>
          <w:sz w:val="20"/>
          <w:szCs w:val="20"/>
          <w:highlight w:val="none"/>
        </w:rPr>
      </w:pPr>
    </w:p>
    <w:p w14:paraId="66E245DE">
      <w:pPr>
        <w:widowControl/>
        <w:spacing w:line="200" w:lineRule="atLeast"/>
        <w:rPr>
          <w:rFonts w:hint="eastAsia" w:ascii="宋体" w:hAnsi="宋体" w:cs="宋体"/>
          <w:color w:val="auto"/>
          <w:kern w:val="0"/>
          <w:sz w:val="20"/>
          <w:szCs w:val="20"/>
          <w:highlight w:val="none"/>
        </w:rPr>
      </w:pPr>
    </w:p>
    <w:p w14:paraId="47466380">
      <w:pPr>
        <w:widowControl/>
        <w:spacing w:line="200" w:lineRule="atLeast"/>
        <w:rPr>
          <w:rFonts w:hint="eastAsia" w:ascii="宋体" w:hAnsi="宋体" w:cs="宋体"/>
          <w:color w:val="auto"/>
          <w:kern w:val="0"/>
          <w:sz w:val="22"/>
          <w:highlight w:val="none"/>
        </w:rPr>
      </w:pPr>
    </w:p>
    <w:p w14:paraId="113CA00B">
      <w:pPr>
        <w:widowControl/>
        <w:spacing w:line="261" w:lineRule="auto"/>
        <w:ind w:left="120" w:right="40"/>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1DDBA78D">
      <w:pPr>
        <w:pStyle w:val="3"/>
        <w:widowControl/>
        <w:spacing w:before="120" w:after="120" w:line="240" w:lineRule="auto"/>
        <w:jc w:val="center"/>
        <w:rPr>
          <w:rStyle w:val="23"/>
          <w:rFonts w:hint="eastAsia" w:ascii="宋体" w:hAnsi="宋体" w:eastAsia="宋体" w:cs="宋体"/>
          <w:b/>
          <w:bCs/>
          <w:color w:val="auto"/>
          <w:sz w:val="30"/>
          <w:szCs w:val="30"/>
          <w:highlight w:val="none"/>
        </w:rPr>
      </w:pPr>
      <w:r>
        <w:rPr>
          <w:rStyle w:val="23"/>
          <w:rFonts w:hint="eastAsia" w:ascii="宋体" w:hAnsi="宋体" w:eastAsia="宋体" w:cs="宋体"/>
          <w:b/>
          <w:bCs w:val="0"/>
          <w:color w:val="auto"/>
          <w:sz w:val="30"/>
          <w:szCs w:val="30"/>
          <w:highlight w:val="none"/>
        </w:rPr>
        <w:t>十</w:t>
      </w:r>
      <w:r>
        <w:rPr>
          <w:rStyle w:val="23"/>
          <w:rFonts w:hint="eastAsia" w:ascii="宋体" w:hAnsi="宋体" w:eastAsia="宋体" w:cs="宋体"/>
          <w:b/>
          <w:bCs/>
          <w:color w:val="auto"/>
          <w:sz w:val="30"/>
          <w:szCs w:val="30"/>
          <w:highlight w:val="none"/>
        </w:rPr>
        <w:t>、符合性审查与详细评审材料</w:t>
      </w:r>
    </w:p>
    <w:p w14:paraId="45737D58">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7C726FAF">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291914A9">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2．建议设置评审索引，以便评标委员会顺利开展评审工作；</w:t>
      </w:r>
    </w:p>
    <w:p w14:paraId="1A966DA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3．内容须清晰、明确，若提供相关资料内容模糊不清或无法辨认，评标委员会有权不予认可。</w:t>
      </w:r>
    </w:p>
    <w:p w14:paraId="63583BAA">
      <w:pPr>
        <w:pStyle w:val="4"/>
        <w:spacing w:before="120" w:after="120" w:line="240" w:lineRule="auto"/>
        <w:jc w:val="center"/>
        <w:rPr>
          <w:rStyle w:val="23"/>
          <w:rFonts w:hint="eastAsia" w:ascii="宋体" w:hAnsi="宋体" w:eastAsia="宋体" w:cs="宋体"/>
          <w:b/>
          <w:bCs/>
          <w:color w:val="auto"/>
          <w:sz w:val="24"/>
          <w:szCs w:val="24"/>
          <w:highlight w:val="none"/>
        </w:rPr>
      </w:pPr>
      <w:r>
        <w:rPr>
          <w:rFonts w:hint="eastAsia" w:cs="宋体"/>
          <w:color w:val="auto"/>
          <w:sz w:val="24"/>
          <w:highlight w:val="none"/>
          <w:lang w:eastAsia="zh-CN"/>
        </w:rPr>
        <w:t>（一）商务要求偏离表</w:t>
      </w:r>
    </w:p>
    <w:tbl>
      <w:tblPr>
        <w:tblStyle w:val="17"/>
        <w:tblW w:w="9978" w:type="dxa"/>
        <w:jc w:val="center"/>
        <w:tblLayout w:type="fixed"/>
        <w:tblCellMar>
          <w:top w:w="0" w:type="dxa"/>
          <w:left w:w="108" w:type="dxa"/>
          <w:bottom w:w="0" w:type="dxa"/>
          <w:right w:w="108" w:type="dxa"/>
        </w:tblCellMar>
      </w:tblPr>
      <w:tblGrid>
        <w:gridCol w:w="738"/>
        <w:gridCol w:w="1370"/>
        <w:gridCol w:w="2382"/>
        <w:gridCol w:w="2553"/>
        <w:gridCol w:w="1570"/>
        <w:gridCol w:w="1365"/>
      </w:tblGrid>
      <w:tr w14:paraId="190D6F3B">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BC5738E">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0" w:type="dxa"/>
            <w:tcBorders>
              <w:top w:val="single" w:color="000000" w:sz="4" w:space="0"/>
              <w:left w:val="nil"/>
              <w:bottom w:val="single" w:color="000000" w:sz="4" w:space="0"/>
              <w:right w:val="single" w:color="000000" w:sz="4" w:space="0"/>
            </w:tcBorders>
            <w:noWrap w:val="0"/>
            <w:vAlign w:val="center"/>
          </w:tcPr>
          <w:p w14:paraId="456780A0">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商务要求项</w:t>
            </w:r>
          </w:p>
        </w:tc>
        <w:tc>
          <w:tcPr>
            <w:tcW w:w="2382" w:type="dxa"/>
            <w:tcBorders>
              <w:top w:val="single" w:color="000000" w:sz="4" w:space="0"/>
              <w:left w:val="nil"/>
              <w:bottom w:val="single" w:color="000000" w:sz="4" w:space="0"/>
              <w:right w:val="single" w:color="000000" w:sz="4" w:space="0"/>
            </w:tcBorders>
            <w:noWrap w:val="0"/>
            <w:vAlign w:val="center"/>
          </w:tcPr>
          <w:p w14:paraId="29544B9C">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4769664E">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1A4778B8">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663F4741">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3DFF50F5">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C44F5F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70" w:type="dxa"/>
            <w:tcBorders>
              <w:top w:val="single" w:color="000000" w:sz="4" w:space="0"/>
              <w:left w:val="nil"/>
              <w:bottom w:val="single" w:color="000000" w:sz="4" w:space="0"/>
              <w:right w:val="single" w:color="000000" w:sz="4" w:space="0"/>
            </w:tcBorders>
            <w:noWrap w:val="0"/>
            <w:vAlign w:val="center"/>
          </w:tcPr>
          <w:p w14:paraId="7106DE5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382" w:type="dxa"/>
            <w:tcBorders>
              <w:top w:val="single" w:color="000000" w:sz="4" w:space="0"/>
              <w:left w:val="nil"/>
              <w:bottom w:val="single" w:color="000000" w:sz="4" w:space="0"/>
              <w:right w:val="single" w:color="000000" w:sz="4" w:space="0"/>
            </w:tcBorders>
            <w:noWrap w:val="0"/>
            <w:vAlign w:val="center"/>
          </w:tcPr>
          <w:p w14:paraId="7E1B16C1">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B6807DD">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54211E32">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73B2901A">
            <w:pPr>
              <w:widowControl/>
              <w:jc w:val="center"/>
              <w:rPr>
                <w:rFonts w:hint="eastAsia" w:ascii="宋体" w:hAnsi="宋体" w:cs="宋体"/>
                <w:color w:val="auto"/>
                <w:kern w:val="0"/>
                <w:szCs w:val="21"/>
                <w:highlight w:val="none"/>
              </w:rPr>
            </w:pPr>
          </w:p>
        </w:tc>
      </w:tr>
      <w:tr w14:paraId="265CB95C">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C0EC68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70" w:type="dxa"/>
            <w:tcBorders>
              <w:top w:val="single" w:color="000000" w:sz="4" w:space="0"/>
              <w:left w:val="nil"/>
              <w:bottom w:val="single" w:color="000000" w:sz="4" w:space="0"/>
              <w:right w:val="single" w:color="000000" w:sz="4" w:space="0"/>
            </w:tcBorders>
            <w:noWrap w:val="0"/>
            <w:vAlign w:val="center"/>
          </w:tcPr>
          <w:p w14:paraId="1746B30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382" w:type="dxa"/>
            <w:tcBorders>
              <w:top w:val="single" w:color="000000" w:sz="4" w:space="0"/>
              <w:left w:val="nil"/>
              <w:bottom w:val="single" w:color="000000" w:sz="4" w:space="0"/>
              <w:right w:val="single" w:color="000000" w:sz="4" w:space="0"/>
            </w:tcBorders>
            <w:noWrap w:val="0"/>
            <w:vAlign w:val="center"/>
          </w:tcPr>
          <w:p w14:paraId="0022AD3B">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75ECD4F">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8BD66FF">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EADDBFE">
            <w:pPr>
              <w:widowControl/>
              <w:jc w:val="center"/>
              <w:rPr>
                <w:rFonts w:hint="eastAsia" w:ascii="宋体" w:hAnsi="宋体" w:cs="宋体"/>
                <w:color w:val="auto"/>
                <w:kern w:val="0"/>
                <w:szCs w:val="21"/>
                <w:highlight w:val="none"/>
              </w:rPr>
            </w:pPr>
          </w:p>
        </w:tc>
      </w:tr>
      <w:tr w14:paraId="4A6336ED">
        <w:tblPrEx>
          <w:tblCellMar>
            <w:top w:w="0" w:type="dxa"/>
            <w:left w:w="108" w:type="dxa"/>
            <w:bottom w:w="0" w:type="dxa"/>
            <w:right w:w="108" w:type="dxa"/>
          </w:tblCellMar>
        </w:tblPrEx>
        <w:trPr>
          <w:trHeight w:val="406"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63697A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70" w:type="dxa"/>
            <w:tcBorders>
              <w:top w:val="single" w:color="000000" w:sz="4" w:space="0"/>
              <w:left w:val="nil"/>
              <w:bottom w:val="single" w:color="000000" w:sz="4" w:space="0"/>
              <w:right w:val="single" w:color="000000" w:sz="4" w:space="0"/>
            </w:tcBorders>
            <w:noWrap w:val="0"/>
            <w:vAlign w:val="center"/>
          </w:tcPr>
          <w:p w14:paraId="0EE8B7E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382" w:type="dxa"/>
            <w:tcBorders>
              <w:top w:val="single" w:color="000000" w:sz="4" w:space="0"/>
              <w:left w:val="nil"/>
              <w:bottom w:val="single" w:color="000000" w:sz="4" w:space="0"/>
              <w:right w:val="single" w:color="000000" w:sz="4" w:space="0"/>
            </w:tcBorders>
            <w:noWrap w:val="0"/>
            <w:vAlign w:val="center"/>
          </w:tcPr>
          <w:p w14:paraId="6093E888">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22259042">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5D64E94C">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4196566">
            <w:pPr>
              <w:widowControl/>
              <w:jc w:val="center"/>
              <w:rPr>
                <w:rFonts w:hint="eastAsia" w:ascii="宋体" w:hAnsi="宋体" w:cs="宋体"/>
                <w:color w:val="auto"/>
                <w:kern w:val="0"/>
                <w:szCs w:val="21"/>
                <w:highlight w:val="none"/>
              </w:rPr>
            </w:pPr>
          </w:p>
        </w:tc>
      </w:tr>
      <w:tr w14:paraId="6173D178">
        <w:tblPrEx>
          <w:tblCellMar>
            <w:top w:w="0" w:type="dxa"/>
            <w:left w:w="108" w:type="dxa"/>
            <w:bottom w:w="0" w:type="dxa"/>
            <w:right w:w="108" w:type="dxa"/>
          </w:tblCellMar>
        </w:tblPrEx>
        <w:trPr>
          <w:trHeight w:val="662"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DAC9C6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370" w:type="dxa"/>
            <w:tcBorders>
              <w:top w:val="single" w:color="000000" w:sz="4" w:space="0"/>
              <w:left w:val="nil"/>
              <w:bottom w:val="single" w:color="000000" w:sz="4" w:space="0"/>
              <w:right w:val="single" w:color="000000" w:sz="4" w:space="0"/>
            </w:tcBorders>
            <w:noWrap w:val="0"/>
            <w:vAlign w:val="center"/>
          </w:tcPr>
          <w:p w14:paraId="17AB727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质量保证期</w:t>
            </w:r>
          </w:p>
        </w:tc>
        <w:tc>
          <w:tcPr>
            <w:tcW w:w="2382" w:type="dxa"/>
            <w:tcBorders>
              <w:top w:val="single" w:color="000000" w:sz="4" w:space="0"/>
              <w:left w:val="nil"/>
              <w:bottom w:val="single" w:color="000000" w:sz="4" w:space="0"/>
              <w:right w:val="single" w:color="000000" w:sz="4" w:space="0"/>
            </w:tcBorders>
            <w:noWrap w:val="0"/>
            <w:vAlign w:val="center"/>
          </w:tcPr>
          <w:p w14:paraId="53F465F3">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28715C8">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DDF7951">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6C991D3A">
            <w:pPr>
              <w:widowControl/>
              <w:jc w:val="center"/>
              <w:rPr>
                <w:rFonts w:hint="eastAsia" w:ascii="宋体" w:hAnsi="宋体" w:cs="宋体"/>
                <w:color w:val="auto"/>
                <w:kern w:val="0"/>
                <w:szCs w:val="21"/>
                <w:highlight w:val="none"/>
              </w:rPr>
            </w:pPr>
          </w:p>
        </w:tc>
      </w:tr>
      <w:tr w14:paraId="7B29786A">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7A7D867">
            <w:pPr>
              <w:widowControl/>
              <w:jc w:val="center"/>
              <w:rPr>
                <w:rFonts w:hint="eastAsia" w:ascii="宋体" w:hAnsi="宋体" w:cs="宋体"/>
                <w:color w:val="auto"/>
                <w:kern w:val="0"/>
                <w:szCs w:val="21"/>
                <w:highlight w:val="none"/>
              </w:rPr>
            </w:pPr>
          </w:p>
        </w:tc>
        <w:tc>
          <w:tcPr>
            <w:tcW w:w="1370" w:type="dxa"/>
            <w:tcBorders>
              <w:top w:val="single" w:color="000000" w:sz="4" w:space="0"/>
              <w:left w:val="nil"/>
              <w:bottom w:val="single" w:color="000000" w:sz="4" w:space="0"/>
              <w:right w:val="single" w:color="000000" w:sz="4" w:space="0"/>
            </w:tcBorders>
            <w:noWrap w:val="0"/>
            <w:vAlign w:val="center"/>
          </w:tcPr>
          <w:p w14:paraId="69630721">
            <w:pPr>
              <w:widowControl/>
              <w:jc w:val="center"/>
              <w:rPr>
                <w:rFonts w:hint="eastAsia" w:ascii="宋体" w:hAnsi="宋体" w:cs="宋体"/>
                <w:color w:val="auto"/>
                <w:kern w:val="0"/>
                <w:szCs w:val="21"/>
                <w:highlight w:val="none"/>
              </w:rPr>
            </w:pPr>
          </w:p>
        </w:tc>
        <w:tc>
          <w:tcPr>
            <w:tcW w:w="2382" w:type="dxa"/>
            <w:tcBorders>
              <w:top w:val="single" w:color="000000" w:sz="4" w:space="0"/>
              <w:left w:val="nil"/>
              <w:bottom w:val="single" w:color="000000" w:sz="4" w:space="0"/>
              <w:right w:val="single" w:color="000000" w:sz="4" w:space="0"/>
            </w:tcBorders>
            <w:noWrap w:val="0"/>
            <w:vAlign w:val="center"/>
          </w:tcPr>
          <w:p w14:paraId="1964BC5D">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50D0E434">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6E69D32B">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569B713">
            <w:pPr>
              <w:widowControl/>
              <w:jc w:val="center"/>
              <w:rPr>
                <w:rFonts w:hint="eastAsia" w:ascii="宋体" w:hAnsi="宋体" w:cs="宋体"/>
                <w:color w:val="auto"/>
                <w:kern w:val="0"/>
                <w:szCs w:val="21"/>
                <w:highlight w:val="none"/>
              </w:rPr>
            </w:pPr>
          </w:p>
        </w:tc>
      </w:tr>
    </w:tbl>
    <w:p w14:paraId="0638E38B">
      <w:pPr>
        <w:rPr>
          <w:rFonts w:hint="eastAsia" w:ascii="宋体" w:hAnsi="宋体" w:cs="宋体"/>
          <w:color w:val="auto"/>
          <w:szCs w:val="21"/>
          <w:highlight w:val="none"/>
        </w:rPr>
      </w:pPr>
      <w:r>
        <w:rPr>
          <w:rFonts w:hint="eastAsia" w:ascii="宋体" w:hAnsi="宋体" w:cs="宋体"/>
          <w:color w:val="auto"/>
          <w:szCs w:val="21"/>
          <w:highlight w:val="none"/>
        </w:rPr>
        <w:t>投标人保证：除商务要求偏离表列出的偏差外，投标人响应招标文件的全部要求。</w:t>
      </w:r>
    </w:p>
    <w:p w14:paraId="64782887">
      <w:pPr>
        <w:widowControl/>
        <w:spacing w:line="360" w:lineRule="exact"/>
        <w:ind w:firstLine="411" w:firstLineChars="196"/>
        <w:rPr>
          <w:rFonts w:hint="eastAsia" w:ascii="宋体" w:hAnsi="宋体" w:cs="宋体"/>
          <w:color w:val="auto"/>
          <w:highlight w:val="none"/>
        </w:rPr>
      </w:pPr>
    </w:p>
    <w:p w14:paraId="62E2BA45">
      <w:pPr>
        <w:pStyle w:val="4"/>
        <w:spacing w:before="120" w:after="120" w:line="240" w:lineRule="auto"/>
        <w:jc w:val="center"/>
        <w:rPr>
          <w:rFonts w:hint="eastAsia" w:cs="宋体"/>
          <w:color w:val="auto"/>
          <w:sz w:val="24"/>
          <w:highlight w:val="none"/>
          <w:lang w:eastAsia="zh-CN"/>
        </w:rPr>
      </w:pPr>
      <w:r>
        <w:rPr>
          <w:rFonts w:hint="eastAsia" w:cs="宋体"/>
          <w:color w:val="auto"/>
          <w:sz w:val="24"/>
          <w:highlight w:val="none"/>
          <w:lang w:eastAsia="zh-CN"/>
        </w:rPr>
        <w:t>（二）技术要求偏离表</w:t>
      </w:r>
    </w:p>
    <w:tbl>
      <w:tblPr>
        <w:tblStyle w:val="17"/>
        <w:tblW w:w="10516" w:type="dxa"/>
        <w:jc w:val="center"/>
        <w:tblLayout w:type="fixed"/>
        <w:tblCellMar>
          <w:top w:w="0" w:type="dxa"/>
          <w:left w:w="108" w:type="dxa"/>
          <w:bottom w:w="0" w:type="dxa"/>
          <w:right w:w="108" w:type="dxa"/>
        </w:tblCellMar>
      </w:tblPr>
      <w:tblGrid>
        <w:gridCol w:w="947"/>
        <w:gridCol w:w="1270"/>
        <w:gridCol w:w="2013"/>
        <w:gridCol w:w="1951"/>
        <w:gridCol w:w="1709"/>
        <w:gridCol w:w="1313"/>
        <w:gridCol w:w="1313"/>
      </w:tblGrid>
      <w:tr w14:paraId="66F6C993">
        <w:tblPrEx>
          <w:tblCellMar>
            <w:top w:w="0" w:type="dxa"/>
            <w:left w:w="108" w:type="dxa"/>
            <w:bottom w:w="0" w:type="dxa"/>
            <w:right w:w="108" w:type="dxa"/>
          </w:tblCellMar>
        </w:tblPrEx>
        <w:trPr>
          <w:trHeight w:val="508" w:hRule="atLeast"/>
          <w:jc w:val="center"/>
        </w:trPr>
        <w:tc>
          <w:tcPr>
            <w:tcW w:w="947" w:type="dxa"/>
            <w:tcBorders>
              <w:top w:val="single" w:color="000000" w:sz="4" w:space="0"/>
              <w:left w:val="single" w:color="000000" w:sz="4" w:space="0"/>
              <w:bottom w:val="single" w:color="auto" w:sz="4" w:space="0"/>
              <w:right w:val="single" w:color="000000" w:sz="4" w:space="0"/>
            </w:tcBorders>
            <w:noWrap w:val="0"/>
            <w:vAlign w:val="center"/>
          </w:tcPr>
          <w:p w14:paraId="6E2215AC">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270" w:type="dxa"/>
            <w:tcBorders>
              <w:top w:val="single" w:color="000000" w:sz="4" w:space="0"/>
              <w:left w:val="nil"/>
              <w:bottom w:val="single" w:color="auto" w:sz="4" w:space="0"/>
              <w:right w:val="single" w:color="000000" w:sz="4" w:space="0"/>
            </w:tcBorders>
            <w:noWrap w:val="0"/>
            <w:vAlign w:val="center"/>
          </w:tcPr>
          <w:p w14:paraId="142C21F5">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技术要求项</w:t>
            </w:r>
          </w:p>
          <w:p w14:paraId="3BF827CF">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2013" w:type="dxa"/>
            <w:tcBorders>
              <w:top w:val="single" w:color="000000" w:sz="4" w:space="0"/>
              <w:left w:val="nil"/>
              <w:bottom w:val="single" w:color="000000" w:sz="4" w:space="0"/>
              <w:right w:val="single" w:color="000000" w:sz="4" w:space="0"/>
            </w:tcBorders>
            <w:noWrap w:val="0"/>
            <w:vAlign w:val="center"/>
          </w:tcPr>
          <w:p w14:paraId="2E71E4C4">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1951" w:type="dxa"/>
            <w:tcBorders>
              <w:top w:val="single" w:color="000000" w:sz="4" w:space="0"/>
              <w:left w:val="nil"/>
              <w:bottom w:val="single" w:color="000000" w:sz="4" w:space="0"/>
              <w:right w:val="single" w:color="000000" w:sz="4" w:space="0"/>
            </w:tcBorders>
            <w:noWrap w:val="0"/>
            <w:vAlign w:val="center"/>
          </w:tcPr>
          <w:p w14:paraId="1DB9E5AE">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709" w:type="dxa"/>
            <w:tcBorders>
              <w:top w:val="single" w:color="000000" w:sz="4" w:space="0"/>
              <w:left w:val="nil"/>
              <w:bottom w:val="single" w:color="000000" w:sz="4" w:space="0"/>
              <w:right w:val="single" w:color="000000" w:sz="4" w:space="0"/>
            </w:tcBorders>
            <w:noWrap w:val="0"/>
            <w:vAlign w:val="center"/>
          </w:tcPr>
          <w:p w14:paraId="2AA4D6B1">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13" w:type="dxa"/>
            <w:tcBorders>
              <w:top w:val="single" w:color="000000" w:sz="4" w:space="0"/>
              <w:left w:val="nil"/>
              <w:bottom w:val="single" w:color="000000" w:sz="4" w:space="0"/>
              <w:right w:val="single" w:color="000000" w:sz="4" w:space="0"/>
            </w:tcBorders>
            <w:noWrap w:val="0"/>
            <w:vAlign w:val="center"/>
          </w:tcPr>
          <w:p w14:paraId="62250C9B">
            <w:pPr>
              <w:widowControl/>
              <w:jc w:val="center"/>
              <w:rPr>
                <w:rFonts w:hint="eastAsia" w:ascii="宋体" w:hAnsi="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证明材料</w:t>
            </w:r>
          </w:p>
          <w:p w14:paraId="247A3CB1">
            <w:pPr>
              <w:widowControl/>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（具体页码）</w:t>
            </w:r>
          </w:p>
        </w:tc>
        <w:tc>
          <w:tcPr>
            <w:tcW w:w="1313" w:type="dxa"/>
            <w:tcBorders>
              <w:top w:val="single" w:color="000000" w:sz="4" w:space="0"/>
              <w:left w:val="nil"/>
              <w:bottom w:val="single" w:color="000000" w:sz="4" w:space="0"/>
              <w:right w:val="single" w:color="000000" w:sz="4" w:space="0"/>
            </w:tcBorders>
            <w:noWrap w:val="0"/>
            <w:vAlign w:val="center"/>
          </w:tcPr>
          <w:p w14:paraId="3A829A96">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592007FC">
        <w:tblPrEx>
          <w:tblCellMar>
            <w:top w:w="0" w:type="dxa"/>
            <w:left w:w="108" w:type="dxa"/>
            <w:bottom w:w="0" w:type="dxa"/>
            <w:right w:w="108" w:type="dxa"/>
          </w:tblCellMar>
        </w:tblPrEx>
        <w:trPr>
          <w:trHeight w:val="321" w:hRule="atLeast"/>
          <w:jc w:val="center"/>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7EB90050">
            <w:pPr>
              <w:widowControl/>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6E9D3442">
            <w:pPr>
              <w:widowControl/>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4B629E87">
            <w:pPr>
              <w:widowControl/>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center"/>
          </w:tcPr>
          <w:p w14:paraId="4CF2F9B8">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232BD511">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11B0FD2">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DCC56EA">
            <w:pPr>
              <w:widowControl/>
              <w:jc w:val="center"/>
              <w:rPr>
                <w:rFonts w:hint="eastAsia" w:ascii="宋体" w:hAnsi="宋体" w:cs="宋体"/>
                <w:color w:val="auto"/>
                <w:kern w:val="0"/>
                <w:szCs w:val="21"/>
                <w:highlight w:val="none"/>
              </w:rPr>
            </w:pPr>
          </w:p>
        </w:tc>
      </w:tr>
      <w:tr w14:paraId="3B6C3301">
        <w:tblPrEx>
          <w:tblCellMar>
            <w:top w:w="0" w:type="dxa"/>
            <w:left w:w="108" w:type="dxa"/>
            <w:bottom w:w="0" w:type="dxa"/>
            <w:right w:w="108" w:type="dxa"/>
          </w:tblCellMar>
        </w:tblPrEx>
        <w:trPr>
          <w:trHeight w:val="321" w:hRule="atLeast"/>
          <w:jc w:val="center"/>
        </w:trPr>
        <w:tc>
          <w:tcPr>
            <w:tcW w:w="947" w:type="dxa"/>
            <w:vMerge w:val="continue"/>
            <w:tcBorders>
              <w:top w:val="nil"/>
              <w:left w:val="single" w:color="000000" w:sz="4" w:space="0"/>
              <w:bottom w:val="single" w:color="000000" w:sz="4" w:space="0"/>
              <w:right w:val="single" w:color="000000" w:sz="4" w:space="0"/>
            </w:tcBorders>
            <w:noWrap w:val="0"/>
            <w:vAlign w:val="center"/>
          </w:tcPr>
          <w:p w14:paraId="78FE917A">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4A208C29">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2DE62336">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7BA4085F">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5765F489">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550CF050">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3D7A3CD">
            <w:pPr>
              <w:widowControl/>
              <w:jc w:val="center"/>
              <w:rPr>
                <w:rFonts w:hint="eastAsia" w:ascii="宋体" w:hAnsi="宋体" w:cs="宋体"/>
                <w:color w:val="auto"/>
                <w:kern w:val="0"/>
                <w:szCs w:val="21"/>
                <w:highlight w:val="none"/>
              </w:rPr>
            </w:pPr>
          </w:p>
        </w:tc>
      </w:tr>
      <w:tr w14:paraId="240393E9">
        <w:tblPrEx>
          <w:tblCellMar>
            <w:top w:w="0" w:type="dxa"/>
            <w:left w:w="108" w:type="dxa"/>
            <w:bottom w:w="0" w:type="dxa"/>
            <w:right w:w="108" w:type="dxa"/>
          </w:tblCellMar>
        </w:tblPrEx>
        <w:trPr>
          <w:trHeight w:val="334" w:hRule="atLeast"/>
          <w:jc w:val="center"/>
        </w:trPr>
        <w:tc>
          <w:tcPr>
            <w:tcW w:w="947" w:type="dxa"/>
            <w:vMerge w:val="continue"/>
            <w:tcBorders>
              <w:top w:val="nil"/>
              <w:left w:val="single" w:color="000000" w:sz="4" w:space="0"/>
              <w:bottom w:val="single" w:color="auto" w:sz="4" w:space="0"/>
              <w:right w:val="single" w:color="000000" w:sz="4" w:space="0"/>
            </w:tcBorders>
            <w:noWrap w:val="0"/>
            <w:vAlign w:val="center"/>
          </w:tcPr>
          <w:p w14:paraId="26E40D33">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auto" w:sz="4" w:space="0"/>
              <w:right w:val="single" w:color="000000" w:sz="4" w:space="0"/>
            </w:tcBorders>
            <w:noWrap w:val="0"/>
            <w:vAlign w:val="center"/>
          </w:tcPr>
          <w:p w14:paraId="42D7E064">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27AD62A4">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04E7FBD5">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6D453111">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013975B">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0C637221">
            <w:pPr>
              <w:widowControl/>
              <w:jc w:val="center"/>
              <w:rPr>
                <w:rFonts w:hint="eastAsia" w:ascii="宋体" w:hAnsi="宋体" w:cs="宋体"/>
                <w:color w:val="auto"/>
                <w:kern w:val="0"/>
                <w:szCs w:val="21"/>
                <w:highlight w:val="none"/>
              </w:rPr>
            </w:pPr>
          </w:p>
        </w:tc>
      </w:tr>
      <w:tr w14:paraId="4DA6C715">
        <w:tblPrEx>
          <w:tblCellMar>
            <w:top w:w="0" w:type="dxa"/>
            <w:left w:w="108" w:type="dxa"/>
            <w:bottom w:w="0" w:type="dxa"/>
            <w:right w:w="108" w:type="dxa"/>
          </w:tblCellMar>
        </w:tblPrEx>
        <w:trPr>
          <w:trHeight w:val="321" w:hRule="atLeast"/>
          <w:jc w:val="center"/>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0373BDEB">
            <w:pPr>
              <w:widowControl/>
              <w:jc w:val="left"/>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33463618">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1C86098E">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3A55B754">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4B002A1B">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263AEBDA">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6941365">
            <w:pPr>
              <w:widowControl/>
              <w:jc w:val="center"/>
              <w:rPr>
                <w:rFonts w:hint="eastAsia" w:ascii="宋体" w:hAnsi="宋体" w:cs="宋体"/>
                <w:color w:val="auto"/>
                <w:kern w:val="0"/>
                <w:szCs w:val="21"/>
                <w:highlight w:val="none"/>
              </w:rPr>
            </w:pPr>
          </w:p>
        </w:tc>
      </w:tr>
      <w:tr w14:paraId="1AE6FC67">
        <w:tblPrEx>
          <w:tblCellMar>
            <w:top w:w="0" w:type="dxa"/>
            <w:left w:w="108" w:type="dxa"/>
            <w:bottom w:w="0" w:type="dxa"/>
            <w:right w:w="108" w:type="dxa"/>
          </w:tblCellMar>
        </w:tblPrEx>
        <w:trPr>
          <w:trHeight w:val="321" w:hRule="atLeast"/>
          <w:jc w:val="center"/>
        </w:trPr>
        <w:tc>
          <w:tcPr>
            <w:tcW w:w="947" w:type="dxa"/>
            <w:vMerge w:val="continue"/>
            <w:tcBorders>
              <w:top w:val="nil"/>
              <w:left w:val="single" w:color="000000" w:sz="4" w:space="0"/>
              <w:bottom w:val="single" w:color="000000" w:sz="4" w:space="0"/>
              <w:right w:val="single" w:color="000000" w:sz="4" w:space="0"/>
            </w:tcBorders>
            <w:noWrap w:val="0"/>
            <w:vAlign w:val="center"/>
          </w:tcPr>
          <w:p w14:paraId="63D2D9B7">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2F006393">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00D1F72F">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3836749E">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606219B3">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701632A">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DDCEF79">
            <w:pPr>
              <w:widowControl/>
              <w:jc w:val="center"/>
              <w:rPr>
                <w:rFonts w:hint="eastAsia" w:ascii="宋体" w:hAnsi="宋体" w:cs="宋体"/>
                <w:color w:val="auto"/>
                <w:kern w:val="0"/>
                <w:szCs w:val="21"/>
                <w:highlight w:val="none"/>
              </w:rPr>
            </w:pPr>
          </w:p>
        </w:tc>
      </w:tr>
      <w:tr w14:paraId="303619DD">
        <w:tblPrEx>
          <w:tblCellMar>
            <w:top w:w="0" w:type="dxa"/>
            <w:left w:w="108" w:type="dxa"/>
            <w:bottom w:w="0" w:type="dxa"/>
            <w:right w:w="108" w:type="dxa"/>
          </w:tblCellMar>
        </w:tblPrEx>
        <w:trPr>
          <w:trHeight w:val="330" w:hRule="atLeast"/>
          <w:jc w:val="center"/>
        </w:trPr>
        <w:tc>
          <w:tcPr>
            <w:tcW w:w="947" w:type="dxa"/>
            <w:vMerge w:val="continue"/>
            <w:tcBorders>
              <w:top w:val="nil"/>
              <w:left w:val="single" w:color="000000" w:sz="4" w:space="0"/>
              <w:bottom w:val="single" w:color="000000" w:sz="4" w:space="0"/>
              <w:right w:val="single" w:color="000000" w:sz="4" w:space="0"/>
            </w:tcBorders>
            <w:noWrap w:val="0"/>
            <w:vAlign w:val="center"/>
          </w:tcPr>
          <w:p w14:paraId="6C9A63D2">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0AEDCD73">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1ED4EA0E">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43A5EC08">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7C43B6B6">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F09F030">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252C0D82">
            <w:pPr>
              <w:widowControl/>
              <w:jc w:val="center"/>
              <w:rPr>
                <w:rFonts w:hint="eastAsia" w:ascii="宋体" w:hAnsi="宋体" w:cs="宋体"/>
                <w:color w:val="auto"/>
                <w:kern w:val="0"/>
                <w:szCs w:val="21"/>
                <w:highlight w:val="none"/>
              </w:rPr>
            </w:pPr>
          </w:p>
        </w:tc>
      </w:tr>
    </w:tbl>
    <w:p w14:paraId="0FA0CBD8">
      <w:pPr>
        <w:rPr>
          <w:rFonts w:hint="eastAsia" w:ascii="宋体" w:hAnsi="宋体" w:cs="宋体"/>
          <w:color w:val="auto"/>
          <w:szCs w:val="21"/>
          <w:highlight w:val="none"/>
        </w:rPr>
      </w:pPr>
      <w:r>
        <w:rPr>
          <w:rFonts w:hint="eastAsia" w:ascii="宋体" w:hAnsi="宋体" w:cs="宋体"/>
          <w:color w:val="auto"/>
          <w:szCs w:val="21"/>
          <w:highlight w:val="none"/>
        </w:rPr>
        <w:t>投标人保证：除技术要求偏离表列出的偏差外，投标人响应招标文件的全部要求。</w:t>
      </w:r>
    </w:p>
    <w:p w14:paraId="579FC777">
      <w:pPr>
        <w:widowControl/>
        <w:spacing w:line="360" w:lineRule="exact"/>
        <w:ind w:firstLine="470" w:firstLineChars="196"/>
        <w:rPr>
          <w:rFonts w:hint="eastAsia" w:ascii="宋体" w:hAnsi="宋体" w:cs="宋体"/>
          <w:color w:val="auto"/>
          <w:kern w:val="0"/>
          <w:sz w:val="24"/>
          <w:highlight w:val="none"/>
        </w:rPr>
      </w:pPr>
    </w:p>
    <w:p w14:paraId="37F70A80">
      <w:pPr>
        <w:pStyle w:val="4"/>
        <w:jc w:val="center"/>
        <w:rPr>
          <w:rStyle w:val="23"/>
          <w:rFonts w:hint="eastAsia" w:ascii="宋体" w:hAnsi="宋体" w:eastAsia="宋体" w:cs="宋体"/>
          <w:b/>
          <w:bCs w:val="0"/>
          <w:color w:val="auto"/>
          <w:sz w:val="24"/>
          <w:szCs w:val="24"/>
          <w:highlight w:val="none"/>
        </w:rPr>
      </w:pPr>
      <w:r>
        <w:rPr>
          <w:rFonts w:hint="eastAsia" w:cs="宋体"/>
          <w:color w:val="auto"/>
          <w:highlight w:val="none"/>
        </w:rPr>
        <w:br w:type="page"/>
      </w:r>
      <w:r>
        <w:rPr>
          <w:rFonts w:hint="eastAsia" w:cs="宋体"/>
          <w:color w:val="auto"/>
          <w:sz w:val="24"/>
          <w:highlight w:val="none"/>
          <w:lang w:eastAsia="zh-CN"/>
        </w:rPr>
        <w:t>（三）</w:t>
      </w:r>
      <w:r>
        <w:rPr>
          <w:rStyle w:val="23"/>
          <w:rFonts w:hint="eastAsia" w:ascii="宋体" w:hAnsi="宋体" w:eastAsia="宋体" w:cs="宋体"/>
          <w:b/>
          <w:bCs w:val="0"/>
          <w:color w:val="auto"/>
          <w:sz w:val="24"/>
          <w:szCs w:val="24"/>
          <w:highlight w:val="none"/>
        </w:rPr>
        <w:t>技术响应资料</w:t>
      </w:r>
    </w:p>
    <w:p w14:paraId="1C68D369">
      <w:pPr>
        <w:widowControl/>
        <w:jc w:val="left"/>
        <w:rPr>
          <w:rFonts w:hint="eastAsia" w:ascii="宋体" w:hAnsi="宋体" w:cs="宋体"/>
          <w:color w:val="auto"/>
          <w:highlight w:val="none"/>
        </w:rPr>
      </w:pPr>
    </w:p>
    <w:p w14:paraId="6F21605A">
      <w:pPr>
        <w:pStyle w:val="5"/>
        <w:keepNext w:val="0"/>
        <w:tabs>
          <w:tab w:val="left" w:pos="1260"/>
        </w:tabs>
        <w:jc w:val="center"/>
        <w:rPr>
          <w:rFonts w:hint="eastAsia" w:cs="宋体"/>
          <w:b w:val="0"/>
          <w:bCs w:val="0"/>
          <w:color w:val="auto"/>
          <w:sz w:val="24"/>
          <w:highlight w:val="none"/>
          <w:lang w:eastAsia="zh-CN"/>
        </w:rPr>
      </w:pPr>
      <w:r>
        <w:rPr>
          <w:rFonts w:hint="eastAsia" w:ascii="宋体" w:hAnsi="宋体" w:cs="宋体"/>
          <w:color w:val="auto"/>
          <w:sz w:val="24"/>
          <w:highlight w:val="none"/>
          <w:lang w:eastAsia="zh-CN"/>
        </w:rPr>
        <w:t>1.货物（服务）主要技术指标和性能的详细说明</w:t>
      </w:r>
    </w:p>
    <w:tbl>
      <w:tblPr>
        <w:tblStyle w:val="17"/>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01"/>
        <w:gridCol w:w="1134"/>
        <w:gridCol w:w="1984"/>
        <w:gridCol w:w="2269"/>
        <w:gridCol w:w="1135"/>
      </w:tblGrid>
      <w:tr w14:paraId="1269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0C71681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1701" w:type="dxa"/>
            <w:noWrap w:val="0"/>
            <w:vAlign w:val="center"/>
          </w:tcPr>
          <w:p w14:paraId="583FAF4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主要部件或功能配置名称</w:t>
            </w:r>
          </w:p>
        </w:tc>
        <w:tc>
          <w:tcPr>
            <w:tcW w:w="1134" w:type="dxa"/>
            <w:noWrap w:val="0"/>
            <w:vAlign w:val="center"/>
          </w:tcPr>
          <w:p w14:paraId="7ECD81E0">
            <w:pPr>
              <w:widowControl/>
              <w:jc w:val="center"/>
              <w:rPr>
                <w:rFonts w:hint="eastAsia" w:ascii="宋体" w:hAnsi="宋体" w:cs="宋体"/>
                <w:b/>
                <w:color w:val="auto"/>
                <w:szCs w:val="21"/>
                <w:highlight w:val="none"/>
              </w:rPr>
            </w:pPr>
            <w:r>
              <w:rPr>
                <w:rFonts w:hint="eastAsia" w:ascii="宋体" w:hAnsi="宋体" w:cs="宋体"/>
                <w:b/>
                <w:color w:val="auto"/>
                <w:szCs w:val="21"/>
                <w:highlight w:val="none"/>
              </w:rPr>
              <w:t>规格/型号</w:t>
            </w:r>
          </w:p>
        </w:tc>
        <w:tc>
          <w:tcPr>
            <w:tcW w:w="1984" w:type="dxa"/>
            <w:noWrap w:val="0"/>
            <w:vAlign w:val="center"/>
          </w:tcPr>
          <w:p w14:paraId="7F72947D">
            <w:pPr>
              <w:widowControl/>
              <w:jc w:val="center"/>
              <w:rPr>
                <w:rFonts w:hint="eastAsia" w:ascii="宋体" w:hAnsi="宋体" w:cs="宋体"/>
                <w:b/>
                <w:color w:val="auto"/>
                <w:szCs w:val="21"/>
                <w:highlight w:val="none"/>
              </w:rPr>
            </w:pPr>
            <w:r>
              <w:rPr>
                <w:rFonts w:hint="eastAsia" w:ascii="宋体" w:hAnsi="宋体" w:cs="宋体"/>
                <w:b/>
                <w:color w:val="auto"/>
                <w:szCs w:val="21"/>
                <w:highlight w:val="none"/>
              </w:rPr>
              <w:t>产地、品牌及制造商名称</w:t>
            </w:r>
          </w:p>
        </w:tc>
        <w:tc>
          <w:tcPr>
            <w:tcW w:w="2269" w:type="dxa"/>
            <w:noWrap w:val="0"/>
            <w:vAlign w:val="center"/>
          </w:tcPr>
          <w:p w14:paraId="69279C76">
            <w:pPr>
              <w:widowControl/>
              <w:jc w:val="center"/>
              <w:rPr>
                <w:rFonts w:hint="eastAsia" w:ascii="宋体" w:hAnsi="宋体" w:cs="宋体"/>
                <w:b/>
                <w:color w:val="auto"/>
                <w:szCs w:val="21"/>
                <w:highlight w:val="none"/>
              </w:rPr>
            </w:pPr>
            <w:r>
              <w:rPr>
                <w:rFonts w:hint="eastAsia" w:ascii="宋体" w:hAnsi="宋体" w:cs="宋体"/>
                <w:b/>
                <w:color w:val="auto"/>
                <w:szCs w:val="21"/>
                <w:highlight w:val="none"/>
              </w:rPr>
              <w:t>主要技术指标及功能描述</w:t>
            </w:r>
          </w:p>
        </w:tc>
        <w:tc>
          <w:tcPr>
            <w:tcW w:w="1135" w:type="dxa"/>
            <w:noWrap w:val="0"/>
            <w:vAlign w:val="center"/>
          </w:tcPr>
          <w:p w14:paraId="65F957A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287D9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3C5E6FFA">
            <w:pPr>
              <w:widowControl/>
              <w:rPr>
                <w:rFonts w:hint="eastAsia" w:ascii="宋体" w:hAnsi="宋体" w:cs="宋体"/>
                <w:color w:val="auto"/>
                <w:kern w:val="0"/>
                <w:szCs w:val="21"/>
                <w:highlight w:val="none"/>
              </w:rPr>
            </w:pPr>
          </w:p>
        </w:tc>
        <w:tc>
          <w:tcPr>
            <w:tcW w:w="1701" w:type="dxa"/>
            <w:noWrap w:val="0"/>
            <w:vAlign w:val="top"/>
          </w:tcPr>
          <w:p w14:paraId="5457EC92">
            <w:pPr>
              <w:widowControl/>
              <w:jc w:val="center"/>
              <w:rPr>
                <w:rFonts w:hint="eastAsia" w:ascii="宋体" w:hAnsi="宋体" w:cs="宋体"/>
                <w:b/>
                <w:color w:val="auto"/>
                <w:szCs w:val="21"/>
                <w:highlight w:val="none"/>
              </w:rPr>
            </w:pPr>
          </w:p>
        </w:tc>
        <w:tc>
          <w:tcPr>
            <w:tcW w:w="1134" w:type="dxa"/>
            <w:noWrap w:val="0"/>
            <w:vAlign w:val="center"/>
          </w:tcPr>
          <w:p w14:paraId="01D55078">
            <w:pPr>
              <w:widowControl/>
              <w:jc w:val="center"/>
              <w:rPr>
                <w:rFonts w:hint="eastAsia" w:ascii="宋体" w:hAnsi="宋体" w:cs="宋体"/>
                <w:b/>
                <w:color w:val="auto"/>
                <w:szCs w:val="21"/>
                <w:highlight w:val="none"/>
              </w:rPr>
            </w:pPr>
          </w:p>
        </w:tc>
        <w:tc>
          <w:tcPr>
            <w:tcW w:w="1984" w:type="dxa"/>
            <w:noWrap w:val="0"/>
            <w:vAlign w:val="center"/>
          </w:tcPr>
          <w:p w14:paraId="63757E95">
            <w:pPr>
              <w:widowControl/>
              <w:jc w:val="center"/>
              <w:rPr>
                <w:rFonts w:hint="eastAsia" w:ascii="宋体" w:hAnsi="宋体" w:cs="宋体"/>
                <w:b/>
                <w:color w:val="auto"/>
                <w:szCs w:val="21"/>
                <w:highlight w:val="none"/>
              </w:rPr>
            </w:pPr>
          </w:p>
        </w:tc>
        <w:tc>
          <w:tcPr>
            <w:tcW w:w="2269" w:type="dxa"/>
            <w:noWrap w:val="0"/>
            <w:vAlign w:val="top"/>
          </w:tcPr>
          <w:p w14:paraId="7199FFD6">
            <w:pPr>
              <w:widowControl/>
              <w:jc w:val="center"/>
              <w:rPr>
                <w:rFonts w:hint="eastAsia" w:ascii="宋体" w:hAnsi="宋体" w:cs="宋体"/>
                <w:color w:val="auto"/>
                <w:kern w:val="0"/>
                <w:szCs w:val="21"/>
                <w:highlight w:val="none"/>
              </w:rPr>
            </w:pPr>
          </w:p>
        </w:tc>
        <w:tc>
          <w:tcPr>
            <w:tcW w:w="1135" w:type="dxa"/>
            <w:noWrap w:val="0"/>
            <w:vAlign w:val="center"/>
          </w:tcPr>
          <w:p w14:paraId="47FC3B8C">
            <w:pPr>
              <w:widowControl/>
              <w:jc w:val="center"/>
              <w:rPr>
                <w:rFonts w:hint="eastAsia" w:ascii="宋体" w:hAnsi="宋体" w:cs="宋体"/>
                <w:color w:val="auto"/>
                <w:kern w:val="0"/>
                <w:szCs w:val="21"/>
                <w:highlight w:val="none"/>
              </w:rPr>
            </w:pPr>
          </w:p>
        </w:tc>
      </w:tr>
      <w:tr w14:paraId="4CD85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1E4FE7B">
            <w:pPr>
              <w:widowControl/>
              <w:rPr>
                <w:rFonts w:hint="eastAsia" w:ascii="宋体" w:hAnsi="宋体" w:cs="宋体"/>
                <w:color w:val="auto"/>
                <w:kern w:val="0"/>
                <w:szCs w:val="21"/>
                <w:highlight w:val="none"/>
              </w:rPr>
            </w:pPr>
          </w:p>
        </w:tc>
        <w:tc>
          <w:tcPr>
            <w:tcW w:w="1701" w:type="dxa"/>
            <w:noWrap w:val="0"/>
            <w:vAlign w:val="top"/>
          </w:tcPr>
          <w:p w14:paraId="5D63BC6B">
            <w:pPr>
              <w:widowControl/>
              <w:jc w:val="center"/>
              <w:rPr>
                <w:rFonts w:hint="eastAsia" w:ascii="宋体" w:hAnsi="宋体" w:cs="宋体"/>
                <w:b/>
                <w:color w:val="auto"/>
                <w:szCs w:val="21"/>
                <w:highlight w:val="none"/>
              </w:rPr>
            </w:pPr>
          </w:p>
        </w:tc>
        <w:tc>
          <w:tcPr>
            <w:tcW w:w="1134" w:type="dxa"/>
            <w:noWrap w:val="0"/>
            <w:vAlign w:val="center"/>
          </w:tcPr>
          <w:p w14:paraId="025C542E">
            <w:pPr>
              <w:widowControl/>
              <w:jc w:val="center"/>
              <w:rPr>
                <w:rFonts w:hint="eastAsia" w:ascii="宋体" w:hAnsi="宋体" w:cs="宋体"/>
                <w:b/>
                <w:color w:val="auto"/>
                <w:szCs w:val="21"/>
                <w:highlight w:val="none"/>
              </w:rPr>
            </w:pPr>
          </w:p>
        </w:tc>
        <w:tc>
          <w:tcPr>
            <w:tcW w:w="1984" w:type="dxa"/>
            <w:noWrap w:val="0"/>
            <w:vAlign w:val="center"/>
          </w:tcPr>
          <w:p w14:paraId="5800CD07">
            <w:pPr>
              <w:widowControl/>
              <w:jc w:val="center"/>
              <w:rPr>
                <w:rFonts w:hint="eastAsia" w:ascii="宋体" w:hAnsi="宋体" w:cs="宋体"/>
                <w:color w:val="auto"/>
                <w:kern w:val="0"/>
                <w:szCs w:val="21"/>
                <w:highlight w:val="none"/>
              </w:rPr>
            </w:pPr>
          </w:p>
        </w:tc>
        <w:tc>
          <w:tcPr>
            <w:tcW w:w="2269" w:type="dxa"/>
            <w:noWrap w:val="0"/>
            <w:vAlign w:val="top"/>
          </w:tcPr>
          <w:p w14:paraId="4A29A281">
            <w:pPr>
              <w:widowControl/>
              <w:jc w:val="center"/>
              <w:rPr>
                <w:rFonts w:hint="eastAsia" w:ascii="宋体" w:hAnsi="宋体" w:cs="宋体"/>
                <w:color w:val="auto"/>
                <w:kern w:val="0"/>
                <w:szCs w:val="21"/>
                <w:highlight w:val="none"/>
              </w:rPr>
            </w:pPr>
          </w:p>
        </w:tc>
        <w:tc>
          <w:tcPr>
            <w:tcW w:w="1135" w:type="dxa"/>
            <w:noWrap w:val="0"/>
            <w:vAlign w:val="center"/>
          </w:tcPr>
          <w:p w14:paraId="5DFF3A07">
            <w:pPr>
              <w:widowControl/>
              <w:jc w:val="center"/>
              <w:rPr>
                <w:rFonts w:hint="eastAsia" w:ascii="宋体" w:hAnsi="宋体" w:cs="宋体"/>
                <w:color w:val="auto"/>
                <w:kern w:val="0"/>
                <w:szCs w:val="21"/>
                <w:highlight w:val="none"/>
              </w:rPr>
            </w:pPr>
          </w:p>
        </w:tc>
      </w:tr>
      <w:tr w14:paraId="5188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3B78A716">
            <w:pPr>
              <w:widowControl/>
              <w:rPr>
                <w:rFonts w:hint="eastAsia" w:ascii="宋体" w:hAnsi="宋体" w:cs="宋体"/>
                <w:color w:val="auto"/>
                <w:kern w:val="0"/>
                <w:szCs w:val="21"/>
                <w:highlight w:val="none"/>
              </w:rPr>
            </w:pPr>
          </w:p>
        </w:tc>
        <w:tc>
          <w:tcPr>
            <w:tcW w:w="1701" w:type="dxa"/>
            <w:noWrap w:val="0"/>
            <w:vAlign w:val="top"/>
          </w:tcPr>
          <w:p w14:paraId="49D863FF">
            <w:pPr>
              <w:widowControl/>
              <w:jc w:val="center"/>
              <w:rPr>
                <w:rFonts w:hint="eastAsia" w:ascii="宋体" w:hAnsi="宋体" w:cs="宋体"/>
                <w:color w:val="auto"/>
                <w:kern w:val="0"/>
                <w:szCs w:val="21"/>
                <w:highlight w:val="none"/>
              </w:rPr>
            </w:pPr>
          </w:p>
        </w:tc>
        <w:tc>
          <w:tcPr>
            <w:tcW w:w="1134" w:type="dxa"/>
            <w:noWrap w:val="0"/>
            <w:vAlign w:val="center"/>
          </w:tcPr>
          <w:p w14:paraId="1921E32E">
            <w:pPr>
              <w:widowControl/>
              <w:jc w:val="center"/>
              <w:rPr>
                <w:rFonts w:hint="eastAsia" w:ascii="宋体" w:hAnsi="宋体" w:cs="宋体"/>
                <w:color w:val="auto"/>
                <w:kern w:val="0"/>
                <w:szCs w:val="21"/>
                <w:highlight w:val="none"/>
              </w:rPr>
            </w:pPr>
          </w:p>
        </w:tc>
        <w:tc>
          <w:tcPr>
            <w:tcW w:w="1984" w:type="dxa"/>
            <w:noWrap w:val="0"/>
            <w:vAlign w:val="center"/>
          </w:tcPr>
          <w:p w14:paraId="33DADF23">
            <w:pPr>
              <w:widowControl/>
              <w:jc w:val="center"/>
              <w:rPr>
                <w:rFonts w:hint="eastAsia" w:ascii="宋体" w:hAnsi="宋体" w:cs="宋体"/>
                <w:color w:val="auto"/>
                <w:kern w:val="0"/>
                <w:szCs w:val="21"/>
                <w:highlight w:val="none"/>
              </w:rPr>
            </w:pPr>
          </w:p>
        </w:tc>
        <w:tc>
          <w:tcPr>
            <w:tcW w:w="2269" w:type="dxa"/>
            <w:noWrap w:val="0"/>
            <w:vAlign w:val="top"/>
          </w:tcPr>
          <w:p w14:paraId="593CCE26">
            <w:pPr>
              <w:widowControl/>
              <w:jc w:val="center"/>
              <w:rPr>
                <w:rFonts w:hint="eastAsia" w:ascii="宋体" w:hAnsi="宋体" w:cs="宋体"/>
                <w:color w:val="auto"/>
                <w:kern w:val="0"/>
                <w:szCs w:val="21"/>
                <w:highlight w:val="none"/>
              </w:rPr>
            </w:pPr>
          </w:p>
        </w:tc>
        <w:tc>
          <w:tcPr>
            <w:tcW w:w="1135" w:type="dxa"/>
            <w:noWrap w:val="0"/>
            <w:vAlign w:val="center"/>
          </w:tcPr>
          <w:p w14:paraId="0DBD9B04">
            <w:pPr>
              <w:widowControl/>
              <w:jc w:val="center"/>
              <w:rPr>
                <w:rFonts w:hint="eastAsia" w:ascii="宋体" w:hAnsi="宋体" w:cs="宋体"/>
                <w:color w:val="auto"/>
                <w:kern w:val="0"/>
                <w:szCs w:val="21"/>
                <w:highlight w:val="none"/>
              </w:rPr>
            </w:pPr>
          </w:p>
        </w:tc>
      </w:tr>
      <w:tr w14:paraId="4BC9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44BA18EE">
            <w:pPr>
              <w:widowControl/>
              <w:rPr>
                <w:rFonts w:hint="eastAsia" w:ascii="宋体" w:hAnsi="宋体" w:cs="宋体"/>
                <w:color w:val="auto"/>
                <w:kern w:val="0"/>
                <w:szCs w:val="21"/>
                <w:highlight w:val="none"/>
              </w:rPr>
            </w:pPr>
          </w:p>
        </w:tc>
        <w:tc>
          <w:tcPr>
            <w:tcW w:w="1701" w:type="dxa"/>
            <w:noWrap w:val="0"/>
            <w:vAlign w:val="top"/>
          </w:tcPr>
          <w:p w14:paraId="4CF73887">
            <w:pPr>
              <w:widowControl/>
              <w:jc w:val="center"/>
              <w:rPr>
                <w:rFonts w:hint="eastAsia" w:ascii="宋体" w:hAnsi="宋体" w:cs="宋体"/>
                <w:color w:val="auto"/>
                <w:kern w:val="0"/>
                <w:szCs w:val="21"/>
                <w:highlight w:val="none"/>
              </w:rPr>
            </w:pPr>
          </w:p>
        </w:tc>
        <w:tc>
          <w:tcPr>
            <w:tcW w:w="1134" w:type="dxa"/>
            <w:noWrap w:val="0"/>
            <w:vAlign w:val="center"/>
          </w:tcPr>
          <w:p w14:paraId="0E326845">
            <w:pPr>
              <w:widowControl/>
              <w:jc w:val="center"/>
              <w:rPr>
                <w:rFonts w:hint="eastAsia" w:ascii="宋体" w:hAnsi="宋体" w:cs="宋体"/>
                <w:color w:val="auto"/>
                <w:kern w:val="0"/>
                <w:szCs w:val="21"/>
                <w:highlight w:val="none"/>
              </w:rPr>
            </w:pPr>
          </w:p>
        </w:tc>
        <w:tc>
          <w:tcPr>
            <w:tcW w:w="1984" w:type="dxa"/>
            <w:noWrap w:val="0"/>
            <w:vAlign w:val="center"/>
          </w:tcPr>
          <w:p w14:paraId="7F0CEE3B">
            <w:pPr>
              <w:widowControl/>
              <w:jc w:val="center"/>
              <w:rPr>
                <w:rFonts w:hint="eastAsia" w:ascii="宋体" w:hAnsi="宋体" w:cs="宋体"/>
                <w:color w:val="auto"/>
                <w:kern w:val="0"/>
                <w:szCs w:val="21"/>
                <w:highlight w:val="none"/>
              </w:rPr>
            </w:pPr>
          </w:p>
        </w:tc>
        <w:tc>
          <w:tcPr>
            <w:tcW w:w="2269" w:type="dxa"/>
            <w:noWrap w:val="0"/>
            <w:vAlign w:val="top"/>
          </w:tcPr>
          <w:p w14:paraId="16DE2948">
            <w:pPr>
              <w:widowControl/>
              <w:jc w:val="center"/>
              <w:rPr>
                <w:rFonts w:hint="eastAsia" w:ascii="宋体" w:hAnsi="宋体" w:cs="宋体"/>
                <w:color w:val="auto"/>
                <w:kern w:val="0"/>
                <w:szCs w:val="21"/>
                <w:highlight w:val="none"/>
              </w:rPr>
            </w:pPr>
          </w:p>
        </w:tc>
        <w:tc>
          <w:tcPr>
            <w:tcW w:w="1135" w:type="dxa"/>
            <w:noWrap w:val="0"/>
            <w:vAlign w:val="center"/>
          </w:tcPr>
          <w:p w14:paraId="4D66EF04">
            <w:pPr>
              <w:widowControl/>
              <w:jc w:val="center"/>
              <w:rPr>
                <w:rFonts w:hint="eastAsia" w:ascii="宋体" w:hAnsi="宋体" w:cs="宋体"/>
                <w:color w:val="auto"/>
                <w:kern w:val="0"/>
                <w:szCs w:val="21"/>
                <w:highlight w:val="none"/>
              </w:rPr>
            </w:pPr>
          </w:p>
        </w:tc>
      </w:tr>
      <w:tr w14:paraId="7A213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37293F15">
            <w:pPr>
              <w:widowControl/>
              <w:rPr>
                <w:rFonts w:hint="eastAsia" w:ascii="宋体" w:hAnsi="宋体" w:cs="宋体"/>
                <w:color w:val="auto"/>
                <w:kern w:val="0"/>
                <w:szCs w:val="21"/>
                <w:highlight w:val="none"/>
              </w:rPr>
            </w:pPr>
          </w:p>
        </w:tc>
        <w:tc>
          <w:tcPr>
            <w:tcW w:w="1701" w:type="dxa"/>
            <w:noWrap w:val="0"/>
            <w:vAlign w:val="top"/>
          </w:tcPr>
          <w:p w14:paraId="647C1CCF">
            <w:pPr>
              <w:widowControl/>
              <w:jc w:val="center"/>
              <w:rPr>
                <w:rFonts w:hint="eastAsia" w:ascii="宋体" w:hAnsi="宋体" w:cs="宋体"/>
                <w:color w:val="auto"/>
                <w:kern w:val="0"/>
                <w:szCs w:val="21"/>
                <w:highlight w:val="none"/>
              </w:rPr>
            </w:pPr>
          </w:p>
        </w:tc>
        <w:tc>
          <w:tcPr>
            <w:tcW w:w="1134" w:type="dxa"/>
            <w:noWrap w:val="0"/>
            <w:vAlign w:val="center"/>
          </w:tcPr>
          <w:p w14:paraId="658C8569">
            <w:pPr>
              <w:widowControl/>
              <w:jc w:val="center"/>
              <w:rPr>
                <w:rFonts w:hint="eastAsia" w:ascii="宋体" w:hAnsi="宋体" w:cs="宋体"/>
                <w:color w:val="auto"/>
                <w:kern w:val="0"/>
                <w:szCs w:val="21"/>
                <w:highlight w:val="none"/>
              </w:rPr>
            </w:pPr>
          </w:p>
        </w:tc>
        <w:tc>
          <w:tcPr>
            <w:tcW w:w="1984" w:type="dxa"/>
            <w:noWrap w:val="0"/>
            <w:vAlign w:val="center"/>
          </w:tcPr>
          <w:p w14:paraId="14C3493D">
            <w:pPr>
              <w:widowControl/>
              <w:jc w:val="center"/>
              <w:rPr>
                <w:rFonts w:hint="eastAsia" w:ascii="宋体" w:hAnsi="宋体" w:cs="宋体"/>
                <w:color w:val="auto"/>
                <w:kern w:val="0"/>
                <w:szCs w:val="21"/>
                <w:highlight w:val="none"/>
              </w:rPr>
            </w:pPr>
          </w:p>
        </w:tc>
        <w:tc>
          <w:tcPr>
            <w:tcW w:w="2269" w:type="dxa"/>
            <w:noWrap w:val="0"/>
            <w:vAlign w:val="top"/>
          </w:tcPr>
          <w:p w14:paraId="447D8096">
            <w:pPr>
              <w:widowControl/>
              <w:jc w:val="center"/>
              <w:rPr>
                <w:rFonts w:hint="eastAsia" w:ascii="宋体" w:hAnsi="宋体" w:cs="宋体"/>
                <w:color w:val="auto"/>
                <w:kern w:val="0"/>
                <w:szCs w:val="21"/>
                <w:highlight w:val="none"/>
              </w:rPr>
            </w:pPr>
          </w:p>
        </w:tc>
        <w:tc>
          <w:tcPr>
            <w:tcW w:w="1135" w:type="dxa"/>
            <w:noWrap w:val="0"/>
            <w:vAlign w:val="center"/>
          </w:tcPr>
          <w:p w14:paraId="532DD71B">
            <w:pPr>
              <w:widowControl/>
              <w:jc w:val="center"/>
              <w:rPr>
                <w:rFonts w:hint="eastAsia" w:ascii="宋体" w:hAnsi="宋体" w:cs="宋体"/>
                <w:color w:val="auto"/>
                <w:kern w:val="0"/>
                <w:szCs w:val="21"/>
                <w:highlight w:val="none"/>
              </w:rPr>
            </w:pPr>
          </w:p>
        </w:tc>
      </w:tr>
      <w:tr w14:paraId="54C9C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7A9587C">
            <w:pPr>
              <w:widowControl/>
              <w:rPr>
                <w:rFonts w:hint="eastAsia" w:ascii="宋体" w:hAnsi="宋体" w:cs="宋体"/>
                <w:color w:val="auto"/>
                <w:kern w:val="0"/>
                <w:szCs w:val="21"/>
                <w:highlight w:val="none"/>
              </w:rPr>
            </w:pPr>
          </w:p>
        </w:tc>
        <w:tc>
          <w:tcPr>
            <w:tcW w:w="1701" w:type="dxa"/>
            <w:noWrap w:val="0"/>
            <w:vAlign w:val="top"/>
          </w:tcPr>
          <w:p w14:paraId="4AFAE2F3">
            <w:pPr>
              <w:widowControl/>
              <w:jc w:val="center"/>
              <w:rPr>
                <w:rFonts w:hint="eastAsia" w:ascii="宋体" w:hAnsi="宋体" w:cs="宋体"/>
                <w:color w:val="auto"/>
                <w:kern w:val="0"/>
                <w:szCs w:val="21"/>
                <w:highlight w:val="none"/>
              </w:rPr>
            </w:pPr>
          </w:p>
        </w:tc>
        <w:tc>
          <w:tcPr>
            <w:tcW w:w="1134" w:type="dxa"/>
            <w:noWrap w:val="0"/>
            <w:vAlign w:val="center"/>
          </w:tcPr>
          <w:p w14:paraId="286A2268">
            <w:pPr>
              <w:widowControl/>
              <w:jc w:val="center"/>
              <w:rPr>
                <w:rFonts w:hint="eastAsia" w:ascii="宋体" w:hAnsi="宋体" w:cs="宋体"/>
                <w:color w:val="auto"/>
                <w:kern w:val="0"/>
                <w:szCs w:val="21"/>
                <w:highlight w:val="none"/>
              </w:rPr>
            </w:pPr>
          </w:p>
        </w:tc>
        <w:tc>
          <w:tcPr>
            <w:tcW w:w="1984" w:type="dxa"/>
            <w:noWrap w:val="0"/>
            <w:vAlign w:val="center"/>
          </w:tcPr>
          <w:p w14:paraId="7A16853A">
            <w:pPr>
              <w:widowControl/>
              <w:jc w:val="center"/>
              <w:rPr>
                <w:rFonts w:hint="eastAsia" w:ascii="宋体" w:hAnsi="宋体" w:cs="宋体"/>
                <w:color w:val="auto"/>
                <w:kern w:val="0"/>
                <w:szCs w:val="21"/>
                <w:highlight w:val="none"/>
              </w:rPr>
            </w:pPr>
          </w:p>
        </w:tc>
        <w:tc>
          <w:tcPr>
            <w:tcW w:w="2269" w:type="dxa"/>
            <w:noWrap w:val="0"/>
            <w:vAlign w:val="top"/>
          </w:tcPr>
          <w:p w14:paraId="179FFB02">
            <w:pPr>
              <w:widowControl/>
              <w:jc w:val="center"/>
              <w:rPr>
                <w:rFonts w:hint="eastAsia" w:ascii="宋体" w:hAnsi="宋体" w:cs="宋体"/>
                <w:color w:val="auto"/>
                <w:kern w:val="0"/>
                <w:szCs w:val="21"/>
                <w:highlight w:val="none"/>
              </w:rPr>
            </w:pPr>
          </w:p>
        </w:tc>
        <w:tc>
          <w:tcPr>
            <w:tcW w:w="1135" w:type="dxa"/>
            <w:noWrap w:val="0"/>
            <w:vAlign w:val="center"/>
          </w:tcPr>
          <w:p w14:paraId="292510B9">
            <w:pPr>
              <w:widowControl/>
              <w:jc w:val="center"/>
              <w:rPr>
                <w:rFonts w:hint="eastAsia" w:ascii="宋体" w:hAnsi="宋体" w:cs="宋体"/>
                <w:color w:val="auto"/>
                <w:kern w:val="0"/>
                <w:szCs w:val="21"/>
                <w:highlight w:val="none"/>
              </w:rPr>
            </w:pPr>
          </w:p>
        </w:tc>
      </w:tr>
      <w:tr w14:paraId="35B77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12A88C83">
            <w:pPr>
              <w:widowControl/>
              <w:rPr>
                <w:rFonts w:hint="eastAsia" w:ascii="宋体" w:hAnsi="宋体" w:cs="宋体"/>
                <w:color w:val="auto"/>
                <w:kern w:val="0"/>
                <w:szCs w:val="21"/>
                <w:highlight w:val="none"/>
              </w:rPr>
            </w:pPr>
          </w:p>
        </w:tc>
        <w:tc>
          <w:tcPr>
            <w:tcW w:w="1701" w:type="dxa"/>
            <w:noWrap w:val="0"/>
            <w:vAlign w:val="top"/>
          </w:tcPr>
          <w:p w14:paraId="59C57217">
            <w:pPr>
              <w:widowControl/>
              <w:jc w:val="center"/>
              <w:rPr>
                <w:rFonts w:hint="eastAsia" w:ascii="宋体" w:hAnsi="宋体" w:cs="宋体"/>
                <w:color w:val="auto"/>
                <w:kern w:val="0"/>
                <w:szCs w:val="21"/>
                <w:highlight w:val="none"/>
              </w:rPr>
            </w:pPr>
          </w:p>
        </w:tc>
        <w:tc>
          <w:tcPr>
            <w:tcW w:w="1134" w:type="dxa"/>
            <w:noWrap w:val="0"/>
            <w:vAlign w:val="center"/>
          </w:tcPr>
          <w:p w14:paraId="008310B5">
            <w:pPr>
              <w:widowControl/>
              <w:jc w:val="center"/>
              <w:rPr>
                <w:rFonts w:hint="eastAsia" w:ascii="宋体" w:hAnsi="宋体" w:cs="宋体"/>
                <w:color w:val="auto"/>
                <w:kern w:val="0"/>
                <w:szCs w:val="21"/>
                <w:highlight w:val="none"/>
              </w:rPr>
            </w:pPr>
          </w:p>
        </w:tc>
        <w:tc>
          <w:tcPr>
            <w:tcW w:w="1984" w:type="dxa"/>
            <w:noWrap w:val="0"/>
            <w:vAlign w:val="center"/>
          </w:tcPr>
          <w:p w14:paraId="2EEA8815">
            <w:pPr>
              <w:widowControl/>
              <w:jc w:val="center"/>
              <w:rPr>
                <w:rFonts w:hint="eastAsia" w:ascii="宋体" w:hAnsi="宋体" w:cs="宋体"/>
                <w:color w:val="auto"/>
                <w:kern w:val="0"/>
                <w:szCs w:val="21"/>
                <w:highlight w:val="none"/>
              </w:rPr>
            </w:pPr>
          </w:p>
        </w:tc>
        <w:tc>
          <w:tcPr>
            <w:tcW w:w="2269" w:type="dxa"/>
            <w:noWrap w:val="0"/>
            <w:vAlign w:val="top"/>
          </w:tcPr>
          <w:p w14:paraId="65456BCA">
            <w:pPr>
              <w:widowControl/>
              <w:jc w:val="center"/>
              <w:rPr>
                <w:rFonts w:hint="eastAsia" w:ascii="宋体" w:hAnsi="宋体" w:cs="宋体"/>
                <w:color w:val="auto"/>
                <w:kern w:val="0"/>
                <w:szCs w:val="21"/>
                <w:highlight w:val="none"/>
              </w:rPr>
            </w:pPr>
          </w:p>
        </w:tc>
        <w:tc>
          <w:tcPr>
            <w:tcW w:w="1135" w:type="dxa"/>
            <w:noWrap w:val="0"/>
            <w:vAlign w:val="center"/>
          </w:tcPr>
          <w:p w14:paraId="462F6A07">
            <w:pPr>
              <w:widowControl/>
              <w:jc w:val="center"/>
              <w:rPr>
                <w:rFonts w:hint="eastAsia" w:ascii="宋体" w:hAnsi="宋体" w:cs="宋体"/>
                <w:color w:val="auto"/>
                <w:kern w:val="0"/>
                <w:szCs w:val="21"/>
                <w:highlight w:val="none"/>
              </w:rPr>
            </w:pPr>
          </w:p>
        </w:tc>
      </w:tr>
      <w:tr w14:paraId="2E8D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25694A0B">
            <w:pPr>
              <w:widowControl/>
              <w:rPr>
                <w:rFonts w:hint="eastAsia" w:ascii="宋体" w:hAnsi="宋体" w:cs="宋体"/>
                <w:color w:val="auto"/>
                <w:kern w:val="0"/>
                <w:szCs w:val="21"/>
                <w:highlight w:val="none"/>
              </w:rPr>
            </w:pPr>
          </w:p>
        </w:tc>
        <w:tc>
          <w:tcPr>
            <w:tcW w:w="1701" w:type="dxa"/>
            <w:noWrap w:val="0"/>
            <w:vAlign w:val="top"/>
          </w:tcPr>
          <w:p w14:paraId="6083C3B4">
            <w:pPr>
              <w:widowControl/>
              <w:jc w:val="center"/>
              <w:rPr>
                <w:rFonts w:hint="eastAsia" w:ascii="宋体" w:hAnsi="宋体" w:cs="宋体"/>
                <w:color w:val="auto"/>
                <w:kern w:val="0"/>
                <w:szCs w:val="21"/>
                <w:highlight w:val="none"/>
              </w:rPr>
            </w:pPr>
          </w:p>
        </w:tc>
        <w:tc>
          <w:tcPr>
            <w:tcW w:w="1134" w:type="dxa"/>
            <w:noWrap w:val="0"/>
            <w:vAlign w:val="center"/>
          </w:tcPr>
          <w:p w14:paraId="38D28960">
            <w:pPr>
              <w:widowControl/>
              <w:jc w:val="center"/>
              <w:rPr>
                <w:rFonts w:hint="eastAsia" w:ascii="宋体" w:hAnsi="宋体" w:cs="宋体"/>
                <w:color w:val="auto"/>
                <w:kern w:val="0"/>
                <w:szCs w:val="21"/>
                <w:highlight w:val="none"/>
              </w:rPr>
            </w:pPr>
          </w:p>
        </w:tc>
        <w:tc>
          <w:tcPr>
            <w:tcW w:w="1984" w:type="dxa"/>
            <w:noWrap w:val="0"/>
            <w:vAlign w:val="center"/>
          </w:tcPr>
          <w:p w14:paraId="580E03EA">
            <w:pPr>
              <w:widowControl/>
              <w:jc w:val="center"/>
              <w:rPr>
                <w:rFonts w:hint="eastAsia" w:ascii="宋体" w:hAnsi="宋体" w:cs="宋体"/>
                <w:color w:val="auto"/>
                <w:kern w:val="0"/>
                <w:szCs w:val="21"/>
                <w:highlight w:val="none"/>
              </w:rPr>
            </w:pPr>
          </w:p>
        </w:tc>
        <w:tc>
          <w:tcPr>
            <w:tcW w:w="2269" w:type="dxa"/>
            <w:noWrap w:val="0"/>
            <w:vAlign w:val="top"/>
          </w:tcPr>
          <w:p w14:paraId="53A3C158">
            <w:pPr>
              <w:widowControl/>
              <w:jc w:val="center"/>
              <w:rPr>
                <w:rFonts w:hint="eastAsia" w:ascii="宋体" w:hAnsi="宋体" w:cs="宋体"/>
                <w:color w:val="auto"/>
                <w:kern w:val="0"/>
                <w:szCs w:val="21"/>
                <w:highlight w:val="none"/>
              </w:rPr>
            </w:pPr>
          </w:p>
        </w:tc>
        <w:tc>
          <w:tcPr>
            <w:tcW w:w="1135" w:type="dxa"/>
            <w:noWrap w:val="0"/>
            <w:vAlign w:val="center"/>
          </w:tcPr>
          <w:p w14:paraId="54D9CE52">
            <w:pPr>
              <w:widowControl/>
              <w:jc w:val="center"/>
              <w:rPr>
                <w:rFonts w:hint="eastAsia" w:ascii="宋体" w:hAnsi="宋体" w:cs="宋体"/>
                <w:color w:val="auto"/>
                <w:kern w:val="0"/>
                <w:szCs w:val="21"/>
                <w:highlight w:val="none"/>
              </w:rPr>
            </w:pPr>
          </w:p>
        </w:tc>
      </w:tr>
      <w:tr w14:paraId="2448A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40088EA4">
            <w:pPr>
              <w:widowControl/>
              <w:rPr>
                <w:rFonts w:hint="eastAsia" w:ascii="宋体" w:hAnsi="宋体" w:cs="宋体"/>
                <w:color w:val="auto"/>
                <w:kern w:val="0"/>
                <w:szCs w:val="21"/>
                <w:highlight w:val="none"/>
              </w:rPr>
            </w:pPr>
          </w:p>
        </w:tc>
        <w:tc>
          <w:tcPr>
            <w:tcW w:w="1701" w:type="dxa"/>
            <w:noWrap w:val="0"/>
            <w:vAlign w:val="top"/>
          </w:tcPr>
          <w:p w14:paraId="761DF2F3">
            <w:pPr>
              <w:widowControl/>
              <w:jc w:val="center"/>
              <w:rPr>
                <w:rFonts w:hint="eastAsia" w:ascii="宋体" w:hAnsi="宋体" w:cs="宋体"/>
                <w:color w:val="auto"/>
                <w:kern w:val="0"/>
                <w:szCs w:val="21"/>
                <w:highlight w:val="none"/>
              </w:rPr>
            </w:pPr>
          </w:p>
        </w:tc>
        <w:tc>
          <w:tcPr>
            <w:tcW w:w="1134" w:type="dxa"/>
            <w:noWrap w:val="0"/>
            <w:vAlign w:val="center"/>
          </w:tcPr>
          <w:p w14:paraId="55A29CE8">
            <w:pPr>
              <w:widowControl/>
              <w:jc w:val="center"/>
              <w:rPr>
                <w:rFonts w:hint="eastAsia" w:ascii="宋体" w:hAnsi="宋体" w:cs="宋体"/>
                <w:color w:val="auto"/>
                <w:kern w:val="0"/>
                <w:szCs w:val="21"/>
                <w:highlight w:val="none"/>
              </w:rPr>
            </w:pPr>
          </w:p>
        </w:tc>
        <w:tc>
          <w:tcPr>
            <w:tcW w:w="1984" w:type="dxa"/>
            <w:noWrap w:val="0"/>
            <w:vAlign w:val="center"/>
          </w:tcPr>
          <w:p w14:paraId="47A676BF">
            <w:pPr>
              <w:widowControl/>
              <w:jc w:val="center"/>
              <w:rPr>
                <w:rFonts w:hint="eastAsia" w:ascii="宋体" w:hAnsi="宋体" w:cs="宋体"/>
                <w:color w:val="auto"/>
                <w:kern w:val="0"/>
                <w:szCs w:val="21"/>
                <w:highlight w:val="none"/>
              </w:rPr>
            </w:pPr>
          </w:p>
        </w:tc>
        <w:tc>
          <w:tcPr>
            <w:tcW w:w="2269" w:type="dxa"/>
            <w:noWrap w:val="0"/>
            <w:vAlign w:val="top"/>
          </w:tcPr>
          <w:p w14:paraId="401B8DAA">
            <w:pPr>
              <w:widowControl/>
              <w:jc w:val="center"/>
              <w:rPr>
                <w:rFonts w:hint="eastAsia" w:ascii="宋体" w:hAnsi="宋体" w:cs="宋体"/>
                <w:color w:val="auto"/>
                <w:kern w:val="0"/>
                <w:szCs w:val="21"/>
                <w:highlight w:val="none"/>
              </w:rPr>
            </w:pPr>
          </w:p>
        </w:tc>
        <w:tc>
          <w:tcPr>
            <w:tcW w:w="1135" w:type="dxa"/>
            <w:noWrap w:val="0"/>
            <w:vAlign w:val="center"/>
          </w:tcPr>
          <w:p w14:paraId="7259B8AC">
            <w:pPr>
              <w:widowControl/>
              <w:jc w:val="center"/>
              <w:rPr>
                <w:rFonts w:hint="eastAsia" w:ascii="宋体" w:hAnsi="宋体" w:cs="宋体"/>
                <w:color w:val="auto"/>
                <w:kern w:val="0"/>
                <w:szCs w:val="21"/>
                <w:highlight w:val="none"/>
              </w:rPr>
            </w:pPr>
          </w:p>
        </w:tc>
      </w:tr>
    </w:tbl>
    <w:p w14:paraId="0FE2CE6A">
      <w:pPr>
        <w:widowControl/>
        <w:jc w:val="left"/>
        <w:rPr>
          <w:rFonts w:hint="eastAsia" w:ascii="宋体" w:hAnsi="宋体" w:cs="宋体"/>
          <w:color w:val="auto"/>
          <w:sz w:val="24"/>
          <w:highlight w:val="none"/>
        </w:rPr>
      </w:pPr>
      <w:r>
        <w:rPr>
          <w:rFonts w:hint="eastAsia" w:ascii="宋体" w:hAnsi="宋体" w:cs="宋体"/>
          <w:color w:val="auto"/>
          <w:sz w:val="24"/>
          <w:highlight w:val="none"/>
        </w:rPr>
        <w:t>注：投标人应将投标产品拆分为相关主要部件分别描述。</w:t>
      </w:r>
    </w:p>
    <w:p w14:paraId="6BBC7AFD">
      <w:pPr>
        <w:widowControl/>
        <w:jc w:val="left"/>
        <w:rPr>
          <w:rFonts w:hint="eastAsia" w:ascii="宋体" w:hAnsi="宋体" w:cs="宋体"/>
          <w:color w:val="auto"/>
          <w:sz w:val="24"/>
          <w:highlight w:val="none"/>
        </w:rPr>
      </w:pPr>
    </w:p>
    <w:p w14:paraId="4A461400">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2.货物（服务）说明（按此格式或者投标人自定格式）</w:t>
      </w:r>
    </w:p>
    <w:tbl>
      <w:tblPr>
        <w:tblStyle w:val="1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9"/>
        <w:gridCol w:w="5930"/>
      </w:tblGrid>
      <w:tr w14:paraId="60F46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3109" w:type="dxa"/>
            <w:noWrap w:val="0"/>
            <w:vAlign w:val="center"/>
          </w:tcPr>
          <w:p w14:paraId="1D33BF0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5930" w:type="dxa"/>
            <w:noWrap w:val="0"/>
            <w:vAlign w:val="center"/>
          </w:tcPr>
          <w:p w14:paraId="522FFEEB">
            <w:pPr>
              <w:widowControl/>
              <w:jc w:val="center"/>
              <w:rPr>
                <w:rFonts w:hint="eastAsia" w:ascii="宋体" w:hAnsi="宋体" w:cs="宋体"/>
                <w:b/>
                <w:bCs/>
                <w:color w:val="auto"/>
                <w:kern w:val="0"/>
                <w:szCs w:val="21"/>
                <w:highlight w:val="none"/>
              </w:rPr>
            </w:pPr>
          </w:p>
        </w:tc>
      </w:tr>
      <w:tr w14:paraId="1D1E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572A8E73">
            <w:pPr>
              <w:widowControl/>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供货范围</w:t>
            </w:r>
          </w:p>
        </w:tc>
      </w:tr>
      <w:tr w14:paraId="6ECEA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58F25F3F">
            <w:pPr>
              <w:widowControl/>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工艺、参数等货物（服务）详细说明</w:t>
            </w:r>
          </w:p>
        </w:tc>
      </w:tr>
    </w:tbl>
    <w:p w14:paraId="4412B9B8">
      <w:pPr>
        <w:widowControl/>
        <w:jc w:val="left"/>
        <w:rPr>
          <w:rFonts w:hint="eastAsia" w:ascii="宋体" w:hAnsi="宋体" w:cs="宋体"/>
          <w:color w:val="auto"/>
          <w:sz w:val="24"/>
          <w:highlight w:val="none"/>
        </w:rPr>
      </w:pPr>
    </w:p>
    <w:p w14:paraId="2822CEB3">
      <w:pPr>
        <w:rPr>
          <w:rFonts w:hint="eastAsia" w:ascii="宋体" w:hAnsi="宋体" w:cs="宋体"/>
          <w:color w:val="auto"/>
          <w:sz w:val="24"/>
          <w:highlight w:val="none"/>
          <w:lang w:bidi="en-US"/>
        </w:rPr>
      </w:pPr>
    </w:p>
    <w:p w14:paraId="4AF3CC58">
      <w:pPr>
        <w:numPr>
          <w:ilvl w:val="0"/>
          <w:numId w:val="0"/>
        </w:numPr>
        <w:jc w:val="center"/>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产品综合评价</w:t>
      </w:r>
    </w:p>
    <w:p w14:paraId="1F9D7B0F">
      <w:pPr>
        <w:jc w:val="center"/>
        <w:rPr>
          <w:rFonts w:hint="eastAsia" w:ascii="宋体" w:hAnsi="宋体" w:cs="宋体"/>
          <w:b/>
          <w:bCs/>
          <w:iCs w:val="0"/>
          <w:color w:val="auto"/>
          <w:sz w:val="24"/>
          <w:highlight w:val="none"/>
          <w:lang w:val="en-US" w:eastAsia="zh-CN"/>
        </w:rPr>
      </w:pPr>
    </w:p>
    <w:p w14:paraId="4B2E6D2A">
      <w:pPr>
        <w:pStyle w:val="5"/>
        <w:keepNext w:val="0"/>
        <w:pageBreakBefore w:val="0"/>
        <w:tabs>
          <w:tab w:val="left" w:pos="1260"/>
        </w:tabs>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 w:val="24"/>
          <w:highlight w:val="none"/>
        </w:rPr>
      </w:pPr>
      <w:r>
        <w:rPr>
          <w:rFonts w:hint="eastAsia" w:ascii="宋体" w:hAnsi="宋体" w:cs="宋体"/>
          <w:iCs w:val="0"/>
          <w:color w:val="auto"/>
          <w:sz w:val="24"/>
          <w:highlight w:val="none"/>
          <w:lang w:val="en-US" w:eastAsia="zh-CN"/>
        </w:rPr>
        <w:t>4</w:t>
      </w:r>
      <w:r>
        <w:rPr>
          <w:rFonts w:hint="eastAsia" w:ascii="宋体" w:hAnsi="宋体" w:cs="宋体"/>
          <w:iCs w:val="0"/>
          <w:color w:val="auto"/>
          <w:sz w:val="24"/>
          <w:highlight w:val="none"/>
          <w:lang w:eastAsia="zh-CN"/>
        </w:rPr>
        <w:t>.</w:t>
      </w:r>
      <w:r>
        <w:rPr>
          <w:rFonts w:hint="eastAsia" w:ascii="宋体" w:hAnsi="宋体" w:cs="宋体"/>
          <w:b/>
          <w:bCs/>
          <w:color w:val="auto"/>
          <w:sz w:val="24"/>
          <w:highlight w:val="none"/>
        </w:rPr>
        <w:t>供货方案</w:t>
      </w:r>
    </w:p>
    <w:p w14:paraId="476ECF29">
      <w:pPr>
        <w:jc w:val="both"/>
        <w:rPr>
          <w:rFonts w:hint="eastAsia" w:ascii="宋体" w:hAnsi="宋体" w:cs="宋体"/>
          <w:b/>
          <w:bCs/>
          <w:iCs w:val="0"/>
          <w:color w:val="auto"/>
          <w:sz w:val="24"/>
          <w:highlight w:val="none"/>
          <w:lang w:val="en-US" w:eastAsia="zh-CN"/>
        </w:rPr>
      </w:pPr>
    </w:p>
    <w:p w14:paraId="72900156">
      <w:pPr>
        <w:jc w:val="center"/>
        <w:rPr>
          <w:rFonts w:hint="eastAsia" w:ascii="宋体" w:hAnsi="宋体" w:cs="宋体"/>
          <w:color w:val="auto"/>
          <w:sz w:val="24"/>
          <w:highlight w:val="none"/>
          <w:lang w:bidi="en-US"/>
        </w:rPr>
      </w:pPr>
      <w:r>
        <w:rPr>
          <w:rFonts w:hint="eastAsia" w:ascii="宋体" w:hAnsi="宋体" w:cs="宋体"/>
          <w:b/>
          <w:bCs/>
          <w:iCs w:val="0"/>
          <w:color w:val="auto"/>
          <w:sz w:val="24"/>
          <w:highlight w:val="none"/>
          <w:lang w:val="en-US" w:eastAsia="zh-CN"/>
        </w:rPr>
        <w:t>5</w:t>
      </w:r>
      <w:r>
        <w:rPr>
          <w:rFonts w:hint="eastAsia" w:ascii="宋体" w:hAnsi="宋体" w:cs="宋体"/>
          <w:b/>
          <w:bCs/>
          <w:iCs w:val="0"/>
          <w:color w:val="auto"/>
          <w:sz w:val="24"/>
          <w:highlight w:val="none"/>
          <w:lang w:eastAsia="zh-CN"/>
        </w:rPr>
        <w:t>.</w:t>
      </w:r>
      <w:r>
        <w:rPr>
          <w:rFonts w:hint="eastAsia" w:ascii="宋体" w:hAnsi="宋体" w:cs="宋体"/>
          <w:b/>
          <w:bCs/>
          <w:color w:val="auto"/>
          <w:sz w:val="24"/>
          <w:highlight w:val="none"/>
        </w:rPr>
        <w:t>安装</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调试实施方案</w:t>
      </w:r>
    </w:p>
    <w:p w14:paraId="05F6038F">
      <w:pPr>
        <w:rPr>
          <w:rFonts w:hint="eastAsia" w:ascii="宋体" w:hAnsi="宋体" w:cs="宋体"/>
          <w:color w:val="auto"/>
          <w:sz w:val="24"/>
          <w:highlight w:val="none"/>
          <w:lang w:bidi="en-US"/>
        </w:rPr>
      </w:pPr>
    </w:p>
    <w:p w14:paraId="1B4297F8">
      <w:pPr>
        <w:pStyle w:val="5"/>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val="en-US" w:eastAsia="zh-CN"/>
        </w:rPr>
        <w:t>6</w:t>
      </w:r>
      <w:r>
        <w:rPr>
          <w:rFonts w:hint="eastAsia" w:ascii="宋体" w:hAnsi="宋体" w:cs="宋体"/>
          <w:iCs w:val="0"/>
          <w:color w:val="auto"/>
          <w:sz w:val="24"/>
          <w:highlight w:val="none"/>
          <w:lang w:eastAsia="zh-CN"/>
        </w:rPr>
        <w:t>.</w:t>
      </w:r>
      <w:r>
        <w:rPr>
          <w:rFonts w:hint="eastAsia" w:ascii="宋体" w:hAnsi="宋体" w:cs="宋体"/>
          <w:b/>
          <w:bCs/>
          <w:color w:val="auto"/>
          <w:sz w:val="24"/>
          <w:highlight w:val="none"/>
          <w:lang w:val="en-US" w:eastAsia="zh-CN"/>
        </w:rPr>
        <w:t>技术</w:t>
      </w:r>
      <w:r>
        <w:rPr>
          <w:rFonts w:hint="eastAsia" w:ascii="宋体" w:hAnsi="宋体" w:cs="宋体"/>
          <w:b/>
          <w:bCs/>
          <w:color w:val="auto"/>
          <w:sz w:val="24"/>
          <w:highlight w:val="none"/>
        </w:rPr>
        <w:t>培训方案</w:t>
      </w:r>
    </w:p>
    <w:p w14:paraId="676D3906">
      <w:pPr>
        <w:rPr>
          <w:rFonts w:hint="eastAsia" w:ascii="宋体" w:hAnsi="宋体" w:cs="宋体"/>
          <w:color w:val="auto"/>
          <w:sz w:val="24"/>
          <w:highlight w:val="none"/>
          <w:lang w:bidi="en-US"/>
        </w:rPr>
      </w:pPr>
    </w:p>
    <w:p w14:paraId="292DABC3">
      <w:pPr>
        <w:numPr>
          <w:ilvl w:val="0"/>
          <w:numId w:val="0"/>
        </w:numPr>
        <w:jc w:val="center"/>
        <w:rPr>
          <w:rFonts w:hint="eastAsia" w:ascii="宋体" w:hAnsi="宋体" w:cs="宋体"/>
          <w:b/>
          <w:bCs/>
          <w:color w:val="auto"/>
          <w:sz w:val="24"/>
          <w:highlight w:val="none"/>
          <w:lang w:val="en-US" w:eastAsia="zh-CN"/>
        </w:rPr>
      </w:pP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sz w:val="24"/>
          <w:highlight w:val="none"/>
        </w:rPr>
        <w:t>售后服务</w:t>
      </w:r>
      <w:r>
        <w:rPr>
          <w:rFonts w:hint="eastAsia" w:ascii="宋体" w:hAnsi="宋体" w:cs="宋体"/>
          <w:b/>
          <w:bCs/>
          <w:color w:val="auto"/>
          <w:sz w:val="24"/>
          <w:highlight w:val="none"/>
          <w:lang w:val="en-US" w:eastAsia="zh-CN"/>
        </w:rPr>
        <w:t>方案</w:t>
      </w:r>
    </w:p>
    <w:p w14:paraId="21181F01">
      <w:pPr>
        <w:numPr>
          <w:ilvl w:val="0"/>
          <w:numId w:val="0"/>
        </w:numPr>
        <w:jc w:val="center"/>
        <w:rPr>
          <w:rFonts w:hint="eastAsia" w:ascii="宋体" w:hAnsi="宋体" w:cs="宋体"/>
          <w:b/>
          <w:bCs/>
          <w:color w:val="auto"/>
          <w:sz w:val="24"/>
          <w:highlight w:val="none"/>
          <w:lang w:val="en-US" w:eastAsia="zh-CN"/>
        </w:rPr>
      </w:pPr>
    </w:p>
    <w:p w14:paraId="4E7AADE0">
      <w:pPr>
        <w:pStyle w:val="5"/>
        <w:tabs>
          <w:tab w:val="left" w:pos="1260"/>
        </w:tabs>
        <w:jc w:val="center"/>
        <w:rPr>
          <w:rFonts w:hint="eastAsia" w:ascii="宋体" w:hAnsi="宋体" w:cs="宋体"/>
          <w:iCs w:val="0"/>
          <w:color w:val="auto"/>
          <w:sz w:val="24"/>
          <w:highlight w:val="none"/>
          <w:lang w:eastAsia="zh-CN"/>
        </w:rPr>
      </w:pPr>
      <w:r>
        <w:rPr>
          <w:rFonts w:hint="eastAsia" w:ascii="宋体" w:hAnsi="宋体" w:cs="宋体"/>
          <w:iCs w:val="0"/>
          <w:color w:val="auto"/>
          <w:sz w:val="24"/>
          <w:highlight w:val="none"/>
          <w:lang w:val="en-US" w:eastAsia="zh-CN"/>
        </w:rPr>
        <w:t>8</w:t>
      </w:r>
      <w:r>
        <w:rPr>
          <w:rFonts w:hint="eastAsia" w:ascii="宋体" w:hAnsi="宋体" w:cs="宋体"/>
          <w:iCs w:val="0"/>
          <w:color w:val="auto"/>
          <w:sz w:val="24"/>
          <w:highlight w:val="none"/>
          <w:lang w:eastAsia="zh-CN"/>
        </w:rPr>
        <w:t>.所投货物（服务）的技术资料或检测报告等</w:t>
      </w:r>
    </w:p>
    <w:p w14:paraId="33BAC41F">
      <w:pPr>
        <w:spacing w:line="360" w:lineRule="auto"/>
        <w:jc w:val="center"/>
        <w:outlineLvl w:val="2"/>
        <w:rPr>
          <w:rFonts w:hint="eastAsia" w:ascii="宋体" w:hAnsi="宋体" w:cs="宋体"/>
          <w:b/>
          <w:bCs/>
          <w:color w:val="auto"/>
          <w:kern w:val="0"/>
          <w:sz w:val="24"/>
          <w:highlight w:val="none"/>
          <w:lang w:bidi="en-US"/>
        </w:rPr>
      </w:pPr>
      <w:r>
        <w:rPr>
          <w:rFonts w:hint="eastAsia" w:ascii="宋体" w:hAnsi="宋体" w:cs="宋体"/>
          <w:b/>
          <w:bCs/>
          <w:color w:val="auto"/>
          <w:kern w:val="0"/>
          <w:sz w:val="24"/>
          <w:highlight w:val="none"/>
          <w:lang w:bidi="en-US"/>
        </w:rPr>
        <w:br w:type="page"/>
      </w:r>
      <w:r>
        <w:rPr>
          <w:rFonts w:hint="eastAsia" w:ascii="宋体" w:hAnsi="宋体" w:cs="宋体"/>
          <w:b/>
          <w:bCs/>
          <w:color w:val="auto"/>
          <w:kern w:val="0"/>
          <w:sz w:val="24"/>
          <w:highlight w:val="none"/>
          <w:lang w:bidi="en-US"/>
        </w:rPr>
        <w:t>（四）用于评标的业绩证明材料</w:t>
      </w:r>
    </w:p>
    <w:p w14:paraId="36CD33AA">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0C1DDED3">
      <w:pPr>
        <w:pStyle w:val="11"/>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36BDD964">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79AFA433">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6D864EC7">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38D4CBDD">
      <w:pPr>
        <w:jc w:val="center"/>
        <w:rPr>
          <w:rFonts w:hint="eastAsia" w:ascii="宋体" w:hAnsi="宋体" w:cs="宋体"/>
          <w:color w:val="auto"/>
          <w:sz w:val="28"/>
          <w:highlight w:val="none"/>
        </w:rPr>
      </w:pPr>
    </w:p>
    <w:p w14:paraId="29B95A32">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17"/>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409F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9AA4CD4">
            <w:pPr>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4E9004D3">
            <w:pPr>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238B2C41">
            <w:pPr>
              <w:widowControl/>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3E35DEAA">
            <w:pPr>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0B3A8F6D">
            <w:pPr>
              <w:jc w:val="center"/>
              <w:rPr>
                <w:rFonts w:hint="eastAsia" w:ascii="宋体" w:hAnsi="宋体" w:cs="宋体"/>
                <w:b/>
                <w:color w:val="auto"/>
                <w:highlight w:val="none"/>
              </w:rPr>
            </w:pPr>
            <w:r>
              <w:rPr>
                <w:rFonts w:hint="eastAsia" w:ascii="宋体" w:hAnsi="宋体" w:cs="宋体"/>
                <w:b/>
                <w:color w:val="auto"/>
                <w:highlight w:val="none"/>
              </w:rPr>
              <w:t>业主单位</w:t>
            </w:r>
          </w:p>
          <w:p w14:paraId="18374E15">
            <w:pPr>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65D873BA">
            <w:pPr>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24654707">
            <w:pPr>
              <w:jc w:val="center"/>
              <w:rPr>
                <w:rFonts w:hint="eastAsia" w:ascii="宋体" w:hAnsi="宋体" w:cs="宋体"/>
                <w:b/>
                <w:color w:val="auto"/>
                <w:highlight w:val="none"/>
              </w:rPr>
            </w:pPr>
            <w:r>
              <w:rPr>
                <w:rFonts w:hint="eastAsia" w:ascii="宋体" w:hAnsi="宋体" w:cs="宋体"/>
                <w:b/>
                <w:color w:val="auto"/>
                <w:highlight w:val="none"/>
              </w:rPr>
              <w:t>备注</w:t>
            </w:r>
          </w:p>
        </w:tc>
      </w:tr>
      <w:tr w14:paraId="2B7E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1B37921">
            <w:pPr>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09D58F88">
            <w:pPr>
              <w:rPr>
                <w:rFonts w:hint="eastAsia" w:ascii="宋体" w:hAnsi="宋体" w:cs="宋体"/>
                <w:color w:val="auto"/>
                <w:highlight w:val="none"/>
              </w:rPr>
            </w:pPr>
          </w:p>
        </w:tc>
        <w:tc>
          <w:tcPr>
            <w:tcW w:w="953" w:type="pct"/>
            <w:noWrap w:val="0"/>
            <w:vAlign w:val="center"/>
          </w:tcPr>
          <w:p w14:paraId="4A5CF06C">
            <w:pPr>
              <w:rPr>
                <w:rFonts w:hint="eastAsia" w:ascii="宋体" w:hAnsi="宋体" w:cs="宋体"/>
                <w:color w:val="auto"/>
                <w:highlight w:val="none"/>
              </w:rPr>
            </w:pPr>
          </w:p>
        </w:tc>
        <w:tc>
          <w:tcPr>
            <w:tcW w:w="644" w:type="pct"/>
            <w:noWrap w:val="0"/>
            <w:vAlign w:val="center"/>
          </w:tcPr>
          <w:p w14:paraId="6630F4B2">
            <w:pPr>
              <w:rPr>
                <w:rFonts w:hint="eastAsia" w:ascii="宋体" w:hAnsi="宋体" w:cs="宋体"/>
                <w:color w:val="auto"/>
                <w:highlight w:val="none"/>
              </w:rPr>
            </w:pPr>
          </w:p>
        </w:tc>
        <w:tc>
          <w:tcPr>
            <w:tcW w:w="963" w:type="pct"/>
            <w:noWrap w:val="0"/>
            <w:vAlign w:val="center"/>
          </w:tcPr>
          <w:p w14:paraId="683F5102">
            <w:pPr>
              <w:rPr>
                <w:rFonts w:hint="eastAsia" w:ascii="宋体" w:hAnsi="宋体" w:cs="宋体"/>
                <w:color w:val="auto"/>
                <w:highlight w:val="none"/>
              </w:rPr>
            </w:pPr>
          </w:p>
        </w:tc>
        <w:tc>
          <w:tcPr>
            <w:tcW w:w="793" w:type="pct"/>
            <w:noWrap w:val="0"/>
            <w:vAlign w:val="top"/>
          </w:tcPr>
          <w:p w14:paraId="587176FA">
            <w:pPr>
              <w:rPr>
                <w:rFonts w:hint="eastAsia" w:ascii="宋体" w:hAnsi="宋体" w:cs="宋体"/>
                <w:color w:val="auto"/>
                <w:highlight w:val="none"/>
              </w:rPr>
            </w:pPr>
          </w:p>
        </w:tc>
        <w:tc>
          <w:tcPr>
            <w:tcW w:w="478" w:type="pct"/>
            <w:noWrap w:val="0"/>
            <w:vAlign w:val="center"/>
          </w:tcPr>
          <w:p w14:paraId="0FB8CDBD">
            <w:pPr>
              <w:rPr>
                <w:rFonts w:hint="eastAsia" w:ascii="宋体" w:hAnsi="宋体" w:cs="宋体"/>
                <w:color w:val="auto"/>
                <w:highlight w:val="none"/>
              </w:rPr>
            </w:pPr>
          </w:p>
        </w:tc>
      </w:tr>
      <w:tr w14:paraId="2ED4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0226620">
            <w:pPr>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10A2B479">
            <w:pPr>
              <w:rPr>
                <w:rFonts w:hint="eastAsia" w:ascii="宋体" w:hAnsi="宋体" w:cs="宋体"/>
                <w:color w:val="auto"/>
                <w:highlight w:val="none"/>
              </w:rPr>
            </w:pPr>
          </w:p>
        </w:tc>
        <w:tc>
          <w:tcPr>
            <w:tcW w:w="953" w:type="pct"/>
            <w:noWrap w:val="0"/>
            <w:vAlign w:val="center"/>
          </w:tcPr>
          <w:p w14:paraId="1ACA6D13">
            <w:pPr>
              <w:rPr>
                <w:rFonts w:hint="eastAsia" w:ascii="宋体" w:hAnsi="宋体" w:cs="宋体"/>
                <w:color w:val="auto"/>
                <w:highlight w:val="none"/>
              </w:rPr>
            </w:pPr>
          </w:p>
        </w:tc>
        <w:tc>
          <w:tcPr>
            <w:tcW w:w="644" w:type="pct"/>
            <w:noWrap w:val="0"/>
            <w:vAlign w:val="center"/>
          </w:tcPr>
          <w:p w14:paraId="6F86E32C">
            <w:pPr>
              <w:rPr>
                <w:rFonts w:hint="eastAsia" w:ascii="宋体" w:hAnsi="宋体" w:cs="宋体"/>
                <w:color w:val="auto"/>
                <w:highlight w:val="none"/>
              </w:rPr>
            </w:pPr>
          </w:p>
        </w:tc>
        <w:tc>
          <w:tcPr>
            <w:tcW w:w="963" w:type="pct"/>
            <w:noWrap w:val="0"/>
            <w:vAlign w:val="center"/>
          </w:tcPr>
          <w:p w14:paraId="4234C03F">
            <w:pPr>
              <w:rPr>
                <w:rFonts w:hint="eastAsia" w:ascii="宋体" w:hAnsi="宋体" w:cs="宋体"/>
                <w:color w:val="auto"/>
                <w:highlight w:val="none"/>
              </w:rPr>
            </w:pPr>
          </w:p>
        </w:tc>
        <w:tc>
          <w:tcPr>
            <w:tcW w:w="793" w:type="pct"/>
            <w:noWrap w:val="0"/>
            <w:vAlign w:val="top"/>
          </w:tcPr>
          <w:p w14:paraId="5CFE5B7E">
            <w:pPr>
              <w:rPr>
                <w:rFonts w:hint="eastAsia" w:ascii="宋体" w:hAnsi="宋体" w:cs="宋体"/>
                <w:color w:val="auto"/>
                <w:highlight w:val="none"/>
              </w:rPr>
            </w:pPr>
          </w:p>
        </w:tc>
        <w:tc>
          <w:tcPr>
            <w:tcW w:w="478" w:type="pct"/>
            <w:noWrap w:val="0"/>
            <w:vAlign w:val="center"/>
          </w:tcPr>
          <w:p w14:paraId="690ED488">
            <w:pPr>
              <w:rPr>
                <w:rFonts w:hint="eastAsia" w:ascii="宋体" w:hAnsi="宋体" w:cs="宋体"/>
                <w:color w:val="auto"/>
                <w:highlight w:val="none"/>
              </w:rPr>
            </w:pPr>
          </w:p>
        </w:tc>
      </w:tr>
      <w:tr w14:paraId="0F1A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1BD30FE">
            <w:pPr>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0D26BDE2">
            <w:pPr>
              <w:rPr>
                <w:rFonts w:hint="eastAsia" w:ascii="宋体" w:hAnsi="宋体" w:cs="宋体"/>
                <w:color w:val="auto"/>
                <w:highlight w:val="none"/>
              </w:rPr>
            </w:pPr>
          </w:p>
        </w:tc>
        <w:tc>
          <w:tcPr>
            <w:tcW w:w="953" w:type="pct"/>
            <w:noWrap w:val="0"/>
            <w:vAlign w:val="center"/>
          </w:tcPr>
          <w:p w14:paraId="1C87F108">
            <w:pPr>
              <w:rPr>
                <w:rFonts w:hint="eastAsia" w:ascii="宋体" w:hAnsi="宋体" w:cs="宋体"/>
                <w:color w:val="auto"/>
                <w:highlight w:val="none"/>
              </w:rPr>
            </w:pPr>
          </w:p>
        </w:tc>
        <w:tc>
          <w:tcPr>
            <w:tcW w:w="644" w:type="pct"/>
            <w:noWrap w:val="0"/>
            <w:vAlign w:val="center"/>
          </w:tcPr>
          <w:p w14:paraId="41EE77BF">
            <w:pPr>
              <w:rPr>
                <w:rFonts w:hint="eastAsia" w:ascii="宋体" w:hAnsi="宋体" w:cs="宋体"/>
                <w:color w:val="auto"/>
                <w:highlight w:val="none"/>
              </w:rPr>
            </w:pPr>
          </w:p>
        </w:tc>
        <w:tc>
          <w:tcPr>
            <w:tcW w:w="963" w:type="pct"/>
            <w:noWrap w:val="0"/>
            <w:vAlign w:val="center"/>
          </w:tcPr>
          <w:p w14:paraId="521E92AF">
            <w:pPr>
              <w:rPr>
                <w:rFonts w:hint="eastAsia" w:ascii="宋体" w:hAnsi="宋体" w:cs="宋体"/>
                <w:color w:val="auto"/>
                <w:highlight w:val="none"/>
              </w:rPr>
            </w:pPr>
          </w:p>
        </w:tc>
        <w:tc>
          <w:tcPr>
            <w:tcW w:w="793" w:type="pct"/>
            <w:noWrap w:val="0"/>
            <w:vAlign w:val="top"/>
          </w:tcPr>
          <w:p w14:paraId="20BCE0BB">
            <w:pPr>
              <w:rPr>
                <w:rFonts w:hint="eastAsia" w:ascii="宋体" w:hAnsi="宋体" w:cs="宋体"/>
                <w:color w:val="auto"/>
                <w:highlight w:val="none"/>
              </w:rPr>
            </w:pPr>
          </w:p>
        </w:tc>
        <w:tc>
          <w:tcPr>
            <w:tcW w:w="478" w:type="pct"/>
            <w:noWrap w:val="0"/>
            <w:vAlign w:val="center"/>
          </w:tcPr>
          <w:p w14:paraId="2C5173E2">
            <w:pPr>
              <w:rPr>
                <w:rFonts w:hint="eastAsia" w:ascii="宋体" w:hAnsi="宋体" w:cs="宋体"/>
                <w:color w:val="auto"/>
                <w:highlight w:val="none"/>
              </w:rPr>
            </w:pPr>
          </w:p>
        </w:tc>
      </w:tr>
      <w:tr w14:paraId="0B3A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12" w:type="pct"/>
            <w:noWrap w:val="0"/>
            <w:vAlign w:val="center"/>
          </w:tcPr>
          <w:p w14:paraId="5FEC901C">
            <w:pPr>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795B7F35">
            <w:pPr>
              <w:rPr>
                <w:rFonts w:hint="eastAsia" w:ascii="宋体" w:hAnsi="宋体" w:cs="宋体"/>
                <w:color w:val="auto"/>
                <w:highlight w:val="none"/>
              </w:rPr>
            </w:pPr>
          </w:p>
        </w:tc>
        <w:tc>
          <w:tcPr>
            <w:tcW w:w="953" w:type="pct"/>
            <w:noWrap w:val="0"/>
            <w:vAlign w:val="center"/>
          </w:tcPr>
          <w:p w14:paraId="5B4C1262">
            <w:pPr>
              <w:rPr>
                <w:rFonts w:hint="eastAsia" w:ascii="宋体" w:hAnsi="宋体" w:cs="宋体"/>
                <w:color w:val="auto"/>
                <w:highlight w:val="none"/>
              </w:rPr>
            </w:pPr>
          </w:p>
        </w:tc>
        <w:tc>
          <w:tcPr>
            <w:tcW w:w="644" w:type="pct"/>
            <w:noWrap w:val="0"/>
            <w:vAlign w:val="center"/>
          </w:tcPr>
          <w:p w14:paraId="2EAD1CEC">
            <w:pPr>
              <w:rPr>
                <w:rFonts w:hint="eastAsia" w:ascii="宋体" w:hAnsi="宋体" w:cs="宋体"/>
                <w:color w:val="auto"/>
                <w:highlight w:val="none"/>
              </w:rPr>
            </w:pPr>
          </w:p>
        </w:tc>
        <w:tc>
          <w:tcPr>
            <w:tcW w:w="963" w:type="pct"/>
            <w:noWrap w:val="0"/>
            <w:vAlign w:val="center"/>
          </w:tcPr>
          <w:p w14:paraId="7DA06574">
            <w:pPr>
              <w:rPr>
                <w:rFonts w:hint="eastAsia" w:ascii="宋体" w:hAnsi="宋体" w:cs="宋体"/>
                <w:color w:val="auto"/>
                <w:highlight w:val="none"/>
              </w:rPr>
            </w:pPr>
          </w:p>
        </w:tc>
        <w:tc>
          <w:tcPr>
            <w:tcW w:w="793" w:type="pct"/>
            <w:noWrap w:val="0"/>
            <w:vAlign w:val="top"/>
          </w:tcPr>
          <w:p w14:paraId="1EB2BC82">
            <w:pPr>
              <w:rPr>
                <w:rFonts w:hint="eastAsia" w:ascii="宋体" w:hAnsi="宋体" w:cs="宋体"/>
                <w:color w:val="auto"/>
                <w:highlight w:val="none"/>
              </w:rPr>
            </w:pPr>
          </w:p>
        </w:tc>
        <w:tc>
          <w:tcPr>
            <w:tcW w:w="478" w:type="pct"/>
            <w:noWrap w:val="0"/>
            <w:vAlign w:val="center"/>
          </w:tcPr>
          <w:p w14:paraId="7B6269FD">
            <w:pPr>
              <w:rPr>
                <w:rFonts w:hint="eastAsia" w:ascii="宋体" w:hAnsi="宋体" w:cs="宋体"/>
                <w:color w:val="auto"/>
                <w:highlight w:val="none"/>
              </w:rPr>
            </w:pPr>
          </w:p>
        </w:tc>
      </w:tr>
      <w:tr w14:paraId="066F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82C3276">
            <w:pPr>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23087DD5">
            <w:pPr>
              <w:rPr>
                <w:rFonts w:hint="eastAsia" w:ascii="宋体" w:hAnsi="宋体" w:cs="宋体"/>
                <w:color w:val="auto"/>
                <w:highlight w:val="none"/>
              </w:rPr>
            </w:pPr>
          </w:p>
        </w:tc>
        <w:tc>
          <w:tcPr>
            <w:tcW w:w="953" w:type="pct"/>
            <w:noWrap w:val="0"/>
            <w:vAlign w:val="center"/>
          </w:tcPr>
          <w:p w14:paraId="2D23CE0F">
            <w:pPr>
              <w:rPr>
                <w:rFonts w:hint="eastAsia" w:ascii="宋体" w:hAnsi="宋体" w:cs="宋体"/>
                <w:color w:val="auto"/>
                <w:highlight w:val="none"/>
              </w:rPr>
            </w:pPr>
          </w:p>
        </w:tc>
        <w:tc>
          <w:tcPr>
            <w:tcW w:w="644" w:type="pct"/>
            <w:noWrap w:val="0"/>
            <w:vAlign w:val="center"/>
          </w:tcPr>
          <w:p w14:paraId="0C000E8C">
            <w:pPr>
              <w:rPr>
                <w:rFonts w:hint="eastAsia" w:ascii="宋体" w:hAnsi="宋体" w:cs="宋体"/>
                <w:color w:val="auto"/>
                <w:highlight w:val="none"/>
              </w:rPr>
            </w:pPr>
          </w:p>
        </w:tc>
        <w:tc>
          <w:tcPr>
            <w:tcW w:w="963" w:type="pct"/>
            <w:noWrap w:val="0"/>
            <w:vAlign w:val="center"/>
          </w:tcPr>
          <w:p w14:paraId="6CFEEF38">
            <w:pPr>
              <w:rPr>
                <w:rFonts w:hint="eastAsia" w:ascii="宋体" w:hAnsi="宋体" w:cs="宋体"/>
                <w:color w:val="auto"/>
                <w:highlight w:val="none"/>
              </w:rPr>
            </w:pPr>
          </w:p>
        </w:tc>
        <w:tc>
          <w:tcPr>
            <w:tcW w:w="793" w:type="pct"/>
            <w:noWrap w:val="0"/>
            <w:vAlign w:val="top"/>
          </w:tcPr>
          <w:p w14:paraId="27945C0C">
            <w:pPr>
              <w:rPr>
                <w:rFonts w:hint="eastAsia" w:ascii="宋体" w:hAnsi="宋体" w:cs="宋体"/>
                <w:color w:val="auto"/>
                <w:highlight w:val="none"/>
              </w:rPr>
            </w:pPr>
          </w:p>
        </w:tc>
        <w:tc>
          <w:tcPr>
            <w:tcW w:w="478" w:type="pct"/>
            <w:noWrap w:val="0"/>
            <w:vAlign w:val="center"/>
          </w:tcPr>
          <w:p w14:paraId="542BC35F">
            <w:pPr>
              <w:rPr>
                <w:rFonts w:hint="eastAsia" w:ascii="宋体" w:hAnsi="宋体" w:cs="宋体"/>
                <w:color w:val="auto"/>
                <w:highlight w:val="none"/>
              </w:rPr>
            </w:pPr>
          </w:p>
        </w:tc>
      </w:tr>
      <w:tr w14:paraId="0C98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222DC13">
            <w:pPr>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14157D66">
            <w:pPr>
              <w:rPr>
                <w:rFonts w:hint="eastAsia" w:ascii="宋体" w:hAnsi="宋体" w:cs="宋体"/>
                <w:color w:val="auto"/>
                <w:highlight w:val="none"/>
              </w:rPr>
            </w:pPr>
          </w:p>
        </w:tc>
        <w:tc>
          <w:tcPr>
            <w:tcW w:w="953" w:type="pct"/>
            <w:noWrap w:val="0"/>
            <w:vAlign w:val="center"/>
          </w:tcPr>
          <w:p w14:paraId="220C939E">
            <w:pPr>
              <w:rPr>
                <w:rFonts w:hint="eastAsia" w:ascii="宋体" w:hAnsi="宋体" w:cs="宋体"/>
                <w:color w:val="auto"/>
                <w:highlight w:val="none"/>
              </w:rPr>
            </w:pPr>
          </w:p>
        </w:tc>
        <w:tc>
          <w:tcPr>
            <w:tcW w:w="644" w:type="pct"/>
            <w:noWrap w:val="0"/>
            <w:vAlign w:val="center"/>
          </w:tcPr>
          <w:p w14:paraId="2037897F">
            <w:pPr>
              <w:rPr>
                <w:rFonts w:hint="eastAsia" w:ascii="宋体" w:hAnsi="宋体" w:cs="宋体"/>
                <w:color w:val="auto"/>
                <w:highlight w:val="none"/>
              </w:rPr>
            </w:pPr>
          </w:p>
        </w:tc>
        <w:tc>
          <w:tcPr>
            <w:tcW w:w="963" w:type="pct"/>
            <w:noWrap w:val="0"/>
            <w:vAlign w:val="center"/>
          </w:tcPr>
          <w:p w14:paraId="09260F6E">
            <w:pPr>
              <w:rPr>
                <w:rFonts w:hint="eastAsia" w:ascii="宋体" w:hAnsi="宋体" w:cs="宋体"/>
                <w:color w:val="auto"/>
                <w:highlight w:val="none"/>
              </w:rPr>
            </w:pPr>
          </w:p>
        </w:tc>
        <w:tc>
          <w:tcPr>
            <w:tcW w:w="793" w:type="pct"/>
            <w:noWrap w:val="0"/>
            <w:vAlign w:val="top"/>
          </w:tcPr>
          <w:p w14:paraId="1982E889">
            <w:pPr>
              <w:rPr>
                <w:rFonts w:hint="eastAsia" w:ascii="宋体" w:hAnsi="宋体" w:cs="宋体"/>
                <w:color w:val="auto"/>
                <w:highlight w:val="none"/>
              </w:rPr>
            </w:pPr>
          </w:p>
        </w:tc>
        <w:tc>
          <w:tcPr>
            <w:tcW w:w="478" w:type="pct"/>
            <w:noWrap w:val="0"/>
            <w:vAlign w:val="center"/>
          </w:tcPr>
          <w:p w14:paraId="090AEC71">
            <w:pPr>
              <w:rPr>
                <w:rFonts w:hint="eastAsia" w:ascii="宋体" w:hAnsi="宋体" w:cs="宋体"/>
                <w:color w:val="auto"/>
                <w:highlight w:val="none"/>
              </w:rPr>
            </w:pPr>
          </w:p>
        </w:tc>
      </w:tr>
    </w:tbl>
    <w:p w14:paraId="0FBA98A2">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注：应附中标/成交通知书（如有）和合同协议书，以及验收报告（验收证明文件）（如有）等材料（具体以评标办法章节要求为准），具体年份时间要求见评标办法章节。</w:t>
      </w:r>
    </w:p>
    <w:p w14:paraId="4EC99E75">
      <w:pPr>
        <w:rPr>
          <w:rFonts w:hint="eastAsia" w:ascii="宋体" w:hAnsi="宋体" w:cs="宋体"/>
          <w:color w:val="auto"/>
          <w:highlight w:val="none"/>
          <w:lang w:bidi="en-US"/>
        </w:rPr>
      </w:pPr>
    </w:p>
    <w:p w14:paraId="72481593">
      <w:pPr>
        <w:rPr>
          <w:rFonts w:hint="eastAsia" w:ascii="宋体" w:hAnsi="宋体" w:cs="宋体"/>
          <w:color w:val="auto"/>
          <w:highlight w:val="none"/>
          <w:lang w:bidi="en-US"/>
        </w:rPr>
      </w:pPr>
    </w:p>
    <w:p w14:paraId="713AF107">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CC51FFE">
      <w:pPr>
        <w:pStyle w:val="4"/>
        <w:tabs>
          <w:tab w:val="left" w:pos="1260"/>
        </w:tabs>
        <w:jc w:val="center"/>
        <w:rPr>
          <w:rFonts w:hint="eastAsia" w:cs="宋体"/>
          <w:color w:val="auto"/>
          <w:sz w:val="24"/>
          <w:highlight w:val="none"/>
          <w:lang w:eastAsia="zh-CN"/>
        </w:rPr>
      </w:pPr>
      <w:r>
        <w:rPr>
          <w:rFonts w:hint="eastAsia" w:cs="宋体"/>
          <w:color w:val="auto"/>
          <w:sz w:val="24"/>
          <w:highlight w:val="none"/>
          <w:lang w:eastAsia="zh-CN"/>
        </w:rPr>
        <w:t>（五）样品（如有）</w:t>
      </w:r>
    </w:p>
    <w:p w14:paraId="28B13358">
      <w:pPr>
        <w:jc w:val="center"/>
        <w:rPr>
          <w:rFonts w:hint="eastAsia"/>
          <w:color w:val="auto"/>
          <w:highlight w:val="none"/>
        </w:rPr>
      </w:pPr>
      <w:r>
        <w:rPr>
          <w:rFonts w:hint="eastAsia" w:ascii="宋体" w:hAnsi="宋体" w:cs="宋体"/>
          <w:color w:val="auto"/>
          <w:highlight w:val="none"/>
        </w:rPr>
        <w:t>如招标文件要求提供样品，请按规定提供。</w:t>
      </w:r>
    </w:p>
    <w:p w14:paraId="68D58B58">
      <w:pPr>
        <w:rPr>
          <w:color w:val="auto"/>
          <w:highlight w:val="none"/>
        </w:rPr>
      </w:pPr>
    </w:p>
    <w:p w14:paraId="1F9DC2C2">
      <w:pPr>
        <w:pStyle w:val="4"/>
        <w:tabs>
          <w:tab w:val="left" w:pos="1260"/>
        </w:tabs>
        <w:jc w:val="center"/>
        <w:rPr>
          <w:rFonts w:cs="宋体"/>
          <w:color w:val="auto"/>
          <w:sz w:val="24"/>
          <w:highlight w:val="none"/>
          <w:lang w:eastAsia="zh-CN"/>
        </w:rPr>
      </w:pPr>
      <w:r>
        <w:rPr>
          <w:rFonts w:hint="eastAsia" w:cs="宋体"/>
          <w:color w:val="auto"/>
          <w:sz w:val="24"/>
          <w:highlight w:val="none"/>
          <w:lang w:eastAsia="zh-CN"/>
        </w:rPr>
        <w:t>（六）其他材料</w:t>
      </w:r>
    </w:p>
    <w:p w14:paraId="6454AF85">
      <w:pPr>
        <w:widowControl/>
        <w:jc w:val="left"/>
        <w:rPr>
          <w:rFonts w:hint="eastAsia" w:ascii="宋体" w:hAnsi="宋体" w:cs="宋体"/>
          <w:color w:val="auto"/>
          <w:highlight w:val="none"/>
        </w:rPr>
      </w:pPr>
    </w:p>
    <w:p w14:paraId="68DEE76D">
      <w:pPr>
        <w:widowControl/>
        <w:jc w:val="left"/>
        <w:rPr>
          <w:rFonts w:hint="eastAsia" w:ascii="宋体" w:hAnsi="宋体" w:cs="宋体"/>
          <w:color w:val="auto"/>
          <w:highlight w:val="none"/>
        </w:rPr>
      </w:pPr>
    </w:p>
    <w:p w14:paraId="11EE859B">
      <w:pPr>
        <w:widowControl/>
        <w:jc w:val="left"/>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0726551E">
      <w:pPr>
        <w:spacing w:line="360" w:lineRule="auto"/>
        <w:jc w:val="center"/>
        <w:outlineLvl w:val="1"/>
        <w:rPr>
          <w:rFonts w:hint="eastAsia" w:ascii="宋体" w:hAnsi="宋体"/>
          <w:b/>
          <w:color w:val="auto"/>
          <w:sz w:val="24"/>
          <w:highlight w:val="none"/>
        </w:rPr>
      </w:pPr>
      <w:bookmarkStart w:id="1013" w:name="_Hlk11531103"/>
      <w:r>
        <w:rPr>
          <w:rStyle w:val="23"/>
          <w:rFonts w:hint="eastAsia" w:ascii="宋体" w:hAnsi="宋体" w:eastAsia="宋体" w:cs="宋体"/>
          <w:color w:val="auto"/>
          <w:sz w:val="30"/>
          <w:szCs w:val="30"/>
          <w:highlight w:val="none"/>
        </w:rPr>
        <w:t>十一、主要标的承诺函</w:t>
      </w:r>
    </w:p>
    <w:p w14:paraId="0C134E34">
      <w:pPr>
        <w:jc w:val="center"/>
        <w:rPr>
          <w:rFonts w:hint="eastAsia"/>
          <w:color w:val="auto"/>
          <w:highlight w:val="none"/>
        </w:rPr>
      </w:pPr>
      <w:r>
        <w:rPr>
          <w:rFonts w:hint="eastAsia" w:ascii="宋体" w:hAnsi="宋体"/>
          <w:b/>
          <w:color w:val="auto"/>
          <w:sz w:val="24"/>
          <w:highlight w:val="none"/>
        </w:rPr>
        <w:t>（列出招标文件标明</w:t>
      </w:r>
      <w:r>
        <w:rPr>
          <w:rFonts w:hint="eastAsia" w:ascii="仿宋" w:hAnsi="仿宋" w:eastAsia="仿宋" w:cs="仿宋"/>
          <w:color w:val="auto"/>
          <w:sz w:val="24"/>
          <w:highlight w:val="none"/>
        </w:rPr>
        <w:t>▲</w:t>
      </w:r>
      <w:r>
        <w:rPr>
          <w:rFonts w:hint="eastAsia" w:ascii="宋体" w:hAnsi="宋体"/>
          <w:b/>
          <w:color w:val="auto"/>
          <w:sz w:val="24"/>
          <w:highlight w:val="none"/>
        </w:rPr>
        <w:t>货物的信息）</w:t>
      </w:r>
    </w:p>
    <w:p w14:paraId="548055E0">
      <w:pPr>
        <w:widowControl/>
        <w:tabs>
          <w:tab w:val="left" w:leader="underscore" w:pos="2880"/>
        </w:tabs>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695406ED">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27EB88D4">
      <w:pPr>
        <w:spacing w:line="360" w:lineRule="auto"/>
        <w:ind w:firstLine="435"/>
        <w:rPr>
          <w:rFonts w:ascii="宋体" w:hAnsi="宋体"/>
          <w:color w:val="auto"/>
          <w:szCs w:val="21"/>
          <w:highlight w:val="none"/>
        </w:rPr>
      </w:pPr>
      <w:r>
        <w:rPr>
          <w:rFonts w:hint="eastAsia" w:ascii="宋体" w:hAnsi="宋体"/>
          <w:color w:val="auto"/>
          <w:szCs w:val="21"/>
          <w:highlight w:val="none"/>
        </w:rPr>
        <w:t>我单位同意中标结果公告中公告以下主要标的信息并承诺：投标文件中所提供的主要标的信息均真实有效。若被发现存在任何虚假、隐瞒情况，我单位承担由此产生的一切后果。</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83"/>
        <w:gridCol w:w="1062"/>
        <w:gridCol w:w="1646"/>
        <w:gridCol w:w="1890"/>
        <w:gridCol w:w="1809"/>
        <w:gridCol w:w="1003"/>
      </w:tblGrid>
      <w:tr w14:paraId="6284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37" w:type="pct"/>
            <w:noWrap w:val="0"/>
            <w:vAlign w:val="center"/>
          </w:tcPr>
          <w:p w14:paraId="7D472341">
            <w:pPr>
              <w:widowControl/>
              <w:jc w:val="center"/>
              <w:rPr>
                <w:rFonts w:ascii="宋体" w:hAnsi="宋体"/>
                <w:color w:val="auto"/>
                <w:szCs w:val="21"/>
                <w:highlight w:val="none"/>
              </w:rPr>
            </w:pPr>
            <w:r>
              <w:rPr>
                <w:rFonts w:hint="eastAsia" w:ascii="宋体" w:hAnsi="宋体"/>
                <w:color w:val="auto"/>
                <w:szCs w:val="21"/>
                <w:highlight w:val="none"/>
              </w:rPr>
              <w:t>序号</w:t>
            </w:r>
          </w:p>
        </w:tc>
        <w:tc>
          <w:tcPr>
            <w:tcW w:w="803" w:type="pct"/>
            <w:noWrap w:val="0"/>
            <w:vAlign w:val="center"/>
          </w:tcPr>
          <w:p w14:paraId="3391CE2A">
            <w:pPr>
              <w:widowControl/>
              <w:jc w:val="center"/>
              <w:rPr>
                <w:rFonts w:ascii="宋体" w:hAnsi="宋体"/>
                <w:color w:val="auto"/>
                <w:szCs w:val="21"/>
                <w:highlight w:val="none"/>
              </w:rPr>
            </w:pPr>
            <w:r>
              <w:rPr>
                <w:rFonts w:hint="eastAsia" w:ascii="宋体" w:hAnsi="宋体"/>
                <w:color w:val="auto"/>
                <w:szCs w:val="21"/>
                <w:highlight w:val="none"/>
              </w:rPr>
              <w:t>名称</w:t>
            </w:r>
          </w:p>
        </w:tc>
        <w:tc>
          <w:tcPr>
            <w:tcW w:w="539" w:type="pct"/>
            <w:noWrap w:val="0"/>
            <w:vAlign w:val="center"/>
          </w:tcPr>
          <w:p w14:paraId="5B928FDB">
            <w:pPr>
              <w:widowControl/>
              <w:jc w:val="center"/>
              <w:rPr>
                <w:rFonts w:ascii="宋体" w:hAnsi="宋体"/>
                <w:color w:val="auto"/>
                <w:szCs w:val="21"/>
                <w:highlight w:val="none"/>
              </w:rPr>
            </w:pPr>
            <w:r>
              <w:rPr>
                <w:rFonts w:hint="eastAsia" w:ascii="宋体" w:hAnsi="宋体"/>
                <w:color w:val="auto"/>
                <w:szCs w:val="21"/>
                <w:highlight w:val="none"/>
              </w:rPr>
              <w:t>品牌</w:t>
            </w:r>
          </w:p>
        </w:tc>
        <w:tc>
          <w:tcPr>
            <w:tcW w:w="835" w:type="pct"/>
            <w:noWrap w:val="0"/>
            <w:vAlign w:val="center"/>
          </w:tcPr>
          <w:p w14:paraId="7AF5B10E">
            <w:pPr>
              <w:widowControl/>
              <w:jc w:val="center"/>
              <w:rPr>
                <w:rFonts w:ascii="宋体" w:hAnsi="宋体"/>
                <w:color w:val="auto"/>
                <w:szCs w:val="21"/>
                <w:highlight w:val="none"/>
              </w:rPr>
            </w:pPr>
            <w:r>
              <w:rPr>
                <w:rFonts w:hint="eastAsia" w:ascii="宋体" w:hAnsi="宋体"/>
                <w:color w:val="auto"/>
                <w:szCs w:val="21"/>
                <w:highlight w:val="none"/>
              </w:rPr>
              <w:t>规格型号</w:t>
            </w:r>
          </w:p>
        </w:tc>
        <w:tc>
          <w:tcPr>
            <w:tcW w:w="959" w:type="pct"/>
            <w:noWrap w:val="0"/>
            <w:vAlign w:val="center"/>
          </w:tcPr>
          <w:p w14:paraId="641B27FC">
            <w:pPr>
              <w:widowControl/>
              <w:jc w:val="center"/>
              <w:rPr>
                <w:rFonts w:ascii="宋体" w:hAnsi="宋体"/>
                <w:color w:val="auto"/>
                <w:szCs w:val="21"/>
                <w:highlight w:val="none"/>
              </w:rPr>
            </w:pPr>
            <w:r>
              <w:rPr>
                <w:rFonts w:hint="eastAsia" w:ascii="宋体" w:hAnsi="宋体"/>
                <w:color w:val="auto"/>
                <w:szCs w:val="21"/>
                <w:highlight w:val="none"/>
              </w:rPr>
              <w:t>数量</w:t>
            </w:r>
          </w:p>
        </w:tc>
        <w:tc>
          <w:tcPr>
            <w:tcW w:w="918" w:type="pct"/>
            <w:noWrap w:val="0"/>
            <w:vAlign w:val="center"/>
          </w:tcPr>
          <w:p w14:paraId="1E7A3DF1">
            <w:pPr>
              <w:widowControl/>
              <w:jc w:val="center"/>
              <w:rPr>
                <w:rFonts w:ascii="宋体" w:hAnsi="宋体"/>
                <w:color w:val="auto"/>
                <w:szCs w:val="21"/>
                <w:highlight w:val="none"/>
              </w:rPr>
            </w:pPr>
            <w:r>
              <w:rPr>
                <w:rFonts w:hint="eastAsia" w:ascii="宋体" w:hAnsi="宋体"/>
                <w:color w:val="auto"/>
                <w:szCs w:val="21"/>
                <w:highlight w:val="none"/>
              </w:rPr>
              <w:t>单价</w:t>
            </w:r>
          </w:p>
        </w:tc>
        <w:tc>
          <w:tcPr>
            <w:tcW w:w="509" w:type="pct"/>
            <w:noWrap w:val="0"/>
            <w:vAlign w:val="center"/>
          </w:tcPr>
          <w:p w14:paraId="5F082A5B">
            <w:pPr>
              <w:widowControl/>
              <w:jc w:val="center"/>
              <w:rPr>
                <w:rFonts w:ascii="宋体" w:hAnsi="宋体"/>
                <w:color w:val="auto"/>
                <w:szCs w:val="21"/>
                <w:highlight w:val="none"/>
              </w:rPr>
            </w:pPr>
            <w:r>
              <w:rPr>
                <w:rFonts w:hint="eastAsia" w:ascii="宋体" w:hAnsi="宋体"/>
                <w:color w:val="auto"/>
                <w:szCs w:val="21"/>
                <w:highlight w:val="none"/>
              </w:rPr>
              <w:t>备注</w:t>
            </w:r>
          </w:p>
        </w:tc>
      </w:tr>
      <w:tr w14:paraId="7C77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05480B0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803" w:type="pct"/>
            <w:noWrap w:val="0"/>
            <w:vAlign w:val="center"/>
          </w:tcPr>
          <w:p w14:paraId="0F2EF684">
            <w:pPr>
              <w:spacing w:line="360" w:lineRule="auto"/>
              <w:rPr>
                <w:rFonts w:ascii="宋体" w:hAnsi="宋体"/>
                <w:color w:val="auto"/>
                <w:szCs w:val="21"/>
                <w:highlight w:val="none"/>
              </w:rPr>
            </w:pPr>
          </w:p>
        </w:tc>
        <w:tc>
          <w:tcPr>
            <w:tcW w:w="539" w:type="pct"/>
            <w:noWrap w:val="0"/>
            <w:vAlign w:val="center"/>
          </w:tcPr>
          <w:p w14:paraId="0B86DE97">
            <w:pPr>
              <w:spacing w:line="360" w:lineRule="auto"/>
              <w:rPr>
                <w:rFonts w:ascii="宋体" w:hAnsi="宋体"/>
                <w:color w:val="auto"/>
                <w:szCs w:val="21"/>
                <w:highlight w:val="none"/>
              </w:rPr>
            </w:pPr>
          </w:p>
        </w:tc>
        <w:tc>
          <w:tcPr>
            <w:tcW w:w="835" w:type="pct"/>
            <w:noWrap w:val="0"/>
            <w:vAlign w:val="center"/>
          </w:tcPr>
          <w:p w14:paraId="747109D4">
            <w:pPr>
              <w:spacing w:line="360" w:lineRule="auto"/>
              <w:rPr>
                <w:rFonts w:ascii="宋体" w:hAnsi="宋体"/>
                <w:color w:val="auto"/>
                <w:szCs w:val="21"/>
                <w:highlight w:val="none"/>
              </w:rPr>
            </w:pPr>
          </w:p>
        </w:tc>
        <w:tc>
          <w:tcPr>
            <w:tcW w:w="959" w:type="pct"/>
            <w:noWrap w:val="0"/>
            <w:vAlign w:val="center"/>
          </w:tcPr>
          <w:p w14:paraId="7956783F">
            <w:pPr>
              <w:spacing w:line="360" w:lineRule="auto"/>
              <w:rPr>
                <w:rFonts w:ascii="宋体" w:hAnsi="宋体"/>
                <w:color w:val="auto"/>
                <w:szCs w:val="21"/>
                <w:highlight w:val="none"/>
              </w:rPr>
            </w:pPr>
          </w:p>
        </w:tc>
        <w:tc>
          <w:tcPr>
            <w:tcW w:w="918" w:type="pct"/>
            <w:noWrap w:val="0"/>
            <w:vAlign w:val="center"/>
          </w:tcPr>
          <w:p w14:paraId="57EC0558">
            <w:pPr>
              <w:spacing w:line="360" w:lineRule="auto"/>
              <w:rPr>
                <w:rFonts w:ascii="宋体" w:hAnsi="宋体"/>
                <w:color w:val="auto"/>
                <w:szCs w:val="21"/>
                <w:highlight w:val="none"/>
              </w:rPr>
            </w:pPr>
          </w:p>
        </w:tc>
        <w:tc>
          <w:tcPr>
            <w:tcW w:w="509" w:type="pct"/>
            <w:noWrap w:val="0"/>
            <w:vAlign w:val="center"/>
          </w:tcPr>
          <w:p w14:paraId="4394977E">
            <w:pPr>
              <w:spacing w:line="360" w:lineRule="auto"/>
              <w:rPr>
                <w:rFonts w:ascii="宋体" w:hAnsi="宋体"/>
                <w:color w:val="auto"/>
                <w:szCs w:val="21"/>
                <w:highlight w:val="none"/>
              </w:rPr>
            </w:pPr>
          </w:p>
        </w:tc>
      </w:tr>
      <w:tr w14:paraId="4589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3C7A28F6">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803" w:type="pct"/>
            <w:noWrap w:val="0"/>
            <w:vAlign w:val="center"/>
          </w:tcPr>
          <w:p w14:paraId="6A0E88AF">
            <w:pPr>
              <w:spacing w:line="360" w:lineRule="auto"/>
              <w:rPr>
                <w:rFonts w:ascii="宋体" w:hAnsi="宋体"/>
                <w:color w:val="auto"/>
                <w:szCs w:val="21"/>
                <w:highlight w:val="none"/>
              </w:rPr>
            </w:pPr>
          </w:p>
        </w:tc>
        <w:tc>
          <w:tcPr>
            <w:tcW w:w="539" w:type="pct"/>
            <w:noWrap w:val="0"/>
            <w:vAlign w:val="center"/>
          </w:tcPr>
          <w:p w14:paraId="109C2C40">
            <w:pPr>
              <w:spacing w:line="360" w:lineRule="auto"/>
              <w:rPr>
                <w:rFonts w:ascii="宋体" w:hAnsi="宋体"/>
                <w:color w:val="auto"/>
                <w:szCs w:val="21"/>
                <w:highlight w:val="none"/>
              </w:rPr>
            </w:pPr>
          </w:p>
        </w:tc>
        <w:tc>
          <w:tcPr>
            <w:tcW w:w="835" w:type="pct"/>
            <w:noWrap w:val="0"/>
            <w:vAlign w:val="center"/>
          </w:tcPr>
          <w:p w14:paraId="62E5FEE0">
            <w:pPr>
              <w:spacing w:line="360" w:lineRule="auto"/>
              <w:rPr>
                <w:rFonts w:ascii="宋体" w:hAnsi="宋体"/>
                <w:color w:val="auto"/>
                <w:szCs w:val="21"/>
                <w:highlight w:val="none"/>
              </w:rPr>
            </w:pPr>
          </w:p>
        </w:tc>
        <w:tc>
          <w:tcPr>
            <w:tcW w:w="959" w:type="pct"/>
            <w:noWrap w:val="0"/>
            <w:vAlign w:val="center"/>
          </w:tcPr>
          <w:p w14:paraId="7298F213">
            <w:pPr>
              <w:spacing w:line="360" w:lineRule="auto"/>
              <w:rPr>
                <w:rFonts w:ascii="宋体" w:hAnsi="宋体"/>
                <w:color w:val="auto"/>
                <w:szCs w:val="21"/>
                <w:highlight w:val="none"/>
              </w:rPr>
            </w:pPr>
          </w:p>
        </w:tc>
        <w:tc>
          <w:tcPr>
            <w:tcW w:w="918" w:type="pct"/>
            <w:noWrap w:val="0"/>
            <w:vAlign w:val="center"/>
          </w:tcPr>
          <w:p w14:paraId="2D913398">
            <w:pPr>
              <w:spacing w:line="360" w:lineRule="auto"/>
              <w:rPr>
                <w:rFonts w:ascii="宋体" w:hAnsi="宋体"/>
                <w:color w:val="auto"/>
                <w:szCs w:val="21"/>
                <w:highlight w:val="none"/>
              </w:rPr>
            </w:pPr>
          </w:p>
        </w:tc>
        <w:tc>
          <w:tcPr>
            <w:tcW w:w="509" w:type="pct"/>
            <w:noWrap w:val="0"/>
            <w:vAlign w:val="center"/>
          </w:tcPr>
          <w:p w14:paraId="771176A4">
            <w:pPr>
              <w:spacing w:line="360" w:lineRule="auto"/>
              <w:rPr>
                <w:rFonts w:ascii="宋体" w:hAnsi="宋体"/>
                <w:color w:val="auto"/>
                <w:szCs w:val="21"/>
                <w:highlight w:val="none"/>
              </w:rPr>
            </w:pPr>
          </w:p>
        </w:tc>
      </w:tr>
      <w:tr w14:paraId="14C4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15AE0D9">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03" w:type="pct"/>
            <w:noWrap w:val="0"/>
            <w:vAlign w:val="center"/>
          </w:tcPr>
          <w:p w14:paraId="1C1F0FD0">
            <w:pPr>
              <w:spacing w:line="360" w:lineRule="auto"/>
              <w:rPr>
                <w:rFonts w:ascii="宋体" w:hAnsi="宋体"/>
                <w:color w:val="auto"/>
                <w:szCs w:val="21"/>
                <w:highlight w:val="none"/>
              </w:rPr>
            </w:pPr>
          </w:p>
        </w:tc>
        <w:tc>
          <w:tcPr>
            <w:tcW w:w="539" w:type="pct"/>
            <w:noWrap w:val="0"/>
            <w:vAlign w:val="center"/>
          </w:tcPr>
          <w:p w14:paraId="489B502C">
            <w:pPr>
              <w:spacing w:line="360" w:lineRule="auto"/>
              <w:rPr>
                <w:rFonts w:ascii="宋体" w:hAnsi="宋体"/>
                <w:color w:val="auto"/>
                <w:szCs w:val="21"/>
                <w:highlight w:val="none"/>
              </w:rPr>
            </w:pPr>
          </w:p>
        </w:tc>
        <w:tc>
          <w:tcPr>
            <w:tcW w:w="835" w:type="pct"/>
            <w:noWrap w:val="0"/>
            <w:vAlign w:val="center"/>
          </w:tcPr>
          <w:p w14:paraId="6E010F34">
            <w:pPr>
              <w:spacing w:line="360" w:lineRule="auto"/>
              <w:rPr>
                <w:rFonts w:ascii="宋体" w:hAnsi="宋体"/>
                <w:color w:val="auto"/>
                <w:szCs w:val="21"/>
                <w:highlight w:val="none"/>
              </w:rPr>
            </w:pPr>
          </w:p>
        </w:tc>
        <w:tc>
          <w:tcPr>
            <w:tcW w:w="959" w:type="pct"/>
            <w:noWrap w:val="0"/>
            <w:vAlign w:val="center"/>
          </w:tcPr>
          <w:p w14:paraId="5E7983D4">
            <w:pPr>
              <w:spacing w:line="360" w:lineRule="auto"/>
              <w:rPr>
                <w:rFonts w:ascii="宋体" w:hAnsi="宋体"/>
                <w:color w:val="auto"/>
                <w:szCs w:val="21"/>
                <w:highlight w:val="none"/>
              </w:rPr>
            </w:pPr>
          </w:p>
        </w:tc>
        <w:tc>
          <w:tcPr>
            <w:tcW w:w="918" w:type="pct"/>
            <w:noWrap w:val="0"/>
            <w:vAlign w:val="center"/>
          </w:tcPr>
          <w:p w14:paraId="0E401891">
            <w:pPr>
              <w:spacing w:line="360" w:lineRule="auto"/>
              <w:rPr>
                <w:rFonts w:ascii="宋体" w:hAnsi="宋体"/>
                <w:color w:val="auto"/>
                <w:szCs w:val="21"/>
                <w:highlight w:val="none"/>
              </w:rPr>
            </w:pPr>
          </w:p>
        </w:tc>
        <w:tc>
          <w:tcPr>
            <w:tcW w:w="509" w:type="pct"/>
            <w:noWrap w:val="0"/>
            <w:vAlign w:val="center"/>
          </w:tcPr>
          <w:p w14:paraId="17EBED59">
            <w:pPr>
              <w:spacing w:line="360" w:lineRule="auto"/>
              <w:rPr>
                <w:rFonts w:ascii="宋体" w:hAnsi="宋体"/>
                <w:color w:val="auto"/>
                <w:szCs w:val="21"/>
                <w:highlight w:val="none"/>
              </w:rPr>
            </w:pPr>
          </w:p>
        </w:tc>
      </w:tr>
      <w:tr w14:paraId="0947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0596B242">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803" w:type="pct"/>
            <w:noWrap w:val="0"/>
            <w:vAlign w:val="center"/>
          </w:tcPr>
          <w:p w14:paraId="5ECF8052">
            <w:pPr>
              <w:spacing w:line="360" w:lineRule="auto"/>
              <w:rPr>
                <w:rFonts w:ascii="宋体" w:hAnsi="宋体"/>
                <w:color w:val="auto"/>
                <w:szCs w:val="21"/>
                <w:highlight w:val="none"/>
              </w:rPr>
            </w:pPr>
          </w:p>
        </w:tc>
        <w:tc>
          <w:tcPr>
            <w:tcW w:w="539" w:type="pct"/>
            <w:noWrap w:val="0"/>
            <w:vAlign w:val="center"/>
          </w:tcPr>
          <w:p w14:paraId="21DC01A4">
            <w:pPr>
              <w:spacing w:line="360" w:lineRule="auto"/>
              <w:rPr>
                <w:rFonts w:ascii="宋体" w:hAnsi="宋体"/>
                <w:color w:val="auto"/>
                <w:szCs w:val="21"/>
                <w:highlight w:val="none"/>
              </w:rPr>
            </w:pPr>
          </w:p>
        </w:tc>
        <w:tc>
          <w:tcPr>
            <w:tcW w:w="835" w:type="pct"/>
            <w:noWrap w:val="0"/>
            <w:vAlign w:val="center"/>
          </w:tcPr>
          <w:p w14:paraId="5E32C0CA">
            <w:pPr>
              <w:spacing w:line="360" w:lineRule="auto"/>
              <w:rPr>
                <w:rFonts w:ascii="宋体" w:hAnsi="宋体"/>
                <w:color w:val="auto"/>
                <w:szCs w:val="21"/>
                <w:highlight w:val="none"/>
              </w:rPr>
            </w:pPr>
          </w:p>
        </w:tc>
        <w:tc>
          <w:tcPr>
            <w:tcW w:w="959" w:type="pct"/>
            <w:noWrap w:val="0"/>
            <w:vAlign w:val="center"/>
          </w:tcPr>
          <w:p w14:paraId="7C923C02">
            <w:pPr>
              <w:spacing w:line="360" w:lineRule="auto"/>
              <w:rPr>
                <w:rFonts w:ascii="宋体" w:hAnsi="宋体"/>
                <w:color w:val="auto"/>
                <w:szCs w:val="21"/>
                <w:highlight w:val="none"/>
              </w:rPr>
            </w:pPr>
          </w:p>
        </w:tc>
        <w:tc>
          <w:tcPr>
            <w:tcW w:w="918" w:type="pct"/>
            <w:noWrap w:val="0"/>
            <w:vAlign w:val="center"/>
          </w:tcPr>
          <w:p w14:paraId="21165934">
            <w:pPr>
              <w:spacing w:line="360" w:lineRule="auto"/>
              <w:rPr>
                <w:rFonts w:ascii="宋体" w:hAnsi="宋体"/>
                <w:color w:val="auto"/>
                <w:szCs w:val="21"/>
                <w:highlight w:val="none"/>
              </w:rPr>
            </w:pPr>
          </w:p>
        </w:tc>
        <w:tc>
          <w:tcPr>
            <w:tcW w:w="509" w:type="pct"/>
            <w:noWrap w:val="0"/>
            <w:vAlign w:val="center"/>
          </w:tcPr>
          <w:p w14:paraId="33FF4601">
            <w:pPr>
              <w:spacing w:line="360" w:lineRule="auto"/>
              <w:rPr>
                <w:rFonts w:ascii="宋体" w:hAnsi="宋体"/>
                <w:color w:val="auto"/>
                <w:szCs w:val="21"/>
                <w:highlight w:val="none"/>
              </w:rPr>
            </w:pPr>
          </w:p>
        </w:tc>
      </w:tr>
      <w:tr w14:paraId="1D16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4634D86C">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803" w:type="pct"/>
            <w:noWrap w:val="0"/>
            <w:vAlign w:val="center"/>
          </w:tcPr>
          <w:p w14:paraId="1DE129B7">
            <w:pPr>
              <w:spacing w:line="360" w:lineRule="auto"/>
              <w:rPr>
                <w:rFonts w:ascii="宋体" w:hAnsi="宋体"/>
                <w:color w:val="auto"/>
                <w:szCs w:val="21"/>
                <w:highlight w:val="none"/>
              </w:rPr>
            </w:pPr>
          </w:p>
        </w:tc>
        <w:tc>
          <w:tcPr>
            <w:tcW w:w="539" w:type="pct"/>
            <w:noWrap w:val="0"/>
            <w:vAlign w:val="center"/>
          </w:tcPr>
          <w:p w14:paraId="55A7A2D2">
            <w:pPr>
              <w:spacing w:line="360" w:lineRule="auto"/>
              <w:rPr>
                <w:rFonts w:ascii="宋体" w:hAnsi="宋体"/>
                <w:color w:val="auto"/>
                <w:szCs w:val="21"/>
                <w:highlight w:val="none"/>
              </w:rPr>
            </w:pPr>
          </w:p>
        </w:tc>
        <w:tc>
          <w:tcPr>
            <w:tcW w:w="835" w:type="pct"/>
            <w:noWrap w:val="0"/>
            <w:vAlign w:val="center"/>
          </w:tcPr>
          <w:p w14:paraId="340526E7">
            <w:pPr>
              <w:spacing w:line="360" w:lineRule="auto"/>
              <w:rPr>
                <w:rFonts w:ascii="宋体" w:hAnsi="宋体"/>
                <w:color w:val="auto"/>
                <w:szCs w:val="21"/>
                <w:highlight w:val="none"/>
              </w:rPr>
            </w:pPr>
          </w:p>
        </w:tc>
        <w:tc>
          <w:tcPr>
            <w:tcW w:w="959" w:type="pct"/>
            <w:noWrap w:val="0"/>
            <w:vAlign w:val="center"/>
          </w:tcPr>
          <w:p w14:paraId="37FE3A80">
            <w:pPr>
              <w:spacing w:line="360" w:lineRule="auto"/>
              <w:rPr>
                <w:rFonts w:ascii="宋体" w:hAnsi="宋体"/>
                <w:color w:val="auto"/>
                <w:szCs w:val="21"/>
                <w:highlight w:val="none"/>
              </w:rPr>
            </w:pPr>
          </w:p>
        </w:tc>
        <w:tc>
          <w:tcPr>
            <w:tcW w:w="918" w:type="pct"/>
            <w:noWrap w:val="0"/>
            <w:vAlign w:val="center"/>
          </w:tcPr>
          <w:p w14:paraId="03C74A79">
            <w:pPr>
              <w:spacing w:line="360" w:lineRule="auto"/>
              <w:rPr>
                <w:rFonts w:ascii="宋体" w:hAnsi="宋体"/>
                <w:color w:val="auto"/>
                <w:szCs w:val="21"/>
                <w:highlight w:val="none"/>
              </w:rPr>
            </w:pPr>
          </w:p>
        </w:tc>
        <w:tc>
          <w:tcPr>
            <w:tcW w:w="509" w:type="pct"/>
            <w:noWrap w:val="0"/>
            <w:vAlign w:val="center"/>
          </w:tcPr>
          <w:p w14:paraId="22E46E50">
            <w:pPr>
              <w:spacing w:line="360" w:lineRule="auto"/>
              <w:rPr>
                <w:rFonts w:ascii="宋体" w:hAnsi="宋体"/>
                <w:color w:val="auto"/>
                <w:szCs w:val="21"/>
                <w:highlight w:val="none"/>
              </w:rPr>
            </w:pPr>
          </w:p>
        </w:tc>
      </w:tr>
      <w:tr w14:paraId="5624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BF902B2">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803" w:type="pct"/>
            <w:noWrap w:val="0"/>
            <w:vAlign w:val="center"/>
          </w:tcPr>
          <w:p w14:paraId="35C8E750">
            <w:pPr>
              <w:spacing w:line="360" w:lineRule="auto"/>
              <w:rPr>
                <w:rFonts w:ascii="宋体" w:hAnsi="宋体"/>
                <w:color w:val="auto"/>
                <w:szCs w:val="21"/>
                <w:highlight w:val="none"/>
              </w:rPr>
            </w:pPr>
          </w:p>
        </w:tc>
        <w:tc>
          <w:tcPr>
            <w:tcW w:w="539" w:type="pct"/>
            <w:noWrap w:val="0"/>
            <w:vAlign w:val="center"/>
          </w:tcPr>
          <w:p w14:paraId="023EC1E8">
            <w:pPr>
              <w:spacing w:line="360" w:lineRule="auto"/>
              <w:rPr>
                <w:rFonts w:ascii="宋体" w:hAnsi="宋体"/>
                <w:color w:val="auto"/>
                <w:szCs w:val="21"/>
                <w:highlight w:val="none"/>
              </w:rPr>
            </w:pPr>
          </w:p>
        </w:tc>
        <w:tc>
          <w:tcPr>
            <w:tcW w:w="835" w:type="pct"/>
            <w:noWrap w:val="0"/>
            <w:vAlign w:val="center"/>
          </w:tcPr>
          <w:p w14:paraId="340B2C8E">
            <w:pPr>
              <w:spacing w:line="360" w:lineRule="auto"/>
              <w:rPr>
                <w:rFonts w:ascii="宋体" w:hAnsi="宋体"/>
                <w:color w:val="auto"/>
                <w:szCs w:val="21"/>
                <w:highlight w:val="none"/>
              </w:rPr>
            </w:pPr>
          </w:p>
        </w:tc>
        <w:tc>
          <w:tcPr>
            <w:tcW w:w="959" w:type="pct"/>
            <w:noWrap w:val="0"/>
            <w:vAlign w:val="center"/>
          </w:tcPr>
          <w:p w14:paraId="3696A76C">
            <w:pPr>
              <w:spacing w:line="360" w:lineRule="auto"/>
              <w:rPr>
                <w:rFonts w:ascii="宋体" w:hAnsi="宋体"/>
                <w:color w:val="auto"/>
                <w:szCs w:val="21"/>
                <w:highlight w:val="none"/>
              </w:rPr>
            </w:pPr>
          </w:p>
        </w:tc>
        <w:tc>
          <w:tcPr>
            <w:tcW w:w="918" w:type="pct"/>
            <w:noWrap w:val="0"/>
            <w:vAlign w:val="center"/>
          </w:tcPr>
          <w:p w14:paraId="4BD867F4">
            <w:pPr>
              <w:spacing w:line="360" w:lineRule="auto"/>
              <w:rPr>
                <w:rFonts w:ascii="宋体" w:hAnsi="宋体"/>
                <w:color w:val="auto"/>
                <w:szCs w:val="21"/>
                <w:highlight w:val="none"/>
              </w:rPr>
            </w:pPr>
          </w:p>
        </w:tc>
        <w:tc>
          <w:tcPr>
            <w:tcW w:w="509" w:type="pct"/>
            <w:noWrap w:val="0"/>
            <w:vAlign w:val="center"/>
          </w:tcPr>
          <w:p w14:paraId="491BD022">
            <w:pPr>
              <w:spacing w:line="360" w:lineRule="auto"/>
              <w:rPr>
                <w:rFonts w:ascii="宋体" w:hAnsi="宋体"/>
                <w:color w:val="auto"/>
                <w:szCs w:val="21"/>
                <w:highlight w:val="none"/>
              </w:rPr>
            </w:pPr>
          </w:p>
        </w:tc>
      </w:tr>
    </w:tbl>
    <w:p w14:paraId="623032C9">
      <w:pPr>
        <w:adjustRightInd w:val="0"/>
        <w:snapToGrid w:val="0"/>
        <w:spacing w:line="360" w:lineRule="auto"/>
        <w:rPr>
          <w:rFonts w:ascii="宋体" w:hAnsi="宋体"/>
          <w:b/>
          <w:bCs/>
          <w:color w:val="auto"/>
          <w:szCs w:val="21"/>
          <w:highlight w:val="none"/>
        </w:rPr>
      </w:pPr>
    </w:p>
    <w:p w14:paraId="631ECA0C">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备注：</w:t>
      </w:r>
    </w:p>
    <w:p w14:paraId="0A8C8BE6">
      <w:pPr>
        <w:spacing w:line="360" w:lineRule="auto"/>
        <w:ind w:firstLine="435"/>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表中所列内容为满足本项目要求的</w:t>
      </w:r>
      <w:r>
        <w:rPr>
          <w:rFonts w:hint="eastAsia" w:ascii="宋体" w:hAnsi="宋体"/>
          <w:bCs/>
          <w:color w:val="auto"/>
          <w:szCs w:val="21"/>
          <w:highlight w:val="none"/>
        </w:rPr>
        <w:t>主要标的信息；</w:t>
      </w:r>
    </w:p>
    <w:p w14:paraId="2D32096B">
      <w:pPr>
        <w:spacing w:line="360" w:lineRule="auto"/>
        <w:ind w:firstLine="435"/>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中标人提供的以上承诺情况（含名称、品牌、规格型号、数量、单价），经评标委员会确认后，将按约定随中标结果公告同时公告。</w:t>
      </w:r>
    </w:p>
    <w:bookmarkEnd w:id="1013"/>
    <w:p w14:paraId="302106FD">
      <w:pPr>
        <w:pStyle w:val="3"/>
        <w:widowControl/>
        <w:spacing w:before="120" w:after="120" w:line="240" w:lineRule="auto"/>
        <w:jc w:val="center"/>
        <w:rPr>
          <w:rStyle w:val="23"/>
          <w:rFonts w:hint="eastAsia" w:ascii="宋体" w:hAnsi="宋体" w:eastAsia="宋体" w:cs="宋体"/>
          <w:b/>
          <w:bCs/>
          <w:color w:val="auto"/>
          <w:sz w:val="30"/>
          <w:szCs w:val="30"/>
          <w:highlight w:val="none"/>
        </w:rPr>
      </w:pPr>
      <w:r>
        <w:rPr>
          <w:rStyle w:val="23"/>
          <w:rFonts w:hint="eastAsia" w:ascii="宋体" w:hAnsi="宋体" w:eastAsia="宋体" w:cs="宋体"/>
          <w:b/>
          <w:bCs/>
          <w:color w:val="auto"/>
          <w:sz w:val="30"/>
          <w:szCs w:val="30"/>
          <w:highlight w:val="none"/>
        </w:rPr>
        <w:br w:type="page"/>
      </w:r>
      <w:r>
        <w:rPr>
          <w:rStyle w:val="23"/>
          <w:rFonts w:hint="eastAsia" w:ascii="宋体" w:hAnsi="宋体" w:eastAsia="宋体" w:cs="宋体"/>
          <w:b/>
          <w:bCs/>
          <w:color w:val="auto"/>
          <w:sz w:val="30"/>
          <w:szCs w:val="30"/>
          <w:highlight w:val="none"/>
        </w:rPr>
        <w:t>十二、投标人认为应该提供的其他资料</w:t>
      </w:r>
    </w:p>
    <w:p w14:paraId="53CD1CB4">
      <w:pPr>
        <w:widowControl/>
        <w:jc w:val="left"/>
        <w:rPr>
          <w:rFonts w:hint="eastAsia" w:ascii="宋体" w:hAnsi="宋体" w:cs="宋体"/>
          <w:color w:val="auto"/>
          <w:szCs w:val="21"/>
          <w:highlight w:val="none"/>
        </w:rPr>
      </w:pPr>
    </w:p>
    <w:p w14:paraId="16924EFA">
      <w:pPr>
        <w:rPr>
          <w:highlight w:val="none"/>
        </w:rPr>
      </w:pPr>
    </w:p>
    <w:sectPr>
      <w:footerReference r:id="rId9" w:type="even"/>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S Mincho">
    <w:panose1 w:val="02020609040205080304"/>
    <w:charset w:val="80"/>
    <w:family w:val="roman"/>
    <w:pitch w:val="default"/>
    <w:sig w:usb0="A00002BF" w:usb1="68C7FCFB" w:usb2="00000010"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59C7">
    <w:pPr>
      <w:pStyle w:val="12"/>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47B0">
    <w:pPr>
      <w:pStyle w:val="12"/>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1EF7">
    <w:pPr>
      <w:pStyle w:val="12"/>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5DCD5">
    <w:pPr>
      <w:pStyle w:val="12"/>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40</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4921A">
    <w:pPr>
      <w:pStyle w:val="12"/>
      <w:framePr w:wrap="around" w:vAnchor="text" w:hAnchor="margin" w:xAlign="center" w:y="1"/>
      <w:rPr>
        <w:rStyle w:val="20"/>
      </w:rPr>
    </w:pPr>
    <w:r>
      <w:fldChar w:fldCharType="begin"/>
    </w:r>
    <w:r>
      <w:rPr>
        <w:rStyle w:val="20"/>
      </w:rPr>
      <w:instrText xml:space="preserve">PAGE  </w:instrText>
    </w:r>
    <w:r>
      <w:fldChar w:fldCharType="separate"/>
    </w:r>
    <w:r>
      <w:fldChar w:fldCharType="end"/>
    </w:r>
  </w:p>
  <w:p w14:paraId="5991748B">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46E388A">
      <w:pPr>
        <w:widowControl/>
        <w:jc w:val="left"/>
        <w:rPr>
          <w:rFonts w:eastAsia="仿宋"/>
        </w:rPr>
      </w:pPr>
      <w:r>
        <w:rPr>
          <w:rStyle w:val="22"/>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450AF">
    <w:pPr>
      <w:pStyle w:val="13"/>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A6A8"/>
    <w:multiLevelType w:val="singleLevel"/>
    <w:tmpl w:val="CD7CA6A8"/>
    <w:lvl w:ilvl="0" w:tentative="0">
      <w:start w:val="1"/>
      <w:numFmt w:val="chineseCounting"/>
      <w:suff w:val="nothing"/>
      <w:lvlText w:val="%1、"/>
      <w:lvlJc w:val="left"/>
      <w:rPr>
        <w:rFonts w:hint="eastAsia"/>
        <w:color w:val="000000"/>
      </w:rPr>
    </w:lvl>
  </w:abstractNum>
  <w:abstractNum w:abstractNumId="1">
    <w:nsid w:val="DC6B3FD0"/>
    <w:multiLevelType w:val="singleLevel"/>
    <w:tmpl w:val="DC6B3F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A0A72"/>
    <w:rsid w:val="03EE0393"/>
    <w:rsid w:val="04BA0275"/>
    <w:rsid w:val="054E5BCA"/>
    <w:rsid w:val="06110498"/>
    <w:rsid w:val="06FE51BD"/>
    <w:rsid w:val="07046BC9"/>
    <w:rsid w:val="07100621"/>
    <w:rsid w:val="080C528C"/>
    <w:rsid w:val="09293CBF"/>
    <w:rsid w:val="09A82D92"/>
    <w:rsid w:val="0A1044A4"/>
    <w:rsid w:val="0A195A3E"/>
    <w:rsid w:val="0A5B1BB3"/>
    <w:rsid w:val="0ABD461B"/>
    <w:rsid w:val="0BDF7055"/>
    <w:rsid w:val="0F403A6D"/>
    <w:rsid w:val="101F1ADF"/>
    <w:rsid w:val="10274A79"/>
    <w:rsid w:val="11655DAA"/>
    <w:rsid w:val="11BF6ECB"/>
    <w:rsid w:val="122B584C"/>
    <w:rsid w:val="1255112F"/>
    <w:rsid w:val="12AD1419"/>
    <w:rsid w:val="12B91B6C"/>
    <w:rsid w:val="13F65598"/>
    <w:rsid w:val="15086EEE"/>
    <w:rsid w:val="160B0931"/>
    <w:rsid w:val="16985F3D"/>
    <w:rsid w:val="17AA5F28"/>
    <w:rsid w:val="17F82355"/>
    <w:rsid w:val="1A6B0CB8"/>
    <w:rsid w:val="1C646FED"/>
    <w:rsid w:val="1E694443"/>
    <w:rsid w:val="1F332CA6"/>
    <w:rsid w:val="207F6D55"/>
    <w:rsid w:val="208960B4"/>
    <w:rsid w:val="21604585"/>
    <w:rsid w:val="217575A6"/>
    <w:rsid w:val="21D175BF"/>
    <w:rsid w:val="22FF35CB"/>
    <w:rsid w:val="232B0864"/>
    <w:rsid w:val="25A8619C"/>
    <w:rsid w:val="272730F1"/>
    <w:rsid w:val="27856069"/>
    <w:rsid w:val="2786250D"/>
    <w:rsid w:val="27F136FF"/>
    <w:rsid w:val="299B6018"/>
    <w:rsid w:val="2C9F7BCD"/>
    <w:rsid w:val="2DB33930"/>
    <w:rsid w:val="2E0226E0"/>
    <w:rsid w:val="2EE93D75"/>
    <w:rsid w:val="30590093"/>
    <w:rsid w:val="306C6018"/>
    <w:rsid w:val="30A65EF4"/>
    <w:rsid w:val="31210BB1"/>
    <w:rsid w:val="31815AF3"/>
    <w:rsid w:val="3195661E"/>
    <w:rsid w:val="33544C1D"/>
    <w:rsid w:val="33633703"/>
    <w:rsid w:val="350D601C"/>
    <w:rsid w:val="35321C38"/>
    <w:rsid w:val="35645510"/>
    <w:rsid w:val="375D2B5F"/>
    <w:rsid w:val="37F4701F"/>
    <w:rsid w:val="38A26A7B"/>
    <w:rsid w:val="393B4B12"/>
    <w:rsid w:val="3A15327D"/>
    <w:rsid w:val="3A3000B7"/>
    <w:rsid w:val="3C8628E4"/>
    <w:rsid w:val="3D0D46DF"/>
    <w:rsid w:val="3E4B54BF"/>
    <w:rsid w:val="3F584337"/>
    <w:rsid w:val="3FD2156D"/>
    <w:rsid w:val="407F5E9B"/>
    <w:rsid w:val="41566655"/>
    <w:rsid w:val="424010B3"/>
    <w:rsid w:val="43560B8E"/>
    <w:rsid w:val="43AA712C"/>
    <w:rsid w:val="43E91A02"/>
    <w:rsid w:val="46F626C3"/>
    <w:rsid w:val="47255B16"/>
    <w:rsid w:val="47372A84"/>
    <w:rsid w:val="475B13AB"/>
    <w:rsid w:val="48050DD4"/>
    <w:rsid w:val="48795CD4"/>
    <w:rsid w:val="49663AF5"/>
    <w:rsid w:val="49E1723F"/>
    <w:rsid w:val="4A503792"/>
    <w:rsid w:val="4A6022F2"/>
    <w:rsid w:val="4A73121B"/>
    <w:rsid w:val="4C1135AC"/>
    <w:rsid w:val="4D811942"/>
    <w:rsid w:val="4E840064"/>
    <w:rsid w:val="4FEC63D6"/>
    <w:rsid w:val="503E7693"/>
    <w:rsid w:val="50E973D1"/>
    <w:rsid w:val="51AC2C9C"/>
    <w:rsid w:val="51F53C68"/>
    <w:rsid w:val="53034162"/>
    <w:rsid w:val="53F64661"/>
    <w:rsid w:val="541C7282"/>
    <w:rsid w:val="54AB6860"/>
    <w:rsid w:val="585538A0"/>
    <w:rsid w:val="59C81C62"/>
    <w:rsid w:val="5A252118"/>
    <w:rsid w:val="5AC16A76"/>
    <w:rsid w:val="5ACB1A0A"/>
    <w:rsid w:val="5AFF16B3"/>
    <w:rsid w:val="5B751975"/>
    <w:rsid w:val="5CA6628A"/>
    <w:rsid w:val="5D663C6C"/>
    <w:rsid w:val="5E1D5B3E"/>
    <w:rsid w:val="5E4F64AE"/>
    <w:rsid w:val="5ECC5D50"/>
    <w:rsid w:val="5EF32937"/>
    <w:rsid w:val="5F321DAE"/>
    <w:rsid w:val="5FAA42E4"/>
    <w:rsid w:val="602D0A71"/>
    <w:rsid w:val="60964868"/>
    <w:rsid w:val="60E127A8"/>
    <w:rsid w:val="612E1512"/>
    <w:rsid w:val="620D46B6"/>
    <w:rsid w:val="62353C0D"/>
    <w:rsid w:val="64D51FD8"/>
    <w:rsid w:val="653A1489"/>
    <w:rsid w:val="65C77271"/>
    <w:rsid w:val="66DB2FD4"/>
    <w:rsid w:val="66FD119D"/>
    <w:rsid w:val="67492634"/>
    <w:rsid w:val="68016A6B"/>
    <w:rsid w:val="6A2133F4"/>
    <w:rsid w:val="6A2C68C7"/>
    <w:rsid w:val="6B321631"/>
    <w:rsid w:val="6BE51391"/>
    <w:rsid w:val="6C356C5F"/>
    <w:rsid w:val="6CFB1EF5"/>
    <w:rsid w:val="6D1F6D0A"/>
    <w:rsid w:val="6E5F098F"/>
    <w:rsid w:val="6EF957F8"/>
    <w:rsid w:val="6F834209"/>
    <w:rsid w:val="6F871F4B"/>
    <w:rsid w:val="6FAA593D"/>
    <w:rsid w:val="6FAA5C3A"/>
    <w:rsid w:val="6FBE3580"/>
    <w:rsid w:val="71750E68"/>
    <w:rsid w:val="71995F66"/>
    <w:rsid w:val="72EE1264"/>
    <w:rsid w:val="731735E6"/>
    <w:rsid w:val="7363682B"/>
    <w:rsid w:val="7557074A"/>
    <w:rsid w:val="75F57459"/>
    <w:rsid w:val="765D6A7D"/>
    <w:rsid w:val="7B564EC8"/>
    <w:rsid w:val="7B9B28DB"/>
    <w:rsid w:val="7BD506E7"/>
    <w:rsid w:val="7F126889"/>
    <w:rsid w:val="7F141322"/>
    <w:rsid w:val="7F435763"/>
    <w:rsid w:val="7F535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qFormat/>
    <w:uiPriority w:val="0"/>
    <w:pPr>
      <w:keepNext/>
      <w:keepLines/>
      <w:widowControl/>
      <w:spacing w:beforeLines="0" w:line="276" w:lineRule="auto"/>
      <w:jc w:val="left"/>
      <w:outlineLvl w:val="3"/>
    </w:pPr>
    <w:rPr>
      <w:rFonts w:ascii="Cambria" w:hAnsi="Cambria" w:eastAsia="宋体"/>
      <w:b/>
      <w:bCs/>
      <w:iCs/>
      <w:color w:val="4F81BD"/>
      <w:kern w:val="0"/>
      <w:sz w:val="22"/>
      <w:lang w:eastAsia="en-US" w:bidi="en-US"/>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rPr>
      <w:rFonts w:eastAsia="黑体"/>
      <w:sz w:val="36"/>
    </w:rPr>
  </w:style>
  <w:style w:type="paragraph" w:styleId="8">
    <w:name w:val="Body Text Indent"/>
    <w:basedOn w:val="1"/>
    <w:next w:val="9"/>
    <w:qFormat/>
    <w:uiPriority w:val="0"/>
    <w:pPr>
      <w:spacing w:after="120" w:afterLines="0"/>
      <w:ind w:left="420" w:leftChars="200"/>
    </w:pPr>
  </w:style>
  <w:style w:type="paragraph" w:styleId="9">
    <w:name w:val="envelope return"/>
    <w:basedOn w:val="1"/>
    <w:unhideWhenUsed/>
    <w:qFormat/>
    <w:uiPriority w:val="0"/>
    <w:pPr>
      <w:snapToGrid w:val="0"/>
    </w:pPr>
    <w:rPr>
      <w:rFonts w:ascii="Arial" w:hAnsi="Arial"/>
    </w:rPr>
  </w:style>
  <w:style w:type="paragraph" w:styleId="10">
    <w:name w:val="Plain Text"/>
    <w:basedOn w:val="1"/>
    <w:qFormat/>
    <w:uiPriority w:val="0"/>
    <w:rPr>
      <w:rFonts w:ascii="宋体" w:hAnsi="Courier New"/>
      <w:szCs w:val="21"/>
    </w:rPr>
  </w:style>
  <w:style w:type="paragraph" w:styleId="11">
    <w:name w:val="Date"/>
    <w:basedOn w:val="1"/>
    <w:next w:val="1"/>
    <w:qFormat/>
    <w:uiPriority w:val="0"/>
    <w:pPr>
      <w:adjustRightInd w:val="0"/>
      <w:spacing w:line="360" w:lineRule="atLeast"/>
    </w:pPr>
    <w:rPr>
      <w:rFonts w:ascii="宋体"/>
      <w:kern w:val="0"/>
      <w:sz w:val="24"/>
      <w:szCs w:val="20"/>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spacing w:before="120" w:after="120"/>
      <w:jc w:val="left"/>
    </w:pPr>
    <w:rPr>
      <w:rFonts w:ascii="Calibri" w:hAnsi="Calibri"/>
      <w:b/>
      <w:bCs/>
      <w:caps/>
      <w:sz w:val="20"/>
      <w:szCs w:val="20"/>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6">
    <w:name w:val="Body Text First Indent 2"/>
    <w:basedOn w:val="8"/>
    <w:next w:val="1"/>
    <w:qFormat/>
    <w:uiPriority w:val="99"/>
    <w:pPr>
      <w:tabs>
        <w:tab w:val="left" w:pos="8280"/>
      </w:tabs>
      <w:ind w:left="480" w:firstLine="210" w:firstLineChars="100"/>
      <w:jc w:val="left"/>
    </w:pPr>
    <w:rPr>
      <w:rFonts w:ascii="DFKai-SB" w:eastAsia="DFKai-SB"/>
      <w:sz w:val="28"/>
      <w:lang w:eastAsia="zh-TW"/>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333333"/>
      <w:u w:val="none"/>
    </w:rPr>
  </w:style>
  <w:style w:type="character" w:styleId="22">
    <w:name w:val="footnote reference"/>
    <w:qFormat/>
    <w:uiPriority w:val="99"/>
    <w:rPr>
      <w:vertAlign w:val="superscript"/>
    </w:rPr>
  </w:style>
  <w:style w:type="character" w:customStyle="1" w:styleId="23">
    <w:name w:val="标题 2 Char Char"/>
    <w:qFormat/>
    <w:uiPriority w:val="0"/>
    <w:rPr>
      <w:rFonts w:ascii="Arial" w:hAnsi="Arial" w:eastAsia="黑体" w:cs="Times New Roman"/>
      <w:b/>
      <w:bCs/>
      <w:kern w:val="2"/>
      <w:sz w:val="32"/>
      <w:szCs w:val="32"/>
      <w:lang w:val="en-US" w:eastAsia="zh-CN" w:bidi="ar-SA"/>
    </w:rPr>
  </w:style>
  <w:style w:type="paragraph" w:customStyle="1" w:styleId="24">
    <w:name w:val="正文2"/>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25">
    <w:name w:val="列出段落1"/>
    <w:basedOn w:val="1"/>
    <w:qFormat/>
    <w:uiPriority w:val="0"/>
    <w:pPr>
      <w:ind w:firstLine="420" w:firstLineChars="200"/>
    </w:pPr>
  </w:style>
  <w:style w:type="character" w:customStyle="1" w:styleId="26">
    <w:name w:val="font31"/>
    <w:basedOn w:val="19"/>
    <w:qFormat/>
    <w:uiPriority w:val="0"/>
    <w:rPr>
      <w:rFonts w:hint="eastAsia" w:ascii="宋体" w:hAnsi="宋体" w:eastAsia="宋体" w:cs="宋体"/>
      <w:color w:val="000000"/>
      <w:sz w:val="22"/>
      <w:szCs w:val="22"/>
      <w:u w:val="none"/>
    </w:rPr>
  </w:style>
  <w:style w:type="character" w:customStyle="1" w:styleId="27">
    <w:name w:val="font21"/>
    <w:basedOn w:val="19"/>
    <w:qFormat/>
    <w:uiPriority w:val="0"/>
    <w:rPr>
      <w:rFonts w:hint="eastAsia" w:ascii="仿宋" w:hAnsi="仿宋" w:eastAsia="仿宋" w:cs="仿宋"/>
      <w:color w:val="000000"/>
      <w:sz w:val="21"/>
      <w:szCs w:val="21"/>
      <w:u w:val="none"/>
    </w:rPr>
  </w:style>
  <w:style w:type="character" w:customStyle="1" w:styleId="28">
    <w:name w:val="font81"/>
    <w:basedOn w:val="19"/>
    <w:qFormat/>
    <w:uiPriority w:val="0"/>
    <w:rPr>
      <w:rFonts w:hint="eastAsia" w:ascii="仿宋" w:hAnsi="仿宋" w:eastAsia="仿宋" w:cs="仿宋"/>
      <w:color w:val="000000"/>
      <w:sz w:val="22"/>
      <w:szCs w:val="22"/>
      <w:u w:val="none"/>
    </w:rPr>
  </w:style>
  <w:style w:type="character" w:customStyle="1" w:styleId="29">
    <w:name w:val="font61"/>
    <w:basedOn w:val="19"/>
    <w:qFormat/>
    <w:uiPriority w:val="0"/>
    <w:rPr>
      <w:rFonts w:hint="default" w:ascii="Times New Roman" w:hAnsi="Times New Roman" w:cs="Times New Roman"/>
      <w:color w:val="000000"/>
      <w:sz w:val="22"/>
      <w:szCs w:val="22"/>
      <w:u w:val="none"/>
    </w:rPr>
  </w:style>
  <w:style w:type="paragraph" w:customStyle="1" w:styleId="30">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1">
    <w:name w:val="p0"/>
    <w:basedOn w:val="1"/>
    <w:qFormat/>
    <w:uiPriority w:val="0"/>
    <w:pPr>
      <w:widowControl/>
    </w:pPr>
    <w:rPr>
      <w:kern w:val="0"/>
      <w:szCs w:val="21"/>
    </w:rPr>
  </w:style>
  <w:style w:type="paragraph" w:customStyle="1" w:styleId="32">
    <w:name w:val="p15"/>
    <w:basedOn w:val="1"/>
    <w:qFormat/>
    <w:uiPriority w:val="0"/>
    <w:pPr>
      <w:widowControl/>
      <w:spacing w:before="100" w:line="400" w:lineRule="atLeast"/>
    </w:pPr>
    <w:rPr>
      <w:kern w:val="0"/>
      <w:sz w:val="28"/>
      <w:szCs w:val="28"/>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
    <w:name w:val="font11"/>
    <w:basedOn w:val="19"/>
    <w:qFormat/>
    <w:uiPriority w:val="0"/>
    <w:rPr>
      <w:rFonts w:hint="eastAsia" w:ascii="宋体" w:hAnsi="宋体" w:eastAsia="宋体" w:cs="宋体"/>
      <w:color w:val="000000"/>
      <w:sz w:val="21"/>
      <w:szCs w:val="21"/>
      <w:u w:val="none"/>
    </w:rPr>
  </w:style>
  <w:style w:type="paragraph" w:styleId="3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95</Pages>
  <Words>49353</Words>
  <Characters>52788</Characters>
  <Lines>0</Lines>
  <Paragraphs>0</Paragraphs>
  <TotalTime>2</TotalTime>
  <ScaleCrop>false</ScaleCrop>
  <LinksUpToDate>false</LinksUpToDate>
  <CharactersWithSpaces>57034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2025-08-20T05:52:00Z</dcterms:created>
  <dc:creator>Mouns-J</dc:creator>
  <cp:lastModifiedBy>政采四部</cp:lastModifiedBy>
  <dcterms:modified xsi:type="dcterms:W3CDTF">2025-10-31T08:25:47Z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85288449E1F14F3FA00E078170F54D7F_13</vt:lpwstr>
  </property>
</Properties>
</file>