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F6E12">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6A88D072">
      <w:pPr>
        <w:spacing w:line="360" w:lineRule="auto"/>
        <w:rPr>
          <w:rFonts w:ascii="宋体" w:hAnsi="宋体" w:eastAsia="宋体"/>
          <w:b/>
          <w:sz w:val="24"/>
        </w:rPr>
      </w:pPr>
      <w:r>
        <w:rPr>
          <w:rFonts w:hint="eastAsia" w:ascii="宋体" w:hAnsi="宋体" w:eastAsia="宋体"/>
          <w:b/>
          <w:sz w:val="24"/>
        </w:rPr>
        <w:t>前注：</w:t>
      </w:r>
    </w:p>
    <w:p w14:paraId="6AED87A1">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w:t>
      </w:r>
      <w:bookmarkStart w:id="38" w:name="_GoBack"/>
      <w:bookmarkEnd w:id="38"/>
      <w:r>
        <w:rPr>
          <w:rFonts w:hint="eastAsia" w:ascii="宋体" w:hAnsi="宋体" w:eastAsia="宋体" w:cs="宋体"/>
          <w:sz w:val="24"/>
          <w:szCs w:val="18"/>
        </w:rPr>
        <w:t>求的国内产品参与竞争。未标注进口产品的货物均为拒绝采购进口产品。</w:t>
      </w:r>
    </w:p>
    <w:p w14:paraId="34876EB6">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48B35DDB">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51950CC">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85C59D0">
      <w:pPr>
        <w:spacing w:line="360" w:lineRule="auto"/>
        <w:ind w:firstLine="480" w:firstLineChars="200"/>
        <w:jc w:val="left"/>
        <w:rPr>
          <w:rFonts w:hint="eastAsia" w:ascii="宋体" w:hAnsi="宋体" w:eastAsia="宋体" w:cs="宋体"/>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的产品（核心产品），投标人在投标文件《主要中标标的承诺函》中填写名称、品牌、规格、型号、数量、单价等信息。</w:t>
      </w:r>
    </w:p>
    <w:p w14:paraId="4FDE67AC">
      <w:pPr>
        <w:pStyle w:val="3"/>
        <w:ind w:firstLine="0" w:firstLineChars="0"/>
        <w:rPr>
          <w:rFonts w:eastAsia="黑体"/>
        </w:rPr>
      </w:pPr>
      <w:bookmarkStart w:id="1" w:name="_Toc1437377518_WPSOffice_Level2"/>
      <w:bookmarkStart w:id="2" w:name="_Toc1064185329"/>
      <w:bookmarkStart w:id="3" w:name="_Toc1899401549"/>
      <w:bookmarkStart w:id="4" w:name="_Toc337877615"/>
      <w:bookmarkStart w:id="5" w:name="_Toc382548620"/>
      <w:bookmarkStart w:id="6" w:name="_Toc2025078090"/>
      <w:bookmarkStart w:id="7" w:name="_Toc292361325"/>
      <w:bookmarkStart w:id="8" w:name="_Toc1452677390"/>
      <w:r>
        <w:rPr>
          <w:rFonts w:hint="eastAsia" w:eastAsia="黑体"/>
        </w:rPr>
        <w:t>一、采购需求前附表</w:t>
      </w:r>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648E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3D462E1">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20E99091">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636D0E2F">
            <w:pPr>
              <w:pStyle w:val="13"/>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272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26B9074">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4540FFD6">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770CF33B">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w:t>
            </w:r>
            <w:r>
              <w:rPr>
                <w:rFonts w:hint="eastAsia" w:ascii="宋体" w:hAnsi="宋体" w:eastAsia="宋体" w:cs="宋体"/>
                <w:b w:val="0"/>
                <w:color w:val="auto"/>
                <w:sz w:val="24"/>
                <w:lang w:val="en-US" w:eastAsia="zh-CN"/>
              </w:rPr>
              <w:t>7</w:t>
            </w:r>
            <w:r>
              <w:rPr>
                <w:rFonts w:hint="eastAsia" w:ascii="宋体" w:hAnsi="宋体" w:eastAsia="宋体" w:cs="宋体"/>
                <w:b w:val="0"/>
                <w:color w:val="auto"/>
                <w:sz w:val="24"/>
              </w:rPr>
              <w:t>0%；</w:t>
            </w:r>
          </w:p>
          <w:p w14:paraId="0D05DD8D">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w:t>
            </w:r>
            <w:r>
              <w:rPr>
                <w:rFonts w:hint="eastAsia" w:ascii="宋体" w:hAnsi="宋体" w:eastAsia="宋体" w:cs="宋体"/>
                <w:b w:val="0"/>
                <w:color w:val="auto"/>
                <w:sz w:val="24"/>
                <w:lang w:val="en-US" w:eastAsia="zh-CN"/>
              </w:rPr>
              <w:t>2</w:t>
            </w:r>
            <w:r>
              <w:rPr>
                <w:rFonts w:hint="eastAsia" w:ascii="宋体" w:hAnsi="宋体" w:eastAsia="宋体" w:cs="宋体"/>
                <w:b w:val="0"/>
                <w:color w:val="auto"/>
                <w:sz w:val="24"/>
              </w:rPr>
              <w:t>0%；</w:t>
            </w:r>
          </w:p>
          <w:p w14:paraId="3E334DE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3A993D93">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369B9B5C">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6E35AC67">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6DB4EC30">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17804508">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42320662">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7B9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E2918E9">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2F0E6B9A">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1EBAE53B">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47E1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1F728C94">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6FF36E21">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07E3BEB9">
            <w:pPr>
              <w:pStyle w:val="13"/>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eastAsia="zh-CN"/>
              </w:rPr>
              <w:t>合同生效后，国产设备30个日历日内完成供货、安装、调试、培训等所有工作内容，进口设备90个日历日内完成供货、安装、调试、培训等所有工作内容，采购需求中另有规定的，按采购需求执行</w:t>
            </w:r>
            <w:r>
              <w:rPr>
                <w:rFonts w:hint="eastAsia" w:ascii="宋体" w:hAnsi="宋体" w:eastAsia="宋体" w:cs="宋体"/>
                <w:b w:val="0"/>
                <w:color w:val="auto"/>
                <w:sz w:val="24"/>
              </w:rPr>
              <w:t>。</w:t>
            </w:r>
          </w:p>
        </w:tc>
      </w:tr>
      <w:tr w14:paraId="655C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CCB339B">
            <w:pPr>
              <w:pStyle w:val="1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73D26DC0">
            <w:pPr>
              <w:pStyle w:val="13"/>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tbl>
            <w:tblPr>
              <w:tblStyle w:val="10"/>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2224"/>
            </w:tblGrid>
            <w:tr w14:paraId="6281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top"/>
                </w:tcPr>
                <w:p w14:paraId="3397634A">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货物名称</w:t>
                  </w:r>
                </w:p>
              </w:tc>
              <w:tc>
                <w:tcPr>
                  <w:tcW w:w="2224" w:type="dxa"/>
                  <w:noWrap w:val="0"/>
                  <w:vAlign w:val="top"/>
                </w:tcPr>
                <w:p w14:paraId="7554F05E">
                  <w:pPr>
                    <w:pStyle w:val="13"/>
                    <w:widowControl w:val="0"/>
                    <w:spacing w:before="0" w:beforeAutospacing="0" w:after="0" w:afterAutospacing="0" w:line="360" w:lineRule="auto"/>
                    <w:jc w:val="center"/>
                    <w:rPr>
                      <w:rFonts w:hint="eastAsia" w:ascii="宋体" w:hAnsi="宋体" w:eastAsia="宋体" w:cs="宋体"/>
                      <w:b/>
                      <w:bCs w:val="0"/>
                      <w:color w:val="auto"/>
                      <w:sz w:val="21"/>
                      <w:szCs w:val="21"/>
                      <w:vertAlign w:val="baseline"/>
                      <w:lang w:val="en-US" w:eastAsia="zh-CN"/>
                    </w:rPr>
                  </w:pPr>
                  <w:r>
                    <w:rPr>
                      <w:rFonts w:hint="eastAsia" w:ascii="宋体" w:hAnsi="宋体" w:eastAsia="宋体" w:cs="宋体"/>
                      <w:b/>
                      <w:bCs w:val="0"/>
                      <w:color w:val="auto"/>
                      <w:sz w:val="21"/>
                      <w:szCs w:val="21"/>
                      <w:vertAlign w:val="baseline"/>
                      <w:lang w:val="en-US" w:eastAsia="zh-CN"/>
                    </w:rPr>
                    <w:t>免费质保期</w:t>
                  </w:r>
                </w:p>
              </w:tc>
            </w:tr>
            <w:tr w14:paraId="4E9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342CB4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高精密气体浓度分析仪</w:t>
                  </w:r>
                </w:p>
              </w:tc>
              <w:tc>
                <w:tcPr>
                  <w:tcW w:w="2224" w:type="dxa"/>
                  <w:noWrap w:val="0"/>
                  <w:vAlign w:val="center"/>
                </w:tcPr>
                <w:p w14:paraId="29CFBC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4"/>
                      <w:rFonts w:hint="eastAsia" w:ascii="宋体" w:hAnsi="宋体" w:eastAsia="宋体" w:cs="宋体"/>
                      <w:sz w:val="21"/>
                      <w:szCs w:val="21"/>
                      <w:lang w:val="en-US" w:eastAsia="zh-CN" w:bidi="ar"/>
                    </w:rPr>
                    <w:t>1</w:t>
                  </w:r>
                  <w:r>
                    <w:rPr>
                      <w:rStyle w:val="15"/>
                      <w:rFonts w:hint="eastAsia" w:ascii="宋体" w:hAnsi="宋体" w:eastAsia="宋体" w:cs="宋体"/>
                      <w:sz w:val="21"/>
                      <w:szCs w:val="21"/>
                      <w:lang w:val="en-US" w:eastAsia="zh-CN" w:bidi="ar"/>
                    </w:rPr>
                    <w:t>年</w:t>
                  </w:r>
                </w:p>
              </w:tc>
            </w:tr>
            <w:tr w14:paraId="5D2C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7E445D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热重分析系统</w:t>
                  </w:r>
                </w:p>
              </w:tc>
              <w:tc>
                <w:tcPr>
                  <w:tcW w:w="2224" w:type="dxa"/>
                  <w:noWrap w:val="0"/>
                  <w:vAlign w:val="center"/>
                </w:tcPr>
                <w:p w14:paraId="78ACA4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1年</w:t>
                  </w:r>
                </w:p>
              </w:tc>
            </w:tr>
            <w:tr w14:paraId="1F6E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noWrap w:val="0"/>
                  <w:vAlign w:val="center"/>
                </w:tcPr>
                <w:p w14:paraId="18E672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离子色谱仪</w:t>
                  </w:r>
                </w:p>
              </w:tc>
              <w:tc>
                <w:tcPr>
                  <w:tcW w:w="2224" w:type="dxa"/>
                  <w:noWrap w:val="0"/>
                  <w:vAlign w:val="center"/>
                </w:tcPr>
                <w:p w14:paraId="09F67B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4"/>
                      <w:rFonts w:hint="eastAsia" w:ascii="宋体" w:hAnsi="宋体" w:eastAsia="宋体" w:cs="宋体"/>
                      <w:sz w:val="21"/>
                      <w:szCs w:val="21"/>
                      <w:lang w:val="en-US" w:eastAsia="zh-CN" w:bidi="ar"/>
                    </w:rPr>
                    <w:t>2</w:t>
                  </w:r>
                  <w:r>
                    <w:rPr>
                      <w:rStyle w:val="15"/>
                      <w:rFonts w:hint="eastAsia" w:ascii="宋体" w:hAnsi="宋体" w:eastAsia="宋体" w:cs="宋体"/>
                      <w:sz w:val="21"/>
                      <w:szCs w:val="21"/>
                      <w:lang w:val="en-US" w:eastAsia="zh-CN" w:bidi="ar"/>
                    </w:rPr>
                    <w:t>年</w:t>
                  </w:r>
                </w:p>
              </w:tc>
            </w:tr>
          </w:tbl>
          <w:p w14:paraId="7A19B380">
            <w:pPr>
              <w:pStyle w:val="13"/>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7FBECF96">
      <w:pPr>
        <w:pStyle w:val="3"/>
        <w:ind w:firstLine="0" w:firstLineChars="0"/>
        <w:rPr>
          <w:rFonts w:hint="eastAsia" w:eastAsia="黑体"/>
        </w:rPr>
      </w:pPr>
      <w:bookmarkStart w:id="9" w:name="_Toc626387511"/>
      <w:bookmarkStart w:id="10" w:name="_Toc369119811"/>
      <w:bookmarkStart w:id="11" w:name="_Toc1693477008"/>
      <w:bookmarkStart w:id="12" w:name="_Toc1715351726"/>
      <w:bookmarkStart w:id="13" w:name="_Toc58935147"/>
      <w:bookmarkStart w:id="14" w:name="_Toc717369146"/>
      <w:bookmarkStart w:id="15" w:name="_Toc302804901"/>
      <w:bookmarkStart w:id="16" w:name="_Toc1191965283_WPSOffice_Level2"/>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28003952">
      <w:pPr>
        <w:pStyle w:val="8"/>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7AD0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284B5E4E">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5C6495FC">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1019E30C">
            <w:pPr>
              <w:pStyle w:val="8"/>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77CE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04449EC4">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1A6B504C">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6D387A24">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7362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3A4E4EDE">
            <w:pPr>
              <w:pStyle w:val="8"/>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6483C36B">
            <w:pPr>
              <w:pStyle w:val="8"/>
              <w:spacing w:line="500" w:lineRule="exact"/>
              <w:ind w:left="0" w:firstLine="0" w:firstLineChars="0"/>
              <w:jc w:val="center"/>
              <w:rPr>
                <w:rFonts w:ascii="宋体" w:hAnsi="宋体" w:eastAsia="宋体" w:cs="宋体"/>
                <w:sz w:val="24"/>
                <w:szCs w:val="24"/>
              </w:rPr>
            </w:pPr>
          </w:p>
        </w:tc>
        <w:tc>
          <w:tcPr>
            <w:tcW w:w="5692" w:type="dxa"/>
            <w:noWrap w:val="0"/>
            <w:vAlign w:val="center"/>
          </w:tcPr>
          <w:p w14:paraId="23CB7F67">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7DC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02DD47A0">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049935E9">
            <w:pPr>
              <w:pStyle w:val="8"/>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4782915E">
            <w:pPr>
              <w:pStyle w:val="8"/>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707B496E">
      <w:pPr>
        <w:pStyle w:val="8"/>
        <w:ind w:left="0" w:firstLine="0" w:firstLineChars="0"/>
        <w:rPr>
          <w:rFonts w:hint="eastAsia" w:ascii="宋体" w:hAnsi="宋体" w:eastAsia="宋体" w:cs="宋体"/>
          <w:b/>
          <w:bCs/>
          <w:sz w:val="24"/>
          <w:szCs w:val="24"/>
        </w:rPr>
      </w:pPr>
    </w:p>
    <w:p w14:paraId="5F8D7317">
      <w:pPr>
        <w:pStyle w:val="8"/>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3DE72F79">
      <w:pPr>
        <w:pStyle w:val="8"/>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69"/>
        <w:gridCol w:w="4880"/>
        <w:gridCol w:w="1091"/>
        <w:gridCol w:w="842"/>
        <w:gridCol w:w="912"/>
      </w:tblGrid>
      <w:tr w14:paraId="274C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1E86D0E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89" w:type="dxa"/>
            <w:noWrap w:val="0"/>
            <w:vAlign w:val="center"/>
          </w:tcPr>
          <w:p w14:paraId="33C3A56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4938" w:type="dxa"/>
            <w:noWrap w:val="0"/>
            <w:vAlign w:val="center"/>
          </w:tcPr>
          <w:p w14:paraId="5E6365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1100" w:type="dxa"/>
            <w:noWrap w:val="0"/>
            <w:vAlign w:val="center"/>
          </w:tcPr>
          <w:p w14:paraId="7D99D9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3A62E97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51" w:type="dxa"/>
            <w:noWrap w:val="0"/>
            <w:vAlign w:val="center"/>
          </w:tcPr>
          <w:p w14:paraId="11DEB32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6FD22FD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917" w:type="dxa"/>
            <w:noWrap w:val="0"/>
            <w:vAlign w:val="center"/>
          </w:tcPr>
          <w:p w14:paraId="7171D4A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69E8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6A777BB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289" w:type="dxa"/>
            <w:noWrap w:val="0"/>
            <w:vAlign w:val="center"/>
          </w:tcPr>
          <w:p w14:paraId="5700882F">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▲高精密气体浓度分析仪</w:t>
            </w:r>
          </w:p>
        </w:tc>
        <w:tc>
          <w:tcPr>
            <w:tcW w:w="4938" w:type="dxa"/>
            <w:noWrap w:val="0"/>
            <w:vAlign w:val="top"/>
          </w:tcPr>
          <w:p w14:paraId="2CD699DB">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1.设备功能及项目要求：</w:t>
            </w:r>
          </w:p>
          <w:p w14:paraId="0F4BC258">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采用光谱测量技术，能够在线测量大气中CO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和H</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O浓度。分析仪不受大气中其他气体干扰，可用于实验室或野外长期自动监测。整套系统可实现田间多小区间的同步采气，并自动计算输出土壤-作物群落和大气界面的CO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和H</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O的排放通量，并实现远程传输和室内展示，实现整个项目的可视化集成。</w:t>
            </w:r>
          </w:p>
          <w:p w14:paraId="2FEA433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2.技术指标</w:t>
            </w:r>
          </w:p>
          <w:p w14:paraId="53864007">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 分析仪部分</w:t>
            </w:r>
          </w:p>
          <w:p w14:paraId="36FD64C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★2.1.1 采用激光光谱技术，通过计算衰荡时间差进行气体浓度的检测；</w:t>
            </w:r>
            <w:r>
              <w:rPr>
                <w:rFonts w:hint="eastAsia" w:ascii="宋体" w:hAnsi="宋体" w:eastAsia="宋体" w:cs="宋体"/>
                <w:b/>
                <w:bCs/>
                <w:kern w:val="0"/>
                <w:sz w:val="24"/>
                <w:szCs w:val="24"/>
              </w:rPr>
              <w:t>（投标文件提供证明材料）</w:t>
            </w:r>
          </w:p>
          <w:p w14:paraId="6946C6D8">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★2.1.2 可以同时测量五种气体（CO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和H</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O）浓度并通过数据处理系统得到各气体实时排放速率；</w:t>
            </w:r>
            <w:r>
              <w:rPr>
                <w:rFonts w:hint="eastAsia" w:ascii="宋体" w:hAnsi="宋体" w:eastAsia="宋体" w:cs="宋体"/>
                <w:b/>
                <w:bCs/>
                <w:kern w:val="0"/>
                <w:sz w:val="24"/>
                <w:szCs w:val="24"/>
              </w:rPr>
              <w:t>（投标文件提供证明材料）</w:t>
            </w:r>
          </w:p>
          <w:p w14:paraId="563F325C">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★2.1.3 精度要求：</w:t>
            </w:r>
          </w:p>
          <w:p w14:paraId="2237F047">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(5min,1σ)：200ppb+0.05%读数；</w:t>
            </w:r>
          </w:p>
          <w:p w14:paraId="1510365D">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(5min,1σ)：5ppb+0.02%读数；</w:t>
            </w:r>
          </w:p>
          <w:p w14:paraId="32974B4C">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O(5min,1σ)：5ppb+0.008%读数；</w:t>
            </w:r>
          </w:p>
          <w:p w14:paraId="256B6BD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(5min,1σ)：1ppb+0.05%读数；</w:t>
            </w:r>
          </w:p>
          <w:p w14:paraId="2E5B50D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H</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O(5min,1σ)：100ppm；</w:t>
            </w:r>
          </w:p>
          <w:p w14:paraId="5A4ABDE0">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2.1.4 测量范围: </w:t>
            </w:r>
          </w:p>
          <w:p w14:paraId="1F7A965C">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：0-20000 ppm；</w:t>
            </w:r>
          </w:p>
          <w:p w14:paraId="616BAB13">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：0-15 ppm；</w:t>
            </w:r>
          </w:p>
          <w:p w14:paraId="6C1E90DF">
            <w:pPr>
              <w:spacing w:line="360" w:lineRule="auto"/>
              <w:rPr>
                <w:rFonts w:hint="eastAsia" w:ascii="宋体" w:hAnsi="宋体" w:eastAsia="宋体" w:cs="宋体"/>
                <w:sz w:val="24"/>
                <w:szCs w:val="24"/>
              </w:rPr>
            </w:pPr>
            <w:r>
              <w:rPr>
                <w:rFonts w:hint="eastAsia" w:ascii="宋体" w:hAnsi="宋体" w:eastAsia="宋体" w:cs="宋体"/>
                <w:bCs/>
                <w:kern w:val="0"/>
                <w:sz w:val="24"/>
                <w:szCs w:val="24"/>
              </w:rPr>
              <w:t>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O：0-400 ppm；</w:t>
            </w:r>
          </w:p>
          <w:p w14:paraId="09C5DB15">
            <w:pPr>
              <w:spacing w:line="360" w:lineRule="auto"/>
              <w:rPr>
                <w:rFonts w:hint="eastAsia" w:ascii="宋体" w:hAnsi="宋体" w:eastAsia="宋体" w:cs="宋体"/>
                <w:sz w:val="24"/>
                <w:szCs w:val="24"/>
              </w:rPr>
            </w:pPr>
            <w:r>
              <w:rPr>
                <w:rFonts w:hint="eastAsia" w:ascii="宋体" w:hAnsi="宋体" w:eastAsia="宋体" w:cs="宋体"/>
                <w:bCs/>
                <w:kern w:val="0"/>
                <w:sz w:val="24"/>
                <w:szCs w:val="24"/>
              </w:rPr>
              <w:t>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：0-2ppm；</w:t>
            </w:r>
          </w:p>
          <w:p w14:paraId="3FD59CC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H</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O：0-7%；</w:t>
            </w:r>
          </w:p>
          <w:p w14:paraId="79627EA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2.1.5 分析仪内置操作系统及其配套软件，无需单独配置主机及软件。</w:t>
            </w:r>
          </w:p>
          <w:p w14:paraId="1CD754E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 田间原位同步采样及多参数气体通量自动监测系统</w:t>
            </w:r>
          </w:p>
          <w:p w14:paraId="319EF3A9">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2.2.1 上电自启动控制软件，直接进入到自动循环运行状态，保证系统在室内或野外运行时的无人值守性和运行连续性；</w:t>
            </w:r>
          </w:p>
          <w:p w14:paraId="13B657D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2.2.2 系统配备多种运行模式，实现手动单点、自定义循环以及全自动运行三位一体；</w:t>
            </w:r>
          </w:p>
          <w:p w14:paraId="2F5CAA7B">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2.2.3 PC端可视化自定义操作控制同化箱以及取气装置的同步运行；</w:t>
            </w:r>
          </w:p>
          <w:p w14:paraId="31CAA63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2.2.4 系统提供多项参数自定义功能，例：单通道气体通量运行时长、通道间隔时长等；</w:t>
            </w:r>
          </w:p>
          <w:p w14:paraId="7AE20A6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2.2.5 系统配备PC及下位机，每个取样通道能够独立稳定运行；</w:t>
            </w:r>
          </w:p>
          <w:p w14:paraId="637AA8F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2.2.6 PC端配备独立数据库、并且预留多项接口；</w:t>
            </w:r>
          </w:p>
          <w:p w14:paraId="746CEC0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2.2.7 系统配备气体通量自动运算功能，可同时实现原始数据以及通量运算结果的自动存储；</w:t>
            </w:r>
          </w:p>
          <w:p w14:paraId="7367D8E0">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 田间大型作物群落同化箱</w:t>
            </w:r>
          </w:p>
          <w:p w14:paraId="7429D9B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★2.3.1 外形结构尺寸：开顶箱分上下两部分，可自由拆装组合，适合水稻、小麦等农作物的测量，高度≥1.5米；</w:t>
            </w:r>
          </w:p>
          <w:p w14:paraId="1A45A78E">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★2.3.2 系统流速：≥1 L/min；</w:t>
            </w:r>
          </w:p>
          <w:p w14:paraId="400E300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2.3.3 运动方式：电动推杆，功率≤35 W；</w:t>
            </w:r>
          </w:p>
          <w:p w14:paraId="34E645EB">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2.3.4气室开闭速度：≤20 s；</w:t>
            </w:r>
          </w:p>
          <w:p w14:paraId="4867AA19">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★2.3.5 气室混匀：≥2个直流防水风扇混匀；</w:t>
            </w:r>
          </w:p>
          <w:p w14:paraId="3A45E20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2.3.6 测量面积：≥2500 cm</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w:t>
            </w:r>
          </w:p>
          <w:p w14:paraId="37E994B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2.3.7 驱动推杆防水等级：≥IP68；</w:t>
            </w:r>
          </w:p>
          <w:p w14:paraId="1025CBC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2.3.8 混匀风扇防水等级：≥IP68；</w:t>
            </w:r>
          </w:p>
          <w:p w14:paraId="37B2D8B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2.3.9 采集控制电路板盒体防水等级：≥IP68；</w:t>
            </w:r>
          </w:p>
          <w:p w14:paraId="1336097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2.4 土壤温湿度传感器</w:t>
            </w:r>
          </w:p>
          <w:p w14:paraId="6E63ABC3">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2.4.1 水分范围：0-100%；</w:t>
            </w:r>
          </w:p>
          <w:p w14:paraId="359FBB2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★2.4.2 温度范围：-40-80 ℃，分辨率：0.1℃，准确度：±0.5 ℃；</w:t>
            </w:r>
            <w:r>
              <w:rPr>
                <w:rFonts w:hint="eastAsia" w:ascii="宋体" w:hAnsi="宋体" w:eastAsia="宋体" w:cs="宋体"/>
                <w:b/>
                <w:kern w:val="0"/>
                <w:sz w:val="24"/>
                <w:szCs w:val="24"/>
              </w:rPr>
              <w:t>（</w:t>
            </w:r>
            <w:r>
              <w:rPr>
                <w:rFonts w:hint="eastAsia" w:ascii="宋体" w:hAnsi="宋体" w:eastAsia="宋体" w:cs="宋体"/>
                <w:b/>
                <w:bCs/>
                <w:sz w:val="24"/>
                <w:szCs w:val="24"/>
              </w:rPr>
              <w:t>投标文件中提供证明材料</w:t>
            </w:r>
            <w:r>
              <w:rPr>
                <w:rFonts w:hint="eastAsia" w:ascii="宋体" w:hAnsi="宋体" w:eastAsia="宋体" w:cs="宋体"/>
                <w:b/>
                <w:kern w:val="0"/>
                <w:sz w:val="24"/>
                <w:szCs w:val="24"/>
              </w:rPr>
              <w:t>）</w:t>
            </w:r>
          </w:p>
          <w:p w14:paraId="4704895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2.4.3 电缆长度：≥20 m；</w:t>
            </w:r>
          </w:p>
          <w:p w14:paraId="3F57A6DD">
            <w:pPr>
              <w:keepNext/>
              <w:keepLine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2.5 集成服务要求：具有集成服务能力，能够完成整体系统的集成配套，实现田间多小区间的同步采气，并自动计算输出土壤-作物群落和大气界面的N</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O、CH</w:t>
            </w:r>
            <w:r>
              <w:rPr>
                <w:rFonts w:hint="eastAsia" w:ascii="宋体" w:hAnsi="宋体" w:eastAsia="宋体" w:cs="宋体"/>
                <w:bCs/>
                <w:kern w:val="0"/>
                <w:sz w:val="24"/>
                <w:szCs w:val="24"/>
                <w:vertAlign w:val="subscript"/>
              </w:rPr>
              <w:t>4</w:t>
            </w:r>
            <w:r>
              <w:rPr>
                <w:rFonts w:hint="eastAsia" w:ascii="宋体" w:hAnsi="宋体" w:eastAsia="宋体" w:cs="宋体"/>
                <w:bCs/>
                <w:kern w:val="0"/>
                <w:sz w:val="24"/>
                <w:szCs w:val="24"/>
              </w:rPr>
              <w:t>、CO</w:t>
            </w:r>
            <w:r>
              <w:rPr>
                <w:rFonts w:hint="eastAsia" w:ascii="宋体" w:hAnsi="宋体" w:eastAsia="宋体" w:cs="宋体"/>
                <w:bCs/>
                <w:kern w:val="0"/>
                <w:sz w:val="24"/>
                <w:szCs w:val="24"/>
                <w:vertAlign w:val="subscript"/>
              </w:rPr>
              <w:t>2</w:t>
            </w:r>
            <w:r>
              <w:rPr>
                <w:rFonts w:hint="eastAsia" w:ascii="宋体" w:hAnsi="宋体" w:eastAsia="宋体" w:cs="宋体"/>
                <w:bCs/>
                <w:kern w:val="0"/>
                <w:sz w:val="24"/>
                <w:szCs w:val="24"/>
              </w:rPr>
              <w:t>、NH</w:t>
            </w:r>
            <w:r>
              <w:rPr>
                <w:rFonts w:hint="eastAsia" w:ascii="宋体" w:hAnsi="宋体" w:eastAsia="宋体" w:cs="宋体"/>
                <w:bCs/>
                <w:kern w:val="0"/>
                <w:sz w:val="24"/>
                <w:szCs w:val="24"/>
                <w:vertAlign w:val="subscript"/>
              </w:rPr>
              <w:t>3</w:t>
            </w:r>
            <w:r>
              <w:rPr>
                <w:rFonts w:hint="eastAsia" w:ascii="宋体" w:hAnsi="宋体" w:eastAsia="宋体" w:cs="宋体"/>
                <w:bCs/>
                <w:kern w:val="0"/>
                <w:sz w:val="24"/>
                <w:szCs w:val="24"/>
              </w:rPr>
              <w:t>的排放通量；</w:t>
            </w:r>
          </w:p>
          <w:p w14:paraId="3F453D75">
            <w:pPr>
              <w:keepNext/>
              <w:keepLines/>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2.6 系统远程控制功能</w:t>
            </w:r>
          </w:p>
          <w:p w14:paraId="3703B0D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2.6.1 远程控制：通量自动监测系统PC端可以实现无线网路连接，基于已有远程控制软件，通过外网传输形式实现电脑、手机客户端对本系统的远程操控；</w:t>
            </w:r>
          </w:p>
          <w:p w14:paraId="15E7F67B">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2.6.2 数据传输：通过远程控制软件在控制电脑端可进行就地端软件数据的查看、下载；</w:t>
            </w:r>
          </w:p>
          <w:p w14:paraId="447B7B4E">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2.6.3 可视化展示：通过远程控制软件可在远程电脑端将就地端软件界面实时展示并进行相关操作；</w:t>
            </w:r>
          </w:p>
          <w:p w14:paraId="33E861BC">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3.配置要求：</w:t>
            </w:r>
          </w:p>
          <w:p w14:paraId="6E31FC2D">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 多参数气体分析仪1台；</w:t>
            </w:r>
          </w:p>
          <w:p w14:paraId="3131ABDD">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 ≥27英寸显示屏1个；</w:t>
            </w:r>
          </w:p>
          <w:p w14:paraId="740552DD">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3.3 键鼠套装1套；</w:t>
            </w:r>
          </w:p>
          <w:p w14:paraId="6158768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3.4 田间原位同步采样及多参数气体通量自动监测系统1套；</w:t>
            </w:r>
          </w:p>
          <w:p w14:paraId="2F1C5F8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3.5 田间大型作物群落同化箱4个；</w:t>
            </w:r>
          </w:p>
          <w:p w14:paraId="67FE7E9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3.6 配套连接管路4套；</w:t>
            </w:r>
          </w:p>
          <w:p w14:paraId="183B4D0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3.7 土壤温湿度传感器4套；</w:t>
            </w:r>
          </w:p>
          <w:p w14:paraId="007076A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3.8 配套开顶箱底座4套；</w:t>
            </w:r>
          </w:p>
          <w:p w14:paraId="359E38D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3.9 取气装置：16个；</w:t>
            </w:r>
          </w:p>
          <w:p w14:paraId="0FA9698E">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3.10 采样泵：4个；</w:t>
            </w:r>
          </w:p>
          <w:p w14:paraId="32D2A9A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 真空隔膜泵：1个；</w:t>
            </w:r>
          </w:p>
          <w:p w14:paraId="75DC674D">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3.12 电磁阀：24个；</w:t>
            </w:r>
          </w:p>
          <w:p w14:paraId="5017FABA">
            <w:pPr>
              <w:adjustRightInd w:val="0"/>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rPr>
              <w:t>3.13 数据远程传输系统1套。</w:t>
            </w:r>
          </w:p>
        </w:tc>
        <w:tc>
          <w:tcPr>
            <w:tcW w:w="1100" w:type="dxa"/>
            <w:noWrap w:val="0"/>
            <w:vAlign w:val="center"/>
          </w:tcPr>
          <w:p w14:paraId="1B87354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851" w:type="dxa"/>
            <w:noWrap w:val="0"/>
            <w:vAlign w:val="center"/>
          </w:tcPr>
          <w:p w14:paraId="4050C4B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917" w:type="dxa"/>
            <w:noWrap w:val="0"/>
            <w:vAlign w:val="center"/>
          </w:tcPr>
          <w:p w14:paraId="52C0408C">
            <w:pPr>
              <w:spacing w:line="360" w:lineRule="auto"/>
              <w:jc w:val="center"/>
              <w:rPr>
                <w:rFonts w:hint="eastAsia"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3913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3CF89A0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89" w:type="dxa"/>
            <w:noWrap w:val="0"/>
            <w:vAlign w:val="center"/>
          </w:tcPr>
          <w:p w14:paraId="4015A1A9">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热重分析系统</w:t>
            </w:r>
          </w:p>
        </w:tc>
        <w:tc>
          <w:tcPr>
            <w:tcW w:w="4938" w:type="dxa"/>
            <w:noWrap w:val="0"/>
            <w:vAlign w:val="top"/>
          </w:tcPr>
          <w:p w14:paraId="6B753469">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1.设备组成</w:t>
            </w:r>
          </w:p>
          <w:p w14:paraId="43C1EED3">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该系统由热重分析仪和逸出气体分析系统组成。</w:t>
            </w:r>
          </w:p>
          <w:p w14:paraId="258470BB">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2.工作条件</w:t>
            </w:r>
          </w:p>
          <w:p w14:paraId="720F9725">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2.1环境温度：0-40℃；</w:t>
            </w:r>
          </w:p>
          <w:p w14:paraId="624F318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2.2相对湿度：20-70%；</w:t>
            </w:r>
          </w:p>
          <w:p w14:paraId="2ADAC51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2.3电源规格：220V(AC)，50Hz。</w:t>
            </w:r>
          </w:p>
          <w:p w14:paraId="360D1D5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3.技术规格</w:t>
            </w:r>
          </w:p>
          <w:p w14:paraId="186B62B7">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3.1热重分析仪</w:t>
            </w:r>
          </w:p>
          <w:p w14:paraId="33ECB594">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3.1.1温度范围：RT-1100℃；</w:t>
            </w:r>
          </w:p>
          <w:p w14:paraId="71928C36">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★3.1.2系统结构：天平下置式的垂直结构，便于与傅立叶红外，质谱仪、气质联用；</w:t>
            </w:r>
            <w:r>
              <w:rPr>
                <w:rFonts w:hint="eastAsia" w:ascii="宋体" w:hAnsi="宋体" w:eastAsia="宋体" w:cs="宋体"/>
                <w:b/>
                <w:kern w:val="0"/>
                <w:sz w:val="24"/>
                <w:szCs w:val="24"/>
              </w:rPr>
              <w:t>（投标文件中提供证明材料）</w:t>
            </w:r>
          </w:p>
          <w:p w14:paraId="7DF6508C">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3.1.3天平类型：电子天平，内置校正砝码；</w:t>
            </w:r>
          </w:p>
          <w:p w14:paraId="3A9A963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★3.1.4样品最大重量：≥2g；</w:t>
            </w:r>
            <w:r>
              <w:rPr>
                <w:rFonts w:hint="eastAsia" w:ascii="宋体" w:hAnsi="宋体" w:eastAsia="宋体" w:cs="宋体"/>
                <w:b/>
                <w:kern w:val="0"/>
                <w:sz w:val="24"/>
                <w:szCs w:val="24"/>
              </w:rPr>
              <w:t>（投标文件中提供证明材料）</w:t>
            </w:r>
          </w:p>
          <w:p w14:paraId="233B73B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★3.1.5天平分辩率：≤0.1μg；</w:t>
            </w:r>
            <w:r>
              <w:rPr>
                <w:rFonts w:hint="eastAsia" w:ascii="宋体" w:hAnsi="宋体" w:eastAsia="宋体" w:cs="宋体"/>
                <w:b/>
                <w:kern w:val="0"/>
                <w:sz w:val="24"/>
                <w:szCs w:val="24"/>
              </w:rPr>
              <w:t>（投标文件中提供证明材料）</w:t>
            </w:r>
          </w:p>
          <w:p w14:paraId="64AABA2E">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★3.1.6仪器真空度:≤10</w:t>
            </w:r>
            <w:r>
              <w:rPr>
                <w:rFonts w:hint="eastAsia" w:ascii="宋体" w:hAnsi="宋体" w:eastAsia="宋体" w:cs="宋体"/>
                <w:bCs/>
                <w:kern w:val="0"/>
                <w:sz w:val="24"/>
                <w:szCs w:val="24"/>
                <w:vertAlign w:val="superscript"/>
              </w:rPr>
              <w:t>-2</w:t>
            </w:r>
            <w:r>
              <w:rPr>
                <w:rFonts w:hint="eastAsia" w:ascii="宋体" w:hAnsi="宋体" w:eastAsia="宋体" w:cs="宋体"/>
                <w:bCs/>
                <w:kern w:val="0"/>
                <w:sz w:val="24"/>
                <w:szCs w:val="24"/>
              </w:rPr>
              <w:t xml:space="preserve"> mbar；</w:t>
            </w:r>
            <w:r>
              <w:rPr>
                <w:rFonts w:hint="eastAsia" w:ascii="宋体" w:hAnsi="宋体" w:eastAsia="宋体" w:cs="宋体"/>
                <w:b/>
                <w:kern w:val="0"/>
                <w:sz w:val="24"/>
                <w:szCs w:val="24"/>
              </w:rPr>
              <w:t>（投标文件中提供证明材料）</w:t>
            </w:r>
          </w:p>
          <w:p w14:paraId="336AB33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3.1.7线性升温速度：0.001—200K/min；</w:t>
            </w:r>
          </w:p>
          <w:p w14:paraId="4F444E2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3.1.8差热技术：可以用于校正仪器温度，并能检测样品的差热效应；</w:t>
            </w:r>
          </w:p>
          <w:p w14:paraId="35CFB753">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3.1.9基线修正：自动实现智能化的热重基线校正；</w:t>
            </w:r>
          </w:p>
          <w:p w14:paraId="1DA80A7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3.1.10温度准确度：±0.3℃；</w:t>
            </w:r>
          </w:p>
          <w:p w14:paraId="14BC504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3.1.11后续可以升级为自动进样系统；</w:t>
            </w:r>
          </w:p>
          <w:p w14:paraId="5A3CD2A1">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3.1.12测试气氛：惰性、氧化、还原、真空；</w:t>
            </w:r>
          </w:p>
          <w:p w14:paraId="07A792A7">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3.1.13气体切换功能：自动气体切换，质量流量计；</w:t>
            </w:r>
          </w:p>
          <w:p w14:paraId="6429DECD">
            <w:pPr>
              <w:adjustRightInd w:val="0"/>
              <w:snapToGrid w:val="0"/>
              <w:spacing w:line="360" w:lineRule="auto"/>
              <w:jc w:val="lef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3.1.14测试图谱自动分析功能：可实现自动数据分析</w:t>
            </w:r>
            <w:r>
              <w:rPr>
                <w:rFonts w:hint="eastAsia" w:ascii="宋体" w:hAnsi="宋体" w:eastAsia="宋体" w:cs="宋体"/>
                <w:bCs/>
                <w:kern w:val="0"/>
                <w:sz w:val="24"/>
                <w:szCs w:val="24"/>
                <w:lang w:eastAsia="zh-CN"/>
              </w:rPr>
              <w:t>；</w:t>
            </w:r>
          </w:p>
          <w:p w14:paraId="0301D76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3.1.15软件：中英文测试、分析软件；</w:t>
            </w:r>
          </w:p>
          <w:p w14:paraId="643388F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3.2逸出气体分析系统</w:t>
            </w:r>
          </w:p>
          <w:p w14:paraId="75D5AB20">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★3.2.1逸出气体分析（EGA）：与红外光谱（FTIR）联用，热分析软件可以直接同步触发红外测量软件，无需同步触发器；红外数据可以导入热分析分析软件中；</w:t>
            </w:r>
            <w:r>
              <w:rPr>
                <w:rFonts w:hint="eastAsia" w:ascii="宋体" w:hAnsi="宋体" w:eastAsia="宋体" w:cs="宋体"/>
                <w:b/>
                <w:kern w:val="0"/>
                <w:sz w:val="24"/>
                <w:szCs w:val="24"/>
              </w:rPr>
              <w:t>（投标文件中提供证明材料）</w:t>
            </w:r>
          </w:p>
          <w:p w14:paraId="064AC215">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3.2.2 热红接口要求：</w:t>
            </w:r>
          </w:p>
          <w:p w14:paraId="6A60CA20">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★3.2.2.1内置式热重-红外联用接口，符合空气动力学的三级压力梯度设计，载气流速小(10-20 ml/min)，直插式结构；</w:t>
            </w:r>
            <w:r>
              <w:rPr>
                <w:rFonts w:hint="eastAsia" w:ascii="宋体" w:hAnsi="宋体" w:eastAsia="宋体" w:cs="宋体"/>
                <w:b/>
                <w:kern w:val="0"/>
                <w:sz w:val="24"/>
                <w:szCs w:val="24"/>
              </w:rPr>
              <w:t>（投标文件中提供证明材料）</w:t>
            </w:r>
          </w:p>
          <w:p w14:paraId="5924444F">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★3.2.2.2不绣钢气体池设计，光程长</w:t>
            </w:r>
            <w:r>
              <w:rPr>
                <w:rFonts w:hint="eastAsia" w:ascii="宋体" w:hAnsi="宋体" w:eastAsia="宋体" w:cs="宋体"/>
                <w:bCs/>
                <w:kern w:val="0"/>
                <w:sz w:val="24"/>
                <w:szCs w:val="24"/>
                <w:lang w:val="en-US" w:eastAsia="zh-CN"/>
              </w:rPr>
              <w:t>约</w:t>
            </w:r>
            <w:r>
              <w:rPr>
                <w:rFonts w:hint="eastAsia" w:ascii="宋体" w:hAnsi="宋体" w:eastAsia="宋体" w:cs="宋体"/>
                <w:bCs/>
                <w:kern w:val="0"/>
                <w:sz w:val="24"/>
                <w:szCs w:val="24"/>
              </w:rPr>
              <w:t>123mm，气体池体积≤15ml；</w:t>
            </w:r>
            <w:r>
              <w:rPr>
                <w:rFonts w:hint="eastAsia" w:ascii="宋体" w:hAnsi="宋体" w:eastAsia="宋体" w:cs="宋体"/>
                <w:b/>
                <w:kern w:val="0"/>
                <w:sz w:val="24"/>
                <w:szCs w:val="24"/>
              </w:rPr>
              <w:t>（投标文件中提供证明材料）</w:t>
            </w:r>
          </w:p>
          <w:p w14:paraId="6622CAAA">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★3.2.2.3最高可保持温度：室温到370℃，包括气体池、接口以及热传输线；</w:t>
            </w:r>
            <w:r>
              <w:rPr>
                <w:rFonts w:hint="eastAsia" w:ascii="宋体" w:hAnsi="宋体" w:eastAsia="宋体" w:cs="宋体"/>
                <w:b/>
                <w:kern w:val="0"/>
                <w:sz w:val="24"/>
                <w:szCs w:val="24"/>
              </w:rPr>
              <w:t>（投标文件中提供证明材料）</w:t>
            </w:r>
          </w:p>
          <w:p w14:paraId="05A604F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3.2.3 热红联用软件包及3D数据处理软件包；</w:t>
            </w:r>
          </w:p>
          <w:p w14:paraId="096C1F42">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3.3.4控制终端</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投标人需在投标响应表6.2技术响应表中列出所投产品品牌和型号，否则视为本条参数未响应</w:t>
            </w:r>
            <w:r>
              <w:rPr>
                <w:rFonts w:hint="eastAsia" w:ascii="宋体" w:hAnsi="宋体" w:eastAsia="宋体" w:cs="宋体"/>
                <w:b/>
                <w:bCs/>
                <w:sz w:val="24"/>
                <w:szCs w:val="24"/>
              </w:rPr>
              <w:t>）</w:t>
            </w:r>
            <w:r>
              <w:rPr>
                <w:rFonts w:hint="eastAsia" w:ascii="宋体" w:hAnsi="宋体" w:eastAsia="宋体" w:cs="宋体"/>
                <w:bCs/>
                <w:kern w:val="0"/>
                <w:sz w:val="24"/>
                <w:szCs w:val="24"/>
              </w:rPr>
              <w:t>1套:不低于12G内存，500G硬盘，独立显卡、21英寸显示屏，DVD-RW。</w:t>
            </w:r>
          </w:p>
          <w:p w14:paraId="5228D4F0">
            <w:pPr>
              <w:adjustRightInd w:val="0"/>
              <w:snapToGri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4.配置清单</w:t>
            </w:r>
          </w:p>
          <w:p w14:paraId="7BE197B2">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4.1热重分析仪主机单元×一套；</w:t>
            </w:r>
          </w:p>
          <w:p w14:paraId="50EECD4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4.2氧化铝样品支架系统×一套；</w:t>
            </w:r>
          </w:p>
          <w:p w14:paraId="4A78F76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4.3质量流量计：3路气体输入，2路输出×一套；</w:t>
            </w:r>
          </w:p>
          <w:p w14:paraId="3ED190A7">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4.4自动双级转子泵：4 m³/h，软件控制，带电磁阀和连接件×一套</w:t>
            </w:r>
            <w:r>
              <w:rPr>
                <w:rFonts w:hint="eastAsia" w:ascii="宋体" w:hAnsi="宋体" w:eastAsia="宋体" w:cs="宋体"/>
                <w:sz w:val="24"/>
                <w:szCs w:val="24"/>
                <w:lang w:eastAsia="zh-CN"/>
              </w:rPr>
              <w:t>；</w:t>
            </w:r>
          </w:p>
          <w:p w14:paraId="2886788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4.5标准样品：6种，In,Sn,Bi,Zn,Al,Ag，并附纯度证明×一套；</w:t>
            </w:r>
          </w:p>
          <w:p w14:paraId="2DA4E3A8">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4.6恒温水浴：制冷功率440W(20℃)，加热功率2000W×一套；</w:t>
            </w:r>
          </w:p>
          <w:p w14:paraId="6BF37CA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4.7热红联用系统</w:t>
            </w:r>
          </w:p>
          <w:p w14:paraId="255BBA4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4.7.1热红联用接口×一套；</w:t>
            </w:r>
          </w:p>
          <w:p w14:paraId="29D956C0">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4.7.2红外传输管线×一套；</w:t>
            </w:r>
          </w:p>
          <w:p w14:paraId="29ABA77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4.7.3四通道温控器×一套；</w:t>
            </w:r>
          </w:p>
          <w:p w14:paraId="2425684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4.7.4热红联用软件×一套；</w:t>
            </w:r>
          </w:p>
          <w:p w14:paraId="569AE9F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4.8高级软件包：自动基线修正功能、DTA功能、图谱自动分析功能、及图谱自动鉴别功能×一套；</w:t>
            </w:r>
          </w:p>
          <w:p w14:paraId="0DAB6D1E">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4.9测试和分析软件×一套；</w:t>
            </w:r>
          </w:p>
          <w:p w14:paraId="59559623">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4.10氧化铝坩埚×200套；</w:t>
            </w:r>
          </w:p>
          <w:p w14:paraId="5B5B91C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4.11安装、调试工具×一套；</w:t>
            </w:r>
          </w:p>
          <w:p w14:paraId="705A367B">
            <w:pPr>
              <w:adjustRightInd w:val="0"/>
              <w:snapToGrid w:val="0"/>
              <w:spacing w:line="360" w:lineRule="auto"/>
              <w:jc w:val="left"/>
              <w:rPr>
                <w:rFonts w:hint="eastAsia" w:ascii="宋体" w:hAnsi="宋体" w:eastAsia="宋体" w:cs="宋体"/>
                <w:bCs/>
                <w:kern w:val="0"/>
                <w:sz w:val="24"/>
                <w:szCs w:val="24"/>
                <w:lang w:val="en-US" w:eastAsia="zh-CN" w:bidi="ar-SA"/>
              </w:rPr>
            </w:pPr>
            <w:r>
              <w:rPr>
                <w:rFonts w:hint="eastAsia" w:ascii="宋体" w:hAnsi="宋体" w:eastAsia="宋体" w:cs="宋体"/>
                <w:sz w:val="24"/>
                <w:szCs w:val="24"/>
              </w:rPr>
              <w:t>4.12控制终端×一套。</w:t>
            </w:r>
          </w:p>
        </w:tc>
        <w:tc>
          <w:tcPr>
            <w:tcW w:w="1100" w:type="dxa"/>
            <w:noWrap w:val="0"/>
            <w:vAlign w:val="center"/>
          </w:tcPr>
          <w:p w14:paraId="21AB30E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851" w:type="dxa"/>
            <w:noWrap w:val="0"/>
            <w:vAlign w:val="center"/>
          </w:tcPr>
          <w:p w14:paraId="4A55E40E">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17" w:type="dxa"/>
            <w:noWrap w:val="0"/>
            <w:vAlign w:val="center"/>
          </w:tcPr>
          <w:p w14:paraId="74505C18">
            <w:pPr>
              <w:spacing w:line="360" w:lineRule="auto"/>
              <w:jc w:val="center"/>
              <w:rPr>
                <w:rFonts w:hint="eastAsia" w:ascii="宋体" w:hAnsi="宋体" w:eastAsia="宋体" w:cs="宋体"/>
                <w:sz w:val="24"/>
                <w:szCs w:val="24"/>
              </w:rPr>
            </w:pPr>
            <w:r>
              <w:rPr>
                <w:rFonts w:hint="eastAsia" w:ascii="宋体" w:hAnsi="宋体" w:eastAsia="宋体" w:cs="宋体"/>
                <w:bCs/>
                <w:kern w:val="0"/>
                <w:sz w:val="24"/>
                <w:szCs w:val="24"/>
                <w:lang w:val="en-US" w:eastAsia="zh-CN"/>
              </w:rPr>
              <w:t>进口</w:t>
            </w:r>
          </w:p>
        </w:tc>
      </w:tr>
      <w:tr w14:paraId="1E50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0B93DB28">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1289" w:type="dxa"/>
            <w:noWrap w:val="0"/>
            <w:vAlign w:val="center"/>
          </w:tcPr>
          <w:p w14:paraId="6EDC460E">
            <w:pPr>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离子色谱仪</w:t>
            </w:r>
          </w:p>
        </w:tc>
        <w:tc>
          <w:tcPr>
            <w:tcW w:w="4938" w:type="dxa"/>
            <w:noWrap w:val="0"/>
            <w:vAlign w:val="top"/>
          </w:tcPr>
          <w:p w14:paraId="676BF2CD">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1.应用范围：适用于样品中阴阳离子、有机酸及有机胺类物质的分析。</w:t>
            </w:r>
          </w:p>
          <w:p w14:paraId="79D4D2F7">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2.技术要求</w:t>
            </w:r>
          </w:p>
          <w:p w14:paraId="39A74C7B">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 离子色谱系统，包括高压PEEK泵，内置电动六通阀，保护柱，分析柱，阴阳离子抑制器和电导检测器，整个系统兼容Viper（零死体积）接头及管线；</w:t>
            </w:r>
          </w:p>
          <w:p w14:paraId="5EAAD1B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2.1.1 配备漏液传感器，实时监控泵、色谱柱、六通阀、电导检测器及管路的连接状态，兼容Viper接头及管线；</w:t>
            </w:r>
          </w:p>
          <w:p w14:paraId="083097F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★2.1.2 主机内置数字式气压调节器，且软件可记录；</w:t>
            </w:r>
            <w:r>
              <w:rPr>
                <w:rFonts w:hint="eastAsia" w:ascii="宋体" w:hAnsi="宋体" w:eastAsia="宋体" w:cs="宋体"/>
                <w:b/>
                <w:bCs/>
                <w:kern w:val="0"/>
                <w:sz w:val="24"/>
                <w:szCs w:val="24"/>
              </w:rPr>
              <w:t>（投标文件中提供软件功能截图）</w:t>
            </w:r>
            <w:r>
              <w:rPr>
                <w:rFonts w:hint="eastAsia" w:ascii="宋体" w:hAnsi="宋体" w:eastAsia="宋体" w:cs="宋体"/>
                <w:kern w:val="0"/>
                <w:sz w:val="24"/>
                <w:szCs w:val="24"/>
              </w:rPr>
              <w:t>；</w:t>
            </w:r>
          </w:p>
          <w:p w14:paraId="7F587D72">
            <w:pPr>
              <w:keepNext/>
              <w:keepLines/>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2.1.3 淋洗液监视器：根据淋洗液使用情况，自动实时发出绿色或红色警报；</w:t>
            </w:r>
          </w:p>
          <w:p w14:paraId="1A39676F">
            <w:pPr>
              <w:keepNext/>
              <w:keepLines/>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2.1.4 可视化功能：无需打开任何部件，即可观察抑制器等的工作状态及管路连接情况。</w:t>
            </w:r>
          </w:p>
          <w:p w14:paraId="62983482">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 泵</w:t>
            </w:r>
          </w:p>
          <w:p w14:paraId="20071052">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2.2.1 高性能/低脉冲高压双柱塞泵；</w:t>
            </w:r>
          </w:p>
          <w:p w14:paraId="20EA28D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2.2.2 流速范围：0.00-5.00 mL/min；</w:t>
            </w:r>
          </w:p>
          <w:p w14:paraId="7AA84D4B">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2.2.3 最大耐压：≥35 MPa（5000psi）；</w:t>
            </w:r>
          </w:p>
          <w:p w14:paraId="2D49901F">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2.2.4 压力脉冲：≤1.0%；</w:t>
            </w:r>
          </w:p>
          <w:p w14:paraId="725C117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2.2.5 配备泵前真空脱气。</w:t>
            </w:r>
          </w:p>
          <w:p w14:paraId="06619041">
            <w:pPr>
              <w:keepNext/>
              <w:keepLines/>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★2.2.6 流量设定值误差：≤0.1%；流量稳定性：≤0.1%；</w:t>
            </w:r>
            <w:r>
              <w:rPr>
                <w:rFonts w:hint="eastAsia" w:ascii="宋体" w:hAnsi="宋体" w:eastAsia="宋体" w:cs="宋体"/>
                <w:b/>
                <w:bCs/>
                <w:kern w:val="0"/>
                <w:sz w:val="24"/>
                <w:szCs w:val="24"/>
              </w:rPr>
              <w:t>（投标文件中提供证明材料）；</w:t>
            </w:r>
          </w:p>
          <w:p w14:paraId="05766326">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2.2.7 配备淋洗液截止阀；</w:t>
            </w:r>
          </w:p>
          <w:p w14:paraId="480B1DC0">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★2.2.8 密封圈清洗：独立的在线密封圈清洗室。</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投标文件中</w:t>
            </w:r>
            <w:r>
              <w:rPr>
                <w:rFonts w:hint="eastAsia" w:ascii="宋体" w:hAnsi="宋体" w:eastAsia="宋体" w:cs="宋体"/>
                <w:b/>
                <w:bCs/>
                <w:kern w:val="0"/>
                <w:sz w:val="24"/>
                <w:szCs w:val="24"/>
              </w:rPr>
              <w:t>提供密封圈清洗室图片或软件截图</w:t>
            </w:r>
            <w:r>
              <w:rPr>
                <w:rFonts w:hint="eastAsia" w:ascii="宋体" w:hAnsi="宋体" w:eastAsia="宋体" w:cs="宋体"/>
                <w:b/>
                <w:bCs/>
                <w:kern w:val="0"/>
                <w:sz w:val="24"/>
                <w:szCs w:val="24"/>
                <w:lang w:eastAsia="zh-CN"/>
              </w:rPr>
              <w:t>）</w:t>
            </w:r>
          </w:p>
          <w:p w14:paraId="3103352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 色谱分析柱</w:t>
            </w:r>
          </w:p>
          <w:p w14:paraId="3CB4E368">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 配备高效高容量阴离子分离柱及保护柱，塑料非金属外壳。</w:t>
            </w:r>
          </w:p>
          <w:p w14:paraId="156E4297">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2.3.1.1 乙基乙烯基苯/二乙烯基苯聚合物填料，键和烷醇季铵基官能团，兼容氢氧根淋洗液梯度洗脱；</w:t>
            </w:r>
          </w:p>
          <w:p w14:paraId="6454125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2.3.1.2 耐受0-14的pH工作范围，且最大耐压不小于3000 psi，且耐受2.0 mL/min及以上的流速，并且柱容量不小于200μeq/根；</w:t>
            </w:r>
          </w:p>
          <w:p w14:paraId="4E903351">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2.3.1.3 Cl</w:t>
            </w:r>
            <w:r>
              <w:rPr>
                <w:rFonts w:hint="eastAsia" w:ascii="宋体" w:hAnsi="宋体" w:eastAsia="宋体" w:cs="宋体"/>
                <w:kern w:val="0"/>
                <w:sz w:val="24"/>
                <w:szCs w:val="24"/>
                <w:vertAlign w:val="superscript"/>
              </w:rPr>
              <w:t>-</w:t>
            </w:r>
            <w:r>
              <w:rPr>
                <w:rFonts w:hint="eastAsia" w:ascii="宋体" w:hAnsi="宋体" w:eastAsia="宋体" w:cs="宋体"/>
                <w:kern w:val="0"/>
                <w:sz w:val="24"/>
                <w:szCs w:val="24"/>
              </w:rPr>
              <w:t>：NO</w:t>
            </w:r>
            <w:r>
              <w:rPr>
                <w:rFonts w:hint="eastAsia" w:ascii="宋体" w:hAnsi="宋体" w:eastAsia="宋体" w:cs="宋体"/>
                <w:kern w:val="0"/>
                <w:sz w:val="24"/>
                <w:szCs w:val="24"/>
                <w:vertAlign w:val="subscript"/>
              </w:rPr>
              <w:t>2</w:t>
            </w:r>
            <w:r>
              <w:rPr>
                <w:rFonts w:hint="eastAsia" w:ascii="宋体" w:hAnsi="宋体" w:eastAsia="宋体" w:cs="宋体"/>
                <w:kern w:val="0"/>
                <w:sz w:val="24"/>
                <w:szCs w:val="24"/>
                <w:vertAlign w:val="superscript"/>
              </w:rPr>
              <w:t>-</w:t>
            </w:r>
            <w:r>
              <w:rPr>
                <w:rFonts w:hint="eastAsia" w:ascii="宋体" w:hAnsi="宋体" w:eastAsia="宋体" w:cs="宋体"/>
                <w:kern w:val="0"/>
                <w:sz w:val="24"/>
                <w:szCs w:val="24"/>
              </w:rPr>
              <w:t>的分离能力可达到10000:1，适用于高氯基体样品中痕量亚硝酸盐的分析；</w:t>
            </w:r>
          </w:p>
          <w:p w14:paraId="3458B1B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2.3.1.4 一针进样同时检测七种离子：氟、氯、溴、亚硝酸根、硝酸根、硫酸根、磷酸根，且一针样品分析时间不大于7分钟，七种离子均可达到基线分离，分离度均大于1.5。需提供与仪器同品牌的色谱柱测试图谱。</w:t>
            </w:r>
            <w:r>
              <w:rPr>
                <w:rFonts w:hint="eastAsia" w:ascii="宋体" w:hAnsi="宋体" w:eastAsia="宋体" w:cs="宋体"/>
                <w:b/>
                <w:bCs/>
                <w:kern w:val="0"/>
                <w:sz w:val="24"/>
                <w:szCs w:val="24"/>
              </w:rPr>
              <w:t>（投标文件中提供证明材料）</w:t>
            </w:r>
          </w:p>
          <w:p w14:paraId="7D159C24">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2.3.2 配备高效高容量阳离子分离柱及保护柱，塑料非金属外壳。</w:t>
            </w:r>
          </w:p>
          <w:p w14:paraId="576379AD">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2.3.2.1 乙基乙烯基苯/二乙烯基苯聚合物填料，键和羧酸基或磷酸基官能团，兼容甲基磺酸淋洗液梯度洗脱。</w:t>
            </w:r>
          </w:p>
          <w:p w14:paraId="5C23DF1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2.3.2.2 最大耐压不小于3000 psi，且耐受1.5 mL/min及以上的流速，且柱容量不小于1000μeq/根；</w:t>
            </w:r>
          </w:p>
          <w:p w14:paraId="599288C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2.3.2.3 一针进样同时检测六种离子：锂、铵、钠、钾、镁、钙，且一针样品分析时间不大于5分钟，六种离子均可达到基线分离，分离度均大于1.5。需提供与仪器同品牌的色谱柱测试图谱。</w:t>
            </w:r>
            <w:r>
              <w:rPr>
                <w:rFonts w:hint="eastAsia" w:ascii="宋体" w:hAnsi="宋体" w:eastAsia="宋体" w:cs="宋体"/>
                <w:b/>
                <w:bCs/>
                <w:kern w:val="0"/>
                <w:sz w:val="24"/>
                <w:szCs w:val="24"/>
              </w:rPr>
              <w:t>（投标文件中提供证明材料）</w:t>
            </w:r>
          </w:p>
          <w:p w14:paraId="436DD9BF">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2.3.2.4 Na</w:t>
            </w:r>
            <w:r>
              <w:rPr>
                <w:rFonts w:hint="eastAsia" w:ascii="宋体" w:hAnsi="宋体" w:eastAsia="宋体" w:cs="宋体"/>
                <w:kern w:val="0"/>
                <w:sz w:val="24"/>
                <w:szCs w:val="24"/>
                <w:vertAlign w:val="superscript"/>
              </w:rPr>
              <w:t>+</w:t>
            </w:r>
            <w:r>
              <w:rPr>
                <w:rFonts w:hint="eastAsia" w:ascii="宋体" w:hAnsi="宋体" w:eastAsia="宋体" w:cs="宋体"/>
                <w:kern w:val="0"/>
                <w:sz w:val="24"/>
                <w:szCs w:val="24"/>
              </w:rPr>
              <w:t>：NH</w:t>
            </w:r>
            <w:r>
              <w:rPr>
                <w:rFonts w:hint="eastAsia" w:ascii="宋体" w:hAnsi="宋体" w:eastAsia="宋体" w:cs="宋体"/>
                <w:kern w:val="0"/>
                <w:sz w:val="24"/>
                <w:szCs w:val="24"/>
                <w:vertAlign w:val="subscript"/>
              </w:rPr>
              <w:t>4</w:t>
            </w:r>
            <w:r>
              <w:rPr>
                <w:rFonts w:hint="eastAsia" w:ascii="宋体" w:hAnsi="宋体" w:eastAsia="宋体" w:cs="宋体"/>
                <w:kern w:val="0"/>
                <w:sz w:val="24"/>
                <w:szCs w:val="24"/>
                <w:vertAlign w:val="superscript"/>
              </w:rPr>
              <w:t>+</w:t>
            </w:r>
            <w:r>
              <w:rPr>
                <w:rFonts w:hint="eastAsia" w:ascii="宋体" w:hAnsi="宋体" w:eastAsia="宋体" w:cs="宋体"/>
                <w:kern w:val="0"/>
                <w:sz w:val="24"/>
                <w:szCs w:val="24"/>
              </w:rPr>
              <w:t>的分离能力可达到10000:1，适用于高钠基体样品中痕量铵根的分析；</w:t>
            </w:r>
          </w:p>
          <w:p w14:paraId="2D660380">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 柱温箱</w:t>
            </w:r>
          </w:p>
          <w:p w14:paraId="58AAE083">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2.4.1 设置范围：10℃-60℃。（最低为环境+5℃）</w:t>
            </w:r>
          </w:p>
          <w:p w14:paraId="6B5A91DF">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2.4.2 具有样品和淋洗液预加热功能。</w:t>
            </w:r>
          </w:p>
          <w:p w14:paraId="43E8650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 抑制器</w:t>
            </w:r>
          </w:p>
          <w:p w14:paraId="34608B89">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 配备阴离子电解抑制器</w:t>
            </w:r>
          </w:p>
          <w:p w14:paraId="2D4FF4A7">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2.5.1.1 抑制背景总电导小于5.0 μS（针对氢氧根体系）；</w:t>
            </w:r>
          </w:p>
          <w:p w14:paraId="44768EE8">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2.5.1.2 自动电解连续再生微膜抑制器；无需外加酸（包括但不限于硫酸、硝酸、盐酸、甲基磺酸等）进行化学再生；</w:t>
            </w:r>
          </w:p>
          <w:p w14:paraId="111154DA">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2.5.1.3 抑制器容量200 mM氢氧化钠或氢氧化钾，1.0 mL/min流速，至少持续30 min；提供多种抑制模式，自循环电抑制、外接水模式等；</w:t>
            </w:r>
          </w:p>
          <w:p w14:paraId="774B02AE">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2.5.1.4 所有样品和标样均通过同一抑制器，且淋洗液与再生液通道完全独立；</w:t>
            </w:r>
          </w:p>
          <w:p w14:paraId="7C33C208">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2.5.2 配备阳离子电解抑制器</w:t>
            </w:r>
          </w:p>
          <w:p w14:paraId="4AA0FBF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2.5.2.1 抑制背景总电导小于5.0μs；</w:t>
            </w:r>
          </w:p>
          <w:p w14:paraId="14A58AF0">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2.5.2.2 自动电解连续再生微膜抑制器，无需外加再生液（碳酸钠/碳酸氢钠）进行化学再生；</w:t>
            </w:r>
          </w:p>
          <w:p w14:paraId="6B69061B">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2.5.2.3 抑制器容量100 mM甲基磺酸，1.0 mL/min流速，至少持续30 min。</w:t>
            </w:r>
          </w:p>
          <w:p w14:paraId="5345C6A7">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 电导检测器</w:t>
            </w:r>
          </w:p>
          <w:p w14:paraId="0146F2DE">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2.6.1 全程信号输出范围：0-18000 μs/cm。</w:t>
            </w:r>
          </w:p>
          <w:p w14:paraId="0116F948">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2.6.2 电导池控温范围：15℃-60℃。（最低为环境+7℃）；</w:t>
            </w:r>
            <w:r>
              <w:rPr>
                <w:rFonts w:hint="eastAsia" w:ascii="宋体" w:hAnsi="宋体" w:eastAsia="宋体" w:cs="宋体"/>
                <w:b/>
                <w:bCs/>
                <w:kern w:val="0"/>
                <w:sz w:val="24"/>
                <w:szCs w:val="24"/>
              </w:rPr>
              <w:t>（投标文件中提供证明材料）</w:t>
            </w:r>
          </w:p>
          <w:p w14:paraId="67E732B6">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2.6.3 电导池电极材料：钝化316不锈钢，电导池体材料：化学惰性聚合材料。</w:t>
            </w:r>
          </w:p>
          <w:p w14:paraId="772303BE">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2.6.4 检测器分辨率：≤0.002 nS/cm，检测器耐受最大压力：≥8 MPa；</w:t>
            </w:r>
            <w:r>
              <w:rPr>
                <w:rFonts w:hint="eastAsia" w:ascii="宋体" w:hAnsi="宋体" w:eastAsia="宋体" w:cs="宋体"/>
                <w:b/>
                <w:bCs/>
                <w:kern w:val="0"/>
                <w:sz w:val="24"/>
                <w:szCs w:val="24"/>
              </w:rPr>
              <w:t>（投标文件中提供证明材料）</w:t>
            </w:r>
          </w:p>
          <w:p w14:paraId="367E51F9">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★2.6.5 信号采集频率：不低于90 Hz，色谱图上显示的采集点数每秒不小于90个；</w:t>
            </w:r>
            <w:r>
              <w:rPr>
                <w:rFonts w:hint="eastAsia" w:ascii="宋体" w:hAnsi="宋体" w:eastAsia="宋体" w:cs="宋体"/>
                <w:b/>
                <w:bCs/>
                <w:kern w:val="0"/>
                <w:sz w:val="24"/>
                <w:szCs w:val="24"/>
              </w:rPr>
              <w:t>（投标文件中提供证明材料）</w:t>
            </w:r>
          </w:p>
          <w:p w14:paraId="516D8BBD">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2.7 在线电解淋洗液发生器</w:t>
            </w:r>
          </w:p>
          <w:p w14:paraId="41A32EBF">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2.7.1 洗液发生罐耐压5000 psi，兼容高压色谱柱；</w:t>
            </w:r>
          </w:p>
          <w:p w14:paraId="068E25BA">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★2.7.2 梯度精度：≤0.2%，投标时需提供0.1-100 mmol/L KOH的梯度色谱图及6针重复性谱图；</w:t>
            </w:r>
            <w:r>
              <w:rPr>
                <w:rFonts w:hint="eastAsia" w:ascii="宋体" w:hAnsi="宋体" w:eastAsia="宋体" w:cs="宋体"/>
                <w:b/>
                <w:bCs/>
                <w:kern w:val="0"/>
                <w:sz w:val="24"/>
                <w:szCs w:val="24"/>
              </w:rPr>
              <w:t>（投标文件中提供证明材料）</w:t>
            </w:r>
          </w:p>
          <w:p w14:paraId="0418136A">
            <w:pPr>
              <w:widowControl/>
              <w:adjustRightInd w:val="0"/>
              <w:snapToGrid w:val="0"/>
              <w:spacing w:line="360" w:lineRule="auto"/>
              <w:jc w:val="left"/>
              <w:rPr>
                <w:rFonts w:hint="eastAsia" w:ascii="宋体" w:hAnsi="宋体" w:eastAsia="宋体" w:cs="宋体"/>
                <w:b/>
                <w:bCs/>
                <w:kern w:val="0"/>
                <w:sz w:val="24"/>
                <w:szCs w:val="24"/>
              </w:rPr>
            </w:pPr>
            <w:r>
              <w:rPr>
                <w:rFonts w:hint="eastAsia" w:ascii="宋体" w:hAnsi="宋体" w:eastAsia="宋体" w:cs="宋体"/>
                <w:kern w:val="0"/>
                <w:sz w:val="24"/>
                <w:szCs w:val="24"/>
              </w:rPr>
              <w:t>2.7.3 梯度准确度：≤0.2%；</w:t>
            </w:r>
          </w:p>
          <w:p w14:paraId="5BD4C77D">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2.8 软件</w:t>
            </w:r>
          </w:p>
          <w:p w14:paraId="473C6234">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2.8.1 基于数据库设计的数据处理功能，修改色谱图、校正曲线后即可实时动态数据更新；可以对样品信息进行自定义搜索，快速查询数据；</w:t>
            </w:r>
          </w:p>
          <w:p w14:paraId="611601F0">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2.8.2 可导出txt格式原始数据。可输出PDF、EXCEL、cmbx、AnDI等格式数据；</w:t>
            </w:r>
          </w:p>
          <w:p w14:paraId="2768F193">
            <w:p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2.8.3 支持仪器相关耗材运行状况的审计追踪和溯源，包含但不限于电解淋洗液发生器、抑制器等，具有色谱峰智能积分功能。</w:t>
            </w:r>
          </w:p>
          <w:p w14:paraId="237679EC">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 配置清单：</w:t>
            </w:r>
          </w:p>
          <w:p w14:paraId="0B4732CF">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3.1 离子色谱主机：（含电导检测器，泵，置柱温箱，原装控制软件）1套；</w:t>
            </w:r>
          </w:p>
          <w:p w14:paraId="4E6F1211">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 阴、阳离子连续电解自动再生微膜抑制器：各1套；</w:t>
            </w:r>
          </w:p>
          <w:p w14:paraId="1FD172DB">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3.3 阴、阳离子色谱分析柱：分析柱、保护柱各1根；</w:t>
            </w:r>
          </w:p>
          <w:p w14:paraId="69E7E6B9">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3.4 自动进样器：1套；</w:t>
            </w:r>
          </w:p>
          <w:p w14:paraId="09E08E42">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3.5 样品瓶：250个；</w:t>
            </w:r>
          </w:p>
          <w:p w14:paraId="518D1EC5">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3.6 阴离子在线电解淋洗液发生器：1套</w:t>
            </w:r>
          </w:p>
          <w:p w14:paraId="6C67BED2">
            <w:pPr>
              <w:widowControl/>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3.7 控制终端</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投标人需在投标响应表6.2技术响应表中列出所投产品品牌和型号，否则视为本条参数未响应</w:t>
            </w:r>
            <w:r>
              <w:rPr>
                <w:rFonts w:hint="eastAsia" w:ascii="宋体" w:hAnsi="宋体" w:eastAsia="宋体" w:cs="宋体"/>
                <w:b/>
                <w:bCs/>
                <w:sz w:val="24"/>
                <w:szCs w:val="24"/>
              </w:rPr>
              <w:t>）</w:t>
            </w:r>
            <w:r>
              <w:rPr>
                <w:rFonts w:hint="eastAsia" w:ascii="宋体" w:hAnsi="宋体" w:eastAsia="宋体" w:cs="宋体"/>
                <w:kern w:val="0"/>
                <w:sz w:val="24"/>
                <w:szCs w:val="24"/>
              </w:rPr>
              <w:t>1台：配置不低于：16G内存，1TB高速硬盘，23英寸显示器；</w:t>
            </w:r>
          </w:p>
          <w:p w14:paraId="405F5753">
            <w:pPr>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3.8 数据输出设备</w:t>
            </w:r>
            <w:r>
              <w:rPr>
                <w:rFonts w:hint="eastAsia" w:ascii="宋体" w:hAnsi="宋体" w:eastAsia="宋体" w:cs="宋体"/>
                <w:b/>
                <w:bCs/>
                <w:sz w:val="24"/>
                <w:szCs w:val="24"/>
              </w:rPr>
              <w:t>（</w:t>
            </w:r>
            <w:r>
              <w:rPr>
                <w:rFonts w:hint="eastAsia" w:ascii="宋体" w:hAnsi="宋体" w:eastAsia="宋体" w:cs="宋体"/>
                <w:b/>
                <w:bCs/>
                <w:sz w:val="24"/>
                <w:szCs w:val="24"/>
                <w:lang w:eastAsia="zh-CN"/>
              </w:rPr>
              <w:t>投标人需在投标响应表6.2技术响应表中列出所投产品品牌和型号，否则视为本条参数未响应</w:t>
            </w:r>
            <w:r>
              <w:rPr>
                <w:rFonts w:hint="eastAsia" w:ascii="宋体" w:hAnsi="宋体" w:eastAsia="宋体" w:cs="宋体"/>
                <w:b/>
                <w:bCs/>
                <w:sz w:val="24"/>
                <w:szCs w:val="24"/>
              </w:rPr>
              <w:t>）</w:t>
            </w:r>
            <w:r>
              <w:rPr>
                <w:rFonts w:hint="eastAsia" w:ascii="宋体" w:hAnsi="宋体" w:eastAsia="宋体" w:cs="宋体"/>
                <w:kern w:val="0"/>
                <w:sz w:val="24"/>
                <w:szCs w:val="24"/>
              </w:rPr>
              <w:t>1台：黑白、A4。</w:t>
            </w:r>
          </w:p>
        </w:tc>
        <w:tc>
          <w:tcPr>
            <w:tcW w:w="1100" w:type="dxa"/>
            <w:noWrap w:val="0"/>
            <w:vAlign w:val="center"/>
          </w:tcPr>
          <w:p w14:paraId="79E3E85F">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套</w:t>
            </w:r>
          </w:p>
        </w:tc>
        <w:tc>
          <w:tcPr>
            <w:tcW w:w="851" w:type="dxa"/>
            <w:noWrap w:val="0"/>
            <w:vAlign w:val="center"/>
          </w:tcPr>
          <w:p w14:paraId="0B9770F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工业</w:t>
            </w:r>
          </w:p>
        </w:tc>
        <w:tc>
          <w:tcPr>
            <w:tcW w:w="917" w:type="dxa"/>
            <w:noWrap w:val="0"/>
            <w:vAlign w:val="center"/>
          </w:tcPr>
          <w:p w14:paraId="6D066EF2">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进口</w:t>
            </w:r>
          </w:p>
        </w:tc>
      </w:tr>
    </w:tbl>
    <w:p w14:paraId="3BDA8CC3">
      <w:pPr>
        <w:rPr>
          <w:rFonts w:ascii="Calibri" w:hAnsi="Calibri" w:eastAsia="宋体" w:cs="Times New Roman"/>
          <w:szCs w:val="24"/>
        </w:rPr>
      </w:pPr>
    </w:p>
    <w:p w14:paraId="67FFB22A">
      <w:pPr>
        <w:pStyle w:val="8"/>
        <w:spacing w:before="156" w:beforeLines="50" w:after="156" w:afterLines="50"/>
        <w:ind w:left="0" w:firstLine="640"/>
        <w:rPr>
          <w:rFonts w:hint="eastAsia" w:eastAsia="黑体"/>
        </w:rPr>
      </w:pPr>
      <w:bookmarkStart w:id="17" w:name="_Toc13384869"/>
      <w:bookmarkStart w:id="18" w:name="_Toc1061105159_WPSOffice_Level2"/>
      <w:bookmarkStart w:id="19" w:name="_Toc49042126"/>
      <w:bookmarkStart w:id="20" w:name="_Toc1814319857"/>
      <w:bookmarkStart w:id="21" w:name="_Toc902728931"/>
      <w:bookmarkStart w:id="22" w:name="_Toc1900587714"/>
      <w:bookmarkStart w:id="23" w:name="_Toc1101062245"/>
      <w:bookmarkStart w:id="24" w:name="_Toc1520309192"/>
      <w:r>
        <w:rPr>
          <w:rFonts w:hint="eastAsia" w:eastAsia="黑体"/>
        </w:rPr>
        <w:t>三、报价要求</w:t>
      </w:r>
      <w:bookmarkEnd w:id="17"/>
      <w:bookmarkEnd w:id="18"/>
      <w:bookmarkEnd w:id="19"/>
      <w:bookmarkEnd w:id="20"/>
      <w:bookmarkEnd w:id="21"/>
      <w:bookmarkEnd w:id="22"/>
      <w:bookmarkEnd w:id="23"/>
      <w:bookmarkEnd w:id="24"/>
    </w:p>
    <w:p w14:paraId="1098FBFF">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2CFADA45">
      <w:pPr>
        <w:pStyle w:val="3"/>
        <w:ind w:firstLine="560"/>
        <w:rPr>
          <w:rFonts w:eastAsia="黑体"/>
        </w:rPr>
      </w:pPr>
      <w:r>
        <w:rPr>
          <w:rFonts w:eastAsia="黑体"/>
        </w:rPr>
        <w:t>四、备品备件及专用工具</w:t>
      </w:r>
    </w:p>
    <w:p w14:paraId="35AFDF6D">
      <w:pPr>
        <w:spacing w:line="360" w:lineRule="auto"/>
        <w:ind w:firstLine="480" w:firstLineChars="200"/>
        <w:jc w:val="left"/>
        <w:rPr>
          <w:rFonts w:ascii="宋体" w:hAnsi="宋体" w:eastAsia="宋体" w:cs="宋体"/>
          <w:sz w:val="24"/>
          <w:szCs w:val="18"/>
        </w:rPr>
      </w:pPr>
      <w:bookmarkStart w:id="25" w:name="_Toc445554752"/>
      <w:bookmarkStart w:id="26" w:name="_Toc455587093"/>
      <w:bookmarkStart w:id="27" w:name="_Toc455587277"/>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4F9F0A3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77D14C27">
      <w:pPr>
        <w:pStyle w:val="3"/>
        <w:ind w:firstLine="560"/>
        <w:rPr>
          <w:rFonts w:eastAsia="黑体"/>
        </w:rPr>
      </w:pPr>
      <w:bookmarkStart w:id="28" w:name="_Toc532199625"/>
      <w:bookmarkStart w:id="29" w:name="_Toc445554753"/>
      <w:bookmarkStart w:id="30" w:name="_Toc455587094"/>
      <w:bookmarkStart w:id="31" w:name="_Toc455587278"/>
      <w:r>
        <w:rPr>
          <w:rFonts w:hint="eastAsia" w:eastAsia="黑体"/>
          <w:lang w:eastAsia="zh-CN"/>
        </w:rPr>
        <w:t>五</w:t>
      </w:r>
      <w:r>
        <w:rPr>
          <w:rFonts w:eastAsia="黑体"/>
        </w:rPr>
        <w:t>、安装调试、验收试验及质量保证</w:t>
      </w:r>
      <w:bookmarkEnd w:id="28"/>
    </w:p>
    <w:p w14:paraId="652697C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40AB70F1">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2E64824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0CA4B64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60076B5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6B2D24E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65081AF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7B0E203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32D49169">
      <w:pPr>
        <w:pStyle w:val="3"/>
        <w:ind w:firstLine="560"/>
        <w:rPr>
          <w:rFonts w:eastAsia="黑体"/>
        </w:rPr>
      </w:pPr>
      <w:bookmarkStart w:id="32" w:name="_Toc532199626"/>
      <w:r>
        <w:rPr>
          <w:rFonts w:eastAsia="黑体"/>
        </w:rPr>
        <w:t>六、包装运输</w:t>
      </w:r>
      <w:bookmarkEnd w:id="29"/>
      <w:bookmarkEnd w:id="30"/>
      <w:bookmarkEnd w:id="31"/>
      <w:bookmarkEnd w:id="32"/>
    </w:p>
    <w:p w14:paraId="023539CA">
      <w:pPr>
        <w:spacing w:line="360" w:lineRule="auto"/>
        <w:ind w:firstLine="480" w:firstLineChars="200"/>
        <w:jc w:val="left"/>
        <w:rPr>
          <w:rFonts w:ascii="宋体" w:hAnsi="宋体" w:eastAsia="宋体" w:cs="宋体"/>
          <w:sz w:val="24"/>
          <w:szCs w:val="18"/>
        </w:rPr>
      </w:pPr>
      <w:bookmarkStart w:id="33" w:name="_Toc445554754"/>
      <w:bookmarkStart w:id="34" w:name="_Toc455587095"/>
      <w:bookmarkStart w:id="35" w:name="_Toc455587279"/>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20F745F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3BFC8B1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0390453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3B8C0664">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1D8338B8">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4B32A98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0FC316AA">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0970C5D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13191413">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5714BF2E">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4DD2E456">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17E693C5">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6C4DD9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068C"/>
    <w:rsid w:val="050A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8">
    <w:name w:val="Body Text First Indent 2"/>
    <w:basedOn w:val="4"/>
    <w:next w:val="7"/>
    <w:unhideWhenUsed/>
    <w:uiPriority w:val="99"/>
    <w:pPr>
      <w:ind w:left="420" w:firstLine="420" w:firstLineChars="200"/>
    </w:pPr>
    <w:rPr>
      <w:rFonts w:ascii="Times New Roman" w:cs="Times New Roman"/>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qFormat/>
    <w:uiPriority w:val="0"/>
    <w:pPr>
      <w:widowControl/>
      <w:spacing w:before="100" w:beforeAutospacing="1" w:after="100" w:afterAutospacing="1"/>
      <w:jc w:val="center"/>
    </w:pPr>
    <w:rPr>
      <w:b/>
      <w:bCs/>
      <w:kern w:val="0"/>
      <w:sz w:val="28"/>
      <w:szCs w:val="28"/>
    </w:rPr>
  </w:style>
  <w:style w:type="character" w:customStyle="1" w:styleId="14">
    <w:name w:val="font11"/>
    <w:basedOn w:val="11"/>
    <w:uiPriority w:val="0"/>
    <w:rPr>
      <w:rFonts w:hint="default" w:ascii="Times New Roman" w:hAnsi="Times New Roman" w:cs="Times New Roman"/>
      <w:color w:val="000000"/>
      <w:sz w:val="21"/>
      <w:szCs w:val="21"/>
      <w:u w:val="none"/>
    </w:rPr>
  </w:style>
  <w:style w:type="character" w:customStyle="1" w:styleId="15">
    <w:name w:val="font21"/>
    <w:basedOn w:val="11"/>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2025-02-28T11:17:00Z</dcterms:created>
  <dc:creator>xmy</dc:creator>
  <cp:lastModifiedBy>xmy</cp:lastModifiedBy>
  <dcterms:modified xsi:type="dcterms:W3CDTF">2025-02-28T11:18:08Z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02EEFADA09B94B789EE60B6A58DF38C5_11</vt:lpwstr>
  </property>
  <property fmtid="{D5CDD505-2E9C-101B-9397-08002B2CF9AE}" pid="4" name="KSOTemplateDocerSaveRecord">
    <vt:lpwstr>eyJoZGlkIjoiNWQxNDgwOWE2N2Y5MWIyN2U3NzI3YzFkMDFlYTRjYzkiLCJ1c2VySWQiOiIzMjQ4MTEwODkifQ==</vt:lpwstr>
  </property>
</Properties>
</file>