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30747">
      <w:pPr>
        <w:pStyle w:val="2"/>
        <w:widowControl/>
        <w:snapToGrid w:val="0"/>
        <w:spacing w:before="0" w:after="0" w:line="360" w:lineRule="auto"/>
        <w:jc w:val="center"/>
        <w:rPr>
          <w:rFonts w:hint="eastAsia" w:ascii="宋体" w:hAnsi="宋体"/>
          <w:color w:val="000000"/>
        </w:rPr>
      </w:pPr>
      <w:bookmarkStart w:id="0" w:name="_Toc8946"/>
      <w:r>
        <w:rPr>
          <w:rFonts w:hint="eastAsia" w:ascii="宋体" w:hAnsi="宋体"/>
          <w:color w:val="000000"/>
        </w:rPr>
        <w:t>第三章  采购需求及技术规格要求</w:t>
      </w:r>
      <w:bookmarkEnd w:id="0"/>
    </w:p>
    <w:p w14:paraId="5E0BEF6E">
      <w:pPr>
        <w:pStyle w:val="3"/>
        <w:spacing w:before="0" w:after="0" w:line="360" w:lineRule="auto"/>
        <w:rPr>
          <w:rStyle w:val="7"/>
          <w:rFonts w:ascii="宋体" w:hAnsi="宋体" w:eastAsia="仿宋"/>
          <w:b/>
          <w:bCs/>
          <w:sz w:val="24"/>
          <w:szCs w:val="24"/>
        </w:rPr>
      </w:pPr>
      <w:bookmarkStart w:id="1" w:name="_Toc455587089"/>
      <w:bookmarkStart w:id="2" w:name="_Toc455587273"/>
      <w:bookmarkStart w:id="3" w:name="_Toc466024556"/>
      <w:r>
        <w:rPr>
          <w:rStyle w:val="7"/>
          <w:rFonts w:hint="eastAsia" w:ascii="仿宋" w:hAnsi="仿宋" w:eastAsia="仿宋" w:cs="仿宋"/>
          <w:b/>
          <w:bCs/>
          <w:sz w:val="24"/>
          <w:szCs w:val="24"/>
        </w:rPr>
        <w:t xml:space="preserve">1. </w:t>
      </w:r>
      <w:bookmarkEnd w:id="1"/>
      <w:bookmarkEnd w:id="2"/>
      <w:bookmarkEnd w:id="3"/>
      <w:r>
        <w:rPr>
          <w:rStyle w:val="7"/>
          <w:rFonts w:hint="eastAsia" w:ascii="仿宋" w:hAnsi="仿宋" w:eastAsia="仿宋" w:cs="仿宋"/>
          <w:b/>
          <w:bCs/>
          <w:sz w:val="24"/>
          <w:szCs w:val="24"/>
        </w:rPr>
        <w:t>总</w:t>
      </w:r>
      <w:r>
        <w:rPr>
          <w:rStyle w:val="7"/>
          <w:rFonts w:hint="eastAsia" w:ascii="宋体" w:hAnsi="宋体" w:eastAsia="仿宋"/>
          <w:b/>
          <w:bCs/>
          <w:sz w:val="24"/>
          <w:szCs w:val="24"/>
        </w:rPr>
        <w:t>体说明</w:t>
      </w:r>
    </w:p>
    <w:p w14:paraId="01C4717B">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1.1 本技术规格所提出的要求是对本次招标货物的基本技术要求，并未涉及所有技术细节，也未充分引述有关标准、规范的全部条款。投标人应保证其提供的货物除了满足本技术规格的要求外，还应符合中国国家、行业、地方或设备制造商所在国的有关标准、规范（尤其是必须符合中国国家标准的有关强制性规定)。</w:t>
      </w:r>
    </w:p>
    <w:p w14:paraId="0E3F3535">
      <w:pPr>
        <w:widowControl/>
        <w:tabs>
          <w:tab w:val="left" w:pos="1406"/>
        </w:tabs>
        <w:snapToGrid w:val="0"/>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1.2 本采购需求中提出的技术方案仅为参考，如无明确限制，投标供应商可以进行优化，提供满足采购人实际需要的更优（或者性能实质上不低于的）技术方案或者设备配置，且此方案或配置须经评标委员会评审认可；</w:t>
      </w:r>
      <w:r>
        <w:rPr>
          <w:rFonts w:hint="eastAsia" w:ascii="仿宋" w:hAnsi="仿宋" w:eastAsia="仿宋" w:cs="仿宋"/>
          <w:color w:val="000000"/>
          <w:sz w:val="24"/>
        </w:rPr>
        <w:cr/>
      </w:r>
      <w:r>
        <w:rPr>
          <w:rFonts w:hint="eastAsia" w:ascii="仿宋" w:hAnsi="仿宋" w:eastAsia="仿宋" w:cs="仿宋"/>
          <w:color w:val="000000"/>
          <w:sz w:val="24"/>
        </w:rPr>
        <w:t xml:space="preserve">   1.3 投标供应商应当在投标文件中列出完成本项目所需的所有各项服务等明细表及全部费用。中标供应商必须确保整体通过采购人及有关主管部门验收；投标供应商应自行踏勘项目现场，如投标供应商因未及时踏勘现场而导致的报价缺项漏项废标或中标后无法完工，投标供应商自行承担一切后果；</w:t>
      </w:r>
    </w:p>
    <w:p w14:paraId="6C6BCDF9">
      <w:pPr>
        <w:widowControl/>
        <w:tabs>
          <w:tab w:val="left" w:pos="1406"/>
        </w:tabs>
        <w:snapToGrid w:val="0"/>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1.4 本章中提及的工艺、材料、设备的标准及品牌或型号（如有）仅起说明作用，并没有强制性。投标人在投标中可以用替代工艺、材料、设备的标准及品牌或型号，但这种替代须实质上满足、等同或优于本章技术要求，同时须提供相关证明材料，否则可能被评标委员会认定为负偏离。</w:t>
      </w:r>
    </w:p>
    <w:p w14:paraId="5BFB12C3">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1.6 除非有特别说明，本章中所列的具体参数或参数范围，均理解为采购人可接受的最低要求。</w:t>
      </w:r>
    </w:p>
    <w:p w14:paraId="05949588">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1.7采购需求如包含属于《节能产品政府采购品目清单》中政府强制采购的节能产品， 则投标人所投产品须具有市场监管总局公布的《参与实施政府采购节能产品认证机构目录》中的认证机构出具的、处于有效期内的节能（节水）产品认证证书。</w:t>
      </w:r>
    </w:p>
    <w:p w14:paraId="50B677CA">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1.8 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1F8DE2F4">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1.9标注“▲”的产品为主要标的（包括核心产品），核心产品的名称、品牌、规格型号、数量、单价等将予以公布。</w:t>
      </w:r>
    </w:p>
    <w:p w14:paraId="4A1201C5">
      <w:pPr>
        <w:widowControl/>
        <w:tabs>
          <w:tab w:val="left" w:pos="1406"/>
        </w:tabs>
        <w:snapToGrid w:val="0"/>
        <w:spacing w:line="360" w:lineRule="auto"/>
        <w:rPr>
          <w:rFonts w:hint="eastAsia" w:ascii="仿宋" w:hAnsi="仿宋" w:eastAsia="仿宋" w:cs="仿宋"/>
          <w:color w:val="000000"/>
          <w:sz w:val="24"/>
        </w:rPr>
      </w:pPr>
    </w:p>
    <w:p w14:paraId="0A625EFE">
      <w:pPr>
        <w:keepNext/>
        <w:keepLines/>
        <w:spacing w:line="360" w:lineRule="auto"/>
        <w:outlineLvl w:val="1"/>
        <w:rPr>
          <w:rFonts w:hint="eastAsia" w:ascii="仿宋" w:hAnsi="仿宋" w:eastAsia="仿宋" w:cs="仿宋"/>
          <w:b/>
          <w:bCs/>
          <w:color w:val="000000"/>
          <w:sz w:val="24"/>
        </w:rPr>
      </w:pPr>
      <w:r>
        <w:rPr>
          <w:rFonts w:hint="eastAsia" w:ascii="仿宋" w:hAnsi="仿宋" w:eastAsia="仿宋" w:cs="仿宋"/>
          <w:b/>
          <w:bCs/>
          <w:color w:val="000000"/>
          <w:sz w:val="24"/>
        </w:rPr>
        <w:t>2. 采购内容及范围</w:t>
      </w:r>
    </w:p>
    <w:p w14:paraId="5FE4AC97">
      <w:pPr>
        <w:keepNext/>
        <w:keepLines/>
        <w:spacing w:line="360" w:lineRule="auto"/>
        <w:ind w:firstLine="480" w:firstLineChars="200"/>
        <w:outlineLvl w:val="1"/>
        <w:rPr>
          <w:rFonts w:hint="eastAsia" w:ascii="仿宋" w:hAnsi="仿宋" w:eastAsia="仿宋" w:cs="仿宋"/>
          <w:color w:val="000000"/>
          <w:sz w:val="24"/>
        </w:rPr>
      </w:pPr>
      <w:r>
        <w:rPr>
          <w:rFonts w:hint="eastAsia" w:ascii="仿宋" w:hAnsi="仿宋" w:eastAsia="仿宋" w:cs="仿宋"/>
          <w:color w:val="000000"/>
          <w:sz w:val="24"/>
        </w:rPr>
        <w:t>2.1 采购内容</w:t>
      </w:r>
    </w:p>
    <w:tbl>
      <w:tblPr>
        <w:tblStyle w:val="5"/>
        <w:tblW w:w="96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4579"/>
        <w:gridCol w:w="981"/>
        <w:gridCol w:w="1060"/>
        <w:gridCol w:w="1173"/>
        <w:gridCol w:w="1218"/>
      </w:tblGrid>
      <w:tr w14:paraId="77D9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41" w:type="dxa"/>
            <w:noWrap w:val="0"/>
            <w:vAlign w:val="center"/>
          </w:tcPr>
          <w:p w14:paraId="76076FD5">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包号</w:t>
            </w:r>
          </w:p>
        </w:tc>
        <w:tc>
          <w:tcPr>
            <w:tcW w:w="4579" w:type="dxa"/>
            <w:noWrap w:val="0"/>
            <w:vAlign w:val="center"/>
          </w:tcPr>
          <w:p w14:paraId="38739830">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标的名称</w:t>
            </w:r>
          </w:p>
        </w:tc>
        <w:tc>
          <w:tcPr>
            <w:tcW w:w="981" w:type="dxa"/>
            <w:noWrap w:val="0"/>
            <w:vAlign w:val="center"/>
          </w:tcPr>
          <w:p w14:paraId="3A84C3C7">
            <w:pPr>
              <w:widowControl/>
              <w:jc w:val="center"/>
              <w:rPr>
                <w:rFonts w:hint="eastAsia" w:ascii="仿宋" w:hAnsi="仿宋" w:eastAsia="仿宋" w:cs="仿宋"/>
                <w:color w:val="000000"/>
                <w:sz w:val="24"/>
              </w:rPr>
            </w:pPr>
            <w:r>
              <w:rPr>
                <w:rFonts w:ascii="仿宋" w:hAnsi="仿宋" w:eastAsia="仿宋" w:cs="仿宋"/>
                <w:color w:val="000000"/>
                <w:kern w:val="0"/>
                <w:sz w:val="24"/>
                <w:lang w:bidi="ar"/>
              </w:rPr>
              <w:t>单位</w:t>
            </w:r>
          </w:p>
        </w:tc>
        <w:tc>
          <w:tcPr>
            <w:tcW w:w="1060" w:type="dxa"/>
            <w:noWrap w:val="0"/>
            <w:vAlign w:val="center"/>
          </w:tcPr>
          <w:p w14:paraId="570A7DDB">
            <w:pPr>
              <w:widowControl/>
              <w:spacing w:line="360" w:lineRule="auto"/>
              <w:jc w:val="center"/>
              <w:outlineLvl w:val="1"/>
              <w:rPr>
                <w:rFonts w:hint="eastAsia" w:ascii="仿宋" w:hAnsi="仿宋" w:eastAsia="仿宋" w:cs="仿宋"/>
                <w:color w:val="000000"/>
                <w:sz w:val="24"/>
              </w:rPr>
            </w:pPr>
            <w:r>
              <w:rPr>
                <w:rFonts w:hint="eastAsia" w:ascii="仿宋" w:hAnsi="仿宋" w:eastAsia="仿宋" w:cs="仿宋"/>
                <w:color w:val="000000"/>
                <w:kern w:val="0"/>
                <w:sz w:val="24"/>
                <w:lang w:bidi="ar"/>
              </w:rPr>
              <w:t>数量</w:t>
            </w:r>
          </w:p>
        </w:tc>
        <w:tc>
          <w:tcPr>
            <w:tcW w:w="1173" w:type="dxa"/>
            <w:noWrap w:val="0"/>
            <w:vAlign w:val="center"/>
          </w:tcPr>
          <w:p w14:paraId="7F011DB0">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所属行业</w:t>
            </w:r>
          </w:p>
        </w:tc>
        <w:tc>
          <w:tcPr>
            <w:tcW w:w="1218" w:type="dxa"/>
            <w:noWrap w:val="0"/>
            <w:vAlign w:val="center"/>
          </w:tcPr>
          <w:p w14:paraId="3C4C4650">
            <w:pPr>
              <w:widowControl/>
              <w:spacing w:line="360" w:lineRule="auto"/>
              <w:jc w:val="center"/>
              <w:outlineLvl w:val="1"/>
              <w:rPr>
                <w:rFonts w:ascii="仿宋" w:hAnsi="仿宋" w:eastAsia="仿宋" w:cs="仿宋"/>
                <w:color w:val="000000"/>
                <w:kern w:val="0"/>
                <w:sz w:val="24"/>
                <w:lang w:bidi="ar"/>
              </w:rPr>
            </w:pPr>
            <w:r>
              <w:rPr>
                <w:rFonts w:ascii="仿宋" w:hAnsi="仿宋" w:eastAsia="仿宋" w:cs="仿宋"/>
                <w:color w:val="000000"/>
                <w:kern w:val="0"/>
                <w:sz w:val="24"/>
                <w:lang w:bidi="ar"/>
              </w:rPr>
              <w:t>是否接受进口</w:t>
            </w:r>
          </w:p>
        </w:tc>
      </w:tr>
      <w:tr w14:paraId="2130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41" w:type="dxa"/>
            <w:noWrap w:val="0"/>
            <w:vAlign w:val="center"/>
          </w:tcPr>
          <w:p w14:paraId="4DD9F5A2">
            <w:pPr>
              <w:keepNext w:val="0"/>
              <w:keepLines w:val="0"/>
              <w:widowControl/>
              <w:spacing w:line="360" w:lineRule="auto"/>
              <w:jc w:val="center"/>
              <w:outlineLvl w:val="9"/>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12</w:t>
            </w:r>
          </w:p>
        </w:tc>
        <w:tc>
          <w:tcPr>
            <w:tcW w:w="4579" w:type="dxa"/>
            <w:noWrap w:val="0"/>
            <w:vAlign w:val="center"/>
          </w:tcPr>
          <w:p w14:paraId="0E1397A8">
            <w:pPr>
              <w:widowControl/>
              <w:spacing w:line="360" w:lineRule="auto"/>
              <w:jc w:val="center"/>
              <w:outlineLvl w:val="1"/>
              <w:rPr>
                <w:rFonts w:hint="eastAsia" w:ascii="仿宋" w:hAnsi="仿宋" w:eastAsia="仿宋" w:cs="仿宋"/>
                <w:color w:val="000000"/>
                <w:kern w:val="0"/>
                <w:sz w:val="24"/>
                <w:lang w:bidi="ar"/>
              </w:rPr>
            </w:pPr>
            <w:r>
              <w:rPr>
                <w:rFonts w:hint="eastAsia" w:ascii="仿宋" w:hAnsi="仿宋" w:eastAsia="仿宋" w:cs="仿宋"/>
                <w:color w:val="000000"/>
                <w:sz w:val="24"/>
              </w:rPr>
              <w:t>▲</w:t>
            </w:r>
            <w:r>
              <w:rPr>
                <w:rFonts w:hint="eastAsia" w:ascii="仿宋" w:hAnsi="仿宋" w:eastAsia="仿宋" w:cs="仿宋"/>
                <w:color w:val="000000"/>
                <w:kern w:val="0"/>
                <w:sz w:val="24"/>
                <w:lang w:bidi="ar"/>
              </w:rPr>
              <w:t>液相色谱串联三重四极杆质谱仪</w:t>
            </w:r>
          </w:p>
        </w:tc>
        <w:tc>
          <w:tcPr>
            <w:tcW w:w="981" w:type="dxa"/>
            <w:noWrap w:val="0"/>
            <w:vAlign w:val="center"/>
          </w:tcPr>
          <w:p w14:paraId="0446F483">
            <w:pPr>
              <w:widowControl/>
              <w:spacing w:line="360" w:lineRule="auto"/>
              <w:jc w:val="center"/>
              <w:outlineLvl w:val="1"/>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套</w:t>
            </w:r>
          </w:p>
        </w:tc>
        <w:tc>
          <w:tcPr>
            <w:tcW w:w="1060" w:type="dxa"/>
            <w:noWrap w:val="0"/>
            <w:vAlign w:val="center"/>
          </w:tcPr>
          <w:p w14:paraId="32A0A7DC">
            <w:pPr>
              <w:widowControl/>
              <w:spacing w:line="360" w:lineRule="auto"/>
              <w:jc w:val="center"/>
              <w:outlineLvl w:val="1"/>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1</w:t>
            </w:r>
          </w:p>
        </w:tc>
        <w:tc>
          <w:tcPr>
            <w:tcW w:w="1173" w:type="dxa"/>
            <w:noWrap w:val="0"/>
            <w:vAlign w:val="center"/>
          </w:tcPr>
          <w:p w14:paraId="29DA8EEC">
            <w:pPr>
              <w:widowControl/>
              <w:spacing w:line="360" w:lineRule="auto"/>
              <w:jc w:val="center"/>
              <w:outlineLvl w:val="1"/>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工业</w:t>
            </w:r>
          </w:p>
        </w:tc>
        <w:tc>
          <w:tcPr>
            <w:tcW w:w="1218" w:type="dxa"/>
            <w:noWrap w:val="0"/>
            <w:vAlign w:val="center"/>
          </w:tcPr>
          <w:p w14:paraId="31BE2650">
            <w:pPr>
              <w:widowControl/>
              <w:spacing w:line="360" w:lineRule="auto"/>
              <w:jc w:val="center"/>
              <w:outlineLvl w:val="1"/>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val="en-US" w:eastAsia="zh-CN" w:bidi="ar"/>
              </w:rPr>
              <w:t>是</w:t>
            </w:r>
          </w:p>
        </w:tc>
      </w:tr>
    </w:tbl>
    <w:p w14:paraId="25F0E57C">
      <w:pPr>
        <w:keepNext/>
        <w:keepLines/>
        <w:spacing w:line="360" w:lineRule="auto"/>
        <w:ind w:firstLine="480" w:firstLineChars="200"/>
        <w:outlineLvl w:val="1"/>
        <w:rPr>
          <w:rFonts w:hint="eastAsia" w:ascii="仿宋" w:hAnsi="仿宋" w:eastAsia="仿宋" w:cs="仿宋"/>
          <w:color w:val="000000"/>
          <w:sz w:val="24"/>
        </w:rPr>
      </w:pPr>
      <w:r>
        <w:rPr>
          <w:rFonts w:hint="eastAsia" w:ascii="仿宋" w:hAnsi="仿宋" w:eastAsia="仿宋" w:cs="仿宋"/>
          <w:color w:val="000000"/>
          <w:sz w:val="24"/>
        </w:rPr>
        <w:t>2.2 采购范围</w:t>
      </w:r>
    </w:p>
    <w:p w14:paraId="59884BDA">
      <w:pPr>
        <w:keepNext/>
        <w:keepLines/>
        <w:spacing w:line="360" w:lineRule="auto"/>
        <w:ind w:firstLine="480" w:firstLineChars="200"/>
        <w:outlineLvl w:val="1"/>
        <w:rPr>
          <w:rFonts w:hint="eastAsia" w:ascii="仿宋" w:hAnsi="仿宋" w:eastAsia="仿宋"/>
          <w:sz w:val="24"/>
        </w:rPr>
      </w:pPr>
      <w:r>
        <w:rPr>
          <w:rFonts w:hint="eastAsia" w:ascii="仿宋" w:hAnsi="仿宋" w:eastAsia="仿宋"/>
          <w:sz w:val="24"/>
        </w:rPr>
        <w:t>包括所有货物的供货、包装运输（包括卸车及就位至采购人指定的安装地点）、安装、调试、技术服务、培训、售后服务等所有内容。</w:t>
      </w:r>
    </w:p>
    <w:p w14:paraId="2DE23EFC">
      <w:pPr>
        <w:keepNext/>
        <w:keepLines/>
        <w:spacing w:line="360" w:lineRule="auto"/>
        <w:outlineLvl w:val="1"/>
        <w:rPr>
          <w:rFonts w:hint="eastAsia" w:ascii="仿宋" w:hAnsi="仿宋" w:eastAsia="仿宋" w:cs="仿宋"/>
          <w:b/>
          <w:bCs/>
          <w:color w:val="000000"/>
          <w:sz w:val="24"/>
        </w:rPr>
      </w:pPr>
      <w:r>
        <w:rPr>
          <w:rFonts w:hint="eastAsia" w:ascii="仿宋" w:hAnsi="仿宋" w:eastAsia="仿宋" w:cs="仿宋"/>
          <w:b/>
          <w:bCs/>
          <w:color w:val="000000"/>
          <w:sz w:val="24"/>
        </w:rPr>
        <w:t>3.商务条款</w:t>
      </w:r>
    </w:p>
    <w:p w14:paraId="527E6402">
      <w:pPr>
        <w:spacing w:line="360" w:lineRule="auto"/>
        <w:rPr>
          <w:rFonts w:hint="eastAsia" w:ascii="仿宋" w:hAnsi="仿宋" w:eastAsia="仿宋" w:cs="仿宋"/>
          <w:b/>
          <w:bCs/>
          <w:sz w:val="24"/>
          <w:szCs w:val="32"/>
        </w:rPr>
      </w:pPr>
      <w:r>
        <w:rPr>
          <w:rFonts w:hint="eastAsia" w:ascii="仿宋" w:hAnsi="仿宋" w:eastAsia="仿宋" w:cs="仿宋"/>
          <w:b/>
          <w:bCs/>
          <w:sz w:val="24"/>
          <w:szCs w:val="32"/>
        </w:rPr>
        <w:t>除非有特别说明，本条为实质性要求。</w:t>
      </w:r>
    </w:p>
    <w:tbl>
      <w:tblPr>
        <w:tblStyle w:val="5"/>
        <w:tblW w:w="0" w:type="auto"/>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095"/>
        <w:gridCol w:w="6808"/>
      </w:tblGrid>
      <w:tr w14:paraId="3F608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540" w:type="dxa"/>
            <w:noWrap w:val="0"/>
            <w:vAlign w:val="center"/>
          </w:tcPr>
          <w:p w14:paraId="28757DE6">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序号</w:t>
            </w:r>
          </w:p>
        </w:tc>
        <w:tc>
          <w:tcPr>
            <w:tcW w:w="9217" w:type="dxa"/>
            <w:gridSpan w:val="2"/>
            <w:noWrap w:val="0"/>
            <w:vAlign w:val="center"/>
          </w:tcPr>
          <w:p w14:paraId="5E715246">
            <w:pPr>
              <w:wordWrap w:val="0"/>
              <w:spacing w:line="360" w:lineRule="auto"/>
              <w:ind w:firstLine="2891" w:firstLineChars="1200"/>
              <w:jc w:val="left"/>
              <w:rPr>
                <w:rFonts w:hint="eastAsia" w:ascii="仿宋" w:hAnsi="仿宋" w:eastAsia="仿宋" w:cs="仿宋"/>
                <w:b/>
                <w:color w:val="000000"/>
                <w:sz w:val="24"/>
              </w:rPr>
            </w:pPr>
            <w:r>
              <w:rPr>
                <w:rFonts w:hint="eastAsia" w:ascii="仿宋" w:hAnsi="仿宋" w:eastAsia="仿宋" w:cs="仿宋"/>
                <w:b/>
                <w:color w:val="000000"/>
                <w:sz w:val="24"/>
              </w:rPr>
              <w:t>商务条款内容</w:t>
            </w:r>
          </w:p>
        </w:tc>
      </w:tr>
      <w:tr w14:paraId="7235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40" w:type="dxa"/>
            <w:noWrap w:val="0"/>
            <w:vAlign w:val="center"/>
          </w:tcPr>
          <w:p w14:paraId="1EB4FF69">
            <w:pPr>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1</w:t>
            </w:r>
          </w:p>
        </w:tc>
        <w:tc>
          <w:tcPr>
            <w:tcW w:w="1128" w:type="dxa"/>
            <w:noWrap w:val="0"/>
            <w:vAlign w:val="center"/>
          </w:tcPr>
          <w:p w14:paraId="1A7E6967">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交付（实施）的时间（期限）</w:t>
            </w:r>
          </w:p>
        </w:tc>
        <w:tc>
          <w:tcPr>
            <w:tcW w:w="8089" w:type="dxa"/>
            <w:noWrap w:val="0"/>
            <w:vAlign w:val="center"/>
          </w:tcPr>
          <w:p w14:paraId="05743C75">
            <w:pPr>
              <w:wordWrap w:val="0"/>
              <w:spacing w:line="360" w:lineRule="auto"/>
              <w:jc w:val="both"/>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合同签订生效后，接采购人通知后90个日历天内完成供货安装调试。</w:t>
            </w:r>
          </w:p>
          <w:p w14:paraId="1DF45309">
            <w:pPr>
              <w:widowControl/>
              <w:adjustRightInd w:val="0"/>
              <w:snapToGrid w:val="0"/>
              <w:spacing w:line="288" w:lineRule="auto"/>
              <w:rPr>
                <w:rFonts w:hint="eastAsia" w:ascii="仿宋" w:hAnsi="仿宋" w:eastAsia="仿宋" w:cs="仿宋"/>
                <w:bCs/>
                <w:color w:val="000000"/>
                <w:sz w:val="24"/>
              </w:rPr>
            </w:pPr>
            <w:r>
              <w:rPr>
                <w:rFonts w:hint="eastAsia" w:ascii="仿宋" w:hAnsi="仿宋" w:eastAsia="仿宋" w:cs="仿宋"/>
                <w:bCs/>
                <w:color w:val="000000"/>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702EBD85">
            <w:pPr>
              <w:pStyle w:val="8"/>
              <w:ind w:firstLine="480"/>
              <w:rPr>
                <w:rFonts w:hint="eastAsia" w:ascii="仿宋" w:hAnsi="仿宋" w:eastAsia="仿宋" w:cs="仿宋"/>
                <w:bCs/>
                <w:color w:val="000000"/>
                <w:sz w:val="24"/>
              </w:rPr>
            </w:pPr>
            <w:r>
              <w:rPr>
                <w:rFonts w:hint="eastAsia" w:ascii="仿宋" w:hAnsi="仿宋" w:eastAsia="仿宋" w:cs="仿宋"/>
                <w:bCs/>
                <w:color w:val="000000"/>
                <w:sz w:val="24"/>
              </w:rPr>
              <w:t>□接受：</w:t>
            </w:r>
          </w:p>
          <w:p w14:paraId="15D31F6F">
            <w:pPr>
              <w:wordWrap w:val="0"/>
              <w:spacing w:line="360" w:lineRule="auto"/>
              <w:rPr>
                <w:rFonts w:hint="eastAsia" w:ascii="仿宋" w:hAnsi="仿宋" w:eastAsia="仿宋" w:cs="仿宋"/>
                <w:bCs/>
                <w:color w:val="000000"/>
                <w:sz w:val="24"/>
              </w:rPr>
            </w:pPr>
            <w:r>
              <w:rPr>
                <w:rFonts w:hint="eastAsia" w:ascii="仿宋" w:hAnsi="仿宋" w:eastAsia="仿宋" w:cs="仿宋"/>
                <w:bCs/>
                <w:color w:val="000000"/>
                <w:sz w:val="24"/>
              </w:rPr>
              <w:t>允许偏离的幅度：/</w:t>
            </w:r>
          </w:p>
        </w:tc>
      </w:tr>
      <w:tr w14:paraId="6919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40" w:type="dxa"/>
            <w:noWrap w:val="0"/>
            <w:vAlign w:val="center"/>
          </w:tcPr>
          <w:p w14:paraId="34F9B285">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2</w:t>
            </w:r>
          </w:p>
        </w:tc>
        <w:tc>
          <w:tcPr>
            <w:tcW w:w="1128" w:type="dxa"/>
            <w:noWrap w:val="0"/>
            <w:vAlign w:val="center"/>
          </w:tcPr>
          <w:p w14:paraId="7C901054">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交付（实施）的地点（范围）</w:t>
            </w:r>
          </w:p>
        </w:tc>
        <w:tc>
          <w:tcPr>
            <w:tcW w:w="8089" w:type="dxa"/>
            <w:noWrap w:val="0"/>
            <w:vAlign w:val="center"/>
          </w:tcPr>
          <w:p w14:paraId="3E82C4B4">
            <w:pPr>
              <w:wordWrap w:val="0"/>
              <w:spacing w:line="360" w:lineRule="auto"/>
              <w:jc w:val="both"/>
              <w:rPr>
                <w:rFonts w:hint="default" w:ascii="仿宋" w:hAnsi="仿宋" w:eastAsia="仿宋" w:cs="仿宋"/>
                <w:bCs/>
                <w:color w:val="000000"/>
                <w:sz w:val="24"/>
                <w:lang w:val="en-US" w:eastAsia="zh-CN"/>
              </w:rPr>
            </w:pPr>
            <w:r>
              <w:rPr>
                <w:rFonts w:hint="eastAsia" w:ascii="仿宋" w:hAnsi="仿宋" w:eastAsia="仿宋" w:cs="仿宋"/>
                <w:color w:val="000000"/>
                <w:sz w:val="24"/>
                <w:lang w:val="en-US" w:eastAsia="zh-CN"/>
              </w:rPr>
              <w:t>上海市第六人民医院安徽医院</w:t>
            </w:r>
          </w:p>
        </w:tc>
      </w:tr>
      <w:tr w14:paraId="1937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40" w:type="dxa"/>
            <w:noWrap w:val="0"/>
            <w:vAlign w:val="center"/>
          </w:tcPr>
          <w:p w14:paraId="1810C35E">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3</w:t>
            </w:r>
          </w:p>
        </w:tc>
        <w:tc>
          <w:tcPr>
            <w:tcW w:w="1128" w:type="dxa"/>
            <w:noWrap w:val="0"/>
            <w:vAlign w:val="center"/>
          </w:tcPr>
          <w:p w14:paraId="3772CBB5">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付款方式</w:t>
            </w:r>
          </w:p>
        </w:tc>
        <w:tc>
          <w:tcPr>
            <w:tcW w:w="8089" w:type="dxa"/>
            <w:noWrap w:val="0"/>
            <w:vAlign w:val="center"/>
          </w:tcPr>
          <w:p w14:paraId="7853F04A">
            <w:pPr>
              <w:widowControl/>
              <w:adjustRightInd w:val="0"/>
              <w:snapToGrid w:val="0"/>
              <w:spacing w:line="360" w:lineRule="auto"/>
              <w:rPr>
                <w:rFonts w:hint="eastAsia" w:ascii="仿宋" w:hAnsi="仿宋" w:eastAsia="仿宋" w:cs="仿宋"/>
                <w:color w:val="000000"/>
                <w:sz w:val="24"/>
              </w:rPr>
            </w:pPr>
            <w:r>
              <w:rPr>
                <w:rFonts w:hint="eastAsia" w:ascii="仿宋" w:hAnsi="仿宋" w:eastAsia="仿宋" w:cs="仿宋"/>
                <w:color w:val="000000"/>
                <w:sz w:val="24"/>
                <w:lang w:val="en-US" w:eastAsia="zh-CN"/>
              </w:rPr>
              <w:t>本项目</w:t>
            </w:r>
            <w:r>
              <w:rPr>
                <w:rFonts w:hint="eastAsia" w:ascii="仿宋" w:hAnsi="仿宋" w:eastAsia="仿宋" w:cs="仿宋"/>
                <w:color w:val="000000"/>
                <w:sz w:val="24"/>
              </w:rPr>
              <w:t xml:space="preserve">合同签订生效后，货到安装验收合格后，提供产品的使用、操作及维修人员的培训，并能独立操作且使用部门签字确认后，支付全部合同款项。 </w:t>
            </w:r>
          </w:p>
          <w:p w14:paraId="529EC958">
            <w:pPr>
              <w:widowControl/>
              <w:adjustRightInd w:val="0"/>
              <w:snapToGrid w:val="0"/>
              <w:spacing w:line="360" w:lineRule="auto"/>
              <w:rPr>
                <w:rFonts w:hint="eastAsia" w:ascii="仿宋" w:hAnsi="仿宋" w:eastAsia="仿宋" w:cs="仿宋"/>
                <w:color w:val="000000"/>
                <w:sz w:val="24"/>
              </w:rPr>
            </w:pPr>
            <w:r>
              <w:rPr>
                <w:rFonts w:hint="eastAsia" w:ascii="仿宋" w:hAnsi="仿宋" w:eastAsia="仿宋" w:cs="仿宋"/>
                <w:color w:val="000000"/>
                <w:sz w:val="24"/>
              </w:rPr>
              <w:t>是否接受负偏离：</w:t>
            </w:r>
            <w:r>
              <w:rPr>
                <w:rFonts w:hint="eastAsia" w:ascii="仿宋" w:hAnsi="仿宋" w:eastAsia="仿宋" w:cs="仿宋"/>
                <w:color w:val="000000"/>
                <w:sz w:val="24"/>
              </w:rPr>
              <w:sym w:font="Wingdings 2" w:char="0052"/>
            </w:r>
            <w:r>
              <w:rPr>
                <w:rFonts w:hint="eastAsia" w:ascii="仿宋" w:hAnsi="仿宋" w:eastAsia="仿宋" w:cs="仿宋"/>
                <w:color w:val="000000"/>
                <w:sz w:val="24"/>
              </w:rPr>
              <w:t xml:space="preserve">不接受  </w:t>
            </w:r>
          </w:p>
        </w:tc>
      </w:tr>
      <w:tr w14:paraId="41C38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40" w:type="dxa"/>
            <w:noWrap w:val="0"/>
            <w:vAlign w:val="center"/>
          </w:tcPr>
          <w:p w14:paraId="33A3DB22">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4</w:t>
            </w:r>
          </w:p>
        </w:tc>
        <w:tc>
          <w:tcPr>
            <w:tcW w:w="1128" w:type="dxa"/>
            <w:noWrap w:val="0"/>
            <w:vAlign w:val="center"/>
          </w:tcPr>
          <w:p w14:paraId="6BD03770">
            <w:pPr>
              <w:wordWrap w:val="0"/>
              <w:spacing w:line="360" w:lineRule="auto"/>
              <w:jc w:val="center"/>
              <w:rPr>
                <w:rFonts w:hint="eastAsia" w:ascii="仿宋" w:hAnsi="仿宋" w:eastAsia="仿宋" w:cs="仿宋"/>
                <w:b/>
                <w:bCs/>
                <w:color w:val="000000"/>
                <w:sz w:val="24"/>
              </w:rPr>
            </w:pPr>
            <w:r>
              <w:rPr>
                <w:rFonts w:hint="eastAsia" w:ascii="宋体" w:hAnsi="宋体" w:eastAsia="仿宋" w:cs="Calibri"/>
                <w:b/>
                <w:bCs/>
                <w:sz w:val="24"/>
              </w:rPr>
              <w:t>质量保证期</w:t>
            </w:r>
          </w:p>
        </w:tc>
        <w:tc>
          <w:tcPr>
            <w:tcW w:w="8089" w:type="dxa"/>
            <w:noWrap w:val="0"/>
            <w:vAlign w:val="top"/>
          </w:tcPr>
          <w:p w14:paraId="162E44B1">
            <w:pPr>
              <w:widowControl/>
              <w:adjustRightInd w:val="0"/>
              <w:snapToGrid w:val="0"/>
              <w:spacing w:line="360" w:lineRule="auto"/>
              <w:rPr>
                <w:rFonts w:hint="eastAsia" w:ascii="仿宋" w:hAnsi="仿宋" w:eastAsia="仿宋" w:cs="仿宋"/>
                <w:color w:val="000000"/>
                <w:sz w:val="24"/>
              </w:rPr>
            </w:pPr>
            <w:r>
              <w:rPr>
                <w:rFonts w:hint="eastAsia" w:ascii="仿宋" w:hAnsi="仿宋" w:eastAsia="仿宋" w:cs="仿宋"/>
                <w:color w:val="000000"/>
                <w:sz w:val="24"/>
              </w:rPr>
              <w:t>自验收合格之日起整体（主机+配套产品）原厂质保不少于</w:t>
            </w:r>
            <w:r>
              <w:rPr>
                <w:rFonts w:hint="eastAsia" w:ascii="仿宋" w:hAnsi="仿宋" w:eastAsia="仿宋" w:cs="仿宋"/>
                <w:color w:val="000000"/>
                <w:sz w:val="24"/>
                <w:lang w:val="en-US" w:eastAsia="zh-CN"/>
              </w:rPr>
              <w:t>60</w:t>
            </w:r>
            <w:r>
              <w:rPr>
                <w:rFonts w:hint="eastAsia" w:ascii="仿宋" w:hAnsi="仿宋" w:eastAsia="仿宋" w:cs="仿宋"/>
                <w:color w:val="000000"/>
                <w:sz w:val="24"/>
              </w:rPr>
              <w:t>个月。</w:t>
            </w:r>
          </w:p>
          <w:p w14:paraId="398F1B20">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3A872D8E">
            <w:pPr>
              <w:pStyle w:val="8"/>
              <w:ind w:firstLine="480"/>
              <w:rPr>
                <w:rFonts w:hint="eastAsia" w:ascii="楷体" w:hAnsi="楷体" w:eastAsia="仿宋" w:cs="Calibri"/>
                <w:sz w:val="24"/>
              </w:rPr>
            </w:pPr>
            <w:r>
              <w:rPr>
                <w:rFonts w:hint="eastAsia" w:ascii="楷体" w:hAnsi="楷体" w:eastAsia="仿宋" w:cs="Calibri"/>
                <w:sz w:val="24"/>
              </w:rPr>
              <w:t xml:space="preserve">            □接受：</w:t>
            </w:r>
          </w:p>
          <w:p w14:paraId="671F28DD">
            <w:pPr>
              <w:wordWrap w:val="0"/>
              <w:spacing w:line="360" w:lineRule="auto"/>
              <w:jc w:val="left"/>
              <w:rPr>
                <w:rFonts w:hint="eastAsia" w:ascii="仿宋" w:hAnsi="仿宋" w:eastAsia="仿宋" w:cs="仿宋"/>
                <w:b/>
                <w:color w:val="000000"/>
                <w:sz w:val="24"/>
              </w:rPr>
            </w:pPr>
            <w:r>
              <w:rPr>
                <w:rFonts w:hint="eastAsia" w:ascii="楷体" w:hAnsi="楷体" w:eastAsia="仿宋" w:cs="Calibri"/>
                <w:sz w:val="24"/>
              </w:rPr>
              <w:t>允许偏离的幅</w:t>
            </w:r>
            <w:r>
              <w:rPr>
                <w:rFonts w:hint="eastAsia" w:ascii="楷体" w:hAnsi="楷体" w:eastAsia="仿宋" w:cs="Calibri"/>
                <w:color w:val="000000"/>
                <w:sz w:val="24"/>
              </w:rPr>
              <w:t>度：</w:t>
            </w:r>
            <w:r>
              <w:rPr>
                <w:rFonts w:hint="eastAsia" w:ascii="宋体" w:hAnsi="宋体" w:eastAsia="仿宋" w:cs="Calibri"/>
                <w:color w:val="000000"/>
                <w:sz w:val="24"/>
              </w:rPr>
              <w:t>/</w:t>
            </w:r>
          </w:p>
        </w:tc>
      </w:tr>
      <w:tr w14:paraId="6D23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40" w:type="dxa"/>
            <w:noWrap w:val="0"/>
            <w:vAlign w:val="center"/>
          </w:tcPr>
          <w:p w14:paraId="52B3EB31">
            <w:pPr>
              <w:wordWrap w:val="0"/>
              <w:spacing w:line="360" w:lineRule="auto"/>
              <w:jc w:val="center"/>
              <w:rPr>
                <w:rFonts w:hint="eastAsia" w:ascii="仿宋" w:hAnsi="仿宋" w:eastAsia="仿宋" w:cs="仿宋"/>
                <w:b/>
                <w:color w:val="000000"/>
                <w:sz w:val="24"/>
                <w:lang w:val="en-US" w:eastAsia="zh-CN"/>
              </w:rPr>
            </w:pPr>
            <w:r>
              <w:rPr>
                <w:rFonts w:hint="eastAsia" w:ascii="仿宋" w:hAnsi="仿宋" w:eastAsia="仿宋" w:cs="仿宋"/>
                <w:b/>
                <w:color w:val="000000"/>
                <w:sz w:val="24"/>
                <w:lang w:val="en-US" w:eastAsia="zh-CN"/>
              </w:rPr>
              <w:t>5</w:t>
            </w:r>
          </w:p>
        </w:tc>
        <w:tc>
          <w:tcPr>
            <w:tcW w:w="1128" w:type="dxa"/>
            <w:noWrap w:val="0"/>
            <w:vAlign w:val="center"/>
          </w:tcPr>
          <w:p w14:paraId="193AAE13">
            <w:pPr>
              <w:wordWrap w:val="0"/>
              <w:spacing w:line="360" w:lineRule="auto"/>
              <w:jc w:val="center"/>
              <w:rPr>
                <w:rFonts w:hint="eastAsia" w:ascii="宋体" w:hAnsi="宋体" w:eastAsia="仿宋" w:cs="Calibri"/>
                <w:b/>
                <w:bCs/>
                <w:sz w:val="24"/>
              </w:rPr>
            </w:pPr>
            <w:r>
              <w:rPr>
                <w:rFonts w:hint="eastAsia" w:ascii="仿宋" w:hAnsi="仿宋" w:eastAsia="仿宋" w:cs="仿宋"/>
                <w:b/>
                <w:bCs/>
                <w:kern w:val="0"/>
                <w:sz w:val="24"/>
              </w:rPr>
              <w:t>质量要求</w:t>
            </w:r>
          </w:p>
        </w:tc>
        <w:tc>
          <w:tcPr>
            <w:tcW w:w="8089" w:type="dxa"/>
            <w:noWrap w:val="0"/>
            <w:vAlign w:val="top"/>
          </w:tcPr>
          <w:p w14:paraId="7199A40B">
            <w:pPr>
              <w:wordWrap w:val="0"/>
              <w:spacing w:line="360" w:lineRule="auto"/>
              <w:jc w:val="left"/>
              <w:rPr>
                <w:rFonts w:hint="eastAsia" w:ascii="楷体" w:hAnsi="楷体" w:eastAsia="仿宋" w:cs="Calibri"/>
                <w:sz w:val="24"/>
              </w:rPr>
            </w:pPr>
            <w:r>
              <w:rPr>
                <w:rFonts w:hint="eastAsia" w:ascii="仿宋" w:hAnsi="仿宋" w:eastAsia="仿宋" w:cs="仿宋"/>
                <w:b/>
                <w:bCs/>
                <w:kern w:val="0"/>
                <w:sz w:val="24"/>
              </w:rPr>
              <w:t>合格</w:t>
            </w:r>
          </w:p>
        </w:tc>
      </w:tr>
      <w:tr w14:paraId="6D01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40" w:type="dxa"/>
            <w:noWrap w:val="0"/>
            <w:vAlign w:val="center"/>
          </w:tcPr>
          <w:p w14:paraId="1C4904E3">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6</w:t>
            </w:r>
          </w:p>
        </w:tc>
        <w:tc>
          <w:tcPr>
            <w:tcW w:w="1128" w:type="dxa"/>
            <w:noWrap w:val="0"/>
            <w:vAlign w:val="center"/>
          </w:tcPr>
          <w:p w14:paraId="2DAE264E">
            <w:pPr>
              <w:wordWrap w:val="0"/>
              <w:spacing w:line="360" w:lineRule="auto"/>
              <w:jc w:val="center"/>
              <w:rPr>
                <w:rFonts w:ascii="仿宋" w:hAnsi="仿宋" w:eastAsia="仿宋" w:cs="仿宋"/>
                <w:b/>
                <w:color w:val="000000"/>
                <w:sz w:val="24"/>
              </w:rPr>
            </w:pPr>
            <w:r>
              <w:rPr>
                <w:rFonts w:hint="eastAsia" w:ascii="仿宋" w:hAnsi="仿宋" w:eastAsia="仿宋" w:cs="仿宋"/>
                <w:b/>
                <w:color w:val="000000"/>
                <w:sz w:val="24"/>
              </w:rPr>
              <w:t>信息化要求</w:t>
            </w:r>
          </w:p>
        </w:tc>
        <w:tc>
          <w:tcPr>
            <w:tcW w:w="8089" w:type="dxa"/>
            <w:noWrap w:val="0"/>
            <w:vAlign w:val="center"/>
          </w:tcPr>
          <w:p w14:paraId="5AE994E5">
            <w:pPr>
              <w:pStyle w:val="4"/>
              <w:spacing w:before="0" w:beforeAutospacing="0" w:after="0" w:afterAutospacing="0" w:line="360" w:lineRule="auto"/>
              <w:rPr>
                <w:rFonts w:hint="eastAsia" w:ascii="仿宋" w:hAnsi="仿宋" w:eastAsia="仿宋" w:cs="仿宋"/>
                <w:b/>
                <w:bCs/>
                <w:color w:val="auto"/>
              </w:rPr>
            </w:pPr>
            <w:r>
              <w:rPr>
                <w:rFonts w:hint="eastAsia" w:ascii="仿宋" w:hAnsi="仿宋" w:eastAsia="仿宋" w:cs="仿宋"/>
                <w:b/>
                <w:bCs/>
                <w:color w:val="auto"/>
              </w:rPr>
              <w:t>投标人所投设备须与医院信息系统连接，由此产生的费用包含在投标总报价中，采购人不另行支付。</w:t>
            </w:r>
          </w:p>
          <w:p w14:paraId="65C659ED">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1DDA4339">
            <w:pPr>
              <w:pStyle w:val="8"/>
              <w:ind w:firstLine="480"/>
              <w:rPr>
                <w:rFonts w:hint="eastAsia" w:ascii="楷体" w:hAnsi="楷体" w:eastAsia="仿宋" w:cs="Calibri"/>
                <w:sz w:val="24"/>
              </w:rPr>
            </w:pPr>
            <w:r>
              <w:rPr>
                <w:rFonts w:hint="eastAsia" w:ascii="楷体" w:hAnsi="楷体" w:eastAsia="仿宋" w:cs="Calibri"/>
                <w:sz w:val="24"/>
              </w:rPr>
              <w:t xml:space="preserve">            □接受：</w:t>
            </w:r>
          </w:p>
          <w:p w14:paraId="23FDD282">
            <w:pPr>
              <w:pStyle w:val="4"/>
              <w:spacing w:before="0" w:beforeAutospacing="0" w:after="0" w:afterAutospacing="0" w:line="360" w:lineRule="auto"/>
              <w:rPr>
                <w:rFonts w:hint="eastAsia" w:ascii="仿宋" w:hAnsi="仿宋" w:eastAsia="仿宋" w:cs="仿宋"/>
                <w:color w:val="auto"/>
              </w:rPr>
            </w:pPr>
            <w:r>
              <w:rPr>
                <w:rFonts w:hint="eastAsia" w:ascii="楷体" w:hAnsi="楷体" w:eastAsia="仿宋" w:cs="Calibri"/>
              </w:rPr>
              <w:t>允许偏离的幅度：</w:t>
            </w:r>
            <w:r>
              <w:rPr>
                <w:rFonts w:hint="eastAsia" w:eastAsia="仿宋" w:cs="Calibri"/>
              </w:rPr>
              <w:t>/</w:t>
            </w:r>
          </w:p>
        </w:tc>
      </w:tr>
      <w:tr w14:paraId="45AF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540" w:type="dxa"/>
            <w:noWrap w:val="0"/>
            <w:vAlign w:val="center"/>
          </w:tcPr>
          <w:p w14:paraId="133DC724">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7</w:t>
            </w:r>
          </w:p>
        </w:tc>
        <w:tc>
          <w:tcPr>
            <w:tcW w:w="1128" w:type="dxa"/>
            <w:noWrap w:val="0"/>
            <w:vAlign w:val="center"/>
          </w:tcPr>
          <w:p w14:paraId="6E0CD276">
            <w:pPr>
              <w:wordWrap w:val="0"/>
              <w:spacing w:line="360" w:lineRule="auto"/>
              <w:jc w:val="center"/>
              <w:rPr>
                <w:rFonts w:ascii="仿宋" w:hAnsi="仿宋" w:eastAsia="仿宋" w:cs="仿宋"/>
                <w:b/>
                <w:bCs/>
                <w:kern w:val="0"/>
                <w:sz w:val="24"/>
              </w:rPr>
            </w:pPr>
            <w:r>
              <w:rPr>
                <w:rFonts w:hint="eastAsia" w:ascii="仿宋" w:hAnsi="仿宋" w:eastAsia="仿宋" w:cs="仿宋"/>
                <w:b/>
                <w:bCs/>
                <w:kern w:val="0"/>
                <w:sz w:val="24"/>
              </w:rPr>
              <w:t>售后要求</w:t>
            </w:r>
          </w:p>
        </w:tc>
        <w:tc>
          <w:tcPr>
            <w:tcW w:w="8089" w:type="dxa"/>
            <w:noWrap w:val="0"/>
            <w:vAlign w:val="top"/>
          </w:tcPr>
          <w:p w14:paraId="6D24897B">
            <w:pPr>
              <w:pStyle w:val="9"/>
              <w:spacing w:line="360" w:lineRule="auto"/>
              <w:jc w:val="left"/>
              <w:rPr>
                <w:rFonts w:hint="eastAsia" w:ascii="仿宋" w:hAnsi="仿宋" w:eastAsia="仿宋" w:cs="仿宋"/>
                <w:b/>
                <w:bCs/>
                <w:sz w:val="24"/>
                <w:szCs w:val="24"/>
              </w:rPr>
            </w:pPr>
            <w:r>
              <w:rPr>
                <w:rFonts w:hint="eastAsia" w:ascii="仿宋" w:hAnsi="仿宋" w:eastAsia="仿宋" w:cs="仿宋"/>
                <w:b/>
                <w:bCs/>
                <w:sz w:val="24"/>
                <w:szCs w:val="24"/>
              </w:rPr>
              <w:t>中标人须负责在项目安装地点进行所投设备的安装调试工作，并现场测试。在安装和调试期间，如发现设备或材料有缺陷或损坏，中标人应尽快更换，相关费用均包含在本次投标报价中。中标人在维护期内应提供现场、电话、传真或电子邮件方式为采购人提供技术支持，要求中标人应在有稳定的技术支撑与服务能力，并且在设备发生故障时2小时内响应。中标人在项目验收合格后，负责对所投设备组织操作使用培训，培训地点、人员由采购人指定。</w:t>
            </w:r>
          </w:p>
          <w:p w14:paraId="644DCC12">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6B1A4076">
            <w:pPr>
              <w:pStyle w:val="8"/>
              <w:ind w:firstLine="480"/>
              <w:rPr>
                <w:rFonts w:hint="eastAsia" w:ascii="楷体" w:hAnsi="楷体" w:eastAsia="仿宋" w:cs="Calibri"/>
                <w:sz w:val="24"/>
              </w:rPr>
            </w:pPr>
            <w:r>
              <w:rPr>
                <w:rFonts w:hint="eastAsia" w:ascii="楷体" w:hAnsi="楷体" w:eastAsia="仿宋" w:cs="Calibri"/>
                <w:sz w:val="24"/>
              </w:rPr>
              <w:t xml:space="preserve">            □接受：</w:t>
            </w:r>
          </w:p>
          <w:p w14:paraId="71DAD237">
            <w:pPr>
              <w:pStyle w:val="9"/>
              <w:spacing w:line="360" w:lineRule="auto"/>
              <w:jc w:val="left"/>
              <w:rPr>
                <w:rFonts w:hint="eastAsia" w:ascii="仿宋" w:hAnsi="仿宋" w:eastAsia="仿宋" w:cs="仿宋"/>
                <w:sz w:val="24"/>
                <w:szCs w:val="24"/>
              </w:rPr>
            </w:pPr>
            <w:r>
              <w:rPr>
                <w:rFonts w:hint="eastAsia" w:ascii="楷体" w:hAnsi="楷体" w:eastAsia="仿宋" w:cs="Calibri"/>
                <w:sz w:val="24"/>
              </w:rPr>
              <w:t>允许偏离的幅</w:t>
            </w:r>
            <w:r>
              <w:rPr>
                <w:rFonts w:hint="eastAsia" w:ascii="楷体" w:hAnsi="楷体" w:eastAsia="仿宋" w:cs="Calibri"/>
                <w:color w:val="000000"/>
                <w:sz w:val="24"/>
              </w:rPr>
              <w:t>度：</w:t>
            </w:r>
            <w:r>
              <w:rPr>
                <w:rFonts w:hint="eastAsia" w:ascii="宋体" w:hAnsi="宋体" w:eastAsia="仿宋" w:cs="Calibri"/>
                <w:color w:val="000000"/>
                <w:sz w:val="24"/>
              </w:rPr>
              <w:t>/</w:t>
            </w:r>
          </w:p>
        </w:tc>
      </w:tr>
      <w:tr w14:paraId="3865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noWrap w:val="0"/>
            <w:vAlign w:val="center"/>
          </w:tcPr>
          <w:p w14:paraId="73E7604C">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8</w:t>
            </w:r>
          </w:p>
        </w:tc>
        <w:tc>
          <w:tcPr>
            <w:tcW w:w="1128" w:type="dxa"/>
            <w:noWrap w:val="0"/>
            <w:vAlign w:val="center"/>
          </w:tcPr>
          <w:p w14:paraId="4F2D202A">
            <w:pPr>
              <w:wordWrap w:val="0"/>
              <w:spacing w:line="360" w:lineRule="auto"/>
              <w:jc w:val="center"/>
              <w:rPr>
                <w:rFonts w:hint="eastAsia" w:ascii="仿宋" w:hAnsi="仿宋" w:eastAsia="仿宋" w:cs="仿宋"/>
                <w:b/>
                <w:bCs/>
                <w:kern w:val="0"/>
                <w:sz w:val="24"/>
              </w:rPr>
            </w:pPr>
            <w:r>
              <w:rPr>
                <w:rFonts w:hint="eastAsia" w:ascii="仿宋" w:hAnsi="仿宋" w:eastAsia="仿宋" w:cs="仿宋"/>
                <w:b/>
                <w:color w:val="000000"/>
                <w:sz w:val="24"/>
              </w:rPr>
              <w:t>如是依法纳入医疗器械管理的须具有：</w:t>
            </w:r>
          </w:p>
        </w:tc>
        <w:tc>
          <w:tcPr>
            <w:tcW w:w="8089" w:type="dxa"/>
            <w:noWrap w:val="0"/>
            <w:vAlign w:val="center"/>
          </w:tcPr>
          <w:p w14:paraId="166BDEA0">
            <w:pPr>
              <w:wordWrap w:val="0"/>
              <w:spacing w:line="360" w:lineRule="auto"/>
              <w:jc w:val="left"/>
              <w:rPr>
                <w:rFonts w:hint="eastAsia" w:ascii="仿宋" w:hAnsi="仿宋" w:eastAsia="仿宋" w:cs="仿宋"/>
                <w:b/>
                <w:color w:val="000000"/>
                <w:sz w:val="24"/>
              </w:rPr>
            </w:pPr>
            <w:r>
              <w:rPr>
                <w:rFonts w:hint="eastAsia" w:ascii="仿宋" w:hAnsi="仿宋" w:eastAsia="仿宋" w:cs="仿宋"/>
                <w:b/>
                <w:color w:val="000000"/>
                <w:sz w:val="24"/>
                <w:lang w:val="en-US" w:eastAsia="zh-CN"/>
              </w:rPr>
              <w:t>8.1</w:t>
            </w:r>
            <w:r>
              <w:rPr>
                <w:rFonts w:hint="eastAsia" w:ascii="仿宋" w:hAnsi="仿宋" w:eastAsia="仿宋" w:cs="仿宋"/>
                <w:b/>
                <w:color w:val="000000"/>
                <w:sz w:val="24"/>
              </w:rPr>
              <w:t>投标人为制造商的</w:t>
            </w:r>
            <w:r>
              <w:rPr>
                <w:rFonts w:hint="eastAsia" w:ascii="仿宋" w:hAnsi="仿宋" w:eastAsia="仿宋" w:cs="仿宋"/>
                <w:b/>
                <w:color w:val="000000"/>
                <w:sz w:val="24"/>
                <w:lang w:eastAsia="zh-CN"/>
              </w:rPr>
              <w:t>（</w:t>
            </w:r>
            <w:r>
              <w:rPr>
                <w:rFonts w:hint="eastAsia" w:ascii="仿宋" w:hAnsi="仿宋" w:eastAsia="仿宋" w:cs="仿宋"/>
                <w:b/>
                <w:color w:val="000000"/>
                <w:sz w:val="24"/>
                <w:lang w:val="en-US" w:eastAsia="zh-CN"/>
              </w:rPr>
              <w:t>进口产品除外</w:t>
            </w:r>
            <w:r>
              <w:rPr>
                <w:rFonts w:hint="eastAsia" w:ascii="仿宋" w:hAnsi="仿宋" w:eastAsia="仿宋" w:cs="仿宋"/>
                <w:b/>
                <w:color w:val="000000"/>
                <w:sz w:val="24"/>
                <w:lang w:eastAsia="zh-CN"/>
              </w:rPr>
              <w:t>）</w:t>
            </w:r>
            <w:r>
              <w:rPr>
                <w:rFonts w:hint="eastAsia" w:ascii="仿宋" w:hAnsi="仿宋" w:eastAsia="仿宋" w:cs="仿宋"/>
                <w:b/>
                <w:color w:val="000000"/>
                <w:sz w:val="24"/>
              </w:rPr>
              <w:t>，须具有相应的医疗器械生产备案获取的备案编号（属于一类时）。</w:t>
            </w:r>
          </w:p>
          <w:p w14:paraId="760B8526">
            <w:pPr>
              <w:pStyle w:val="9"/>
              <w:spacing w:line="360" w:lineRule="auto"/>
              <w:jc w:val="left"/>
              <w:rPr>
                <w:rFonts w:hint="eastAsia" w:ascii="仿宋" w:hAnsi="仿宋" w:eastAsia="仿宋" w:cs="仿宋"/>
                <w:b/>
                <w:bCs/>
                <w:sz w:val="24"/>
                <w:szCs w:val="24"/>
              </w:rPr>
            </w:pPr>
            <w:r>
              <w:rPr>
                <w:rFonts w:hint="eastAsia" w:ascii="仿宋" w:hAnsi="仿宋" w:eastAsia="仿宋" w:cs="仿宋"/>
                <w:b/>
                <w:bCs/>
                <w:sz w:val="24"/>
                <w:szCs w:val="24"/>
                <w:lang w:val="en-US" w:eastAsia="zh-CN"/>
              </w:rPr>
              <w:t>8.2</w:t>
            </w:r>
            <w:r>
              <w:rPr>
                <w:rFonts w:hint="eastAsia" w:ascii="仿宋" w:hAnsi="仿宋" w:eastAsia="仿宋" w:cs="仿宋"/>
                <w:b/>
                <w:bCs/>
                <w:sz w:val="24"/>
                <w:szCs w:val="24"/>
              </w:rPr>
              <w:t>投标人须具有与投标产品相应的有效经营备案编号（属于二类时）；（如本次投标产品的注册人、备案人在其住所或者生产地址销售的，无需再办理医疗器械经营许可或备案。）。</w:t>
            </w:r>
          </w:p>
          <w:p w14:paraId="02778DF7">
            <w:pPr>
              <w:pStyle w:val="4"/>
              <w:spacing w:before="0" w:beforeAutospacing="0" w:after="0" w:afterAutospacing="0" w:line="360" w:lineRule="auto"/>
              <w:rPr>
                <w:rFonts w:hint="eastAsia" w:ascii="仿宋" w:hAnsi="仿宋" w:eastAsia="仿宋" w:cs="仿宋"/>
                <w:b/>
                <w:bCs/>
                <w:color w:val="auto"/>
              </w:rPr>
            </w:pPr>
            <w:r>
              <w:rPr>
                <w:rFonts w:hint="eastAsia" w:ascii="仿宋" w:hAnsi="仿宋" w:eastAsia="仿宋" w:cs="仿宋"/>
                <w:b/>
                <w:bCs/>
                <w:color w:val="auto"/>
                <w:lang w:val="en-US" w:eastAsia="zh-CN"/>
              </w:rPr>
              <w:t>8.3</w:t>
            </w:r>
            <w:r>
              <w:rPr>
                <w:rFonts w:hint="eastAsia" w:ascii="仿宋" w:hAnsi="仿宋" w:eastAsia="仿宋" w:cs="仿宋"/>
                <w:b/>
                <w:bCs/>
                <w:color w:val="auto"/>
              </w:rPr>
              <w:t>投标产品须具有有效的医疗器械注册证（属于二类、三类时）；投标产品纳入备案管理时（属于一类时），须在投标文件中提供备案材料或承诺函（承诺在合同签订前提供所投产品的备案证明材料，若未按规定提供视为自动放弃中标资格）。</w:t>
            </w:r>
          </w:p>
        </w:tc>
      </w:tr>
      <w:tr w14:paraId="61B9E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noWrap w:val="0"/>
            <w:vAlign w:val="center"/>
          </w:tcPr>
          <w:p w14:paraId="320EAF6E">
            <w:pPr>
              <w:wordWrap w:val="0"/>
              <w:spacing w:line="360" w:lineRule="auto"/>
              <w:jc w:val="center"/>
              <w:rPr>
                <w:rFonts w:hint="eastAsia" w:ascii="仿宋" w:hAnsi="仿宋" w:eastAsia="仿宋" w:cs="仿宋"/>
                <w:b/>
                <w:color w:val="000000"/>
                <w:sz w:val="24"/>
                <w:lang w:val="en-US" w:eastAsia="zh-CN"/>
              </w:rPr>
            </w:pPr>
            <w:r>
              <w:rPr>
                <w:rFonts w:hint="eastAsia" w:ascii="仿宋" w:hAnsi="仿宋" w:eastAsia="仿宋" w:cs="仿宋"/>
                <w:b/>
                <w:color w:val="000000"/>
                <w:sz w:val="24"/>
                <w:lang w:val="en-US" w:eastAsia="zh-CN"/>
              </w:rPr>
              <w:t>9</w:t>
            </w:r>
          </w:p>
        </w:tc>
        <w:tc>
          <w:tcPr>
            <w:tcW w:w="1128" w:type="dxa"/>
            <w:noWrap w:val="0"/>
            <w:vAlign w:val="center"/>
          </w:tcPr>
          <w:p w14:paraId="162C3460">
            <w:pPr>
              <w:wordWrap w:val="0"/>
              <w:spacing w:line="360" w:lineRule="auto"/>
              <w:jc w:val="center"/>
              <w:rPr>
                <w:rFonts w:hint="default" w:ascii="仿宋" w:hAnsi="仿宋" w:eastAsia="仿宋" w:cs="仿宋"/>
                <w:b/>
                <w:color w:val="000000"/>
                <w:sz w:val="24"/>
                <w:lang w:val="en-US" w:eastAsia="zh-CN"/>
              </w:rPr>
            </w:pPr>
            <w:r>
              <w:rPr>
                <w:rFonts w:hint="eastAsia" w:ascii="仿宋" w:hAnsi="仿宋" w:eastAsia="仿宋" w:cs="仿宋"/>
                <w:b/>
                <w:color w:val="000000"/>
                <w:sz w:val="24"/>
                <w:lang w:val="en-US" w:eastAsia="zh-CN"/>
              </w:rPr>
              <w:t>其他要求</w:t>
            </w:r>
          </w:p>
        </w:tc>
        <w:tc>
          <w:tcPr>
            <w:tcW w:w="8089" w:type="dxa"/>
            <w:noWrap w:val="0"/>
            <w:vAlign w:val="center"/>
          </w:tcPr>
          <w:p w14:paraId="6B4AB3BD">
            <w:pPr>
              <w:pStyle w:val="4"/>
              <w:spacing w:before="0" w:beforeAutospacing="0" w:after="0" w:afterAutospacing="0" w:line="360" w:lineRule="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投标人承诺在</w:t>
            </w:r>
            <w:r>
              <w:rPr>
                <w:rFonts w:hint="default" w:ascii="仿宋" w:hAnsi="仿宋" w:eastAsia="仿宋" w:cs="仿宋"/>
                <w:b/>
                <w:bCs/>
                <w:color w:val="auto"/>
                <w:lang w:val="en-US" w:eastAsia="zh-CN"/>
              </w:rPr>
              <w:t>合同签订后供货前提供</w:t>
            </w:r>
            <w:r>
              <w:rPr>
                <w:rFonts w:hint="eastAsia" w:ascii="仿宋" w:hAnsi="仿宋" w:eastAsia="仿宋" w:cs="仿宋"/>
                <w:b/>
                <w:bCs/>
                <w:color w:val="auto"/>
                <w:lang w:val="en-US" w:eastAsia="zh-CN"/>
              </w:rPr>
              <w:t>所投产品制造商出具的</w:t>
            </w:r>
            <w:r>
              <w:rPr>
                <w:rFonts w:hint="default" w:ascii="仿宋" w:hAnsi="仿宋" w:eastAsia="仿宋" w:cs="仿宋"/>
                <w:b/>
                <w:bCs/>
                <w:color w:val="auto"/>
                <w:lang w:val="en-US" w:eastAsia="zh-CN"/>
              </w:rPr>
              <w:t>售后</w:t>
            </w:r>
            <w:r>
              <w:rPr>
                <w:rFonts w:hint="eastAsia" w:ascii="仿宋" w:hAnsi="仿宋" w:eastAsia="仿宋" w:cs="仿宋"/>
                <w:b/>
                <w:bCs/>
                <w:color w:val="auto"/>
                <w:lang w:val="en-US" w:eastAsia="zh-CN"/>
              </w:rPr>
              <w:t>服务</w:t>
            </w:r>
            <w:r>
              <w:rPr>
                <w:rFonts w:hint="default" w:ascii="仿宋" w:hAnsi="仿宋" w:eastAsia="仿宋" w:cs="仿宋"/>
                <w:b/>
                <w:bCs/>
                <w:color w:val="auto"/>
                <w:lang w:val="en-US" w:eastAsia="zh-CN"/>
              </w:rPr>
              <w:t>承诺函</w:t>
            </w:r>
            <w:r>
              <w:rPr>
                <w:rFonts w:hint="eastAsia" w:ascii="仿宋" w:hAnsi="仿宋" w:eastAsia="仿宋" w:cs="仿宋"/>
                <w:b/>
                <w:bCs/>
                <w:color w:val="auto"/>
                <w:lang w:val="en-US" w:eastAsia="zh-CN"/>
              </w:rPr>
              <w:t>，否则</w:t>
            </w:r>
            <w:r>
              <w:rPr>
                <w:rFonts w:hint="eastAsia" w:ascii="仿宋" w:hAnsi="仿宋" w:eastAsia="仿宋" w:cs="仿宋"/>
                <w:b/>
                <w:bCs/>
                <w:color w:val="000000"/>
                <w:kern w:val="0"/>
                <w:sz w:val="24"/>
                <w:lang w:bidi="ar"/>
              </w:rPr>
              <w:t>招标人有权解除合同</w:t>
            </w:r>
            <w:r>
              <w:rPr>
                <w:rFonts w:hint="eastAsia" w:ascii="仿宋" w:hAnsi="仿宋" w:eastAsia="仿宋" w:cs="仿宋"/>
                <w:b/>
                <w:bCs/>
                <w:color w:val="000000"/>
                <w:kern w:val="0"/>
                <w:sz w:val="24"/>
                <w:lang w:eastAsia="zh-CN" w:bidi="ar"/>
              </w:rPr>
              <w:t>。</w:t>
            </w:r>
          </w:p>
        </w:tc>
      </w:tr>
      <w:tr w14:paraId="3D0E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noWrap w:val="0"/>
            <w:vAlign w:val="center"/>
          </w:tcPr>
          <w:p w14:paraId="2EE106FC">
            <w:pPr>
              <w:wordWrap w:val="0"/>
              <w:spacing w:line="360" w:lineRule="auto"/>
              <w:jc w:val="center"/>
              <w:rPr>
                <w:rFonts w:hint="default" w:ascii="仿宋" w:hAnsi="仿宋" w:eastAsia="仿宋" w:cs="仿宋"/>
                <w:b/>
                <w:color w:val="000000"/>
                <w:sz w:val="24"/>
                <w:lang w:val="en-US" w:eastAsia="zh-CN"/>
              </w:rPr>
            </w:pPr>
            <w:r>
              <w:rPr>
                <w:rFonts w:hint="eastAsia" w:ascii="仿宋" w:hAnsi="仿宋" w:eastAsia="仿宋" w:cs="仿宋"/>
                <w:b/>
                <w:color w:val="000000"/>
                <w:sz w:val="24"/>
                <w:lang w:val="en-US" w:eastAsia="zh-CN"/>
              </w:rPr>
              <w:t>10</w:t>
            </w:r>
          </w:p>
        </w:tc>
        <w:tc>
          <w:tcPr>
            <w:tcW w:w="1128" w:type="dxa"/>
            <w:noWrap w:val="0"/>
            <w:vAlign w:val="center"/>
          </w:tcPr>
          <w:p w14:paraId="51D0EE13">
            <w:pPr>
              <w:wordWrap w:val="0"/>
              <w:spacing w:line="360" w:lineRule="auto"/>
              <w:jc w:val="center"/>
              <w:rPr>
                <w:rFonts w:hint="eastAsia" w:ascii="仿宋" w:hAnsi="仿宋" w:eastAsia="仿宋" w:cs="仿宋"/>
                <w:b/>
                <w:color w:val="000000"/>
                <w:sz w:val="24"/>
                <w:lang w:val="en-US" w:eastAsia="zh-CN"/>
              </w:rPr>
            </w:pPr>
            <w:r>
              <w:rPr>
                <w:rFonts w:hint="eastAsia" w:ascii="仿宋" w:hAnsi="仿宋" w:eastAsia="仿宋" w:cs="仿宋"/>
                <w:b/>
                <w:bCs/>
                <w:sz w:val="24"/>
              </w:rPr>
              <w:t>配置</w:t>
            </w:r>
            <w:r>
              <w:rPr>
                <w:rFonts w:hint="eastAsia" w:ascii="仿宋" w:hAnsi="仿宋" w:eastAsia="仿宋" w:cs="仿宋"/>
                <w:b/>
                <w:bCs/>
                <w:sz w:val="24"/>
                <w:lang w:val="en-US" w:eastAsia="zh-CN"/>
              </w:rPr>
              <w:t>要求</w:t>
            </w:r>
          </w:p>
        </w:tc>
        <w:tc>
          <w:tcPr>
            <w:tcW w:w="8089" w:type="dxa"/>
            <w:noWrap w:val="0"/>
            <w:vAlign w:val="center"/>
          </w:tcPr>
          <w:p w14:paraId="2D6B47DF">
            <w:pPr>
              <w:spacing w:line="360" w:lineRule="auto"/>
              <w:jc w:val="left"/>
              <w:rPr>
                <w:rFonts w:hint="eastAsia" w:ascii="仿宋" w:hAnsi="仿宋" w:eastAsia="仿宋" w:cs="仿宋"/>
                <w:b/>
                <w:bCs/>
                <w:sz w:val="24"/>
              </w:rPr>
            </w:pPr>
            <w:r>
              <w:rPr>
                <w:rFonts w:hint="eastAsia" w:ascii="仿宋" w:hAnsi="仿宋" w:eastAsia="仿宋" w:cs="仿宋"/>
                <w:b/>
                <w:bCs/>
                <w:sz w:val="24"/>
              </w:rPr>
              <w:t>1.</w:t>
            </w:r>
            <w:r>
              <w:rPr>
                <w:rFonts w:hint="eastAsia" w:ascii="仿宋" w:hAnsi="仿宋" w:eastAsia="仿宋" w:cs="仿宋"/>
                <w:b/>
                <w:bCs/>
                <w:sz w:val="24"/>
              </w:rPr>
              <w:tab/>
            </w:r>
            <w:r>
              <w:rPr>
                <w:rFonts w:hint="eastAsia" w:ascii="仿宋" w:hAnsi="仿宋" w:eastAsia="仿宋" w:cs="仿宋"/>
                <w:b/>
                <w:bCs/>
                <w:sz w:val="24"/>
              </w:rPr>
              <w:t>质谱仪主机1套</w:t>
            </w:r>
          </w:p>
          <w:p w14:paraId="117EAAA2">
            <w:pPr>
              <w:spacing w:line="360" w:lineRule="auto"/>
              <w:jc w:val="left"/>
              <w:rPr>
                <w:rFonts w:hint="eastAsia" w:ascii="仿宋" w:hAnsi="仿宋" w:eastAsia="仿宋" w:cs="仿宋"/>
                <w:b/>
                <w:bCs/>
                <w:sz w:val="24"/>
              </w:rPr>
            </w:pPr>
            <w:r>
              <w:rPr>
                <w:rFonts w:hint="eastAsia" w:ascii="仿宋" w:hAnsi="仿宋" w:eastAsia="仿宋" w:cs="仿宋"/>
                <w:b/>
                <w:bCs/>
                <w:sz w:val="24"/>
              </w:rPr>
              <w:t>2.</w:t>
            </w:r>
            <w:r>
              <w:rPr>
                <w:rFonts w:hint="eastAsia" w:ascii="仿宋" w:hAnsi="仿宋" w:eastAsia="仿宋" w:cs="仿宋"/>
                <w:b/>
                <w:bCs/>
                <w:sz w:val="24"/>
              </w:rPr>
              <w:tab/>
            </w:r>
            <w:r>
              <w:rPr>
                <w:rFonts w:hint="eastAsia" w:ascii="仿宋" w:hAnsi="仿宋" w:eastAsia="仿宋" w:cs="仿宋"/>
                <w:b/>
                <w:bCs/>
                <w:sz w:val="24"/>
              </w:rPr>
              <w:t>独立ESI离子源1套</w:t>
            </w:r>
          </w:p>
          <w:p w14:paraId="342418EF">
            <w:pPr>
              <w:spacing w:line="360" w:lineRule="auto"/>
              <w:jc w:val="left"/>
              <w:rPr>
                <w:rFonts w:hint="eastAsia" w:ascii="仿宋" w:hAnsi="仿宋" w:eastAsia="仿宋" w:cs="仿宋"/>
                <w:b/>
                <w:bCs/>
                <w:sz w:val="24"/>
              </w:rPr>
            </w:pPr>
            <w:r>
              <w:rPr>
                <w:rFonts w:hint="eastAsia" w:ascii="仿宋" w:hAnsi="仿宋" w:eastAsia="仿宋" w:cs="仿宋"/>
                <w:b/>
                <w:bCs/>
                <w:sz w:val="24"/>
              </w:rPr>
              <w:t>3.</w:t>
            </w:r>
            <w:r>
              <w:rPr>
                <w:rFonts w:hint="eastAsia" w:ascii="仿宋" w:hAnsi="仿宋" w:eastAsia="仿宋" w:cs="仿宋"/>
                <w:b/>
                <w:bCs/>
                <w:sz w:val="24"/>
              </w:rPr>
              <w:tab/>
            </w:r>
            <w:r>
              <w:rPr>
                <w:rFonts w:hint="eastAsia" w:ascii="仿宋" w:hAnsi="仿宋" w:eastAsia="仿宋" w:cs="仿宋"/>
                <w:b/>
                <w:bCs/>
                <w:sz w:val="24"/>
              </w:rPr>
              <w:t>独立APCI离子源1套</w:t>
            </w:r>
          </w:p>
          <w:p w14:paraId="73E8970D">
            <w:pPr>
              <w:spacing w:line="360" w:lineRule="auto"/>
              <w:jc w:val="left"/>
              <w:rPr>
                <w:rFonts w:hint="eastAsia" w:ascii="仿宋" w:hAnsi="仿宋" w:eastAsia="仿宋" w:cs="仿宋"/>
                <w:b/>
                <w:bCs/>
                <w:sz w:val="24"/>
              </w:rPr>
            </w:pPr>
            <w:r>
              <w:rPr>
                <w:rFonts w:hint="eastAsia" w:ascii="仿宋" w:hAnsi="仿宋" w:eastAsia="仿宋" w:cs="仿宋"/>
                <w:b/>
                <w:bCs/>
                <w:sz w:val="24"/>
              </w:rPr>
              <w:t>4.</w:t>
            </w:r>
            <w:r>
              <w:rPr>
                <w:rFonts w:hint="eastAsia" w:ascii="仿宋" w:hAnsi="仿宋" w:eastAsia="仿宋" w:cs="仿宋"/>
                <w:b/>
                <w:bCs/>
                <w:sz w:val="24"/>
              </w:rPr>
              <w:tab/>
            </w:r>
            <w:r>
              <w:rPr>
                <w:rFonts w:hint="eastAsia" w:ascii="仿宋" w:hAnsi="仿宋" w:eastAsia="仿宋" w:cs="仿宋"/>
                <w:b/>
                <w:bCs/>
                <w:sz w:val="24"/>
              </w:rPr>
              <w:t>操作软件1套</w:t>
            </w:r>
          </w:p>
          <w:p w14:paraId="386CBB92">
            <w:pPr>
              <w:spacing w:line="360" w:lineRule="auto"/>
              <w:jc w:val="left"/>
              <w:rPr>
                <w:rFonts w:hint="eastAsia" w:ascii="仿宋" w:hAnsi="仿宋" w:eastAsia="仿宋" w:cs="仿宋"/>
                <w:b/>
                <w:bCs/>
                <w:sz w:val="24"/>
              </w:rPr>
            </w:pPr>
            <w:r>
              <w:rPr>
                <w:rFonts w:hint="eastAsia" w:ascii="仿宋" w:hAnsi="仿宋" w:eastAsia="仿宋" w:cs="仿宋"/>
                <w:b/>
                <w:bCs/>
                <w:sz w:val="24"/>
              </w:rPr>
              <w:t>5.</w:t>
            </w:r>
            <w:r>
              <w:rPr>
                <w:rFonts w:hint="eastAsia" w:ascii="仿宋" w:hAnsi="仿宋" w:eastAsia="仿宋" w:cs="仿宋"/>
                <w:b/>
                <w:bCs/>
                <w:sz w:val="24"/>
              </w:rPr>
              <w:tab/>
            </w:r>
            <w:r>
              <w:rPr>
                <w:rFonts w:hint="eastAsia" w:ascii="仿宋" w:hAnsi="仿宋" w:eastAsia="仿宋" w:cs="仿宋"/>
                <w:b/>
                <w:bCs/>
                <w:sz w:val="24"/>
              </w:rPr>
              <w:t>电脑工作站1套</w:t>
            </w:r>
          </w:p>
          <w:p w14:paraId="1E63E803">
            <w:pPr>
              <w:spacing w:line="360" w:lineRule="auto"/>
              <w:jc w:val="left"/>
              <w:rPr>
                <w:rFonts w:hint="eastAsia" w:ascii="仿宋" w:hAnsi="仿宋" w:eastAsia="仿宋" w:cs="仿宋"/>
                <w:b/>
                <w:bCs/>
                <w:sz w:val="24"/>
              </w:rPr>
            </w:pPr>
            <w:r>
              <w:rPr>
                <w:rFonts w:hint="eastAsia" w:ascii="仿宋" w:hAnsi="仿宋" w:eastAsia="仿宋" w:cs="仿宋"/>
                <w:b/>
                <w:bCs/>
                <w:sz w:val="24"/>
              </w:rPr>
              <w:t>6.</w:t>
            </w:r>
            <w:r>
              <w:rPr>
                <w:rFonts w:hint="eastAsia" w:ascii="仿宋" w:hAnsi="仿宋" w:eastAsia="仿宋" w:cs="仿宋"/>
                <w:b/>
                <w:bCs/>
                <w:sz w:val="24"/>
              </w:rPr>
              <w:tab/>
            </w:r>
            <w:r>
              <w:rPr>
                <w:rFonts w:hint="eastAsia" w:ascii="仿宋" w:hAnsi="仿宋" w:eastAsia="仿宋" w:cs="仿宋"/>
                <w:b/>
                <w:bCs/>
                <w:sz w:val="24"/>
              </w:rPr>
              <w:t>液相色谱部分：</w:t>
            </w:r>
          </w:p>
          <w:p w14:paraId="19930DA6">
            <w:pPr>
              <w:spacing w:line="360" w:lineRule="auto"/>
              <w:jc w:val="left"/>
              <w:rPr>
                <w:rFonts w:hint="eastAsia" w:ascii="仿宋" w:hAnsi="仿宋" w:eastAsia="仿宋" w:cs="仿宋"/>
                <w:b/>
                <w:bCs/>
                <w:sz w:val="24"/>
              </w:rPr>
            </w:pPr>
            <w:r>
              <w:rPr>
                <w:rFonts w:hint="eastAsia" w:ascii="仿宋" w:hAnsi="仿宋" w:eastAsia="仿宋" w:cs="仿宋"/>
                <w:b/>
                <w:bCs/>
                <w:sz w:val="24"/>
              </w:rPr>
              <w:t>7.</w:t>
            </w:r>
            <w:r>
              <w:rPr>
                <w:rFonts w:hint="eastAsia" w:ascii="仿宋" w:hAnsi="仿宋" w:eastAsia="仿宋" w:cs="仿宋"/>
                <w:b/>
                <w:bCs/>
                <w:sz w:val="24"/>
              </w:rPr>
              <w:tab/>
            </w:r>
            <w:r>
              <w:rPr>
                <w:rFonts w:hint="eastAsia" w:ascii="仿宋" w:hAnsi="仿宋" w:eastAsia="仿宋" w:cs="仿宋"/>
                <w:b/>
                <w:bCs/>
                <w:sz w:val="24"/>
              </w:rPr>
              <w:t>二元高压梯度泵1套</w:t>
            </w:r>
          </w:p>
          <w:p w14:paraId="22012B46">
            <w:pPr>
              <w:spacing w:line="360" w:lineRule="auto"/>
              <w:jc w:val="left"/>
              <w:rPr>
                <w:rFonts w:hint="eastAsia" w:ascii="仿宋" w:hAnsi="仿宋" w:eastAsia="仿宋" w:cs="仿宋"/>
                <w:b/>
                <w:bCs/>
                <w:sz w:val="24"/>
              </w:rPr>
            </w:pPr>
            <w:r>
              <w:rPr>
                <w:rFonts w:hint="eastAsia" w:ascii="仿宋" w:hAnsi="仿宋" w:eastAsia="仿宋" w:cs="仿宋"/>
                <w:b/>
                <w:bCs/>
                <w:sz w:val="24"/>
              </w:rPr>
              <w:t>8.</w:t>
            </w:r>
            <w:r>
              <w:rPr>
                <w:rFonts w:hint="eastAsia" w:ascii="仿宋" w:hAnsi="仿宋" w:eastAsia="仿宋" w:cs="仿宋"/>
                <w:b/>
                <w:bCs/>
                <w:sz w:val="24"/>
              </w:rPr>
              <w:tab/>
            </w:r>
            <w:r>
              <w:rPr>
                <w:rFonts w:hint="eastAsia" w:ascii="仿宋" w:hAnsi="仿宋" w:eastAsia="仿宋" w:cs="仿宋"/>
                <w:b/>
                <w:bCs/>
                <w:sz w:val="24"/>
              </w:rPr>
              <w:t>自动进样器1个</w:t>
            </w:r>
          </w:p>
          <w:p w14:paraId="414E80C3">
            <w:pPr>
              <w:spacing w:line="360" w:lineRule="auto"/>
              <w:jc w:val="left"/>
              <w:rPr>
                <w:rFonts w:hint="eastAsia" w:ascii="仿宋" w:hAnsi="仿宋" w:eastAsia="仿宋" w:cs="仿宋"/>
                <w:b/>
                <w:bCs/>
                <w:sz w:val="24"/>
              </w:rPr>
            </w:pPr>
            <w:r>
              <w:rPr>
                <w:rFonts w:hint="eastAsia" w:ascii="仿宋" w:hAnsi="仿宋" w:eastAsia="仿宋" w:cs="仿宋"/>
                <w:b/>
                <w:bCs/>
                <w:sz w:val="24"/>
              </w:rPr>
              <w:t>9.</w:t>
            </w:r>
            <w:r>
              <w:rPr>
                <w:rFonts w:hint="eastAsia" w:ascii="仿宋" w:hAnsi="仿宋" w:eastAsia="仿宋" w:cs="仿宋"/>
                <w:b/>
                <w:bCs/>
                <w:sz w:val="24"/>
              </w:rPr>
              <w:tab/>
            </w:r>
            <w:r>
              <w:rPr>
                <w:rFonts w:hint="eastAsia" w:ascii="仿宋" w:hAnsi="仿宋" w:eastAsia="仿宋" w:cs="仿宋"/>
                <w:b/>
                <w:bCs/>
                <w:sz w:val="24"/>
              </w:rPr>
              <w:t>柱温箱1个，提供5根常用色谱柱</w:t>
            </w:r>
          </w:p>
          <w:p w14:paraId="2827C600">
            <w:pPr>
              <w:spacing w:line="360" w:lineRule="auto"/>
              <w:jc w:val="left"/>
              <w:rPr>
                <w:rFonts w:hint="eastAsia" w:ascii="仿宋" w:hAnsi="仿宋" w:eastAsia="仿宋" w:cs="仿宋"/>
                <w:b/>
                <w:bCs/>
                <w:sz w:val="24"/>
              </w:rPr>
            </w:pPr>
            <w:r>
              <w:rPr>
                <w:rFonts w:hint="eastAsia" w:ascii="仿宋" w:hAnsi="仿宋" w:eastAsia="仿宋" w:cs="仿宋"/>
                <w:b/>
                <w:bCs/>
                <w:sz w:val="24"/>
              </w:rPr>
              <w:t>10.</w:t>
            </w:r>
            <w:r>
              <w:rPr>
                <w:rFonts w:hint="eastAsia" w:ascii="仿宋" w:hAnsi="仿宋" w:eastAsia="仿宋" w:cs="仿宋"/>
                <w:b/>
                <w:bCs/>
                <w:sz w:val="24"/>
              </w:rPr>
              <w:tab/>
            </w:r>
            <w:r>
              <w:rPr>
                <w:rFonts w:hint="eastAsia" w:ascii="仿宋" w:hAnsi="仿宋" w:eastAsia="仿宋" w:cs="仿宋"/>
                <w:b/>
                <w:bCs/>
                <w:sz w:val="24"/>
              </w:rPr>
              <w:t>在线脱气机1个</w:t>
            </w:r>
          </w:p>
          <w:p w14:paraId="2B1F7BB5">
            <w:pPr>
              <w:spacing w:line="360" w:lineRule="auto"/>
              <w:jc w:val="left"/>
              <w:rPr>
                <w:rFonts w:hint="eastAsia" w:ascii="仿宋" w:hAnsi="仿宋" w:eastAsia="仿宋" w:cs="仿宋"/>
                <w:b/>
                <w:bCs/>
                <w:sz w:val="24"/>
              </w:rPr>
            </w:pPr>
            <w:r>
              <w:rPr>
                <w:rFonts w:hint="eastAsia" w:ascii="仿宋" w:hAnsi="仿宋" w:eastAsia="仿宋" w:cs="仿宋"/>
                <w:b/>
                <w:bCs/>
                <w:sz w:val="24"/>
              </w:rPr>
              <w:t>11.</w:t>
            </w:r>
            <w:r>
              <w:rPr>
                <w:rFonts w:hint="eastAsia" w:ascii="仿宋" w:hAnsi="仿宋" w:eastAsia="仿宋" w:cs="仿宋"/>
                <w:b/>
                <w:bCs/>
                <w:sz w:val="24"/>
              </w:rPr>
              <w:tab/>
            </w:r>
            <w:r>
              <w:rPr>
                <w:rFonts w:hint="eastAsia" w:ascii="仿宋" w:hAnsi="仿宋" w:eastAsia="仿宋" w:cs="仿宋"/>
                <w:b/>
                <w:bCs/>
                <w:sz w:val="24"/>
              </w:rPr>
              <w:t>混合器1个</w:t>
            </w:r>
          </w:p>
          <w:p w14:paraId="237EB76A">
            <w:pPr>
              <w:spacing w:line="360" w:lineRule="auto"/>
              <w:jc w:val="left"/>
              <w:rPr>
                <w:rFonts w:hint="eastAsia" w:ascii="仿宋" w:hAnsi="仿宋" w:eastAsia="仿宋" w:cs="仿宋"/>
                <w:b/>
                <w:bCs/>
                <w:sz w:val="24"/>
              </w:rPr>
            </w:pPr>
            <w:r>
              <w:rPr>
                <w:rFonts w:hint="eastAsia" w:ascii="仿宋" w:hAnsi="仿宋" w:eastAsia="仿宋" w:cs="仿宋"/>
                <w:b/>
                <w:bCs/>
                <w:sz w:val="24"/>
              </w:rPr>
              <w:t>12.</w:t>
            </w:r>
            <w:r>
              <w:rPr>
                <w:rFonts w:hint="eastAsia" w:ascii="仿宋" w:hAnsi="仿宋" w:eastAsia="仿宋" w:cs="仿宋"/>
                <w:b/>
                <w:bCs/>
                <w:sz w:val="24"/>
              </w:rPr>
              <w:tab/>
            </w:r>
            <w:r>
              <w:rPr>
                <w:rFonts w:hint="eastAsia" w:ascii="仿宋" w:hAnsi="仿宋" w:eastAsia="仿宋" w:cs="仿宋"/>
                <w:b/>
                <w:bCs/>
                <w:sz w:val="24"/>
              </w:rPr>
              <w:t>溶剂瓶托盘1个</w:t>
            </w:r>
          </w:p>
          <w:p w14:paraId="4FEBBABB">
            <w:pPr>
              <w:spacing w:line="360" w:lineRule="auto"/>
              <w:jc w:val="left"/>
              <w:rPr>
                <w:rFonts w:hint="eastAsia" w:ascii="仿宋" w:hAnsi="仿宋" w:eastAsia="仿宋" w:cs="仿宋"/>
                <w:b/>
                <w:bCs/>
                <w:sz w:val="24"/>
              </w:rPr>
            </w:pPr>
            <w:r>
              <w:rPr>
                <w:rFonts w:hint="eastAsia" w:ascii="仿宋" w:hAnsi="仿宋" w:eastAsia="仿宋" w:cs="仿宋"/>
                <w:b/>
                <w:bCs/>
                <w:sz w:val="24"/>
              </w:rPr>
              <w:t>13.</w:t>
            </w:r>
            <w:r>
              <w:rPr>
                <w:rFonts w:hint="eastAsia" w:ascii="仿宋" w:hAnsi="仿宋" w:eastAsia="仿宋" w:cs="仿宋"/>
                <w:b/>
                <w:bCs/>
                <w:sz w:val="24"/>
              </w:rPr>
              <w:tab/>
            </w:r>
            <w:r>
              <w:rPr>
                <w:rFonts w:hint="eastAsia" w:ascii="仿宋" w:hAnsi="仿宋" w:eastAsia="仿宋" w:cs="仿宋"/>
                <w:b/>
                <w:bCs/>
                <w:sz w:val="24"/>
              </w:rPr>
              <w:t>溶剂瓶（含瓶盖）5个</w:t>
            </w:r>
          </w:p>
          <w:p w14:paraId="39E3A25C">
            <w:pPr>
              <w:rPr>
                <w:rFonts w:hint="eastAsia" w:ascii="仿宋" w:hAnsi="仿宋" w:eastAsia="仿宋" w:cs="仿宋"/>
                <w:b/>
                <w:bCs/>
                <w:color w:val="auto"/>
                <w:lang w:val="en-US" w:eastAsia="zh-CN"/>
              </w:rPr>
            </w:pPr>
            <w:r>
              <w:rPr>
                <w:rFonts w:hint="eastAsia" w:ascii="仿宋" w:hAnsi="仿宋" w:eastAsia="仿宋" w:cs="仿宋"/>
                <w:b/>
                <w:bCs/>
                <w:sz w:val="24"/>
              </w:rPr>
              <w:t>14.</w:t>
            </w:r>
            <w:r>
              <w:rPr>
                <w:rFonts w:hint="eastAsia" w:ascii="仿宋" w:hAnsi="仿宋" w:eastAsia="仿宋" w:cs="仿宋"/>
                <w:b/>
                <w:bCs/>
                <w:sz w:val="24"/>
              </w:rPr>
              <w:tab/>
            </w:r>
            <w:r>
              <w:rPr>
                <w:rFonts w:hint="eastAsia" w:ascii="仿宋" w:hAnsi="仿宋" w:eastAsia="仿宋" w:cs="仿宋"/>
                <w:b/>
                <w:bCs/>
                <w:sz w:val="24"/>
              </w:rPr>
              <w:t>临床质谱信息一体化管理系统1套</w:t>
            </w:r>
          </w:p>
        </w:tc>
      </w:tr>
    </w:tbl>
    <w:p w14:paraId="1D8C4BAD">
      <w:pPr>
        <w:pStyle w:val="10"/>
        <w:spacing w:line="360" w:lineRule="auto"/>
        <w:ind w:firstLine="480" w:firstLineChars="200"/>
        <w:rPr>
          <w:rFonts w:hint="eastAsia" w:ascii="仿宋" w:hAnsi="仿宋" w:eastAsia="仿宋" w:cs="仿宋"/>
          <w:color w:val="000000"/>
          <w:sz w:val="24"/>
          <w:szCs w:val="24"/>
        </w:rPr>
      </w:pPr>
    </w:p>
    <w:p w14:paraId="49D1A440">
      <w:pPr>
        <w:spacing w:line="360" w:lineRule="auto"/>
        <w:rPr>
          <w:rFonts w:hint="eastAsia" w:ascii="仿宋" w:hAnsi="仿宋" w:eastAsia="仿宋" w:cs="仿宋"/>
          <w:b/>
          <w:sz w:val="24"/>
        </w:rPr>
      </w:pPr>
      <w:r>
        <w:rPr>
          <w:rFonts w:hint="eastAsia" w:ascii="仿宋" w:hAnsi="仿宋" w:eastAsia="仿宋" w:cs="仿宋"/>
          <w:b/>
          <w:color w:val="000000"/>
          <w:sz w:val="24"/>
        </w:rPr>
        <w:t>注：上述</w:t>
      </w:r>
      <w:r>
        <w:rPr>
          <w:rFonts w:hint="eastAsia" w:ascii="仿宋" w:hAnsi="仿宋" w:eastAsia="仿宋" w:cs="仿宋"/>
          <w:b/>
          <w:sz w:val="24"/>
        </w:rPr>
        <w:t>商务条款必须全部满足，否则做无效标处理。</w:t>
      </w:r>
    </w:p>
    <w:p w14:paraId="524F34E3">
      <w:pPr>
        <w:spacing w:line="360" w:lineRule="auto"/>
        <w:rPr>
          <w:rFonts w:hint="eastAsia" w:ascii="仿宋" w:hAnsi="仿宋" w:eastAsia="仿宋" w:cs="仿宋"/>
          <w:b/>
          <w:sz w:val="24"/>
        </w:rPr>
      </w:pPr>
    </w:p>
    <w:p w14:paraId="597DBBD1">
      <w:pPr>
        <w:spacing w:line="360" w:lineRule="auto"/>
        <w:rPr>
          <w:rFonts w:hint="eastAsia" w:ascii="仿宋" w:hAnsi="仿宋" w:eastAsia="仿宋" w:cs="仿宋"/>
          <w:b/>
          <w:sz w:val="24"/>
        </w:rPr>
      </w:pPr>
    </w:p>
    <w:p w14:paraId="35BE9746">
      <w:pPr>
        <w:spacing w:line="360" w:lineRule="auto"/>
        <w:rPr>
          <w:rFonts w:ascii="仿宋" w:hAnsi="仿宋" w:eastAsia="仿宋" w:cs="仿宋"/>
          <w:b/>
          <w:bCs/>
          <w:color w:val="000000"/>
          <w:kern w:val="0"/>
          <w:sz w:val="24"/>
          <w:lang w:bidi="ar"/>
        </w:rPr>
      </w:pPr>
      <w:r>
        <w:rPr>
          <w:rFonts w:hint="eastAsia" w:ascii="仿宋" w:hAnsi="仿宋" w:eastAsia="仿宋" w:cs="仿宋"/>
          <w:b/>
          <w:sz w:val="24"/>
        </w:rPr>
        <w:br w:type="page"/>
      </w:r>
      <w:r>
        <w:rPr>
          <w:rFonts w:hint="eastAsia" w:ascii="仿宋" w:hAnsi="仿宋" w:eastAsia="仿宋" w:cs="仿宋"/>
          <w:b/>
          <w:bCs/>
          <w:kern w:val="44"/>
          <w:sz w:val="24"/>
        </w:rPr>
        <w:t>（一）技术</w:t>
      </w:r>
      <w:r>
        <w:rPr>
          <w:rFonts w:hint="eastAsia" w:ascii="仿宋" w:hAnsi="仿宋" w:eastAsia="仿宋" w:cs="仿宋"/>
          <w:b/>
          <w:bCs/>
          <w:kern w:val="44"/>
          <w:sz w:val="24"/>
          <w:lang w:val="zh-CN"/>
        </w:rPr>
        <w:t>需求</w:t>
      </w:r>
      <w:r>
        <w:rPr>
          <w:rFonts w:hint="eastAsia" w:ascii="仿宋_GB2312" w:hAnsi="仿宋_GB2312" w:eastAsia="仿宋_GB2312" w:cs="仿宋_GB2312"/>
          <w:b/>
          <w:color w:val="000000"/>
          <w:sz w:val="24"/>
        </w:rPr>
        <w:t>重要性表述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1902"/>
        <w:gridCol w:w="4693"/>
      </w:tblGrid>
      <w:tr w14:paraId="3C6D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11" w:type="dxa"/>
            <w:noWrap w:val="0"/>
            <w:vAlign w:val="center"/>
          </w:tcPr>
          <w:p w14:paraId="075E4032">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标识重要性</w:t>
            </w:r>
          </w:p>
        </w:tc>
        <w:tc>
          <w:tcPr>
            <w:tcW w:w="2180" w:type="dxa"/>
            <w:noWrap w:val="0"/>
            <w:vAlign w:val="center"/>
          </w:tcPr>
          <w:p w14:paraId="4D706C8B">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标识符号</w:t>
            </w:r>
          </w:p>
        </w:tc>
        <w:tc>
          <w:tcPr>
            <w:tcW w:w="5463" w:type="dxa"/>
            <w:noWrap w:val="0"/>
            <w:vAlign w:val="center"/>
          </w:tcPr>
          <w:p w14:paraId="7D4D3EFF">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代表意思</w:t>
            </w:r>
          </w:p>
        </w:tc>
      </w:tr>
      <w:tr w14:paraId="5FA1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11" w:type="dxa"/>
            <w:noWrap w:val="0"/>
            <w:vAlign w:val="center"/>
          </w:tcPr>
          <w:p w14:paraId="6641BA3B">
            <w:pPr>
              <w:widowControl/>
              <w:spacing w:line="360" w:lineRule="auto"/>
              <w:jc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实质性指标项</w:t>
            </w:r>
          </w:p>
        </w:tc>
        <w:tc>
          <w:tcPr>
            <w:tcW w:w="2180" w:type="dxa"/>
            <w:noWrap w:val="0"/>
            <w:vAlign w:val="center"/>
          </w:tcPr>
          <w:p w14:paraId="24BC5315">
            <w:pPr>
              <w:widowControl/>
              <w:spacing w:line="360" w:lineRule="auto"/>
              <w:jc w:val="center"/>
              <w:rPr>
                <w:rFonts w:hint="eastAsia" w:ascii="宋体" w:hAnsi="宋体" w:cs="宋体"/>
                <w:b/>
                <w:bCs/>
              </w:rPr>
            </w:pPr>
            <w:r>
              <w:rPr>
                <w:rFonts w:hint="eastAsia" w:ascii="仿宋" w:hAnsi="仿宋" w:eastAsia="仿宋" w:cs="仿宋"/>
                <w:b/>
                <w:bCs/>
                <w:sz w:val="24"/>
                <w:lang w:eastAsia="zh-CN"/>
              </w:rPr>
              <w:t>★</w:t>
            </w:r>
          </w:p>
        </w:tc>
        <w:tc>
          <w:tcPr>
            <w:tcW w:w="5463" w:type="dxa"/>
            <w:noWrap w:val="0"/>
            <w:vAlign w:val="center"/>
          </w:tcPr>
          <w:p w14:paraId="32C09251">
            <w:pPr>
              <w:widowControl/>
              <w:spacing w:line="360" w:lineRule="auto"/>
              <w:jc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未响应或者负偏离，做无效标处理</w:t>
            </w:r>
          </w:p>
        </w:tc>
      </w:tr>
      <w:tr w14:paraId="0901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11" w:type="dxa"/>
            <w:noWrap w:val="0"/>
            <w:vAlign w:val="center"/>
          </w:tcPr>
          <w:p w14:paraId="0C81ED33">
            <w:pPr>
              <w:widowControl/>
              <w:spacing w:line="360" w:lineRule="auto"/>
              <w:jc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关键指标项</w:t>
            </w:r>
          </w:p>
        </w:tc>
        <w:tc>
          <w:tcPr>
            <w:tcW w:w="2180" w:type="dxa"/>
            <w:noWrap w:val="0"/>
            <w:vAlign w:val="center"/>
          </w:tcPr>
          <w:p w14:paraId="64D37F41">
            <w:pPr>
              <w:widowControl/>
              <w:spacing w:line="360" w:lineRule="auto"/>
              <w:jc w:val="center"/>
              <w:rPr>
                <w:rFonts w:hint="eastAsia" w:ascii="仿宋" w:hAnsi="仿宋" w:eastAsia="仿宋" w:cs="仿宋"/>
                <w:b/>
                <w:bCs/>
                <w:color w:val="000000"/>
                <w:sz w:val="24"/>
              </w:rPr>
            </w:pPr>
            <w:r>
              <w:rPr>
                <w:rFonts w:hint="eastAsia" w:ascii="宋体" w:hAnsi="宋体" w:eastAsia="宋体" w:cs="宋体"/>
                <w:b/>
                <w:bCs/>
              </w:rPr>
              <w:t>█</w:t>
            </w:r>
          </w:p>
        </w:tc>
        <w:tc>
          <w:tcPr>
            <w:tcW w:w="5463" w:type="dxa"/>
            <w:noWrap w:val="0"/>
            <w:vAlign w:val="center"/>
          </w:tcPr>
          <w:p w14:paraId="12BE16E3">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评分项，详见第四章评分细则</w:t>
            </w:r>
          </w:p>
        </w:tc>
      </w:tr>
      <w:tr w14:paraId="759D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11" w:type="dxa"/>
            <w:noWrap w:val="0"/>
            <w:vAlign w:val="center"/>
          </w:tcPr>
          <w:p w14:paraId="25FFA929">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一般指标项</w:t>
            </w:r>
          </w:p>
        </w:tc>
        <w:tc>
          <w:tcPr>
            <w:tcW w:w="2180" w:type="dxa"/>
            <w:noWrap w:val="0"/>
            <w:vAlign w:val="center"/>
          </w:tcPr>
          <w:p w14:paraId="20ED183F">
            <w:pPr>
              <w:spacing w:line="360" w:lineRule="auto"/>
              <w:jc w:val="center"/>
              <w:rPr>
                <w:rFonts w:hint="eastAsia" w:ascii="仿宋" w:hAnsi="仿宋" w:eastAsia="仿宋" w:cs="仿宋"/>
                <w:sz w:val="24"/>
              </w:rPr>
            </w:pPr>
            <w:r>
              <w:rPr>
                <w:rFonts w:hint="eastAsia" w:ascii="仿宋" w:hAnsi="仿宋" w:eastAsia="仿宋" w:cs="仿宋"/>
                <w:sz w:val="24"/>
              </w:rPr>
              <w:t>无标识项</w:t>
            </w:r>
          </w:p>
        </w:tc>
        <w:tc>
          <w:tcPr>
            <w:tcW w:w="5463" w:type="dxa"/>
            <w:noWrap w:val="0"/>
            <w:vAlign w:val="center"/>
          </w:tcPr>
          <w:p w14:paraId="4DB9404C">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 评分项，详见第四章评分细则</w:t>
            </w:r>
          </w:p>
        </w:tc>
      </w:tr>
      <w:tr w14:paraId="1F4A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54" w:type="dxa"/>
            <w:gridSpan w:val="3"/>
            <w:noWrap w:val="0"/>
            <w:vAlign w:val="center"/>
          </w:tcPr>
          <w:p w14:paraId="3FA24B34">
            <w:pPr>
              <w:spacing w:line="360" w:lineRule="auto"/>
              <w:jc w:val="left"/>
              <w:rPr>
                <w:rFonts w:hint="eastAsia" w:ascii="仿宋" w:hAnsi="仿宋" w:eastAsia="仿宋" w:cs="仿宋"/>
                <w:color w:val="000000"/>
                <w:kern w:val="0"/>
                <w:sz w:val="24"/>
                <w:lang w:bidi="ar"/>
              </w:rPr>
            </w:pPr>
            <w:r>
              <w:rPr>
                <w:rFonts w:hint="eastAsia" w:ascii="仿宋" w:hAnsi="仿宋" w:eastAsia="仿宋" w:cs="仿宋"/>
                <w:b/>
                <w:bCs/>
                <w:color w:val="000000"/>
                <w:kern w:val="0"/>
                <w:sz w:val="24"/>
                <w:lang w:bidi="ar"/>
              </w:rPr>
              <w:t>注：投标人须如实响应，如在后期合同履约过程中，发现有虚假响应情况，招标人有权解除合同、不予退还履约保证金、不予支付合同款项，且上报监管部门并追究中标人给采购人带来的一切损失。</w:t>
            </w:r>
            <w:r>
              <w:rPr>
                <w:rFonts w:hint="eastAsia" w:ascii="仿宋" w:hAnsi="仿宋" w:eastAsia="仿宋" w:cs="仿宋"/>
                <w:b/>
                <w:bCs/>
                <w:color w:val="000000"/>
                <w:kern w:val="0"/>
                <w:sz w:val="24"/>
                <w:lang w:val="en-US" w:eastAsia="zh-CN" w:bidi="ar"/>
              </w:rPr>
              <w:t>标注</w:t>
            </w:r>
            <w:r>
              <w:rPr>
                <w:rFonts w:hint="eastAsia" w:ascii="仿宋" w:hAnsi="仿宋" w:eastAsia="仿宋" w:cs="仿宋"/>
                <w:b/>
                <w:bCs/>
                <w:color w:val="000000"/>
                <w:kern w:val="0"/>
                <w:sz w:val="24"/>
                <w:lang w:bidi="ar"/>
              </w:rPr>
              <w:t>“</w:t>
            </w:r>
            <w:r>
              <w:rPr>
                <w:rFonts w:hint="eastAsia" w:ascii="仿宋" w:hAnsi="仿宋" w:eastAsia="仿宋" w:cs="仿宋"/>
                <w:b/>
                <w:bCs/>
                <w:sz w:val="24"/>
                <w:lang w:eastAsia="zh-CN"/>
              </w:rPr>
              <w:t>★</w:t>
            </w:r>
            <w:r>
              <w:rPr>
                <w:rFonts w:hint="eastAsia" w:ascii="仿宋" w:hAnsi="仿宋" w:eastAsia="仿宋" w:cs="仿宋"/>
                <w:b/>
                <w:bCs/>
                <w:color w:val="000000"/>
                <w:kern w:val="0"/>
                <w:sz w:val="24"/>
                <w:lang w:bidi="ar"/>
              </w:rPr>
              <w:t>”的为</w:t>
            </w:r>
            <w:r>
              <w:rPr>
                <w:rFonts w:hint="eastAsia" w:ascii="仿宋" w:hAnsi="仿宋" w:eastAsia="仿宋" w:cs="仿宋"/>
                <w:b/>
                <w:bCs/>
                <w:color w:val="000000"/>
                <w:kern w:val="0"/>
                <w:sz w:val="24"/>
                <w:lang w:val="en-US" w:eastAsia="zh-CN" w:bidi="ar"/>
              </w:rPr>
              <w:t>实质性指标项</w:t>
            </w:r>
            <w:r>
              <w:rPr>
                <w:rFonts w:hint="eastAsia" w:ascii="仿宋" w:hAnsi="仿宋" w:eastAsia="仿宋" w:cs="仿宋"/>
                <w:b/>
                <w:bCs/>
                <w:color w:val="000000"/>
                <w:kern w:val="0"/>
                <w:sz w:val="24"/>
                <w:lang w:bidi="ar"/>
              </w:rPr>
              <w:t>，招标文件要求提供证明材料的按照要求提供，未明确要求提供证明材料，须在投标文件中自行提供相关证明材料（包括不限于产品彩页或操作界面截图或产品技术白皮书或产品检测报告等），且提供的证明材料须在投标文件中标明对应的参数页码；未提供或提供的不符要求的可视为</w:t>
            </w:r>
            <w:r>
              <w:rPr>
                <w:rFonts w:hint="eastAsia" w:ascii="仿宋" w:hAnsi="仿宋" w:eastAsia="仿宋" w:cs="仿宋"/>
                <w:b/>
                <w:bCs/>
                <w:color w:val="000000"/>
                <w:kern w:val="0"/>
                <w:sz w:val="24"/>
                <w:lang w:val="en-US" w:eastAsia="zh-CN" w:bidi="ar"/>
              </w:rPr>
              <w:t>未响应或</w:t>
            </w:r>
            <w:r>
              <w:rPr>
                <w:rFonts w:hint="eastAsia" w:ascii="仿宋" w:hAnsi="仿宋" w:eastAsia="仿宋" w:cs="仿宋"/>
                <w:b/>
                <w:bCs/>
                <w:color w:val="000000"/>
                <w:kern w:val="0"/>
                <w:sz w:val="24"/>
                <w:lang w:bidi="ar"/>
              </w:rPr>
              <w:t>负偏离（不满足）</w:t>
            </w:r>
            <w:r>
              <w:rPr>
                <w:rFonts w:hint="eastAsia" w:ascii="仿宋" w:hAnsi="仿宋" w:eastAsia="仿宋" w:cs="仿宋"/>
                <w:b/>
                <w:bCs/>
                <w:color w:val="000000"/>
                <w:kern w:val="0"/>
                <w:sz w:val="24"/>
                <w:lang w:eastAsia="zh-CN" w:bidi="ar"/>
              </w:rPr>
              <w:t>，</w:t>
            </w:r>
            <w:r>
              <w:rPr>
                <w:rFonts w:hint="eastAsia" w:ascii="仿宋" w:hAnsi="仿宋" w:eastAsia="仿宋" w:cs="仿宋"/>
                <w:b/>
                <w:bCs/>
                <w:color w:val="000000"/>
                <w:kern w:val="0"/>
                <w:sz w:val="24"/>
                <w:lang w:val="en-US" w:eastAsia="zh-CN" w:bidi="ar"/>
              </w:rPr>
              <w:t>做无效标处理</w:t>
            </w:r>
            <w:r>
              <w:rPr>
                <w:rFonts w:hint="eastAsia" w:ascii="仿宋" w:hAnsi="仿宋" w:eastAsia="仿宋" w:cs="仿宋"/>
                <w:b/>
                <w:bCs/>
                <w:color w:val="000000"/>
                <w:kern w:val="0"/>
                <w:sz w:val="24"/>
                <w:lang w:bidi="ar"/>
              </w:rPr>
              <w:t>。</w:t>
            </w:r>
          </w:p>
        </w:tc>
      </w:tr>
    </w:tbl>
    <w:p w14:paraId="5CB966C4">
      <w:pPr>
        <w:widowControl/>
        <w:numPr>
          <w:ilvl w:val="0"/>
          <w:numId w:val="1"/>
        </w:numPr>
        <w:spacing w:line="360" w:lineRule="auto"/>
        <w:rPr>
          <w:rFonts w:hint="eastAsia" w:ascii="仿宋" w:hAnsi="仿宋" w:eastAsia="仿宋" w:cs="仿宋"/>
          <w:b/>
          <w:bCs/>
          <w:kern w:val="44"/>
          <w:sz w:val="24"/>
        </w:rPr>
      </w:pPr>
      <w:r>
        <w:rPr>
          <w:rFonts w:hint="eastAsia" w:ascii="仿宋" w:hAnsi="仿宋" w:eastAsia="仿宋" w:cs="仿宋"/>
          <w:b/>
          <w:bCs/>
          <w:kern w:val="44"/>
          <w:sz w:val="24"/>
        </w:rPr>
        <w:t>技术要求</w:t>
      </w:r>
    </w:p>
    <w:p w14:paraId="4159ED1D">
      <w:pPr>
        <w:spacing w:line="360" w:lineRule="auto"/>
        <w:jc w:val="left"/>
        <w:rPr>
          <w:rFonts w:hint="default" w:ascii="仿宋" w:hAnsi="仿宋" w:eastAsia="仿宋" w:cs="仿宋"/>
          <w:b/>
          <w:bCs/>
          <w:sz w:val="24"/>
          <w:lang w:val="en-US" w:eastAsia="zh-CN"/>
        </w:rPr>
      </w:pPr>
      <w:r>
        <w:rPr>
          <w:rFonts w:hint="eastAsia" w:ascii="仿宋" w:hAnsi="仿宋" w:eastAsia="仿宋" w:cs="仿宋"/>
          <w:b/>
          <w:bCs/>
          <w:sz w:val="24"/>
          <w:lang w:eastAsia="zh-CN"/>
        </w:rPr>
        <w:t>★</w:t>
      </w:r>
      <w:r>
        <w:rPr>
          <w:rFonts w:hint="eastAsia" w:ascii="仿宋" w:hAnsi="仿宋" w:eastAsia="仿宋" w:cs="仿宋"/>
          <w:b/>
          <w:bCs/>
          <w:sz w:val="24"/>
        </w:rPr>
        <w:t>一基本要求</w:t>
      </w:r>
      <w:r>
        <w:rPr>
          <w:rFonts w:hint="eastAsia" w:ascii="仿宋" w:hAnsi="仿宋" w:eastAsia="仿宋" w:cs="仿宋"/>
          <w:b/>
          <w:bCs/>
          <w:sz w:val="24"/>
          <w:lang w:eastAsia="zh-CN"/>
        </w:rPr>
        <w:t>：各品牌须提供</w:t>
      </w:r>
      <w:r>
        <w:rPr>
          <w:rFonts w:hint="eastAsia" w:ascii="仿宋" w:hAnsi="仿宋" w:eastAsia="仿宋" w:cs="仿宋"/>
          <w:b/>
          <w:bCs/>
          <w:sz w:val="24"/>
        </w:rPr>
        <w:t>CITRINE</w:t>
      </w:r>
      <w:r>
        <w:rPr>
          <w:rFonts w:hint="eastAsia" w:ascii="仿宋" w:hAnsi="仿宋" w:eastAsia="仿宋" w:cs="仿宋"/>
          <w:b/>
          <w:bCs/>
          <w:sz w:val="24"/>
          <w:lang w:eastAsia="zh-CN"/>
        </w:rPr>
        <w:t>、</w:t>
      </w:r>
      <w:r>
        <w:rPr>
          <w:rFonts w:hint="eastAsia" w:ascii="仿宋" w:hAnsi="仿宋" w:eastAsia="仿宋" w:cs="仿宋"/>
          <w:b/>
          <w:bCs/>
          <w:sz w:val="24"/>
        </w:rPr>
        <w:t>TQ-XS</w:t>
      </w:r>
      <w:r>
        <w:rPr>
          <w:rFonts w:hint="eastAsia" w:ascii="仿宋" w:hAnsi="仿宋" w:eastAsia="仿宋" w:cs="仿宋"/>
          <w:b/>
          <w:bCs/>
          <w:sz w:val="24"/>
          <w:lang w:eastAsia="zh-CN"/>
        </w:rPr>
        <w:t>、</w:t>
      </w:r>
      <w:r>
        <w:rPr>
          <w:rFonts w:hint="eastAsia" w:ascii="仿宋" w:hAnsi="仿宋" w:eastAsia="仿宋" w:cs="仿宋"/>
          <w:b/>
          <w:bCs/>
          <w:sz w:val="24"/>
        </w:rPr>
        <w:t>LCMS-8050CL</w:t>
      </w:r>
      <w:r>
        <w:rPr>
          <w:rFonts w:hint="eastAsia" w:ascii="仿宋" w:hAnsi="仿宋" w:eastAsia="仿宋" w:cs="仿宋"/>
          <w:b/>
          <w:bCs/>
          <w:sz w:val="24"/>
          <w:lang w:val="en-US" w:eastAsia="zh-CN"/>
        </w:rPr>
        <w:t>型号产品</w:t>
      </w:r>
      <w:r>
        <w:rPr>
          <w:rFonts w:hint="eastAsia" w:ascii="仿宋" w:hAnsi="仿宋" w:eastAsia="仿宋" w:cs="仿宋"/>
          <w:b/>
          <w:bCs/>
          <w:sz w:val="24"/>
        </w:rPr>
        <w:t>，</w:t>
      </w:r>
      <w:r>
        <w:rPr>
          <w:rFonts w:hint="eastAsia" w:ascii="仿宋" w:hAnsi="仿宋" w:eastAsia="仿宋" w:cs="仿宋"/>
          <w:b/>
          <w:bCs/>
          <w:sz w:val="24"/>
          <w:lang w:eastAsia="zh-CN"/>
        </w:rPr>
        <w:t>其他品牌提供</w:t>
      </w:r>
      <w:r>
        <w:rPr>
          <w:rFonts w:hint="eastAsia" w:ascii="仿宋" w:hAnsi="仿宋" w:eastAsia="仿宋" w:cs="仿宋"/>
          <w:b/>
          <w:bCs/>
          <w:sz w:val="24"/>
          <w:lang w:val="en-US" w:eastAsia="zh-CN"/>
        </w:rPr>
        <w:t>同档次及以上产品</w:t>
      </w:r>
      <w:r>
        <w:rPr>
          <w:rFonts w:hint="eastAsia" w:ascii="仿宋" w:hAnsi="仿宋" w:eastAsia="仿宋" w:cs="仿宋"/>
          <w:b/>
          <w:bCs/>
          <w:sz w:val="24"/>
          <w:lang w:eastAsia="zh-CN"/>
        </w:rPr>
        <w:t>。</w:t>
      </w:r>
    </w:p>
    <w:p w14:paraId="5C0482A2">
      <w:pPr>
        <w:spacing w:line="360" w:lineRule="auto"/>
        <w:jc w:val="left"/>
        <w:rPr>
          <w:rFonts w:hint="eastAsia" w:ascii="仿宋" w:hAnsi="仿宋" w:eastAsia="仿宋" w:cs="仿宋"/>
          <w:sz w:val="24"/>
        </w:rPr>
      </w:pPr>
      <w:r>
        <w:rPr>
          <w:rFonts w:hint="eastAsia" w:ascii="仿宋" w:hAnsi="仿宋" w:eastAsia="仿宋" w:cs="仿宋"/>
          <w:sz w:val="24"/>
        </w:rPr>
        <w:t>2</w:t>
      </w:r>
      <w:r>
        <w:rPr>
          <w:rFonts w:hint="eastAsia" w:ascii="仿宋" w:hAnsi="仿宋" w:eastAsia="仿宋" w:cs="仿宋"/>
          <w:sz w:val="24"/>
        </w:rPr>
        <w:tab/>
      </w:r>
      <w:r>
        <w:rPr>
          <w:rFonts w:hint="eastAsia" w:ascii="仿宋" w:hAnsi="仿宋" w:eastAsia="仿宋" w:cs="仿宋"/>
          <w:sz w:val="24"/>
        </w:rPr>
        <w:t>用途：用于药代动力学，药理学以及中毒筛查等各项检测和研究，可以对治疗药物、肿瘤标志物、内源性代谢物等进行痕量检测。</w:t>
      </w:r>
    </w:p>
    <w:p w14:paraId="1310CA49">
      <w:pPr>
        <w:spacing w:line="360" w:lineRule="auto"/>
        <w:jc w:val="left"/>
        <w:rPr>
          <w:rFonts w:hint="eastAsia" w:ascii="仿宋" w:hAnsi="仿宋" w:eastAsia="仿宋" w:cs="仿宋"/>
          <w:sz w:val="24"/>
        </w:rPr>
      </w:pPr>
      <w:r>
        <w:rPr>
          <w:rFonts w:hint="eastAsia" w:ascii="仿宋" w:hAnsi="仿宋" w:eastAsia="仿宋" w:cs="仿宋"/>
          <w:sz w:val="24"/>
        </w:rPr>
        <w:t>二</w:t>
      </w:r>
      <w:r>
        <w:rPr>
          <w:rFonts w:hint="eastAsia" w:ascii="仿宋" w:hAnsi="仿宋" w:eastAsia="仿宋" w:cs="仿宋"/>
          <w:sz w:val="24"/>
        </w:rPr>
        <w:tab/>
      </w:r>
      <w:r>
        <w:rPr>
          <w:rFonts w:hint="eastAsia" w:ascii="仿宋" w:hAnsi="仿宋" w:eastAsia="仿宋" w:cs="仿宋"/>
          <w:sz w:val="24"/>
        </w:rPr>
        <w:t>主要功能及参数</w:t>
      </w:r>
    </w:p>
    <w:p w14:paraId="695B175B">
      <w:pPr>
        <w:spacing w:line="360" w:lineRule="auto"/>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rPr>
        <w:tab/>
      </w:r>
      <w:r>
        <w:rPr>
          <w:rFonts w:hint="eastAsia" w:ascii="仿宋" w:hAnsi="仿宋" w:eastAsia="仿宋" w:cs="仿宋"/>
          <w:sz w:val="24"/>
        </w:rPr>
        <w:t>三重四极杆质谱仪</w:t>
      </w:r>
    </w:p>
    <w:p w14:paraId="2CB97BFE">
      <w:pPr>
        <w:spacing w:line="360" w:lineRule="auto"/>
        <w:jc w:val="left"/>
        <w:rPr>
          <w:rFonts w:hint="eastAsia" w:ascii="仿宋" w:hAnsi="仿宋" w:eastAsia="仿宋" w:cs="仿宋"/>
          <w:sz w:val="24"/>
        </w:rPr>
      </w:pPr>
      <w:r>
        <w:rPr>
          <w:rFonts w:hint="eastAsia" w:ascii="仿宋" w:hAnsi="仿宋" w:eastAsia="仿宋" w:cs="仿宋"/>
          <w:sz w:val="24"/>
        </w:rPr>
        <w:t>1.1</w:t>
      </w:r>
      <w:r>
        <w:rPr>
          <w:rFonts w:hint="eastAsia" w:ascii="仿宋" w:hAnsi="仿宋" w:eastAsia="仿宋" w:cs="仿宋"/>
          <w:sz w:val="24"/>
        </w:rPr>
        <w:tab/>
      </w:r>
      <w:r>
        <w:rPr>
          <w:rFonts w:hint="eastAsia" w:ascii="仿宋" w:hAnsi="仿宋" w:eastAsia="仿宋" w:cs="仿宋"/>
          <w:sz w:val="24"/>
        </w:rPr>
        <w:t>离子源：必须配置独立的电喷雾离子源(ESI)以及大气压化学电离源(APCI)，可在不破坏真空的条件下方便快速切换离子源。</w:t>
      </w:r>
    </w:p>
    <w:p w14:paraId="14104234">
      <w:pPr>
        <w:spacing w:line="360" w:lineRule="auto"/>
        <w:jc w:val="left"/>
        <w:rPr>
          <w:rFonts w:hint="eastAsia" w:ascii="仿宋" w:hAnsi="仿宋" w:eastAsia="仿宋" w:cs="仿宋"/>
          <w:sz w:val="24"/>
        </w:rPr>
      </w:pPr>
      <w:r>
        <w:rPr>
          <w:rFonts w:hint="eastAsia" w:ascii="仿宋" w:hAnsi="仿宋" w:eastAsia="仿宋" w:cs="仿宋"/>
          <w:sz w:val="24"/>
        </w:rPr>
        <w:t>1.2</w:t>
      </w:r>
      <w:r>
        <w:rPr>
          <w:rFonts w:hint="eastAsia" w:ascii="仿宋" w:hAnsi="仿宋" w:eastAsia="仿宋" w:cs="仿宋"/>
          <w:sz w:val="24"/>
        </w:rPr>
        <w:tab/>
      </w:r>
      <w:r>
        <w:rPr>
          <w:rFonts w:hint="eastAsia" w:ascii="仿宋" w:hAnsi="仿宋" w:eastAsia="仿宋" w:cs="仿宋"/>
          <w:sz w:val="24"/>
        </w:rPr>
        <w:t xml:space="preserve">仅通过互换ESI及APCI喷针便可实现ESI源及APCI源30s内快速更换，同时ESI及APCI源的供电电源插口为同一个插口无需反复插拔，软件可以自动切换到相应的工作模式。 </w:t>
      </w:r>
    </w:p>
    <w:p w14:paraId="2B5FE83F">
      <w:pPr>
        <w:spacing w:line="360" w:lineRule="auto"/>
        <w:jc w:val="left"/>
        <w:rPr>
          <w:rFonts w:hint="eastAsia" w:ascii="仿宋" w:hAnsi="仿宋" w:eastAsia="仿宋" w:cs="仿宋"/>
          <w:sz w:val="24"/>
        </w:rPr>
      </w:pPr>
      <w:r>
        <w:rPr>
          <w:rFonts w:hint="eastAsia" w:ascii="宋体" w:hAnsi="宋体" w:eastAsia="宋体" w:cs="宋体"/>
          <w:b/>
          <w:bCs/>
        </w:rPr>
        <w:t>█</w:t>
      </w:r>
      <w:r>
        <w:rPr>
          <w:rFonts w:hint="eastAsia" w:ascii="仿宋" w:hAnsi="仿宋" w:eastAsia="仿宋" w:cs="仿宋"/>
          <w:b/>
          <w:bCs/>
          <w:sz w:val="24"/>
        </w:rPr>
        <w:t>1.3</w:t>
      </w:r>
      <w:r>
        <w:rPr>
          <w:rFonts w:hint="eastAsia" w:ascii="仿宋" w:hAnsi="仿宋" w:eastAsia="仿宋" w:cs="仿宋"/>
          <w:b/>
          <w:bCs/>
          <w:sz w:val="24"/>
          <w:lang w:val="en-US" w:eastAsia="zh-CN"/>
        </w:rPr>
        <w:t xml:space="preserve"> </w:t>
      </w:r>
      <w:r>
        <w:rPr>
          <w:rFonts w:hint="eastAsia" w:ascii="仿宋" w:hAnsi="仿宋" w:eastAsia="仿宋" w:cs="仿宋"/>
          <w:b/>
          <w:bCs/>
          <w:sz w:val="24"/>
        </w:rPr>
        <w:t>ESI流速范围：在确保灵敏度不损失的前提下，实现高流速，无需分流</w:t>
      </w:r>
      <w:r>
        <w:rPr>
          <w:rFonts w:hint="eastAsia" w:ascii="仿宋" w:hAnsi="仿宋" w:eastAsia="仿宋" w:cs="仿宋"/>
          <w:b/>
          <w:bCs/>
          <w:sz w:val="24"/>
          <w:lang w:val="en-US" w:eastAsia="zh-CN"/>
        </w:rPr>
        <w:t>最大值</w:t>
      </w:r>
      <w:r>
        <w:rPr>
          <w:rFonts w:hint="eastAsia" w:ascii="仿宋" w:hAnsi="仿宋" w:eastAsia="仿宋" w:cs="仿宋"/>
          <w:b/>
          <w:bCs/>
          <w:sz w:val="24"/>
        </w:rPr>
        <w:t>≥2mL/min。</w:t>
      </w:r>
      <w:r>
        <w:rPr>
          <w:rFonts w:hint="eastAsia" w:ascii="宋体" w:hAnsi="宋体" w:eastAsia="宋体" w:cs="宋体"/>
          <w:b/>
          <w:bCs/>
        </w:rPr>
        <w:t>█</w:t>
      </w:r>
      <w:r>
        <w:rPr>
          <w:rFonts w:hint="eastAsia" w:ascii="仿宋" w:hAnsi="仿宋" w:eastAsia="仿宋" w:cs="仿宋"/>
          <w:b/>
          <w:bCs/>
          <w:sz w:val="24"/>
          <w:lang w:val="en-US" w:eastAsia="zh-CN"/>
        </w:rPr>
        <w:t>1.4提供</w:t>
      </w:r>
      <w:r>
        <w:rPr>
          <w:rFonts w:hint="eastAsia" w:ascii="仿宋" w:hAnsi="仿宋" w:eastAsia="仿宋" w:cs="仿宋"/>
          <w:b/>
          <w:bCs/>
          <w:sz w:val="24"/>
        </w:rPr>
        <w:t>农药多菌灵在不同流速：0.4mL/min，0.8mL/min，1mL/min，2mL/min</w:t>
      </w:r>
      <w:r>
        <w:rPr>
          <w:rFonts w:hint="eastAsia" w:ascii="仿宋" w:hAnsi="仿宋" w:eastAsia="仿宋" w:cs="仿宋"/>
          <w:b/>
          <w:bCs/>
          <w:sz w:val="24"/>
          <w:lang w:eastAsia="zh-CN"/>
        </w:rPr>
        <w:t>，</w:t>
      </w:r>
      <w:r>
        <w:rPr>
          <w:rFonts w:hint="eastAsia" w:ascii="仿宋" w:hAnsi="仿宋" w:eastAsia="仿宋" w:cs="仿宋"/>
          <w:b/>
          <w:bCs/>
          <w:sz w:val="24"/>
          <w:lang w:val="en-US" w:eastAsia="zh-CN"/>
        </w:rPr>
        <w:t>最大流速</w:t>
      </w:r>
      <w:r>
        <w:rPr>
          <w:rFonts w:hint="eastAsia" w:ascii="仿宋" w:hAnsi="仿宋" w:eastAsia="仿宋" w:cs="仿宋"/>
          <w:b/>
          <w:bCs/>
          <w:sz w:val="24"/>
        </w:rPr>
        <w:t>下，灵敏度不损失的谱图数据。</w:t>
      </w:r>
    </w:p>
    <w:p w14:paraId="40A540A5">
      <w:pPr>
        <w:spacing w:line="360" w:lineRule="auto"/>
        <w:jc w:val="left"/>
        <w:rPr>
          <w:rFonts w:hint="eastAsia" w:ascii="仿宋" w:hAnsi="仿宋" w:eastAsia="仿宋" w:cs="仿宋"/>
          <w:sz w:val="24"/>
        </w:rPr>
      </w:pPr>
      <w:r>
        <w:rPr>
          <w:rFonts w:hint="eastAsia" w:ascii="仿宋" w:hAnsi="仿宋" w:eastAsia="仿宋" w:cs="仿宋"/>
          <w:sz w:val="24"/>
        </w:rPr>
        <w:t>1.4</w:t>
      </w:r>
      <w:r>
        <w:rPr>
          <w:rFonts w:hint="eastAsia" w:ascii="仿宋" w:hAnsi="仿宋" w:eastAsia="仿宋" w:cs="仿宋"/>
          <w:sz w:val="24"/>
        </w:rPr>
        <w:tab/>
      </w:r>
      <w:r>
        <w:rPr>
          <w:rFonts w:hint="eastAsia" w:ascii="仿宋" w:hAnsi="仿宋" w:eastAsia="仿宋" w:cs="仿宋"/>
          <w:sz w:val="24"/>
        </w:rPr>
        <w:t>APCI大气压化学离子源流速范围：在确保灵敏度不损失的前提下实现高流速，不分流条件下≥2ml/min。</w:t>
      </w:r>
    </w:p>
    <w:p w14:paraId="69581CDE">
      <w:pPr>
        <w:spacing w:line="360" w:lineRule="auto"/>
        <w:jc w:val="left"/>
        <w:rPr>
          <w:rFonts w:hint="eastAsia" w:ascii="仿宋" w:hAnsi="仿宋" w:eastAsia="仿宋" w:cs="仿宋"/>
          <w:sz w:val="24"/>
        </w:rPr>
      </w:pPr>
      <w:r>
        <w:rPr>
          <w:rFonts w:hint="eastAsia" w:ascii="仿宋" w:hAnsi="仿宋" w:eastAsia="仿宋" w:cs="仿宋"/>
          <w:sz w:val="24"/>
        </w:rPr>
        <w:t>1.5</w:t>
      </w:r>
      <w:r>
        <w:rPr>
          <w:rFonts w:hint="eastAsia" w:ascii="仿宋" w:hAnsi="仿宋" w:eastAsia="仿宋" w:cs="仿宋"/>
          <w:sz w:val="24"/>
        </w:rPr>
        <w:tab/>
      </w:r>
      <w:r>
        <w:rPr>
          <w:rFonts w:hint="eastAsia" w:ascii="仿宋" w:hAnsi="仿宋" w:eastAsia="仿宋" w:cs="仿宋"/>
          <w:sz w:val="24"/>
        </w:rPr>
        <w:t>离子源内两路加热雾化气，辅助加热气温度700℃以上，以确保最大的离子化效率和抗基质干扰能力，该最大温度可以在软件界面下设置并运行。</w:t>
      </w:r>
    </w:p>
    <w:p w14:paraId="5772E53D">
      <w:pPr>
        <w:spacing w:line="360" w:lineRule="auto"/>
        <w:jc w:val="left"/>
        <w:rPr>
          <w:rFonts w:hint="eastAsia" w:ascii="仿宋" w:hAnsi="仿宋" w:eastAsia="仿宋" w:cs="仿宋"/>
          <w:sz w:val="24"/>
        </w:rPr>
      </w:pPr>
      <w:r>
        <w:rPr>
          <w:rFonts w:hint="eastAsia" w:ascii="仿宋" w:hAnsi="仿宋" w:eastAsia="仿宋" w:cs="仿宋"/>
          <w:sz w:val="24"/>
        </w:rPr>
        <w:t>1.6</w:t>
      </w:r>
      <w:r>
        <w:rPr>
          <w:rFonts w:hint="eastAsia" w:ascii="仿宋" w:hAnsi="仿宋" w:eastAsia="仿宋" w:cs="仿宋"/>
          <w:sz w:val="24"/>
        </w:rPr>
        <w:tab/>
      </w:r>
      <w:r>
        <w:rPr>
          <w:rFonts w:hint="eastAsia" w:ascii="仿宋" w:hAnsi="仿宋" w:eastAsia="仿宋" w:cs="仿宋"/>
          <w:sz w:val="24"/>
        </w:rPr>
        <w:t>离子源不同温度对灵敏度的影响：在其他条件不变的前提下，在300~750℃范围内，测定喹乙醇或其他物质（多重反应监测）随着离子源温度升高灵敏度升高的数据。</w:t>
      </w:r>
    </w:p>
    <w:p w14:paraId="0B6DCB02">
      <w:pPr>
        <w:spacing w:line="360" w:lineRule="auto"/>
        <w:jc w:val="left"/>
        <w:rPr>
          <w:rFonts w:hint="eastAsia" w:ascii="仿宋" w:hAnsi="仿宋" w:eastAsia="仿宋" w:cs="仿宋"/>
          <w:sz w:val="24"/>
        </w:rPr>
      </w:pPr>
      <w:r>
        <w:rPr>
          <w:rFonts w:hint="eastAsia" w:ascii="仿宋" w:hAnsi="仿宋" w:eastAsia="仿宋" w:cs="仿宋"/>
          <w:sz w:val="24"/>
        </w:rPr>
        <w:t>1.7</w:t>
      </w:r>
      <w:r>
        <w:rPr>
          <w:rFonts w:hint="eastAsia" w:ascii="仿宋" w:hAnsi="仿宋" w:eastAsia="仿宋" w:cs="仿宋"/>
          <w:sz w:val="24"/>
        </w:rPr>
        <w:tab/>
      </w:r>
      <w:r>
        <w:rPr>
          <w:rFonts w:hint="eastAsia" w:ascii="仿宋" w:hAnsi="仿宋" w:eastAsia="仿宋" w:cs="仿宋"/>
          <w:sz w:val="24"/>
        </w:rPr>
        <w:t>离子源具有废气主动排放功能，最大流速10L/min，以防止气体在密闭的离子源腔体中的回流，降低离子源的记忆效应和污染，降低机械泵的负荷延长机械泵泵油使用时间</w:t>
      </w:r>
    </w:p>
    <w:p w14:paraId="38E0169D">
      <w:pPr>
        <w:spacing w:line="360" w:lineRule="auto"/>
        <w:jc w:val="left"/>
        <w:rPr>
          <w:rFonts w:hint="eastAsia" w:ascii="仿宋" w:hAnsi="仿宋" w:eastAsia="仿宋" w:cs="仿宋"/>
          <w:b/>
          <w:bCs/>
          <w:sz w:val="24"/>
        </w:rPr>
      </w:pPr>
      <w:r>
        <w:rPr>
          <w:rFonts w:hint="eastAsia" w:ascii="宋体" w:hAnsi="宋体" w:eastAsia="宋体" w:cs="宋体"/>
          <w:b/>
          <w:bCs/>
        </w:rPr>
        <w:t>█</w:t>
      </w:r>
      <w:r>
        <w:rPr>
          <w:rFonts w:hint="eastAsia" w:ascii="仿宋" w:hAnsi="仿宋" w:eastAsia="仿宋" w:cs="仿宋"/>
          <w:b/>
          <w:bCs/>
          <w:sz w:val="24"/>
        </w:rPr>
        <w:t>1.8</w:t>
      </w:r>
      <w:r>
        <w:rPr>
          <w:rFonts w:hint="eastAsia" w:ascii="仿宋" w:hAnsi="仿宋" w:eastAsia="仿宋" w:cs="仿宋"/>
          <w:b/>
          <w:bCs/>
          <w:sz w:val="24"/>
        </w:rPr>
        <w:tab/>
      </w:r>
      <w:r>
        <w:rPr>
          <w:rFonts w:hint="eastAsia" w:ascii="仿宋" w:hAnsi="仿宋" w:eastAsia="仿宋" w:cs="仿宋"/>
          <w:b/>
          <w:bCs/>
          <w:sz w:val="24"/>
        </w:rPr>
        <w:t>离子源接口采用锥孔结构，具有反吹气技术，离子传输通道无毛细管类或DL管类组件，具有高抗污染能力，使用过程不产生毛细管类组件或耗材的费用。</w:t>
      </w:r>
    </w:p>
    <w:p w14:paraId="3CA0176F">
      <w:pPr>
        <w:spacing w:line="360" w:lineRule="auto"/>
        <w:jc w:val="left"/>
        <w:rPr>
          <w:rFonts w:hint="eastAsia" w:ascii="仿宋" w:hAnsi="仿宋" w:eastAsia="仿宋" w:cs="仿宋"/>
          <w:sz w:val="24"/>
        </w:rPr>
      </w:pPr>
      <w:r>
        <w:rPr>
          <w:rFonts w:hint="eastAsia" w:ascii="仿宋" w:hAnsi="仿宋" w:eastAsia="仿宋" w:cs="仿宋"/>
          <w:sz w:val="24"/>
        </w:rPr>
        <w:t>1.9</w:t>
      </w:r>
      <w:r>
        <w:rPr>
          <w:rFonts w:hint="eastAsia" w:ascii="仿宋" w:hAnsi="仿宋" w:eastAsia="仿宋" w:cs="仿宋"/>
          <w:sz w:val="24"/>
        </w:rPr>
        <w:tab/>
      </w:r>
      <w:r>
        <w:rPr>
          <w:rFonts w:hint="eastAsia" w:ascii="仿宋" w:hAnsi="仿宋" w:eastAsia="仿宋" w:cs="仿宋"/>
          <w:sz w:val="24"/>
        </w:rPr>
        <w:t>预四极杆离子引入部分拥有高压离子聚焦技术，压力可达8mtorr，以确保最佳的离子聚焦效果和离子传输效率, 有效消除“记忆效应”和“交叉污染”；</w:t>
      </w:r>
    </w:p>
    <w:p w14:paraId="4887614F">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rPr>
        <w:t>1.10</w:t>
      </w:r>
      <w:r>
        <w:rPr>
          <w:rFonts w:hint="eastAsia" w:ascii="仿宋" w:hAnsi="仿宋" w:eastAsia="仿宋" w:cs="仿宋"/>
          <w:b w:val="0"/>
          <w:bCs w:val="0"/>
          <w:sz w:val="24"/>
        </w:rPr>
        <w:tab/>
      </w:r>
      <w:r>
        <w:rPr>
          <w:rFonts w:hint="eastAsia" w:ascii="仿宋" w:hAnsi="仿宋" w:eastAsia="仿宋" w:cs="仿宋"/>
          <w:b w:val="0"/>
          <w:bCs w:val="0"/>
          <w:sz w:val="24"/>
        </w:rPr>
        <w:t>碰撞室</w:t>
      </w:r>
    </w:p>
    <w:p w14:paraId="21660703">
      <w:pPr>
        <w:spacing w:line="360" w:lineRule="auto"/>
        <w:jc w:val="left"/>
        <w:rPr>
          <w:rFonts w:hint="eastAsia" w:ascii="仿宋" w:hAnsi="仿宋" w:eastAsia="仿宋" w:cs="仿宋"/>
          <w:sz w:val="24"/>
        </w:rPr>
      </w:pPr>
      <w:r>
        <w:rPr>
          <w:rFonts w:hint="eastAsia" w:ascii="仿宋" w:hAnsi="仿宋" w:eastAsia="仿宋" w:cs="仿宋"/>
          <w:sz w:val="24"/>
        </w:rPr>
        <w:t>1.10.1</w:t>
      </w:r>
      <w:r>
        <w:rPr>
          <w:rFonts w:hint="eastAsia" w:ascii="仿宋" w:hAnsi="仿宋" w:eastAsia="仿宋" w:cs="仿宋"/>
          <w:sz w:val="24"/>
        </w:rPr>
        <w:tab/>
      </w:r>
      <w:r>
        <w:rPr>
          <w:rFonts w:hint="eastAsia" w:ascii="仿宋" w:hAnsi="仿宋" w:eastAsia="仿宋" w:cs="仿宋"/>
          <w:sz w:val="24"/>
        </w:rPr>
        <w:t>弯曲或者直线碰撞室，有效过滤中性粒子的干扰。</w:t>
      </w:r>
    </w:p>
    <w:p w14:paraId="2D66BA54">
      <w:pPr>
        <w:spacing w:line="360" w:lineRule="auto"/>
        <w:jc w:val="left"/>
        <w:rPr>
          <w:rFonts w:hint="eastAsia" w:ascii="仿宋" w:hAnsi="仿宋" w:eastAsia="仿宋" w:cs="仿宋"/>
          <w:b/>
          <w:bCs/>
          <w:sz w:val="24"/>
          <w:lang w:eastAsia="zh-CN"/>
        </w:rPr>
      </w:pPr>
      <w:r>
        <w:rPr>
          <w:rFonts w:hint="eastAsia" w:ascii="宋体" w:hAnsi="宋体" w:eastAsia="宋体" w:cs="宋体"/>
          <w:b/>
          <w:bCs/>
        </w:rPr>
        <w:t>█</w:t>
      </w:r>
      <w:r>
        <w:rPr>
          <w:rFonts w:hint="eastAsia" w:ascii="仿宋" w:hAnsi="仿宋" w:eastAsia="仿宋" w:cs="仿宋"/>
          <w:b/>
          <w:bCs/>
          <w:sz w:val="24"/>
        </w:rPr>
        <w:t>1.10.2</w:t>
      </w:r>
      <w:r>
        <w:rPr>
          <w:rFonts w:hint="eastAsia" w:ascii="仿宋" w:hAnsi="仿宋" w:eastAsia="仿宋" w:cs="仿宋"/>
          <w:b/>
          <w:bCs/>
          <w:sz w:val="24"/>
        </w:rPr>
        <w:tab/>
      </w:r>
      <w:r>
        <w:rPr>
          <w:rFonts w:hint="eastAsia" w:ascii="仿宋" w:hAnsi="仿宋" w:eastAsia="仿宋" w:cs="仿宋"/>
          <w:b/>
          <w:bCs/>
          <w:sz w:val="24"/>
        </w:rPr>
        <w:t>具有高压聚焦线性加速技术，Dwell time低至2ms时，灵敏度不损失</w:t>
      </w:r>
      <w:r>
        <w:rPr>
          <w:rFonts w:hint="eastAsia" w:ascii="仿宋" w:hAnsi="仿宋" w:eastAsia="仿宋" w:cs="仿宋"/>
          <w:b/>
          <w:bCs/>
          <w:sz w:val="24"/>
          <w:lang w:eastAsia="zh-CN"/>
        </w:rPr>
        <w:t>。</w:t>
      </w:r>
    </w:p>
    <w:p w14:paraId="3EDCD50B">
      <w:pPr>
        <w:spacing w:line="360" w:lineRule="auto"/>
        <w:jc w:val="left"/>
        <w:rPr>
          <w:rFonts w:hint="eastAsia" w:ascii="仿宋" w:hAnsi="仿宋" w:eastAsia="仿宋" w:cs="仿宋"/>
          <w:sz w:val="24"/>
        </w:rPr>
      </w:pPr>
      <w:r>
        <w:rPr>
          <w:rFonts w:hint="eastAsia" w:ascii="仿宋" w:hAnsi="仿宋" w:eastAsia="仿宋" w:cs="仿宋"/>
          <w:sz w:val="24"/>
        </w:rPr>
        <w:t>1.11</w:t>
      </w:r>
      <w:r>
        <w:rPr>
          <w:rFonts w:hint="eastAsia" w:ascii="仿宋" w:hAnsi="仿宋" w:eastAsia="仿宋" w:cs="仿宋"/>
          <w:sz w:val="24"/>
        </w:rPr>
        <w:tab/>
      </w:r>
      <w:r>
        <w:rPr>
          <w:rFonts w:hint="eastAsia" w:ascii="仿宋" w:hAnsi="仿宋" w:eastAsia="仿宋" w:cs="仿宋"/>
          <w:sz w:val="24"/>
        </w:rPr>
        <w:t>采用高纯氮气作为雾化气和碰撞气（若需要氩气，需要终身免费提供氩气及相应安装材料及成本），无需额外气体。</w:t>
      </w:r>
    </w:p>
    <w:p w14:paraId="3EC810CC">
      <w:pPr>
        <w:spacing w:line="360" w:lineRule="auto"/>
        <w:jc w:val="left"/>
        <w:rPr>
          <w:rFonts w:hint="eastAsia" w:ascii="仿宋" w:hAnsi="仿宋" w:eastAsia="仿宋" w:cs="仿宋"/>
          <w:sz w:val="24"/>
        </w:rPr>
      </w:pPr>
      <w:r>
        <w:rPr>
          <w:rFonts w:hint="eastAsia" w:ascii="仿宋" w:hAnsi="仿宋" w:eastAsia="仿宋" w:cs="仿宋"/>
          <w:sz w:val="24"/>
        </w:rPr>
        <w:t>1.12</w:t>
      </w:r>
      <w:r>
        <w:rPr>
          <w:rFonts w:hint="eastAsia" w:ascii="仿宋" w:hAnsi="仿宋" w:eastAsia="仿宋" w:cs="仿宋"/>
          <w:sz w:val="24"/>
        </w:rPr>
        <w:tab/>
      </w:r>
      <w:r>
        <w:rPr>
          <w:rFonts w:hint="eastAsia" w:ascii="仿宋" w:hAnsi="仿宋" w:eastAsia="仿宋" w:cs="仿宋"/>
          <w:sz w:val="24"/>
        </w:rPr>
        <w:t>质量分析器：四极杆采用陶瓷镀金或纯金属材质，具有良好的热稳定性，导电性和最好的惰性。无需额外加热来维持稳定性，减少因温度变化外来的不稳定因素而造成的实验稳定性不确定性。</w:t>
      </w:r>
    </w:p>
    <w:p w14:paraId="75F88347">
      <w:pPr>
        <w:spacing w:line="360" w:lineRule="auto"/>
        <w:jc w:val="left"/>
        <w:rPr>
          <w:rFonts w:hint="eastAsia" w:ascii="仿宋" w:hAnsi="仿宋" w:eastAsia="仿宋" w:cs="仿宋"/>
          <w:b/>
          <w:bCs/>
          <w:sz w:val="24"/>
        </w:rPr>
      </w:pPr>
      <w:r>
        <w:rPr>
          <w:rFonts w:hint="eastAsia" w:ascii="宋体" w:hAnsi="宋体" w:eastAsia="宋体" w:cs="宋体"/>
          <w:b/>
          <w:bCs/>
        </w:rPr>
        <w:t>█</w:t>
      </w:r>
      <w:r>
        <w:rPr>
          <w:rFonts w:hint="eastAsia" w:ascii="仿宋" w:hAnsi="仿宋" w:eastAsia="仿宋" w:cs="仿宋"/>
          <w:b/>
          <w:bCs/>
          <w:sz w:val="24"/>
        </w:rPr>
        <w:t>1.13</w:t>
      </w:r>
      <w:r>
        <w:rPr>
          <w:rFonts w:hint="eastAsia" w:ascii="仿宋" w:hAnsi="仿宋" w:eastAsia="仿宋" w:cs="仿宋"/>
          <w:b/>
          <w:bCs/>
          <w:sz w:val="24"/>
        </w:rPr>
        <w:tab/>
      </w:r>
      <w:r>
        <w:rPr>
          <w:rFonts w:hint="eastAsia" w:ascii="仿宋" w:hAnsi="仿宋" w:eastAsia="仿宋" w:cs="仿宋"/>
          <w:b/>
          <w:bCs/>
          <w:sz w:val="24"/>
        </w:rPr>
        <w:t>检测器系统：高能电子倍增检测器或光电倍增管，能够满足长期大量脏样品定量分析的数据可靠性和重复性，无负离子歧视效应。</w:t>
      </w:r>
    </w:p>
    <w:p w14:paraId="02C990B0">
      <w:pPr>
        <w:spacing w:line="360" w:lineRule="auto"/>
        <w:jc w:val="left"/>
        <w:rPr>
          <w:rFonts w:hint="eastAsia" w:ascii="仿宋" w:hAnsi="仿宋" w:eastAsia="仿宋" w:cs="仿宋"/>
          <w:sz w:val="24"/>
        </w:rPr>
      </w:pPr>
      <w:r>
        <w:rPr>
          <w:rFonts w:hint="eastAsia" w:ascii="仿宋" w:hAnsi="仿宋" w:eastAsia="仿宋" w:cs="仿宋"/>
          <w:sz w:val="24"/>
        </w:rPr>
        <w:t>1.14</w:t>
      </w:r>
      <w:r>
        <w:rPr>
          <w:rFonts w:hint="eastAsia" w:ascii="仿宋" w:hAnsi="仿宋" w:eastAsia="仿宋" w:cs="仿宋"/>
          <w:sz w:val="24"/>
        </w:rPr>
        <w:tab/>
      </w:r>
      <w:r>
        <w:rPr>
          <w:rFonts w:hint="eastAsia" w:ascii="仿宋" w:hAnsi="仿宋" w:eastAsia="仿宋" w:cs="仿宋"/>
          <w:sz w:val="24"/>
        </w:rPr>
        <w:t>真空系统：大抽速机械泵和长寿命涡轮分子泵组合的差分抽气高真空系统，无需额外水冷却系统，自动断电保护功能。</w:t>
      </w:r>
    </w:p>
    <w:p w14:paraId="054B6563">
      <w:pPr>
        <w:spacing w:line="360" w:lineRule="auto"/>
        <w:jc w:val="left"/>
        <w:rPr>
          <w:rFonts w:hint="eastAsia" w:ascii="仿宋" w:hAnsi="仿宋" w:eastAsia="仿宋" w:cs="仿宋"/>
          <w:sz w:val="24"/>
        </w:rPr>
      </w:pPr>
      <w:r>
        <w:rPr>
          <w:rFonts w:hint="eastAsia" w:ascii="仿宋" w:hAnsi="仿宋" w:eastAsia="仿宋" w:cs="仿宋"/>
          <w:sz w:val="24"/>
        </w:rPr>
        <w:t>1.15</w:t>
      </w:r>
      <w:r>
        <w:rPr>
          <w:rFonts w:hint="eastAsia" w:ascii="仿宋" w:hAnsi="仿宋" w:eastAsia="仿宋" w:cs="仿宋"/>
          <w:sz w:val="24"/>
        </w:rPr>
        <w:tab/>
      </w:r>
      <w:r>
        <w:rPr>
          <w:rFonts w:hint="eastAsia" w:ascii="仿宋" w:hAnsi="仿宋" w:eastAsia="仿宋" w:cs="仿宋"/>
          <w:sz w:val="24"/>
        </w:rPr>
        <w:t>质量数范围：m/z 5-2000amu</w:t>
      </w:r>
    </w:p>
    <w:p w14:paraId="20F30B19">
      <w:pPr>
        <w:spacing w:line="360" w:lineRule="auto"/>
        <w:jc w:val="left"/>
        <w:rPr>
          <w:rFonts w:hint="eastAsia" w:ascii="仿宋" w:hAnsi="仿宋" w:eastAsia="仿宋" w:cs="仿宋"/>
          <w:sz w:val="24"/>
        </w:rPr>
      </w:pPr>
      <w:r>
        <w:rPr>
          <w:rFonts w:hint="eastAsia" w:ascii="仿宋" w:hAnsi="仿宋" w:eastAsia="仿宋" w:cs="仿宋"/>
          <w:sz w:val="24"/>
        </w:rPr>
        <w:t>1.16</w:t>
      </w:r>
      <w:r>
        <w:rPr>
          <w:rFonts w:hint="eastAsia" w:ascii="仿宋" w:hAnsi="仿宋" w:eastAsia="仿宋" w:cs="仿宋"/>
          <w:sz w:val="24"/>
        </w:rPr>
        <w:tab/>
      </w:r>
      <w:r>
        <w:rPr>
          <w:rFonts w:hint="eastAsia" w:ascii="仿宋" w:hAnsi="仿宋" w:eastAsia="仿宋" w:cs="仿宋"/>
          <w:sz w:val="24"/>
        </w:rPr>
        <w:t>四极杆扫描速度：≥12000 amu/sec</w:t>
      </w:r>
    </w:p>
    <w:p w14:paraId="6D68D342">
      <w:pPr>
        <w:spacing w:line="360" w:lineRule="auto"/>
        <w:jc w:val="left"/>
        <w:rPr>
          <w:rFonts w:hint="eastAsia" w:ascii="仿宋" w:hAnsi="仿宋" w:eastAsia="仿宋" w:cs="仿宋"/>
          <w:sz w:val="24"/>
        </w:rPr>
      </w:pPr>
      <w:r>
        <w:rPr>
          <w:rFonts w:hint="eastAsia" w:ascii="仿宋" w:hAnsi="仿宋" w:eastAsia="仿宋" w:cs="仿宋"/>
          <w:sz w:val="24"/>
        </w:rPr>
        <w:t>1.17</w:t>
      </w:r>
      <w:r>
        <w:rPr>
          <w:rFonts w:hint="eastAsia" w:ascii="仿宋" w:hAnsi="仿宋" w:eastAsia="仿宋" w:cs="仿宋"/>
          <w:sz w:val="24"/>
        </w:rPr>
        <w:tab/>
      </w:r>
      <w:r>
        <w:rPr>
          <w:rFonts w:hint="eastAsia" w:ascii="仿宋" w:hAnsi="仿宋" w:eastAsia="仿宋" w:cs="仿宋"/>
          <w:sz w:val="24"/>
        </w:rPr>
        <w:t>线性范围：定量超过六个数量级</w:t>
      </w:r>
    </w:p>
    <w:p w14:paraId="6B27EB09">
      <w:pPr>
        <w:spacing w:line="360" w:lineRule="auto"/>
        <w:jc w:val="left"/>
        <w:rPr>
          <w:rFonts w:hint="eastAsia" w:ascii="仿宋" w:hAnsi="仿宋" w:eastAsia="仿宋" w:cs="仿宋"/>
          <w:sz w:val="24"/>
        </w:rPr>
      </w:pPr>
      <w:r>
        <w:rPr>
          <w:rFonts w:hint="eastAsia" w:ascii="仿宋" w:hAnsi="仿宋" w:eastAsia="仿宋" w:cs="仿宋"/>
          <w:sz w:val="24"/>
        </w:rPr>
        <w:t>1.18</w:t>
      </w:r>
      <w:r>
        <w:rPr>
          <w:rFonts w:hint="eastAsia" w:ascii="仿宋" w:hAnsi="仿宋" w:eastAsia="仿宋" w:cs="仿宋"/>
          <w:sz w:val="24"/>
        </w:rPr>
        <w:tab/>
      </w:r>
      <w:r>
        <w:rPr>
          <w:rFonts w:hint="eastAsia" w:ascii="仿宋" w:hAnsi="仿宋" w:eastAsia="仿宋" w:cs="仿宋"/>
          <w:sz w:val="24"/>
        </w:rPr>
        <w:t>质量稳定性：±0.1 amu/24hr</w:t>
      </w:r>
    </w:p>
    <w:p w14:paraId="06EFD7EF">
      <w:pPr>
        <w:spacing w:line="360" w:lineRule="auto"/>
        <w:jc w:val="left"/>
        <w:rPr>
          <w:rFonts w:hint="eastAsia" w:ascii="仿宋" w:hAnsi="仿宋" w:eastAsia="仿宋" w:cs="仿宋"/>
          <w:sz w:val="24"/>
        </w:rPr>
      </w:pPr>
      <w:r>
        <w:rPr>
          <w:rFonts w:hint="eastAsia" w:ascii="仿宋" w:hAnsi="仿宋" w:eastAsia="仿宋" w:cs="仿宋"/>
          <w:sz w:val="24"/>
        </w:rPr>
        <w:t>1.19</w:t>
      </w:r>
      <w:r>
        <w:rPr>
          <w:rFonts w:hint="eastAsia" w:ascii="仿宋" w:hAnsi="仿宋" w:eastAsia="仿宋" w:cs="仿宋"/>
          <w:sz w:val="24"/>
        </w:rPr>
        <w:tab/>
      </w:r>
      <w:r>
        <w:rPr>
          <w:rFonts w:hint="eastAsia" w:ascii="仿宋" w:hAnsi="仿宋" w:eastAsia="仿宋" w:cs="仿宋"/>
          <w:sz w:val="24"/>
        </w:rPr>
        <w:t>MRM最小驻留时间（dwell time）≤1ms</w:t>
      </w:r>
    </w:p>
    <w:p w14:paraId="512F90AC">
      <w:pPr>
        <w:spacing w:line="360" w:lineRule="auto"/>
        <w:jc w:val="left"/>
        <w:rPr>
          <w:rFonts w:hint="eastAsia" w:ascii="仿宋" w:hAnsi="仿宋" w:eastAsia="仿宋" w:cs="仿宋"/>
          <w:sz w:val="24"/>
        </w:rPr>
      </w:pPr>
      <w:r>
        <w:rPr>
          <w:rFonts w:hint="eastAsia" w:ascii="仿宋" w:hAnsi="仿宋" w:eastAsia="仿宋" w:cs="仿宋"/>
          <w:sz w:val="24"/>
        </w:rPr>
        <w:t>1.20</w:t>
      </w:r>
      <w:r>
        <w:rPr>
          <w:rFonts w:hint="eastAsia" w:ascii="仿宋" w:hAnsi="仿宋" w:eastAsia="仿宋" w:cs="仿宋"/>
          <w:sz w:val="24"/>
        </w:rPr>
        <w:tab/>
      </w:r>
      <w:r>
        <w:rPr>
          <w:rFonts w:hint="eastAsia" w:ascii="仿宋" w:hAnsi="仿宋" w:eastAsia="仿宋" w:cs="仿宋"/>
          <w:sz w:val="24"/>
        </w:rPr>
        <w:t>MRM采集速率：≥500MRM/s</w:t>
      </w:r>
    </w:p>
    <w:p w14:paraId="6F50AF8B">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rPr>
        <w:t>1.21</w:t>
      </w:r>
      <w:r>
        <w:rPr>
          <w:rFonts w:hint="eastAsia" w:ascii="仿宋" w:hAnsi="仿宋" w:eastAsia="仿宋" w:cs="仿宋"/>
          <w:b w:val="0"/>
          <w:bCs w:val="0"/>
          <w:sz w:val="24"/>
        </w:rPr>
        <w:tab/>
      </w:r>
      <w:r>
        <w:rPr>
          <w:rFonts w:hint="eastAsia" w:ascii="仿宋" w:hAnsi="仿宋" w:eastAsia="仿宋" w:cs="仿宋"/>
          <w:b w:val="0"/>
          <w:bCs w:val="0"/>
          <w:sz w:val="24"/>
        </w:rPr>
        <w:t>ESI模式灵敏度</w:t>
      </w:r>
    </w:p>
    <w:p w14:paraId="31602F05">
      <w:pPr>
        <w:spacing w:line="360" w:lineRule="auto"/>
        <w:jc w:val="left"/>
        <w:rPr>
          <w:rFonts w:hint="eastAsia" w:ascii="仿宋" w:hAnsi="仿宋" w:eastAsia="仿宋" w:cs="仿宋"/>
          <w:b/>
          <w:bCs/>
          <w:sz w:val="24"/>
        </w:rPr>
      </w:pPr>
      <w:r>
        <w:rPr>
          <w:rFonts w:hint="eastAsia" w:ascii="宋体" w:hAnsi="宋体" w:eastAsia="宋体" w:cs="宋体"/>
          <w:b/>
          <w:bCs/>
        </w:rPr>
        <w:t>█</w:t>
      </w:r>
      <w:r>
        <w:rPr>
          <w:rFonts w:hint="eastAsia" w:ascii="仿宋" w:hAnsi="仿宋" w:eastAsia="仿宋" w:cs="仿宋"/>
          <w:b/>
          <w:bCs/>
          <w:sz w:val="24"/>
        </w:rPr>
        <w:t>1.21.1</w:t>
      </w:r>
      <w:r>
        <w:rPr>
          <w:rFonts w:hint="eastAsia" w:ascii="仿宋" w:hAnsi="仿宋" w:eastAsia="仿宋" w:cs="仿宋"/>
          <w:b/>
          <w:bCs/>
          <w:sz w:val="24"/>
        </w:rPr>
        <w:tab/>
      </w:r>
      <w:r>
        <w:rPr>
          <w:rFonts w:hint="eastAsia" w:ascii="仿宋" w:hAnsi="仿宋" w:eastAsia="仿宋" w:cs="仿宋"/>
          <w:b/>
          <w:bCs/>
          <w:sz w:val="24"/>
        </w:rPr>
        <w:t>ESI+：血清中利血平柱上进样1pg浓度样品， ESI+ 信噪比S/N &gt; 1,500,000:1 ，C.V. &lt; 5%</w:t>
      </w:r>
    </w:p>
    <w:p w14:paraId="18AD2BDA">
      <w:pPr>
        <w:spacing w:line="360" w:lineRule="auto"/>
        <w:jc w:val="left"/>
        <w:rPr>
          <w:rFonts w:hint="eastAsia" w:ascii="仿宋" w:hAnsi="仿宋" w:eastAsia="仿宋" w:cs="仿宋"/>
          <w:b/>
          <w:bCs/>
          <w:sz w:val="24"/>
        </w:rPr>
      </w:pPr>
      <w:r>
        <w:rPr>
          <w:rFonts w:hint="eastAsia" w:ascii="宋体" w:hAnsi="宋体" w:eastAsia="宋体" w:cs="宋体"/>
          <w:b/>
          <w:bCs/>
        </w:rPr>
        <w:t>█</w:t>
      </w:r>
      <w:r>
        <w:rPr>
          <w:rFonts w:hint="eastAsia" w:ascii="仿宋" w:hAnsi="仿宋" w:eastAsia="仿宋" w:cs="仿宋"/>
          <w:b/>
          <w:bCs/>
          <w:sz w:val="24"/>
        </w:rPr>
        <w:t>1.21.2</w:t>
      </w:r>
      <w:r>
        <w:rPr>
          <w:rFonts w:hint="eastAsia" w:ascii="仿宋" w:hAnsi="仿宋" w:eastAsia="仿宋" w:cs="仿宋"/>
          <w:b/>
          <w:bCs/>
          <w:sz w:val="24"/>
        </w:rPr>
        <w:tab/>
      </w:r>
      <w:r>
        <w:rPr>
          <w:rFonts w:hint="eastAsia" w:ascii="仿宋" w:hAnsi="仿宋" w:eastAsia="仿宋" w:cs="仿宋"/>
          <w:b/>
          <w:bCs/>
          <w:sz w:val="24"/>
        </w:rPr>
        <w:t>ESI-：血清中氯霉素柱上进样1pg浓度样品，ESI- 信噪比S/N &gt; 1,500,000:1， C.V. &lt; 5%；血清中雌二醇柱上进样1pg浓度样品， ESI-信噪比S/N &gt; 50,000:1， C.V. &lt; 5%。</w:t>
      </w:r>
    </w:p>
    <w:p w14:paraId="69D7E10E">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rPr>
        <w:t>1.22</w:t>
      </w:r>
      <w:r>
        <w:rPr>
          <w:rFonts w:hint="eastAsia" w:ascii="仿宋" w:hAnsi="仿宋" w:eastAsia="仿宋" w:cs="仿宋"/>
          <w:b w:val="0"/>
          <w:bCs w:val="0"/>
          <w:sz w:val="24"/>
        </w:rPr>
        <w:tab/>
      </w:r>
      <w:r>
        <w:rPr>
          <w:rFonts w:hint="eastAsia" w:ascii="仿宋" w:hAnsi="仿宋" w:eastAsia="仿宋" w:cs="仿宋"/>
          <w:b w:val="0"/>
          <w:bCs w:val="0"/>
          <w:sz w:val="24"/>
        </w:rPr>
        <w:t>APCI模式灵敏度：血清中17-羟孕酮柱上进样1pg浓度样品， APCI+ 信噪比S/N &gt; 10,000:1， C.V. &lt; 5%。</w:t>
      </w:r>
    </w:p>
    <w:p w14:paraId="2F4002F6">
      <w:pPr>
        <w:spacing w:line="360" w:lineRule="auto"/>
        <w:jc w:val="left"/>
        <w:rPr>
          <w:rFonts w:hint="eastAsia" w:ascii="仿宋" w:hAnsi="仿宋" w:eastAsia="仿宋" w:cs="仿宋"/>
          <w:b/>
          <w:bCs/>
          <w:sz w:val="24"/>
        </w:rPr>
      </w:pPr>
      <w:r>
        <w:rPr>
          <w:rFonts w:hint="eastAsia" w:ascii="宋体" w:hAnsi="宋体" w:eastAsia="宋体" w:cs="宋体"/>
          <w:b/>
          <w:bCs/>
        </w:rPr>
        <w:t>█</w:t>
      </w:r>
      <w:r>
        <w:rPr>
          <w:rFonts w:hint="eastAsia" w:ascii="仿宋" w:hAnsi="仿宋" w:eastAsia="仿宋" w:cs="仿宋"/>
          <w:b/>
          <w:bCs/>
          <w:sz w:val="24"/>
        </w:rPr>
        <w:t>1.23</w:t>
      </w:r>
      <w:r>
        <w:rPr>
          <w:rFonts w:hint="eastAsia" w:ascii="仿宋" w:hAnsi="仿宋" w:eastAsia="仿宋" w:cs="仿宋"/>
          <w:b/>
          <w:bCs/>
          <w:sz w:val="24"/>
        </w:rPr>
        <w:tab/>
      </w:r>
      <w:r>
        <w:rPr>
          <w:rFonts w:hint="eastAsia" w:ascii="仿宋" w:hAnsi="仿宋" w:eastAsia="仿宋" w:cs="仿宋"/>
          <w:b/>
          <w:bCs/>
          <w:sz w:val="24"/>
        </w:rPr>
        <w:t>正负切换和单一极性模式下检测，灵敏度不下降。</w:t>
      </w:r>
    </w:p>
    <w:p w14:paraId="657A0793">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rPr>
        <w:t>1.24</w:t>
      </w:r>
      <w:r>
        <w:rPr>
          <w:rFonts w:hint="eastAsia" w:ascii="仿宋" w:hAnsi="仿宋" w:eastAsia="仿宋" w:cs="仿宋"/>
          <w:b w:val="0"/>
          <w:bCs w:val="0"/>
          <w:sz w:val="24"/>
        </w:rPr>
        <w:tab/>
      </w:r>
      <w:r>
        <w:rPr>
          <w:rFonts w:hint="eastAsia" w:ascii="仿宋" w:hAnsi="仿宋" w:eastAsia="仿宋" w:cs="仿宋"/>
          <w:b w:val="0"/>
          <w:bCs w:val="0"/>
          <w:sz w:val="24"/>
        </w:rPr>
        <w:t>MRM正负模式切换速度：≤6ms</w:t>
      </w:r>
    </w:p>
    <w:p w14:paraId="0845BFC2">
      <w:pPr>
        <w:spacing w:line="360" w:lineRule="auto"/>
        <w:jc w:val="left"/>
        <w:rPr>
          <w:rFonts w:hint="eastAsia" w:ascii="仿宋" w:hAnsi="仿宋" w:eastAsia="仿宋" w:cs="仿宋"/>
          <w:sz w:val="24"/>
        </w:rPr>
      </w:pPr>
      <w:r>
        <w:rPr>
          <w:rFonts w:hint="eastAsia" w:ascii="仿宋" w:hAnsi="仿宋" w:eastAsia="仿宋" w:cs="仿宋"/>
          <w:sz w:val="24"/>
        </w:rPr>
        <w:t>1.25</w:t>
      </w:r>
      <w:r>
        <w:rPr>
          <w:rFonts w:hint="eastAsia" w:ascii="仿宋" w:hAnsi="仿宋" w:eastAsia="仿宋" w:cs="仿宋"/>
          <w:sz w:val="24"/>
        </w:rPr>
        <w:tab/>
      </w:r>
      <w:r>
        <w:rPr>
          <w:rFonts w:hint="eastAsia" w:ascii="仿宋" w:hAnsi="仿宋" w:eastAsia="仿宋" w:cs="仿宋"/>
          <w:sz w:val="24"/>
        </w:rPr>
        <w:t>工作站软件</w:t>
      </w:r>
    </w:p>
    <w:p w14:paraId="57107CFF">
      <w:pPr>
        <w:spacing w:line="360" w:lineRule="auto"/>
        <w:jc w:val="left"/>
        <w:rPr>
          <w:rFonts w:hint="eastAsia" w:ascii="仿宋" w:hAnsi="仿宋" w:eastAsia="仿宋" w:cs="仿宋"/>
          <w:sz w:val="24"/>
        </w:rPr>
      </w:pPr>
      <w:r>
        <w:rPr>
          <w:rFonts w:hint="eastAsia" w:ascii="仿宋" w:hAnsi="仿宋" w:eastAsia="仿宋" w:cs="仿宋"/>
          <w:sz w:val="24"/>
        </w:rPr>
        <w:t>1.25.1</w:t>
      </w:r>
      <w:r>
        <w:rPr>
          <w:rFonts w:hint="eastAsia" w:ascii="仿宋" w:hAnsi="仿宋" w:eastAsia="仿宋" w:cs="仿宋"/>
          <w:sz w:val="24"/>
        </w:rPr>
        <w:tab/>
      </w:r>
      <w:r>
        <w:rPr>
          <w:rFonts w:hint="eastAsia" w:ascii="仿宋" w:hAnsi="仿宋" w:eastAsia="仿宋" w:cs="仿宋"/>
          <w:sz w:val="24"/>
        </w:rPr>
        <w:t>软件能自动实现仪器的功能配置、条件优化、数据采集、数据处理、快速定量；软件同时控制液相、质谱，能自动地确保系统待用，进行质量校正和设置质谱分辨率；能提供“及时”定量数据质量监测，以确定QC或空白样品是否落在用户指定的误差范围内。</w:t>
      </w:r>
    </w:p>
    <w:p w14:paraId="5114C38F">
      <w:pPr>
        <w:spacing w:line="360" w:lineRule="auto"/>
        <w:jc w:val="left"/>
        <w:rPr>
          <w:rFonts w:hint="eastAsia" w:ascii="仿宋" w:hAnsi="仿宋" w:eastAsia="仿宋" w:cs="仿宋"/>
          <w:sz w:val="24"/>
        </w:rPr>
      </w:pPr>
      <w:r>
        <w:rPr>
          <w:rFonts w:hint="eastAsia" w:ascii="仿宋" w:hAnsi="仿宋" w:eastAsia="仿宋" w:cs="仿宋"/>
          <w:sz w:val="24"/>
        </w:rPr>
        <w:t>1.25.2</w:t>
      </w:r>
      <w:r>
        <w:rPr>
          <w:rFonts w:hint="eastAsia" w:ascii="仿宋" w:hAnsi="仿宋" w:eastAsia="仿宋" w:cs="仿宋"/>
          <w:sz w:val="24"/>
        </w:rPr>
        <w:tab/>
      </w:r>
      <w:r>
        <w:rPr>
          <w:rFonts w:hint="eastAsia" w:ascii="仿宋" w:hAnsi="仿宋" w:eastAsia="仿宋" w:cs="仿宋"/>
          <w:sz w:val="24"/>
        </w:rPr>
        <w:t>工作站软件具有审计追踪功能（Audit Trail），符合GLP等法规要求。</w:t>
      </w:r>
    </w:p>
    <w:p w14:paraId="29D303C6">
      <w:pPr>
        <w:spacing w:line="360" w:lineRule="auto"/>
        <w:jc w:val="left"/>
        <w:rPr>
          <w:rFonts w:hint="eastAsia" w:ascii="仿宋" w:hAnsi="仿宋" w:eastAsia="仿宋" w:cs="仿宋"/>
          <w:sz w:val="24"/>
        </w:rPr>
      </w:pPr>
      <w:r>
        <w:rPr>
          <w:rFonts w:hint="eastAsia" w:ascii="仿宋" w:hAnsi="仿宋" w:eastAsia="仿宋" w:cs="仿宋"/>
          <w:sz w:val="24"/>
        </w:rPr>
        <w:t>1.25.</w:t>
      </w:r>
      <w:r>
        <w:rPr>
          <w:rFonts w:hint="eastAsia" w:ascii="仿宋" w:hAnsi="仿宋" w:eastAsia="仿宋" w:cs="仿宋"/>
          <w:sz w:val="24"/>
          <w:lang w:val="en-US" w:eastAsia="zh-CN"/>
        </w:rPr>
        <w:t>3</w:t>
      </w:r>
      <w:r>
        <w:rPr>
          <w:rFonts w:hint="eastAsia" w:ascii="仿宋" w:hAnsi="仿宋" w:eastAsia="仿宋" w:cs="仿宋"/>
          <w:sz w:val="24"/>
        </w:rPr>
        <w:tab/>
      </w:r>
      <w:r>
        <w:rPr>
          <w:rFonts w:hint="eastAsia" w:ascii="仿宋" w:hAnsi="仿宋" w:eastAsia="仿宋" w:cs="仿宋"/>
          <w:sz w:val="24"/>
        </w:rPr>
        <w:t>具备高通量定量功能，可处理大批量样品，同时分析上百种甚至上千种化合物。要求能自动标识离子比率、异常值等。积分可靠，减少积分误差。智能的多化合物MRM方法设置，可根据每个MRM目标物的保留时间自动设置MRM窗口，无需手动设置MRM采集窗口的起止时间段。</w:t>
      </w:r>
    </w:p>
    <w:p w14:paraId="591D2DE3">
      <w:pPr>
        <w:spacing w:line="360" w:lineRule="auto"/>
        <w:jc w:val="left"/>
        <w:rPr>
          <w:rFonts w:hint="eastAsia" w:ascii="仿宋" w:hAnsi="仿宋" w:eastAsia="仿宋" w:cs="仿宋"/>
          <w:sz w:val="24"/>
        </w:rPr>
      </w:pPr>
      <w:r>
        <w:rPr>
          <w:rFonts w:hint="eastAsia" w:ascii="仿宋" w:hAnsi="仿宋" w:eastAsia="仿宋" w:cs="仿宋"/>
          <w:sz w:val="24"/>
        </w:rPr>
        <w:t>1.26</w:t>
      </w:r>
      <w:r>
        <w:rPr>
          <w:rFonts w:hint="eastAsia" w:ascii="仿宋" w:hAnsi="仿宋" w:eastAsia="仿宋" w:cs="仿宋"/>
          <w:sz w:val="24"/>
        </w:rPr>
        <w:tab/>
      </w:r>
      <w:r>
        <w:rPr>
          <w:rFonts w:hint="eastAsia" w:ascii="仿宋" w:hAnsi="仿宋" w:eastAsia="仿宋" w:cs="仿宋"/>
          <w:sz w:val="24"/>
        </w:rPr>
        <w:t>临床质谱信息一体化管理系统</w:t>
      </w:r>
    </w:p>
    <w:p w14:paraId="4F46EE5F">
      <w:pPr>
        <w:spacing w:line="360" w:lineRule="auto"/>
        <w:jc w:val="left"/>
        <w:rPr>
          <w:rFonts w:hint="eastAsia" w:ascii="仿宋" w:hAnsi="仿宋" w:eastAsia="仿宋" w:cs="仿宋"/>
          <w:sz w:val="24"/>
        </w:rPr>
      </w:pPr>
      <w:r>
        <w:rPr>
          <w:rFonts w:hint="eastAsia" w:ascii="仿宋" w:hAnsi="仿宋" w:eastAsia="仿宋" w:cs="仿宋"/>
          <w:sz w:val="24"/>
        </w:rPr>
        <w:t>1.26.1</w:t>
      </w:r>
      <w:r>
        <w:rPr>
          <w:rFonts w:hint="eastAsia" w:ascii="仿宋" w:hAnsi="仿宋" w:eastAsia="仿宋" w:cs="仿宋"/>
          <w:sz w:val="24"/>
        </w:rPr>
        <w:tab/>
      </w:r>
      <w:r>
        <w:rPr>
          <w:rFonts w:hint="eastAsia" w:ascii="仿宋" w:hAnsi="仿宋" w:eastAsia="仿宋" w:cs="仿宋"/>
          <w:sz w:val="24"/>
        </w:rPr>
        <w:t>基本要求：</w:t>
      </w:r>
    </w:p>
    <w:p w14:paraId="1C6D29A8">
      <w:pPr>
        <w:spacing w:line="360" w:lineRule="auto"/>
        <w:jc w:val="left"/>
        <w:rPr>
          <w:rFonts w:hint="eastAsia" w:ascii="仿宋" w:hAnsi="仿宋" w:eastAsia="仿宋" w:cs="仿宋"/>
          <w:sz w:val="24"/>
        </w:rPr>
      </w:pPr>
      <w:r>
        <w:rPr>
          <w:rFonts w:hint="eastAsia" w:ascii="仿宋" w:hAnsi="仿宋" w:eastAsia="仿宋" w:cs="仿宋"/>
          <w:sz w:val="24"/>
        </w:rPr>
        <w:t>1.26.1.1</w:t>
      </w:r>
      <w:r>
        <w:rPr>
          <w:rFonts w:hint="eastAsia" w:ascii="仿宋" w:hAnsi="仿宋" w:eastAsia="仿宋" w:cs="仿宋"/>
          <w:sz w:val="24"/>
        </w:rPr>
        <w:tab/>
      </w:r>
      <w:r>
        <w:rPr>
          <w:rFonts w:hint="eastAsia" w:ascii="仿宋" w:hAnsi="仿宋" w:eastAsia="仿宋" w:cs="仿宋"/>
          <w:sz w:val="24"/>
        </w:rPr>
        <w:t>临床质谱检验结果需要自动化的传输给实验室信息管理系统（LIS）以及自动化的进行标本的签收。</w:t>
      </w:r>
    </w:p>
    <w:p w14:paraId="1E04F6D4">
      <w:pPr>
        <w:spacing w:line="360" w:lineRule="auto"/>
        <w:jc w:val="left"/>
        <w:rPr>
          <w:rFonts w:hint="eastAsia" w:ascii="仿宋" w:hAnsi="仿宋" w:eastAsia="仿宋" w:cs="仿宋"/>
          <w:sz w:val="24"/>
        </w:rPr>
      </w:pPr>
      <w:r>
        <w:rPr>
          <w:rFonts w:hint="eastAsia" w:ascii="仿宋" w:hAnsi="仿宋" w:eastAsia="仿宋" w:cs="仿宋"/>
          <w:sz w:val="24"/>
        </w:rPr>
        <w:t>1.26.1.2</w:t>
      </w:r>
      <w:r>
        <w:rPr>
          <w:rFonts w:hint="eastAsia" w:ascii="仿宋" w:hAnsi="仿宋" w:eastAsia="仿宋" w:cs="仿宋"/>
          <w:sz w:val="24"/>
        </w:rPr>
        <w:tab/>
      </w:r>
      <w:r>
        <w:rPr>
          <w:rFonts w:hint="eastAsia" w:ascii="仿宋" w:hAnsi="仿宋" w:eastAsia="仿宋" w:cs="仿宋"/>
          <w:sz w:val="24"/>
        </w:rPr>
        <w:t>对临床质谱检验进行全流程的数字化管理，并建立检验过程追溯管理机制。</w:t>
      </w:r>
    </w:p>
    <w:p w14:paraId="35B54D7C">
      <w:pPr>
        <w:spacing w:line="360" w:lineRule="auto"/>
        <w:jc w:val="left"/>
        <w:rPr>
          <w:rFonts w:hint="eastAsia" w:ascii="仿宋" w:hAnsi="仿宋" w:eastAsia="仿宋" w:cs="仿宋"/>
          <w:sz w:val="24"/>
        </w:rPr>
      </w:pPr>
      <w:r>
        <w:rPr>
          <w:rFonts w:hint="eastAsia" w:ascii="仿宋" w:hAnsi="仿宋" w:eastAsia="仿宋" w:cs="仿宋"/>
          <w:sz w:val="24"/>
        </w:rPr>
        <w:t>1.26.1.3</w:t>
      </w:r>
      <w:r>
        <w:rPr>
          <w:rFonts w:hint="eastAsia" w:ascii="仿宋" w:hAnsi="仿宋" w:eastAsia="仿宋" w:cs="仿宋"/>
          <w:sz w:val="24"/>
        </w:rPr>
        <w:tab/>
      </w:r>
      <w:r>
        <w:rPr>
          <w:rFonts w:hint="eastAsia" w:ascii="仿宋" w:hAnsi="仿宋" w:eastAsia="仿宋" w:cs="仿宋"/>
          <w:sz w:val="24"/>
        </w:rPr>
        <w:t>建立临床质谱质量管理体系，并进行质量监控，并建立完备质量管理追溯机制。</w:t>
      </w:r>
    </w:p>
    <w:p w14:paraId="63AA2B34">
      <w:pPr>
        <w:spacing w:line="360" w:lineRule="auto"/>
        <w:jc w:val="left"/>
        <w:rPr>
          <w:rFonts w:hint="eastAsia" w:ascii="仿宋" w:hAnsi="仿宋" w:eastAsia="仿宋" w:cs="仿宋"/>
          <w:sz w:val="24"/>
        </w:rPr>
      </w:pPr>
      <w:r>
        <w:rPr>
          <w:rFonts w:hint="eastAsia" w:ascii="仿宋" w:hAnsi="仿宋" w:eastAsia="仿宋" w:cs="仿宋"/>
          <w:sz w:val="24"/>
        </w:rPr>
        <w:t>1.26.2检验流程信息化：科室标本信息传输自动化，临床质谱检验结果自动化回传实验室信息化管理系统（LIS）。记录在检验过程中各项操作日志，包括，标本的签收，上机、结果的审核等检验环节的操作日志。</w:t>
      </w:r>
    </w:p>
    <w:p w14:paraId="22DE694A">
      <w:pPr>
        <w:spacing w:line="360" w:lineRule="auto"/>
        <w:jc w:val="left"/>
        <w:rPr>
          <w:rFonts w:hint="eastAsia" w:ascii="仿宋" w:hAnsi="仿宋" w:eastAsia="仿宋" w:cs="仿宋"/>
          <w:sz w:val="24"/>
        </w:rPr>
      </w:pPr>
      <w:r>
        <w:rPr>
          <w:rFonts w:hint="eastAsia" w:ascii="仿宋" w:hAnsi="仿宋" w:eastAsia="仿宋" w:cs="仿宋"/>
          <w:sz w:val="24"/>
        </w:rPr>
        <w:t>1.26.3</w:t>
      </w:r>
      <w:r>
        <w:rPr>
          <w:rFonts w:hint="eastAsia" w:ascii="仿宋" w:hAnsi="仿宋" w:eastAsia="仿宋" w:cs="仿宋"/>
          <w:sz w:val="24"/>
        </w:rPr>
        <w:tab/>
      </w:r>
      <w:r>
        <w:rPr>
          <w:rFonts w:hint="eastAsia" w:ascii="仿宋" w:hAnsi="仿宋" w:eastAsia="仿宋" w:cs="仿宋"/>
          <w:sz w:val="24"/>
        </w:rPr>
        <w:t>灵活的标本签收分管：</w:t>
      </w:r>
    </w:p>
    <w:p w14:paraId="5BEC6ED8">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rPr>
        <w:t>1.26.3.1</w:t>
      </w:r>
      <w:r>
        <w:rPr>
          <w:rFonts w:hint="eastAsia" w:ascii="仿宋" w:hAnsi="仿宋" w:eastAsia="仿宋" w:cs="仿宋"/>
          <w:b w:val="0"/>
          <w:bCs w:val="0"/>
          <w:sz w:val="24"/>
        </w:rPr>
        <w:tab/>
      </w:r>
      <w:r>
        <w:rPr>
          <w:rFonts w:hint="eastAsia" w:ascii="仿宋" w:hAnsi="仿宋" w:eastAsia="仿宋" w:cs="仿宋"/>
          <w:b w:val="0"/>
          <w:bCs w:val="0"/>
          <w:sz w:val="24"/>
        </w:rPr>
        <w:t>根据科室需要，可以灵活配置临床质谱检验标本的分管规则，并自动生成相应分管号，接收实验室信息化管理系统（LIS）中的分管编号。</w:t>
      </w:r>
    </w:p>
    <w:p w14:paraId="7EA03BA3">
      <w:pPr>
        <w:spacing w:line="360" w:lineRule="auto"/>
        <w:jc w:val="left"/>
        <w:rPr>
          <w:rFonts w:hint="eastAsia" w:ascii="仿宋" w:hAnsi="仿宋" w:eastAsia="仿宋" w:cs="仿宋"/>
          <w:sz w:val="24"/>
        </w:rPr>
      </w:pPr>
      <w:r>
        <w:rPr>
          <w:rFonts w:hint="eastAsia" w:ascii="仿宋" w:hAnsi="仿宋" w:eastAsia="仿宋" w:cs="仿宋"/>
          <w:sz w:val="24"/>
        </w:rPr>
        <w:t>1.26.3.2</w:t>
      </w:r>
      <w:r>
        <w:rPr>
          <w:rFonts w:hint="eastAsia" w:ascii="仿宋" w:hAnsi="仿宋" w:eastAsia="仿宋" w:cs="仿宋"/>
          <w:sz w:val="24"/>
        </w:rPr>
        <w:tab/>
      </w:r>
      <w:r>
        <w:rPr>
          <w:rFonts w:hint="eastAsia" w:ascii="仿宋" w:hAnsi="仿宋" w:eastAsia="仿宋" w:cs="仿宋"/>
          <w:sz w:val="24"/>
        </w:rPr>
        <w:t>支持手工注册/登记标本，支持手工对标本进行分管，并智能的根据分管号规则生成分管号。</w:t>
      </w:r>
    </w:p>
    <w:p w14:paraId="59259148">
      <w:pPr>
        <w:spacing w:line="360" w:lineRule="auto"/>
        <w:jc w:val="left"/>
        <w:rPr>
          <w:rFonts w:hint="eastAsia" w:ascii="仿宋" w:hAnsi="仿宋" w:eastAsia="仿宋" w:cs="仿宋"/>
          <w:sz w:val="24"/>
        </w:rPr>
      </w:pPr>
      <w:r>
        <w:rPr>
          <w:rFonts w:hint="eastAsia" w:ascii="仿宋" w:hAnsi="仿宋" w:eastAsia="仿宋" w:cs="仿宋"/>
          <w:sz w:val="24"/>
        </w:rPr>
        <w:t>1.26.3.3</w:t>
      </w:r>
      <w:r>
        <w:rPr>
          <w:rFonts w:hint="eastAsia" w:ascii="仿宋" w:hAnsi="仿宋" w:eastAsia="仿宋" w:cs="仿宋"/>
          <w:sz w:val="24"/>
        </w:rPr>
        <w:tab/>
      </w:r>
      <w:r>
        <w:rPr>
          <w:rFonts w:hint="eastAsia" w:ascii="仿宋" w:hAnsi="仿宋" w:eastAsia="仿宋" w:cs="仿宋"/>
          <w:sz w:val="24"/>
        </w:rPr>
        <w:t>灵活可视化的排版功能，可以根据不同的设备、板子类型适应排列方式，多标本、多标本类型选择排版。自定义排版模板，支持质控品、标准版、空白样等标本模板的设置。一键自动排版质控品、标准品、空白样等标本。扫描上样排板功能，灵活快速靶板排列功能。</w:t>
      </w:r>
    </w:p>
    <w:p w14:paraId="3AF4D38F">
      <w:pPr>
        <w:spacing w:line="360" w:lineRule="auto"/>
        <w:jc w:val="left"/>
        <w:rPr>
          <w:rFonts w:hint="eastAsia" w:ascii="仿宋" w:hAnsi="仿宋" w:eastAsia="仿宋" w:cs="仿宋"/>
          <w:sz w:val="24"/>
        </w:rPr>
      </w:pPr>
      <w:r>
        <w:rPr>
          <w:rFonts w:hint="eastAsia" w:ascii="仿宋" w:hAnsi="仿宋" w:eastAsia="仿宋" w:cs="仿宋"/>
          <w:sz w:val="24"/>
        </w:rPr>
        <w:t>1.26.4</w:t>
      </w:r>
      <w:r>
        <w:rPr>
          <w:rFonts w:hint="eastAsia" w:ascii="仿宋" w:hAnsi="仿宋" w:eastAsia="仿宋" w:cs="仿宋"/>
          <w:sz w:val="24"/>
        </w:rPr>
        <w:tab/>
      </w:r>
      <w:r>
        <w:rPr>
          <w:rFonts w:hint="eastAsia" w:ascii="仿宋" w:hAnsi="仿宋" w:eastAsia="仿宋" w:cs="仿宋"/>
          <w:sz w:val="24"/>
        </w:rPr>
        <w:t>多样化的结果审核与处理：</w:t>
      </w:r>
    </w:p>
    <w:p w14:paraId="54EC7AFC">
      <w:pPr>
        <w:spacing w:line="360" w:lineRule="auto"/>
        <w:jc w:val="left"/>
        <w:rPr>
          <w:rFonts w:hint="eastAsia" w:ascii="仿宋" w:hAnsi="仿宋" w:eastAsia="仿宋" w:cs="仿宋"/>
          <w:sz w:val="24"/>
        </w:rPr>
      </w:pPr>
      <w:r>
        <w:rPr>
          <w:rFonts w:hint="eastAsia" w:ascii="仿宋" w:hAnsi="仿宋" w:eastAsia="仿宋" w:cs="仿宋"/>
          <w:sz w:val="24"/>
        </w:rPr>
        <w:t>1.26.4.1</w:t>
      </w:r>
      <w:r>
        <w:rPr>
          <w:rFonts w:hint="eastAsia" w:ascii="仿宋" w:hAnsi="仿宋" w:eastAsia="仿宋" w:cs="仿宋"/>
          <w:sz w:val="24"/>
        </w:rPr>
        <w:tab/>
      </w:r>
      <w:r>
        <w:rPr>
          <w:rFonts w:hint="eastAsia" w:ascii="仿宋" w:hAnsi="仿宋" w:eastAsia="仿宋" w:cs="仿宋"/>
          <w:sz w:val="24"/>
        </w:rPr>
        <w:t>检验结果多离子通道分类展示，结果选择，参考包括CV，SD等统计参考指标。检验结果超出/低于参考范围的预警提示。</w:t>
      </w:r>
    </w:p>
    <w:p w14:paraId="081FF725">
      <w:pPr>
        <w:spacing w:line="360" w:lineRule="auto"/>
        <w:jc w:val="left"/>
        <w:rPr>
          <w:rFonts w:hint="eastAsia" w:ascii="仿宋" w:hAnsi="仿宋" w:eastAsia="仿宋" w:cs="仿宋"/>
          <w:sz w:val="24"/>
        </w:rPr>
      </w:pPr>
      <w:r>
        <w:rPr>
          <w:rFonts w:hint="eastAsia" w:ascii="仿宋" w:hAnsi="仿宋" w:eastAsia="仿宋" w:cs="仿宋"/>
          <w:sz w:val="24"/>
        </w:rPr>
        <w:t>1.26.4.2</w:t>
      </w:r>
      <w:r>
        <w:rPr>
          <w:rFonts w:hint="eastAsia" w:ascii="仿宋" w:hAnsi="仿宋" w:eastAsia="仿宋" w:cs="仿宋"/>
          <w:sz w:val="24"/>
        </w:rPr>
        <w:tab/>
      </w:r>
      <w:r>
        <w:rPr>
          <w:rFonts w:hint="eastAsia" w:ascii="仿宋" w:hAnsi="仿宋" w:eastAsia="仿宋" w:cs="仿宋"/>
          <w:sz w:val="24"/>
        </w:rPr>
        <w:t>多样结果回传方式，根据Order(编程)结果回传或全部回传模式。结果自动回传及手工回传模式切换。支持常规计算型测试项目结果的计算。</w:t>
      </w:r>
    </w:p>
    <w:p w14:paraId="7A7F3B64">
      <w:pPr>
        <w:spacing w:line="360" w:lineRule="auto"/>
        <w:jc w:val="left"/>
        <w:rPr>
          <w:rFonts w:hint="eastAsia" w:ascii="仿宋" w:hAnsi="仿宋" w:eastAsia="仿宋" w:cs="仿宋"/>
          <w:sz w:val="24"/>
        </w:rPr>
      </w:pPr>
      <w:r>
        <w:rPr>
          <w:rFonts w:hint="eastAsia" w:ascii="仿宋" w:hAnsi="仿宋" w:eastAsia="仿宋" w:cs="仿宋"/>
          <w:sz w:val="24"/>
        </w:rPr>
        <w:t>1.26.5</w:t>
      </w:r>
      <w:r>
        <w:rPr>
          <w:rFonts w:hint="eastAsia" w:ascii="仿宋" w:hAnsi="仿宋" w:eastAsia="仿宋" w:cs="仿宋"/>
          <w:sz w:val="24"/>
        </w:rPr>
        <w:tab/>
      </w:r>
      <w:r>
        <w:rPr>
          <w:rFonts w:hint="eastAsia" w:ascii="仿宋" w:hAnsi="仿宋" w:eastAsia="仿宋" w:cs="仿宋"/>
          <w:sz w:val="24"/>
        </w:rPr>
        <w:t>标本查询：标本信息以及状态、结果、操作日志查询。</w:t>
      </w:r>
    </w:p>
    <w:p w14:paraId="08726848">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rPr>
        <w:t>1.26.6</w:t>
      </w:r>
      <w:r>
        <w:rPr>
          <w:rFonts w:hint="eastAsia" w:ascii="仿宋" w:hAnsi="仿宋" w:eastAsia="仿宋" w:cs="仿宋"/>
          <w:b w:val="0"/>
          <w:bCs w:val="0"/>
          <w:sz w:val="24"/>
        </w:rPr>
        <w:tab/>
      </w:r>
      <w:r>
        <w:rPr>
          <w:rFonts w:hint="eastAsia" w:ascii="仿宋" w:hAnsi="仿宋" w:eastAsia="仿宋" w:cs="仿宋"/>
          <w:b w:val="0"/>
          <w:bCs w:val="0"/>
          <w:sz w:val="24"/>
        </w:rPr>
        <w:t>质量管理：自动实时的质控状态的判断以及质控图的绘制。支持靶值，CV，SD的自动计算功能。失控处理支持干预措施和预防措施自动和手动输入。多元化质控统计分析报表，支持统计数据的导出。</w:t>
      </w:r>
    </w:p>
    <w:p w14:paraId="15D4B99A">
      <w:pPr>
        <w:spacing w:line="360" w:lineRule="auto"/>
        <w:jc w:val="left"/>
        <w:rPr>
          <w:rFonts w:hint="eastAsia" w:ascii="仿宋" w:hAnsi="仿宋" w:eastAsia="仿宋" w:cs="仿宋"/>
          <w:sz w:val="24"/>
        </w:rPr>
      </w:pPr>
      <w:r>
        <w:rPr>
          <w:rFonts w:hint="eastAsia" w:ascii="仿宋" w:hAnsi="仿宋" w:eastAsia="仿宋" w:cs="仿宋"/>
          <w:sz w:val="24"/>
        </w:rPr>
        <w:t>2</w:t>
      </w:r>
      <w:r>
        <w:rPr>
          <w:rFonts w:hint="eastAsia" w:ascii="仿宋" w:hAnsi="仿宋" w:eastAsia="仿宋" w:cs="仿宋"/>
          <w:sz w:val="24"/>
        </w:rPr>
        <w:tab/>
      </w:r>
      <w:r>
        <w:rPr>
          <w:rFonts w:hint="eastAsia" w:ascii="仿宋" w:hAnsi="仿宋" w:eastAsia="仿宋" w:cs="仿宋"/>
          <w:sz w:val="24"/>
        </w:rPr>
        <w:t>超高效液相色谱仪</w:t>
      </w:r>
    </w:p>
    <w:p w14:paraId="24D92745">
      <w:pPr>
        <w:spacing w:line="360" w:lineRule="auto"/>
        <w:jc w:val="left"/>
        <w:rPr>
          <w:rFonts w:hint="eastAsia" w:ascii="仿宋" w:hAnsi="仿宋" w:eastAsia="仿宋" w:cs="仿宋"/>
          <w:sz w:val="24"/>
        </w:rPr>
      </w:pPr>
      <w:r>
        <w:rPr>
          <w:rFonts w:hint="eastAsia" w:ascii="仿宋" w:hAnsi="仿宋" w:eastAsia="仿宋" w:cs="仿宋"/>
          <w:sz w:val="24"/>
        </w:rPr>
        <w:t>2.1</w:t>
      </w:r>
      <w:r>
        <w:rPr>
          <w:rFonts w:hint="eastAsia" w:ascii="仿宋" w:hAnsi="仿宋" w:eastAsia="仿宋" w:cs="仿宋"/>
          <w:sz w:val="24"/>
        </w:rPr>
        <w:tab/>
      </w:r>
      <w:r>
        <w:rPr>
          <w:rFonts w:hint="eastAsia" w:ascii="仿宋" w:hAnsi="仿宋" w:eastAsia="仿宋" w:cs="仿宋"/>
          <w:sz w:val="24"/>
        </w:rPr>
        <w:t>溶剂泵</w:t>
      </w:r>
    </w:p>
    <w:p w14:paraId="4B2401B7">
      <w:pPr>
        <w:spacing w:line="360" w:lineRule="auto"/>
        <w:jc w:val="left"/>
        <w:rPr>
          <w:rFonts w:hint="eastAsia" w:ascii="仿宋" w:hAnsi="仿宋" w:eastAsia="仿宋" w:cs="仿宋"/>
          <w:sz w:val="24"/>
        </w:rPr>
      </w:pPr>
      <w:r>
        <w:rPr>
          <w:rFonts w:hint="eastAsia" w:ascii="仿宋" w:hAnsi="仿宋" w:eastAsia="仿宋" w:cs="仿宋"/>
          <w:sz w:val="24"/>
        </w:rPr>
        <w:t>2.1.1</w:t>
      </w:r>
      <w:r>
        <w:rPr>
          <w:rFonts w:hint="eastAsia" w:ascii="仿宋" w:hAnsi="仿宋" w:eastAsia="仿宋" w:cs="仿宋"/>
          <w:sz w:val="24"/>
        </w:rPr>
        <w:tab/>
      </w:r>
      <w:r>
        <w:rPr>
          <w:rFonts w:hint="eastAsia" w:ascii="仿宋" w:hAnsi="仿宋" w:eastAsia="仿宋" w:cs="仿宋"/>
          <w:sz w:val="24"/>
        </w:rPr>
        <w:t>流量范围：</w:t>
      </w:r>
      <w:r>
        <w:rPr>
          <w:rFonts w:hint="eastAsia" w:ascii="仿宋" w:hAnsi="仿宋" w:eastAsia="仿宋" w:cs="仿宋"/>
          <w:sz w:val="24"/>
          <w:lang w:val="en-US" w:eastAsia="zh-CN"/>
        </w:rPr>
        <w:t>覆盖</w:t>
      </w:r>
      <w:r>
        <w:rPr>
          <w:rFonts w:hint="eastAsia" w:ascii="仿宋" w:hAnsi="仿宋" w:eastAsia="仿宋" w:cs="仿宋"/>
          <w:sz w:val="24"/>
        </w:rPr>
        <w:t>0.0001-2mL/min，0.0001mL/min步进。</w:t>
      </w:r>
    </w:p>
    <w:p w14:paraId="61CE4D7D">
      <w:pPr>
        <w:spacing w:line="360" w:lineRule="auto"/>
        <w:jc w:val="left"/>
        <w:rPr>
          <w:rFonts w:hint="eastAsia" w:ascii="仿宋" w:hAnsi="仿宋" w:eastAsia="仿宋" w:cs="仿宋"/>
          <w:sz w:val="24"/>
        </w:rPr>
      </w:pPr>
      <w:r>
        <w:rPr>
          <w:rFonts w:hint="eastAsia" w:ascii="仿宋" w:hAnsi="仿宋" w:eastAsia="仿宋" w:cs="仿宋"/>
          <w:sz w:val="24"/>
        </w:rPr>
        <w:t>2.1.2</w:t>
      </w:r>
      <w:r>
        <w:rPr>
          <w:rFonts w:hint="eastAsia" w:ascii="仿宋" w:hAnsi="仿宋" w:eastAsia="仿宋" w:cs="仿宋"/>
          <w:sz w:val="24"/>
        </w:rPr>
        <w:tab/>
      </w:r>
      <w:r>
        <w:rPr>
          <w:rFonts w:hint="eastAsia" w:ascii="仿宋" w:hAnsi="仿宋" w:eastAsia="仿宋" w:cs="仿宋"/>
          <w:sz w:val="24"/>
        </w:rPr>
        <w:t>两个独立的超高压泵体单元组成的二元高压系统，非二元一体泵，最高耐压≥9500psi</w:t>
      </w:r>
    </w:p>
    <w:p w14:paraId="36228C95">
      <w:pPr>
        <w:spacing w:line="360" w:lineRule="auto"/>
        <w:jc w:val="left"/>
        <w:rPr>
          <w:rFonts w:hint="eastAsia" w:ascii="仿宋" w:hAnsi="仿宋" w:eastAsia="仿宋" w:cs="仿宋"/>
          <w:sz w:val="24"/>
        </w:rPr>
      </w:pPr>
      <w:r>
        <w:rPr>
          <w:rFonts w:hint="eastAsia" w:ascii="仿宋" w:hAnsi="仿宋" w:eastAsia="仿宋" w:cs="仿宋"/>
          <w:sz w:val="24"/>
        </w:rPr>
        <w:t>2.1.3</w:t>
      </w:r>
      <w:r>
        <w:rPr>
          <w:rFonts w:hint="eastAsia" w:ascii="仿宋" w:hAnsi="仿宋" w:eastAsia="仿宋" w:cs="仿宋"/>
          <w:sz w:val="24"/>
        </w:rPr>
        <w:tab/>
      </w:r>
      <w:r>
        <w:rPr>
          <w:rFonts w:hint="eastAsia" w:ascii="仿宋" w:hAnsi="仿宋" w:eastAsia="仿宋" w:cs="仿宋"/>
          <w:sz w:val="24"/>
        </w:rPr>
        <w:t>流速精度：0.06%</w:t>
      </w:r>
    </w:p>
    <w:p w14:paraId="2DB1C7D7">
      <w:pPr>
        <w:spacing w:line="360" w:lineRule="auto"/>
        <w:jc w:val="left"/>
        <w:rPr>
          <w:rFonts w:hint="eastAsia" w:ascii="仿宋" w:hAnsi="仿宋" w:eastAsia="仿宋" w:cs="仿宋"/>
          <w:sz w:val="24"/>
        </w:rPr>
      </w:pPr>
      <w:r>
        <w:rPr>
          <w:rFonts w:hint="eastAsia" w:ascii="仿宋" w:hAnsi="仿宋" w:eastAsia="仿宋" w:cs="仿宋"/>
          <w:sz w:val="24"/>
        </w:rPr>
        <w:t>2.2</w:t>
      </w:r>
      <w:r>
        <w:rPr>
          <w:rFonts w:hint="eastAsia" w:ascii="仿宋" w:hAnsi="仿宋" w:eastAsia="仿宋" w:cs="仿宋"/>
          <w:sz w:val="24"/>
        </w:rPr>
        <w:tab/>
      </w:r>
      <w:r>
        <w:rPr>
          <w:rFonts w:hint="eastAsia" w:ascii="仿宋" w:hAnsi="仿宋" w:eastAsia="仿宋" w:cs="仿宋"/>
          <w:sz w:val="24"/>
        </w:rPr>
        <w:t xml:space="preserve">在线真空脱气机 </w:t>
      </w:r>
    </w:p>
    <w:p w14:paraId="569B7FFF">
      <w:pPr>
        <w:spacing w:line="360" w:lineRule="auto"/>
        <w:jc w:val="left"/>
        <w:rPr>
          <w:rFonts w:hint="eastAsia" w:ascii="仿宋" w:hAnsi="仿宋" w:eastAsia="仿宋" w:cs="仿宋"/>
          <w:sz w:val="24"/>
        </w:rPr>
      </w:pPr>
      <w:r>
        <w:rPr>
          <w:rFonts w:hint="eastAsia" w:ascii="仿宋" w:hAnsi="仿宋" w:eastAsia="仿宋" w:cs="仿宋"/>
          <w:sz w:val="24"/>
        </w:rPr>
        <w:t>2.3</w:t>
      </w:r>
      <w:r>
        <w:rPr>
          <w:rFonts w:hint="eastAsia" w:ascii="仿宋" w:hAnsi="仿宋" w:eastAsia="仿宋" w:cs="仿宋"/>
          <w:sz w:val="24"/>
        </w:rPr>
        <w:tab/>
      </w:r>
      <w:r>
        <w:rPr>
          <w:rFonts w:hint="eastAsia" w:ascii="仿宋" w:hAnsi="仿宋" w:eastAsia="仿宋" w:cs="仿宋"/>
          <w:sz w:val="24"/>
        </w:rPr>
        <w:t>自动进样器（带制冷）</w:t>
      </w:r>
    </w:p>
    <w:p w14:paraId="18DCE649">
      <w:pPr>
        <w:spacing w:line="360" w:lineRule="auto"/>
        <w:jc w:val="left"/>
        <w:rPr>
          <w:rFonts w:hint="eastAsia" w:ascii="仿宋" w:hAnsi="仿宋" w:eastAsia="仿宋" w:cs="仿宋"/>
          <w:sz w:val="24"/>
        </w:rPr>
      </w:pPr>
      <w:r>
        <w:rPr>
          <w:rFonts w:hint="eastAsia" w:ascii="仿宋" w:hAnsi="仿宋" w:eastAsia="仿宋" w:cs="仿宋"/>
          <w:sz w:val="24"/>
        </w:rPr>
        <w:t>2.3.1</w:t>
      </w:r>
      <w:r>
        <w:rPr>
          <w:rFonts w:hint="eastAsia" w:ascii="仿宋" w:hAnsi="仿宋" w:eastAsia="仿宋" w:cs="仿宋"/>
          <w:sz w:val="24"/>
        </w:rPr>
        <w:tab/>
      </w:r>
      <w:r>
        <w:rPr>
          <w:rFonts w:hint="eastAsia" w:ascii="仿宋" w:hAnsi="仿宋" w:eastAsia="仿宋" w:cs="仿宋"/>
          <w:sz w:val="24"/>
        </w:rPr>
        <w:t>自动进样器最高耐压≥9500psi</w:t>
      </w:r>
    </w:p>
    <w:p w14:paraId="527F1F12">
      <w:pPr>
        <w:spacing w:line="360" w:lineRule="auto"/>
        <w:jc w:val="left"/>
        <w:rPr>
          <w:rFonts w:hint="eastAsia" w:ascii="仿宋" w:hAnsi="仿宋" w:eastAsia="仿宋" w:cs="仿宋"/>
          <w:sz w:val="24"/>
        </w:rPr>
      </w:pPr>
      <w:r>
        <w:rPr>
          <w:rFonts w:hint="eastAsia" w:ascii="仿宋" w:hAnsi="仿宋" w:eastAsia="仿宋" w:cs="仿宋"/>
          <w:sz w:val="24"/>
        </w:rPr>
        <w:t>2.3.2</w:t>
      </w:r>
      <w:r>
        <w:rPr>
          <w:rFonts w:hint="eastAsia" w:ascii="仿宋" w:hAnsi="仿宋" w:eastAsia="仿宋" w:cs="仿宋"/>
          <w:sz w:val="24"/>
        </w:rPr>
        <w:tab/>
      </w:r>
      <w:r>
        <w:rPr>
          <w:rFonts w:hint="eastAsia" w:ascii="仿宋" w:hAnsi="仿宋" w:eastAsia="仿宋" w:cs="仿宋"/>
          <w:sz w:val="24"/>
        </w:rPr>
        <w:t>进样量设定范围：</w:t>
      </w:r>
      <w:r>
        <w:rPr>
          <w:rFonts w:hint="eastAsia" w:ascii="仿宋" w:hAnsi="仿宋" w:eastAsia="仿宋" w:cs="仿宋"/>
          <w:sz w:val="24"/>
          <w:lang w:val="en-US" w:eastAsia="zh-CN"/>
        </w:rPr>
        <w:t>覆盖</w:t>
      </w:r>
      <w:r>
        <w:rPr>
          <w:rFonts w:hint="eastAsia" w:ascii="仿宋" w:hAnsi="仿宋" w:eastAsia="仿宋" w:cs="仿宋"/>
          <w:sz w:val="24"/>
        </w:rPr>
        <w:t>0.1ul-50ul</w:t>
      </w:r>
    </w:p>
    <w:p w14:paraId="57064492">
      <w:pPr>
        <w:spacing w:line="360" w:lineRule="auto"/>
        <w:jc w:val="left"/>
        <w:rPr>
          <w:rFonts w:hint="eastAsia" w:ascii="仿宋" w:hAnsi="仿宋" w:eastAsia="仿宋" w:cs="仿宋"/>
          <w:sz w:val="24"/>
        </w:rPr>
      </w:pPr>
      <w:r>
        <w:rPr>
          <w:rFonts w:hint="eastAsia" w:ascii="仿宋" w:hAnsi="仿宋" w:eastAsia="仿宋" w:cs="仿宋"/>
          <w:sz w:val="24"/>
        </w:rPr>
        <w:t>2.3.3</w:t>
      </w:r>
      <w:r>
        <w:rPr>
          <w:rFonts w:hint="eastAsia" w:ascii="仿宋" w:hAnsi="仿宋" w:eastAsia="仿宋" w:cs="仿宋"/>
          <w:sz w:val="24"/>
        </w:rPr>
        <w:tab/>
      </w:r>
      <w:r>
        <w:rPr>
          <w:rFonts w:hint="eastAsia" w:ascii="仿宋" w:hAnsi="仿宋" w:eastAsia="仿宋" w:cs="仿宋"/>
          <w:sz w:val="24"/>
        </w:rPr>
        <w:t>自动进样器位数≥115位（1.5ml样品瓶），兼容2块以上96孔板</w:t>
      </w:r>
    </w:p>
    <w:p w14:paraId="221D2DFD">
      <w:pPr>
        <w:spacing w:line="360" w:lineRule="auto"/>
        <w:jc w:val="left"/>
        <w:rPr>
          <w:rFonts w:hint="eastAsia" w:ascii="仿宋" w:hAnsi="仿宋" w:eastAsia="仿宋" w:cs="仿宋"/>
          <w:sz w:val="24"/>
        </w:rPr>
      </w:pPr>
      <w:r>
        <w:rPr>
          <w:rFonts w:hint="eastAsia" w:ascii="仿宋" w:hAnsi="仿宋" w:eastAsia="仿宋" w:cs="仿宋"/>
          <w:sz w:val="24"/>
        </w:rPr>
        <w:t>2.3.4</w:t>
      </w:r>
      <w:r>
        <w:rPr>
          <w:rFonts w:hint="eastAsia" w:ascii="仿宋" w:hAnsi="仿宋" w:eastAsia="仿宋" w:cs="仿宋"/>
          <w:sz w:val="24"/>
        </w:rPr>
        <w:tab/>
      </w:r>
      <w:r>
        <w:rPr>
          <w:rFonts w:hint="eastAsia" w:ascii="仿宋" w:hAnsi="仿宋" w:eastAsia="仿宋" w:cs="仿宋"/>
          <w:sz w:val="24"/>
        </w:rPr>
        <w:t>自动进样器样品控温范围：</w:t>
      </w:r>
      <w:r>
        <w:rPr>
          <w:rFonts w:hint="eastAsia" w:ascii="仿宋" w:hAnsi="仿宋" w:eastAsia="仿宋" w:cs="仿宋"/>
          <w:sz w:val="24"/>
          <w:lang w:val="en-US" w:eastAsia="zh-CN"/>
        </w:rPr>
        <w:t>覆盖</w:t>
      </w:r>
      <w:r>
        <w:rPr>
          <w:rFonts w:hint="eastAsia" w:ascii="仿宋" w:hAnsi="仿宋" w:eastAsia="仿宋" w:cs="仿宋"/>
          <w:sz w:val="24"/>
        </w:rPr>
        <w:t>4℃-40℃</w:t>
      </w:r>
    </w:p>
    <w:p w14:paraId="3760CCD5">
      <w:pPr>
        <w:spacing w:line="360" w:lineRule="auto"/>
        <w:jc w:val="left"/>
        <w:rPr>
          <w:rFonts w:hint="eastAsia" w:ascii="仿宋" w:hAnsi="仿宋" w:eastAsia="仿宋" w:cs="仿宋"/>
          <w:sz w:val="24"/>
        </w:rPr>
      </w:pPr>
      <w:r>
        <w:rPr>
          <w:rFonts w:hint="eastAsia" w:ascii="仿宋" w:hAnsi="仿宋" w:eastAsia="仿宋" w:cs="仿宋"/>
          <w:sz w:val="24"/>
        </w:rPr>
        <w:t>2.3.5</w:t>
      </w:r>
      <w:r>
        <w:rPr>
          <w:rFonts w:hint="eastAsia" w:ascii="仿宋" w:hAnsi="仿宋" w:eastAsia="仿宋" w:cs="仿宋"/>
          <w:sz w:val="24"/>
        </w:rPr>
        <w:tab/>
      </w:r>
      <w:r>
        <w:rPr>
          <w:rFonts w:hint="eastAsia" w:ascii="仿宋" w:hAnsi="仿宋" w:eastAsia="仿宋" w:cs="仿宋"/>
          <w:sz w:val="24"/>
        </w:rPr>
        <w:t>自动进样器交叉污染≤0.005%</w:t>
      </w:r>
    </w:p>
    <w:p w14:paraId="44BF8CAA">
      <w:pPr>
        <w:spacing w:line="360" w:lineRule="auto"/>
        <w:jc w:val="left"/>
        <w:rPr>
          <w:rFonts w:hint="eastAsia" w:ascii="仿宋" w:hAnsi="仿宋" w:eastAsia="仿宋" w:cs="仿宋"/>
          <w:sz w:val="24"/>
        </w:rPr>
      </w:pPr>
      <w:r>
        <w:rPr>
          <w:rFonts w:hint="eastAsia" w:ascii="仿宋" w:hAnsi="仿宋" w:eastAsia="仿宋" w:cs="仿宋"/>
          <w:sz w:val="24"/>
        </w:rPr>
        <w:t>2.4</w:t>
      </w:r>
      <w:r>
        <w:rPr>
          <w:rFonts w:hint="eastAsia" w:ascii="仿宋" w:hAnsi="仿宋" w:eastAsia="仿宋" w:cs="仿宋"/>
          <w:sz w:val="24"/>
        </w:rPr>
        <w:tab/>
      </w:r>
      <w:r>
        <w:rPr>
          <w:rFonts w:hint="eastAsia" w:ascii="仿宋" w:hAnsi="仿宋" w:eastAsia="仿宋" w:cs="仿宋"/>
          <w:sz w:val="24"/>
        </w:rPr>
        <w:t>柱温箱</w:t>
      </w:r>
    </w:p>
    <w:p w14:paraId="0348F909">
      <w:pPr>
        <w:spacing w:line="360" w:lineRule="auto"/>
        <w:jc w:val="left"/>
        <w:rPr>
          <w:rFonts w:hint="eastAsia" w:ascii="仿宋" w:hAnsi="仿宋" w:eastAsia="仿宋" w:cs="仿宋"/>
          <w:sz w:val="24"/>
        </w:rPr>
      </w:pPr>
      <w:r>
        <w:rPr>
          <w:rFonts w:hint="eastAsia" w:ascii="仿宋" w:hAnsi="仿宋" w:eastAsia="仿宋" w:cs="仿宋"/>
          <w:sz w:val="24"/>
        </w:rPr>
        <w:t>2.4.1</w:t>
      </w:r>
      <w:r>
        <w:rPr>
          <w:rFonts w:hint="eastAsia" w:ascii="仿宋" w:hAnsi="仿宋" w:eastAsia="仿宋" w:cs="仿宋"/>
          <w:sz w:val="24"/>
        </w:rPr>
        <w:tab/>
      </w:r>
      <w:r>
        <w:rPr>
          <w:rFonts w:hint="eastAsia" w:ascii="仿宋" w:hAnsi="仿宋" w:eastAsia="仿宋" w:cs="仿宋"/>
          <w:sz w:val="24"/>
        </w:rPr>
        <w:t>柱容量：可同时容纳2根150mm色谱柱</w:t>
      </w:r>
    </w:p>
    <w:p w14:paraId="671A210C">
      <w:pPr>
        <w:spacing w:line="360" w:lineRule="auto"/>
        <w:jc w:val="left"/>
        <w:rPr>
          <w:rFonts w:hint="eastAsia" w:ascii="仿宋" w:hAnsi="仿宋" w:eastAsia="仿宋" w:cs="仿宋"/>
          <w:sz w:val="24"/>
        </w:rPr>
      </w:pPr>
      <w:r>
        <w:rPr>
          <w:rFonts w:hint="eastAsia" w:ascii="仿宋" w:hAnsi="仿宋" w:eastAsia="仿宋" w:cs="仿宋"/>
          <w:sz w:val="24"/>
        </w:rPr>
        <w:t>2.4.2</w:t>
      </w:r>
      <w:r>
        <w:rPr>
          <w:rFonts w:hint="eastAsia" w:ascii="仿宋" w:hAnsi="仿宋" w:eastAsia="仿宋" w:cs="仿宋"/>
          <w:sz w:val="24"/>
        </w:rPr>
        <w:tab/>
      </w:r>
      <w:r>
        <w:rPr>
          <w:rFonts w:hint="eastAsia" w:ascii="仿宋" w:hAnsi="仿宋" w:eastAsia="仿宋" w:cs="仿宋"/>
          <w:sz w:val="24"/>
        </w:rPr>
        <w:t>控温范围</w:t>
      </w:r>
      <w:r>
        <w:rPr>
          <w:rFonts w:hint="eastAsia" w:ascii="仿宋" w:hAnsi="仿宋" w:eastAsia="仿宋" w:cs="仿宋"/>
          <w:sz w:val="24"/>
          <w:lang w:eastAsia="zh-CN"/>
        </w:rPr>
        <w:t>：</w:t>
      </w:r>
      <w:r>
        <w:rPr>
          <w:rFonts w:hint="eastAsia" w:ascii="仿宋" w:hAnsi="仿宋" w:eastAsia="仿宋" w:cs="仿宋"/>
          <w:sz w:val="24"/>
          <w:lang w:val="en-US" w:eastAsia="zh-CN"/>
        </w:rPr>
        <w:t>覆盖</w:t>
      </w:r>
      <w:r>
        <w:rPr>
          <w:rFonts w:hint="eastAsia" w:ascii="仿宋" w:hAnsi="仿宋" w:eastAsia="仿宋" w:cs="仿宋"/>
          <w:sz w:val="24"/>
          <w:lang w:eastAsia="zh-CN"/>
        </w:rPr>
        <w:t>（</w:t>
      </w:r>
      <w:r>
        <w:rPr>
          <w:rFonts w:hint="eastAsia" w:ascii="仿宋" w:hAnsi="仿宋" w:eastAsia="仿宋" w:cs="仿宋"/>
          <w:sz w:val="24"/>
        </w:rPr>
        <w:t>室温+5℃</w:t>
      </w:r>
      <w:r>
        <w:rPr>
          <w:rFonts w:hint="eastAsia" w:ascii="仿宋" w:hAnsi="仿宋" w:eastAsia="仿宋" w:cs="仿宋"/>
          <w:sz w:val="24"/>
          <w:lang w:eastAsia="zh-CN"/>
        </w:rPr>
        <w:t>）</w:t>
      </w:r>
      <w:r>
        <w:rPr>
          <w:rFonts w:hint="eastAsia" w:ascii="仿宋" w:hAnsi="仿宋" w:eastAsia="仿宋" w:cs="仿宋"/>
          <w:sz w:val="24"/>
          <w:lang w:val="en-US" w:eastAsia="zh-CN"/>
        </w:rPr>
        <w:t>-</w:t>
      </w:r>
      <w:r>
        <w:rPr>
          <w:rFonts w:hint="eastAsia" w:ascii="仿宋" w:hAnsi="仿宋" w:eastAsia="仿宋" w:cs="仿宋"/>
          <w:sz w:val="24"/>
        </w:rPr>
        <w:t>90℃</w:t>
      </w:r>
    </w:p>
    <w:p w14:paraId="5D4C1FE7">
      <w:pPr>
        <w:spacing w:line="360" w:lineRule="auto"/>
        <w:jc w:val="left"/>
        <w:rPr>
          <w:rFonts w:hint="eastAsia" w:ascii="仿宋" w:hAnsi="仿宋" w:eastAsia="仿宋" w:cs="仿宋"/>
          <w:sz w:val="24"/>
        </w:rPr>
      </w:pPr>
      <w:r>
        <w:rPr>
          <w:rFonts w:hint="eastAsia" w:ascii="仿宋" w:hAnsi="仿宋" w:eastAsia="仿宋" w:cs="仿宋"/>
          <w:sz w:val="24"/>
        </w:rPr>
        <w:t>2.4.3</w:t>
      </w:r>
      <w:r>
        <w:rPr>
          <w:rFonts w:hint="eastAsia" w:ascii="仿宋" w:hAnsi="仿宋" w:eastAsia="仿宋" w:cs="仿宋"/>
          <w:sz w:val="24"/>
        </w:rPr>
        <w:tab/>
      </w:r>
      <w:r>
        <w:rPr>
          <w:rFonts w:hint="eastAsia" w:ascii="仿宋" w:hAnsi="仿宋" w:eastAsia="仿宋" w:cs="仿宋"/>
          <w:sz w:val="24"/>
        </w:rPr>
        <w:t>控温精度：0.05℃</w:t>
      </w:r>
    </w:p>
    <w:p w14:paraId="628D70B4">
      <w:pPr>
        <w:spacing w:line="360" w:lineRule="auto"/>
        <w:jc w:val="left"/>
        <w:rPr>
          <w:rFonts w:hint="eastAsia" w:ascii="仿宋" w:hAnsi="仿宋" w:eastAsia="仿宋" w:cs="仿宋"/>
          <w:b/>
          <w:bCs/>
          <w:sz w:val="24"/>
          <w:lang w:eastAsia="zh-CN"/>
        </w:rPr>
      </w:pPr>
      <w:r>
        <w:rPr>
          <w:rFonts w:hint="eastAsia" w:ascii="仿宋" w:hAnsi="仿宋" w:eastAsia="仿宋" w:cs="仿宋"/>
          <w:b/>
          <w:bCs/>
          <w:sz w:val="24"/>
          <w:lang w:eastAsia="zh-CN"/>
        </w:rPr>
        <w:t>★</w:t>
      </w:r>
      <w:r>
        <w:rPr>
          <w:rFonts w:hint="eastAsia" w:ascii="仿宋" w:hAnsi="仿宋" w:eastAsia="仿宋" w:cs="仿宋"/>
          <w:b/>
          <w:bCs/>
          <w:sz w:val="24"/>
        </w:rPr>
        <w:t>3</w:t>
      </w:r>
      <w:r>
        <w:rPr>
          <w:rFonts w:hint="eastAsia" w:ascii="仿宋" w:hAnsi="仿宋" w:eastAsia="仿宋" w:cs="仿宋"/>
          <w:b/>
          <w:bCs/>
          <w:sz w:val="24"/>
        </w:rPr>
        <w:tab/>
      </w:r>
      <w:r>
        <w:rPr>
          <w:rFonts w:hint="eastAsia" w:ascii="仿宋" w:hAnsi="仿宋" w:eastAsia="仿宋" w:cs="仿宋"/>
          <w:b/>
          <w:bCs/>
          <w:sz w:val="24"/>
          <w:lang w:val="en-US" w:eastAsia="zh-CN"/>
        </w:rPr>
        <w:t>所投</w:t>
      </w:r>
      <w:r>
        <w:rPr>
          <w:rFonts w:hint="eastAsia" w:ascii="仿宋" w:hAnsi="仿宋" w:eastAsia="仿宋" w:cs="仿宋"/>
          <w:b/>
          <w:bCs/>
          <w:sz w:val="24"/>
          <w:lang w:eastAsia="zh-CN"/>
        </w:rPr>
        <w:t>液相色谱串联三重四极杆质谱仪</w:t>
      </w:r>
      <w:r>
        <w:rPr>
          <w:rFonts w:hint="eastAsia" w:ascii="仿宋" w:hAnsi="仿宋" w:eastAsia="仿宋" w:cs="仿宋"/>
          <w:b/>
          <w:bCs/>
          <w:sz w:val="24"/>
        </w:rPr>
        <w:t>具有国家药品监督管理局颁发的医疗器械注册证</w:t>
      </w:r>
      <w:r>
        <w:rPr>
          <w:rFonts w:hint="eastAsia" w:ascii="仿宋" w:hAnsi="仿宋" w:eastAsia="仿宋" w:cs="仿宋"/>
          <w:b/>
          <w:bCs/>
          <w:sz w:val="24"/>
          <w:lang w:eastAsia="zh-CN"/>
        </w:rPr>
        <w:t>。</w:t>
      </w:r>
    </w:p>
    <w:p w14:paraId="1527E3E4">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rPr>
        <w:t>四</w:t>
      </w:r>
      <w:r>
        <w:rPr>
          <w:rFonts w:hint="eastAsia" w:ascii="仿宋" w:hAnsi="仿宋" w:eastAsia="仿宋" w:cs="仿宋"/>
          <w:b w:val="0"/>
          <w:bCs w:val="0"/>
          <w:sz w:val="24"/>
        </w:rPr>
        <w:tab/>
      </w:r>
      <w:r>
        <w:rPr>
          <w:rFonts w:hint="eastAsia" w:ascii="仿宋" w:hAnsi="仿宋" w:eastAsia="仿宋" w:cs="仿宋"/>
          <w:b w:val="0"/>
          <w:bCs w:val="0"/>
          <w:sz w:val="24"/>
          <w:lang w:val="en-US" w:eastAsia="zh-CN"/>
        </w:rPr>
        <w:t>其他要求</w:t>
      </w:r>
    </w:p>
    <w:p w14:paraId="4AC0C125">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lang w:val="en-US" w:eastAsia="zh-CN"/>
        </w:rPr>
        <w:t>1</w:t>
      </w:r>
      <w:r>
        <w:rPr>
          <w:rFonts w:hint="eastAsia" w:ascii="仿宋" w:hAnsi="仿宋" w:eastAsia="仿宋" w:cs="仿宋"/>
          <w:b w:val="0"/>
          <w:bCs w:val="0"/>
          <w:sz w:val="24"/>
        </w:rPr>
        <w:tab/>
      </w:r>
      <w:r>
        <w:rPr>
          <w:rFonts w:hint="eastAsia" w:ascii="仿宋" w:hAnsi="仿宋" w:eastAsia="仿宋" w:cs="仿宋"/>
          <w:b w:val="0"/>
          <w:bCs w:val="0"/>
          <w:sz w:val="24"/>
        </w:rPr>
        <w:t>提供用户操作手册、维修手册和操作规程，根据医院需求提供操作培训。</w:t>
      </w:r>
    </w:p>
    <w:p w14:paraId="4600BCB3">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lang w:val="en-US" w:eastAsia="zh-CN"/>
        </w:rPr>
        <w:t>2</w:t>
      </w:r>
      <w:r>
        <w:rPr>
          <w:rFonts w:hint="eastAsia" w:ascii="仿宋" w:hAnsi="仿宋" w:eastAsia="仿宋" w:cs="仿宋"/>
          <w:b w:val="0"/>
          <w:bCs w:val="0"/>
          <w:sz w:val="24"/>
        </w:rPr>
        <w:tab/>
      </w:r>
      <w:bookmarkStart w:id="4" w:name="OLE_LINK2"/>
      <w:r>
        <w:rPr>
          <w:rFonts w:hint="eastAsia" w:ascii="仿宋" w:hAnsi="仿宋" w:eastAsia="仿宋" w:cs="仿宋"/>
          <w:b w:val="0"/>
          <w:bCs w:val="0"/>
          <w:sz w:val="24"/>
        </w:rPr>
        <w:t>原厂保修期≥5年，</w:t>
      </w:r>
      <w:bookmarkEnd w:id="4"/>
      <w:r>
        <w:rPr>
          <w:rFonts w:hint="eastAsia" w:ascii="仿宋" w:hAnsi="仿宋" w:eastAsia="仿宋" w:cs="仿宋"/>
          <w:b w:val="0"/>
          <w:bCs w:val="0"/>
          <w:sz w:val="24"/>
        </w:rPr>
        <w:t>设备全生命周期内提供零配件及维修服务。</w:t>
      </w:r>
    </w:p>
    <w:p w14:paraId="748791E3">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lang w:val="en-US" w:eastAsia="zh-CN"/>
        </w:rPr>
        <w:t>3</w:t>
      </w:r>
      <w:r>
        <w:rPr>
          <w:rFonts w:hint="eastAsia" w:ascii="仿宋" w:hAnsi="仿宋" w:eastAsia="仿宋" w:cs="仿宋"/>
          <w:b w:val="0"/>
          <w:bCs w:val="0"/>
          <w:sz w:val="24"/>
        </w:rPr>
        <w:tab/>
      </w:r>
      <w:r>
        <w:rPr>
          <w:rFonts w:hint="eastAsia" w:ascii="仿宋" w:hAnsi="仿宋" w:eastAsia="仿宋" w:cs="仿宋"/>
          <w:b w:val="0"/>
          <w:bCs w:val="0"/>
          <w:sz w:val="24"/>
        </w:rPr>
        <w:t>维修12小时内响应，维修响应时间＜12小时，如有需要48小时内派维修人员到达用户现场维修；在保修期内，所有维修服务及配件全部免费</w:t>
      </w:r>
    </w:p>
    <w:p w14:paraId="0CDBE599">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lang w:val="en-US" w:eastAsia="zh-CN"/>
        </w:rPr>
        <w:t>4</w:t>
      </w:r>
      <w:r>
        <w:rPr>
          <w:rFonts w:hint="eastAsia" w:ascii="仿宋" w:hAnsi="仿宋" w:eastAsia="仿宋" w:cs="仿宋"/>
          <w:b w:val="0"/>
          <w:bCs w:val="0"/>
          <w:sz w:val="24"/>
        </w:rPr>
        <w:tab/>
      </w:r>
      <w:r>
        <w:rPr>
          <w:rFonts w:hint="eastAsia" w:ascii="仿宋" w:hAnsi="仿宋" w:eastAsia="仿宋" w:cs="仿宋"/>
          <w:b w:val="0"/>
          <w:bCs w:val="0"/>
          <w:sz w:val="24"/>
        </w:rPr>
        <w:t>应用技术培训：按照用户要求派专业的应用工程师进行现场应用技术培训，培训时间不少于3天，培训包括仪器的基本原理、操作、日常维护及基础分析仪器理论和上机操作等内容，也可以按照用户实际做样要求协助建立和开发方法。后续可应用户要求提供终身免费的上门培训和应用技术支持服务。</w:t>
      </w:r>
    </w:p>
    <w:p w14:paraId="16D8CD24">
      <w:pPr>
        <w:spacing w:line="360" w:lineRule="auto"/>
        <w:jc w:val="left"/>
        <w:rPr>
          <w:rFonts w:hint="eastAsia" w:ascii="仿宋" w:hAnsi="仿宋" w:eastAsia="仿宋" w:cs="仿宋"/>
          <w:b w:val="0"/>
          <w:bCs w:val="0"/>
          <w:sz w:val="24"/>
        </w:rPr>
      </w:pPr>
      <w:r>
        <w:rPr>
          <w:rFonts w:hint="eastAsia" w:ascii="仿宋" w:hAnsi="仿宋" w:eastAsia="仿宋" w:cs="仿宋"/>
          <w:b w:val="0"/>
          <w:bCs w:val="0"/>
          <w:sz w:val="24"/>
          <w:lang w:val="en-US" w:eastAsia="zh-CN"/>
        </w:rPr>
        <w:t>5</w:t>
      </w:r>
      <w:r>
        <w:rPr>
          <w:rFonts w:hint="eastAsia" w:ascii="仿宋" w:hAnsi="仿宋" w:eastAsia="仿宋" w:cs="仿宋"/>
          <w:b w:val="0"/>
          <w:bCs w:val="0"/>
          <w:sz w:val="24"/>
        </w:rPr>
        <w:t xml:space="preserve"> 质保期内</w:t>
      </w:r>
      <w:r>
        <w:rPr>
          <w:rFonts w:hint="eastAsia" w:ascii="仿宋" w:hAnsi="仿宋" w:eastAsia="仿宋" w:cs="仿宋"/>
          <w:b w:val="0"/>
          <w:bCs w:val="0"/>
          <w:sz w:val="24"/>
          <w:lang w:val="en-US" w:eastAsia="zh-CN"/>
        </w:rPr>
        <w:t>须</w:t>
      </w:r>
      <w:r>
        <w:rPr>
          <w:rFonts w:hint="eastAsia" w:ascii="仿宋" w:hAnsi="仿宋" w:eastAsia="仿宋" w:cs="仿宋"/>
          <w:b w:val="0"/>
          <w:bCs w:val="0"/>
          <w:sz w:val="24"/>
        </w:rPr>
        <w:t>更换原厂四极杆备用和原厂质谱检测器</w:t>
      </w:r>
      <w:r>
        <w:rPr>
          <w:rFonts w:hint="eastAsia" w:ascii="仿宋" w:hAnsi="仿宋" w:eastAsia="仿宋" w:cs="仿宋"/>
          <w:b w:val="0"/>
          <w:bCs w:val="0"/>
          <w:sz w:val="24"/>
          <w:lang w:val="en-US" w:eastAsia="zh-CN"/>
        </w:rPr>
        <w:t>至少一套(此费用包含在投标总报价中)</w:t>
      </w:r>
      <w:r>
        <w:rPr>
          <w:rFonts w:hint="eastAsia" w:ascii="仿宋" w:hAnsi="仿宋" w:eastAsia="仿宋" w:cs="仿宋"/>
          <w:b w:val="0"/>
          <w:bCs w:val="0"/>
          <w:sz w:val="24"/>
        </w:rPr>
        <w:t>。</w:t>
      </w:r>
    </w:p>
    <w:p w14:paraId="6C6CB165">
      <w:pPr>
        <w:spacing w:line="360" w:lineRule="auto"/>
        <w:jc w:val="left"/>
        <w:rPr>
          <w:rFonts w:hint="eastAsia" w:ascii="仿宋" w:hAnsi="仿宋" w:eastAsia="仿宋" w:cs="仿宋"/>
          <w:b/>
          <w:bCs/>
          <w:sz w:val="24"/>
          <w:lang w:bidi="ar"/>
        </w:rPr>
      </w:pPr>
      <w:r>
        <w:rPr>
          <w:rFonts w:hint="eastAsia" w:ascii="仿宋" w:hAnsi="仿宋" w:eastAsia="仿宋" w:cs="仿宋"/>
          <w:b/>
          <w:bCs/>
          <w:color w:val="000000"/>
          <w:kern w:val="0"/>
          <w:sz w:val="24"/>
          <w:lang w:val="en-US" w:eastAsia="zh-CN" w:bidi="ar"/>
        </w:rPr>
        <w:t>4.</w:t>
      </w:r>
      <w:r>
        <w:rPr>
          <w:rFonts w:hint="eastAsia" w:ascii="仿宋" w:hAnsi="仿宋" w:eastAsia="仿宋" w:cs="仿宋"/>
          <w:b/>
          <w:bCs/>
          <w:sz w:val="24"/>
        </w:rPr>
        <w:t>其他配套要求：</w:t>
      </w:r>
    </w:p>
    <w:p w14:paraId="63DBC97A">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（一）应急服务要求</w:t>
      </w:r>
    </w:p>
    <w:p w14:paraId="56A1F81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1.备品备件：中标人提供能够满足质量保证期内的设备维修要求的备品备件，备品备件应是新品。中标人应保证10年以上零部件供应期，并对设备故障等突发状况及时响应。</w:t>
      </w:r>
    </w:p>
    <w:p w14:paraId="5278122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2.专用工具：中标人提供设备安装、调试、验收、维修、保养所必要的专用工具、仪器、仪表等工具。</w:t>
      </w:r>
    </w:p>
    <w:p w14:paraId="3606B387">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 接到报修后应及时响应，若未及时修复设备故障，应提供备用设备供院方使用。</w:t>
      </w:r>
    </w:p>
    <w:p w14:paraId="476252BA">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（二）安装调试、验收试验及质量保证</w:t>
      </w:r>
    </w:p>
    <w:p w14:paraId="2A423A7F">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1.中标人在设备安装地点负责安装、调试。</w:t>
      </w:r>
    </w:p>
    <w:p w14:paraId="454C34B4">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2.具体设备验收标准和程序按采购人要求执行，下列验收程序可参照执行：</w:t>
      </w:r>
    </w:p>
    <w:p w14:paraId="13CC699F">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2.1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涉及需要由质检或行业主管部门验收的项目，采购人须约请相关部门和专家参加项目验收。所有需要质检部门进行检测才能使用的设备，投标报价中必须包含首次检测费用；</w:t>
      </w:r>
    </w:p>
    <w:p w14:paraId="6B50D40D">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25D5049D">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2.3中标人应根据采购人使用单位的技术要求提供相应的产品。由中标人所提供的设备部件间的连线和插接件均应视为设备内部器件，包含在相应的设备之中；</w:t>
      </w:r>
    </w:p>
    <w:p w14:paraId="722B21F8">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2.4运行测试及最终验收。在系统安装、调试结束后，采购人对其进行全面的测试，对测试中暴露出来的问题，中标人应及时进行整改，系统最终测试完毕经验收合格后，采购人应向中标人签发最终验收证明；</w:t>
      </w:r>
    </w:p>
    <w:p w14:paraId="008A2312">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2.5中标人应向采购人提供安装调试过程中的各种文档资料,以便采购人今后能掌握操作和维护方法。依据合同与合同有关条件、本招标文件的技术规范、系统配置要求、设备技术文件和系统说明书，以及国家和省部级等要求进行验收，验收分为预验收和竣工验收。</w:t>
      </w:r>
    </w:p>
    <w:p w14:paraId="29EB4FD2">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2.6如设备在验收时有一个或多个指标未能达到要求而属于中标人责任时，则中标人自费采取有效措施，在规定时间内使之达到保证指标。如在规定的时间内仍达不到合格标准时，则中标人应向采购人赔偿。</w:t>
      </w:r>
    </w:p>
    <w:p w14:paraId="4FC79426">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（三）包装运输</w:t>
      </w:r>
    </w:p>
    <w:p w14:paraId="3C6B67E6">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1.中标人负责设备包装、办理运输和保险，将设备安全运抵交货地点。</w:t>
      </w:r>
    </w:p>
    <w:p w14:paraId="5AF06B29">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2.设备制造完成并通过试验后应及时包装，否则应得到切实的保护，确保其不受污损。</w:t>
      </w:r>
    </w:p>
    <w:p w14:paraId="0650E739">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3.在包装箱外应标明采购人的订货号、发货号。</w:t>
      </w:r>
    </w:p>
    <w:p w14:paraId="7A728C0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4.各种包装应能确保各零部件在运输过程中不致遭到损坏、丢失、变形、受潮和腐蚀。</w:t>
      </w:r>
    </w:p>
    <w:p w14:paraId="66FB1BB8">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5.包装箱上应有明显的包装储运图示标志。</w:t>
      </w:r>
    </w:p>
    <w:p w14:paraId="67EFBAC6">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6.整体产品或分别运输的部件都要适应运输和装载的要求。</w:t>
      </w:r>
    </w:p>
    <w:p w14:paraId="31BCB027">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7.随产品提供的技术资料应完整无缺。</w:t>
      </w:r>
    </w:p>
    <w:p w14:paraId="61695159">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（四）培训要求</w:t>
      </w:r>
    </w:p>
    <w:p w14:paraId="0E141D82">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技术人员厂方培训：维修维护不少于1人，设备培训时间不低于3天，有详细的技术培训方案和完整规范的培训资料，培训结束获得厂方授权或资质许可，交通、食宿、资料、工具材料等所有与培训相关的费用包含在投标报价中。设备使用培训：不少于2人，直至完全掌握设备应用技术，并获厂方资质许可；交通、食宿、资料、工具材料等所有与培训相关的费用包含在投标报价中。</w:t>
      </w:r>
    </w:p>
    <w:p w14:paraId="13E1D263">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2.设备使用培训：不少于2人，直至完全掌握设备应用技术，并获厂方资质许可；交通、食宿、资料、工具材料等所有与培训相关的费用包含在投标报价中。</w:t>
      </w:r>
    </w:p>
    <w:p w14:paraId="171FE79E">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（五）质保及售后服务</w:t>
      </w:r>
    </w:p>
    <w:p w14:paraId="313BE18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1.自双方签订《验收报告》起进入免费质保期。</w:t>
      </w:r>
    </w:p>
    <w:p w14:paraId="01A91CF9">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在质保期间内，非采购人过失和故意并且在正常使用的情况下发现商品有缺陷，中标人将免费修理或替换该设备；在质保期间内，非采购人过失和故意并且在正常使用的情况下设备发生故障，中标人应及时提供免费服务。</w:t>
      </w:r>
    </w:p>
    <w:p w14:paraId="020E91A6">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（六）其他</w:t>
      </w:r>
    </w:p>
    <w:p w14:paraId="392F999D">
      <w:r>
        <w:rPr>
          <w:rFonts w:hint="eastAsia" w:ascii="仿宋" w:hAnsi="仿宋" w:eastAsia="仿宋" w:cs="仿宋"/>
          <w:color w:val="000000"/>
          <w:kern w:val="0"/>
          <w:sz w:val="24"/>
          <w:lang w:bidi="ar"/>
        </w:rPr>
        <w:t>1.投标人所投产品应为性能稳定、安全的成熟设备，故障率低、维修便利，并在投标文件中针对所投产品技术先进性、设备性能、配置情况、设计等方面进行阐述说明，提供相应证明材料。</w:t>
      </w:r>
      <w:r>
        <w:rPr>
          <w:rFonts w:hint="eastAsia" w:ascii="宋体" w:hAnsi="宋体"/>
          <w:color w:val="000000"/>
        </w:rPr>
        <w:br w:type="page"/>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5BEF23"/>
    <w:multiLevelType w:val="singleLevel"/>
    <w:tmpl w:val="275BEF2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4F5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9"/>
    <w:pPr>
      <w:keepNext/>
      <w:keepLines/>
      <w:spacing w:before="260" w:beforeLines="0" w:after="260" w:afterLines="0" w:line="416" w:lineRule="auto"/>
      <w:outlineLvl w:val="1"/>
    </w:pPr>
    <w:rPr>
      <w:rFonts w:ascii="Cambria" w:hAnsi="Cambria"/>
      <w:b/>
      <w:bCs/>
      <w:sz w:val="32"/>
      <w:szCs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widowControl/>
      <w:spacing w:before="100" w:beforeLines="0" w:beforeAutospacing="1" w:after="100" w:afterLines="0" w:afterAutospacing="1"/>
      <w:jc w:val="left"/>
    </w:pPr>
    <w:rPr>
      <w:rFonts w:ascii="宋体" w:hAnsi="宋体"/>
      <w:color w:val="000000"/>
      <w:kern w:val="0"/>
      <w:sz w:val="24"/>
    </w:rPr>
  </w:style>
  <w:style w:type="character" w:customStyle="1" w:styleId="7">
    <w:name w:val="标题 2 Char Char"/>
    <w:uiPriority w:val="0"/>
    <w:rPr>
      <w:rFonts w:ascii="Arial" w:hAnsi="Arial" w:eastAsia="黑体" w:cs="Times New Roman"/>
      <w:b/>
      <w:bCs/>
      <w:kern w:val="2"/>
      <w:sz w:val="32"/>
      <w:szCs w:val="32"/>
      <w:lang w:val="en-US" w:eastAsia="zh-CN" w:bidi="ar-SA"/>
    </w:rPr>
  </w:style>
  <w:style w:type="paragraph" w:customStyle="1" w:styleId="8">
    <w:name w:val="列出段落1"/>
    <w:basedOn w:val="1"/>
    <w:qFormat/>
    <w:uiPriority w:val="0"/>
    <w:pPr>
      <w:ind w:firstLine="420" w:firstLineChars="200"/>
    </w:pPr>
  </w:style>
  <w:style w:type="paragraph" w:customStyle="1" w:styleId="9">
    <w:name w:val="p0"/>
    <w:basedOn w:val="1"/>
    <w:uiPriority w:val="0"/>
    <w:pPr>
      <w:widowControl/>
    </w:pPr>
    <w:rPr>
      <w:kern w:val="0"/>
      <w:szCs w:val="21"/>
    </w:rPr>
  </w:style>
  <w:style w:type="paragraph" w:customStyle="1" w:styleId="10">
    <w:name w:val="无间隔1"/>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2026-09-17T04:06:30Z</dcterms:created>
  <dc:creator>admin</dc:creator>
  <cp:lastModifiedBy>豆奶是个小胖子</cp:lastModifiedBy>
  <dcterms:modified xsi:type="dcterms:W3CDTF">2026-09-17T04:06:48Z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eyJoZGlkIjoiNmExMjc1NzQ3NWFiZTgzMjNiYTYxNmEzOTMwZTVjYjAiLCJ1c2VySWQiOiIzMDI3OTc1ODcifQ==</vt:lpwstr>
  </property>
  <property fmtid="{D5CDD505-2E9C-101B-9397-08002B2CF9AE}" pid="4" name="ICV">
    <vt:lpwstr>44F35BCBA49D41C9A8DAC6E295B1219E_12</vt:lpwstr>
  </property>
</Properties>
</file>