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79D24">
      <w:pPr>
        <w:pStyle w:val="2"/>
        <w:widowControl/>
        <w:snapToGrid w:val="0"/>
        <w:spacing w:before="0" w:after="0" w:line="360" w:lineRule="auto"/>
        <w:jc w:val="center"/>
        <w:rPr>
          <w:rFonts w:hint="eastAsia" w:ascii="宋体" w:hAnsi="宋体"/>
          <w:color w:val="000000"/>
        </w:rPr>
      </w:pPr>
      <w:bookmarkStart w:id="0" w:name="_Toc32019"/>
      <w:r>
        <w:rPr>
          <w:rFonts w:hint="eastAsia" w:ascii="宋体" w:hAnsi="宋体"/>
          <w:color w:val="000000"/>
        </w:rPr>
        <w:t>第三章  采购需求</w:t>
      </w:r>
      <w:bookmarkEnd w:id="0"/>
    </w:p>
    <w:p w14:paraId="7AAE117F">
      <w:pPr>
        <w:spacing w:line="360" w:lineRule="auto"/>
        <w:rPr>
          <w:rFonts w:ascii="宋体" w:hAnsi="宋体" w:eastAsia="宋体"/>
          <w:b/>
          <w:color w:val="auto"/>
          <w:sz w:val="24"/>
          <w:highlight w:val="none"/>
        </w:rPr>
      </w:pPr>
      <w:bookmarkStart w:id="1" w:name="_Toc466024556"/>
      <w:bookmarkStart w:id="2" w:name="_Toc455587089"/>
      <w:bookmarkStart w:id="3" w:name="_Toc455587273"/>
      <w:r>
        <w:rPr>
          <w:rFonts w:hint="eastAsia" w:ascii="宋体" w:hAnsi="宋体" w:eastAsia="宋体"/>
          <w:b/>
          <w:color w:val="auto"/>
          <w:sz w:val="24"/>
          <w:highlight w:val="none"/>
        </w:rPr>
        <w:t>前注：</w:t>
      </w:r>
    </w:p>
    <w:p w14:paraId="632D1562">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6F839799">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sz w:val="24"/>
          <w:szCs w:val="24"/>
          <w:highlight w:val="none"/>
        </w:rPr>
        <w:t>政府采购政策（包括但不限于下列具体政策要求</w:t>
      </w:r>
      <w:r>
        <w:rPr>
          <w:rFonts w:hint="eastAsia" w:ascii="宋体" w:hAnsi="宋体" w:eastAsia="宋体" w:cs="宋体"/>
          <w:sz w:val="24"/>
          <w:szCs w:val="24"/>
          <w:highlight w:val="none"/>
          <w:lang w:eastAsia="zh-CN"/>
        </w:rPr>
        <w:t>）</w:t>
      </w:r>
      <w:r>
        <w:rPr>
          <w:rFonts w:hint="eastAsia" w:ascii="宋体" w:hAnsi="宋体" w:eastAsia="宋体"/>
          <w:color w:val="auto"/>
          <w:sz w:val="24"/>
          <w:szCs w:val="18"/>
          <w:highlight w:val="none"/>
        </w:rPr>
        <w:t>：</w:t>
      </w:r>
    </w:p>
    <w:p w14:paraId="06B2C79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0B2FBF2D">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AFC3792">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6457EA2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采购需求</w:t>
      </w:r>
      <w:r>
        <w:rPr>
          <w:rFonts w:hint="eastAsia" w:ascii="宋体" w:hAnsi="宋体" w:eastAsia="宋体" w:cs="宋体"/>
          <w:color w:val="auto"/>
          <w:sz w:val="24"/>
          <w:szCs w:val="24"/>
          <w:highlight w:val="none"/>
        </w:rPr>
        <w:t>所提出的要求是对本次招标货物的基本技术要求，并未涉及所有技术细节，也未充分引述有关标准、规范的全部条款。投标人应保证其提供的货物除了满足本技术规格的要求外，还应符合中国国家、行业、地方或设备制造商所在国的有关标准、规范（尤其是必须符合中国国家标准的有关强制性规定)。</w:t>
      </w:r>
    </w:p>
    <w:bookmarkEnd w:id="1"/>
    <w:bookmarkEnd w:id="2"/>
    <w:bookmarkEnd w:id="3"/>
    <w:p w14:paraId="07ADE368">
      <w:pPr>
        <w:widowControl/>
        <w:tabs>
          <w:tab w:val="left" w:pos="1406"/>
        </w:tabs>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cr/>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6.</w:t>
      </w:r>
      <w:r>
        <w:rPr>
          <w:rFonts w:hint="eastAsia" w:ascii="宋体" w:hAnsi="宋体" w:eastAsia="宋体" w:cs="宋体"/>
          <w:color w:val="auto"/>
          <w:sz w:val="24"/>
          <w:szCs w:val="24"/>
          <w:highlight w:val="none"/>
        </w:rPr>
        <w:t>投标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应当在投标文件中列出完成本项目所需的所有各项服务等明细表及全部费用。中标供应商必须确保整体通过采购人及有关主管部门验收；投标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应自行踏勘项目现场，如投标供应商因未及时踏勘现场而导致的报价缺项漏项废标或中标后无法完工，投标</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自行承担一切后果</w:t>
      </w:r>
      <w:r>
        <w:rPr>
          <w:rFonts w:hint="eastAsia" w:ascii="宋体" w:hAnsi="宋体" w:eastAsia="宋体" w:cs="宋体"/>
          <w:color w:val="auto"/>
          <w:sz w:val="24"/>
          <w:szCs w:val="24"/>
          <w:highlight w:val="none"/>
          <w:lang w:eastAsia="zh-CN"/>
        </w:rPr>
        <w:t>。</w:t>
      </w:r>
    </w:p>
    <w:p w14:paraId="6D58679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除非有特别说明，本章中所列的具体参数或参数范围，均理解为采购人可接受的最低要求。</w:t>
      </w:r>
    </w:p>
    <w:p w14:paraId="627D4EC4">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标注“▲”的产品为主要标的（包括核心产品），核心产品的名称、品牌、规格型号、数量、单价等将予以公布。</w:t>
      </w:r>
    </w:p>
    <w:p w14:paraId="07E07AFA">
      <w:pPr>
        <w:widowControl/>
        <w:tabs>
          <w:tab w:val="left" w:pos="1406"/>
        </w:tabs>
        <w:snapToGrid w:val="0"/>
        <w:spacing w:line="360" w:lineRule="auto"/>
        <w:rPr>
          <w:rFonts w:hint="eastAsia" w:ascii="仿宋" w:hAnsi="仿宋" w:eastAsia="仿宋" w:cs="仿宋"/>
          <w:color w:val="000000"/>
          <w:sz w:val="24"/>
        </w:rPr>
      </w:pPr>
    </w:p>
    <w:p w14:paraId="08B7D275">
      <w:pPr>
        <w:spacing w:line="360" w:lineRule="auto"/>
        <w:ind w:firstLine="437"/>
        <w:outlineLvl w:val="1"/>
        <w:rPr>
          <w:rFonts w:hint="eastAsia" w:ascii="宋体" w:hAnsi="宋体" w:eastAsia="宋体"/>
          <w:b/>
          <w:color w:val="auto"/>
          <w:sz w:val="24"/>
          <w:szCs w:val="18"/>
          <w:highlight w:val="none"/>
          <w:lang w:eastAsia="zh-CN"/>
        </w:rPr>
      </w:pPr>
      <w:bookmarkStart w:id="4" w:name="_Toc32151"/>
      <w:bookmarkStart w:id="5" w:name="_Toc2554"/>
      <w:bookmarkStart w:id="6" w:name="_Toc7949"/>
      <w:r>
        <w:rPr>
          <w:rFonts w:hint="eastAsia" w:ascii="宋体" w:hAnsi="宋体" w:eastAsia="宋体"/>
          <w:b/>
          <w:color w:val="auto"/>
          <w:sz w:val="24"/>
          <w:szCs w:val="18"/>
          <w:highlight w:val="none"/>
        </w:rPr>
        <w:t>一、采购需求前附表</w:t>
      </w:r>
      <w:bookmarkEnd w:id="4"/>
      <w:bookmarkEnd w:id="5"/>
      <w:r>
        <w:rPr>
          <w:rFonts w:hint="eastAsia" w:ascii="宋体" w:hAnsi="宋体" w:eastAsia="宋体"/>
          <w:b/>
          <w:color w:val="auto"/>
          <w:sz w:val="24"/>
          <w:szCs w:val="18"/>
          <w:highlight w:val="none"/>
          <w:lang w:eastAsia="zh-CN"/>
        </w:rPr>
        <w:t>（</w:t>
      </w:r>
      <w:r>
        <w:rPr>
          <w:rFonts w:hint="eastAsia" w:ascii="宋体" w:hAnsi="宋体" w:eastAsia="宋体"/>
          <w:b/>
          <w:color w:val="auto"/>
          <w:sz w:val="24"/>
          <w:szCs w:val="18"/>
          <w:highlight w:val="none"/>
          <w:lang w:val="en-US" w:eastAsia="zh-CN"/>
        </w:rPr>
        <w:t>商务条款</w:t>
      </w:r>
      <w:r>
        <w:rPr>
          <w:rFonts w:hint="eastAsia" w:ascii="宋体" w:hAnsi="宋体" w:eastAsia="宋体"/>
          <w:b/>
          <w:color w:val="auto"/>
          <w:sz w:val="24"/>
          <w:szCs w:val="18"/>
          <w:highlight w:val="none"/>
          <w:lang w:eastAsia="zh-CN"/>
        </w:rPr>
        <w:t>）</w:t>
      </w:r>
      <w:bookmarkEnd w:id="6"/>
    </w:p>
    <w:p w14:paraId="684130DD">
      <w:pPr>
        <w:ind w:firstLine="482" w:firstLineChars="200"/>
        <w:rPr>
          <w:rFonts w:hint="eastAsia" w:ascii="宋体" w:hAnsi="宋体" w:eastAsia="宋体" w:cs="宋体"/>
          <w:b/>
          <w:bCs/>
          <w:sz w:val="24"/>
          <w:szCs w:val="32"/>
          <w:highlight w:val="none"/>
          <w:lang w:eastAsia="zh-CN"/>
        </w:rPr>
      </w:pPr>
      <w:r>
        <w:rPr>
          <w:rFonts w:hint="eastAsia" w:ascii="宋体" w:hAnsi="宋体" w:eastAsia="宋体" w:cs="宋体"/>
          <w:b/>
          <w:bCs/>
          <w:sz w:val="24"/>
          <w:szCs w:val="32"/>
          <w:highlight w:val="none"/>
        </w:rPr>
        <w:t>除非有特别说明，本条为实质性要求</w:t>
      </w:r>
      <w:r>
        <w:rPr>
          <w:rFonts w:hint="eastAsia" w:ascii="宋体" w:hAnsi="宋体" w:eastAsia="宋体" w:cs="宋体"/>
          <w:b/>
          <w:bCs/>
          <w:sz w:val="24"/>
          <w:szCs w:val="32"/>
          <w:highlight w:val="none"/>
          <w:lang w:eastAsia="zh-CN"/>
        </w:rPr>
        <w:t>：</w:t>
      </w:r>
    </w:p>
    <w:tbl>
      <w:tblPr>
        <w:tblStyle w:val="6"/>
        <w:tblW w:w="10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232"/>
        <w:gridCol w:w="8019"/>
      </w:tblGrid>
      <w:tr w14:paraId="67CC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61" w:type="dxa"/>
            <w:noWrap w:val="0"/>
            <w:vAlign w:val="center"/>
          </w:tcPr>
          <w:p w14:paraId="1B322BAB">
            <w:pPr>
              <w:wordWrap w:val="0"/>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序号</w:t>
            </w:r>
          </w:p>
        </w:tc>
        <w:tc>
          <w:tcPr>
            <w:tcW w:w="9251" w:type="dxa"/>
            <w:gridSpan w:val="2"/>
            <w:noWrap w:val="0"/>
            <w:vAlign w:val="center"/>
          </w:tcPr>
          <w:p w14:paraId="4A2F7F09">
            <w:pPr>
              <w:wordWrap w:val="0"/>
              <w:spacing w:line="360" w:lineRule="auto"/>
              <w:ind w:firstLine="2891" w:firstLineChars="1200"/>
              <w:jc w:val="left"/>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商务条款内容</w:t>
            </w:r>
          </w:p>
        </w:tc>
      </w:tr>
      <w:tr w14:paraId="5EAA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861" w:type="dxa"/>
            <w:noWrap w:val="0"/>
            <w:vAlign w:val="center"/>
          </w:tcPr>
          <w:p w14:paraId="405E6AC3">
            <w:pPr>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1</w:t>
            </w:r>
          </w:p>
        </w:tc>
        <w:tc>
          <w:tcPr>
            <w:tcW w:w="1232" w:type="dxa"/>
            <w:noWrap w:val="0"/>
            <w:vAlign w:val="center"/>
          </w:tcPr>
          <w:p w14:paraId="1F8C849B">
            <w:pPr>
              <w:widowControl w:val="0"/>
              <w:wordWrap w:val="0"/>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kern w:val="2"/>
                <w:sz w:val="24"/>
                <w:szCs w:val="24"/>
                <w:highlight w:val="none"/>
                <w:lang w:val="en-US" w:eastAsia="zh-CN" w:bidi="ar-SA"/>
              </w:rPr>
              <w:t>供货及安装期限</w:t>
            </w:r>
          </w:p>
        </w:tc>
        <w:tc>
          <w:tcPr>
            <w:tcW w:w="8019" w:type="dxa"/>
            <w:noWrap w:val="0"/>
            <w:vAlign w:val="center"/>
          </w:tcPr>
          <w:p w14:paraId="49EFB41A">
            <w:pPr>
              <w:widowControl/>
              <w:adjustRightInd w:val="0"/>
              <w:snapToGrid w:val="0"/>
              <w:spacing w:after="120" w:line="360" w:lineRule="auto"/>
              <w:jc w:val="both"/>
              <w:rPr>
                <w:rFonts w:hint="eastAsia" w:ascii="宋体" w:hAnsi="宋体" w:eastAsia="宋体" w:cs="宋体"/>
                <w:bCs/>
                <w:color w:val="000000"/>
                <w:sz w:val="24"/>
                <w:szCs w:val="24"/>
                <w:highlight w:val="none"/>
              </w:rPr>
            </w:pPr>
            <w:r>
              <w:rPr>
                <w:rFonts w:hint="eastAsia" w:ascii="宋体" w:hAnsi="宋体" w:eastAsia="宋体" w:cs="宋体"/>
                <w:b w:val="0"/>
                <w:bCs/>
                <w:i w:val="0"/>
                <w:strike w:val="0"/>
                <w:color w:val="auto"/>
                <w:sz w:val="24"/>
                <w:highlight w:val="none"/>
                <w:u w:val="none"/>
              </w:rPr>
              <w:t>合同签订生效后，接采购人通知后</w:t>
            </w:r>
            <w:r>
              <w:rPr>
                <w:rFonts w:hint="eastAsia" w:ascii="宋体" w:hAnsi="宋体" w:eastAsia="宋体" w:cs="宋体"/>
                <w:b w:val="0"/>
                <w:bCs/>
                <w:i w:val="0"/>
                <w:strike w:val="0"/>
                <w:color w:val="auto"/>
                <w:sz w:val="24"/>
                <w:highlight w:val="none"/>
                <w:u w:val="none"/>
                <w:lang w:val="en-US" w:eastAsia="zh-CN"/>
              </w:rPr>
              <w:t>30</w:t>
            </w:r>
            <w:r>
              <w:rPr>
                <w:rFonts w:hint="eastAsia" w:ascii="宋体" w:hAnsi="宋体" w:eastAsia="宋体" w:cs="宋体"/>
                <w:b w:val="0"/>
                <w:bCs/>
                <w:i w:val="0"/>
                <w:strike w:val="0"/>
                <w:color w:val="auto"/>
                <w:sz w:val="24"/>
                <w:highlight w:val="none"/>
                <w:u w:val="none"/>
              </w:rPr>
              <w:t>个日历天内完成供货安装调试。</w:t>
            </w:r>
          </w:p>
        </w:tc>
      </w:tr>
      <w:tr w14:paraId="0F2D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61" w:type="dxa"/>
            <w:noWrap w:val="0"/>
            <w:vAlign w:val="center"/>
          </w:tcPr>
          <w:p w14:paraId="0208D1C0">
            <w:pPr>
              <w:wordWrap w:val="0"/>
              <w:spacing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2</w:t>
            </w:r>
          </w:p>
        </w:tc>
        <w:tc>
          <w:tcPr>
            <w:tcW w:w="1232" w:type="dxa"/>
            <w:noWrap w:val="0"/>
            <w:vAlign w:val="center"/>
          </w:tcPr>
          <w:p w14:paraId="3D5245C3">
            <w:pPr>
              <w:widowControl w:val="0"/>
              <w:wordWrap w:val="0"/>
              <w:spacing w:line="360" w:lineRule="auto"/>
              <w:jc w:val="center"/>
              <w:rPr>
                <w:rFonts w:hint="eastAsia" w:ascii="宋体" w:hAnsi="宋体" w:eastAsia="宋体" w:cs="宋体"/>
                <w:b/>
                <w:color w:val="000000"/>
                <w:kern w:val="2"/>
                <w:sz w:val="24"/>
                <w:szCs w:val="24"/>
                <w:highlight w:val="none"/>
                <w:lang w:val="en-US" w:eastAsia="zh-CN" w:bidi="ar-SA"/>
              </w:rPr>
            </w:pPr>
            <w:r>
              <w:rPr>
                <w:rFonts w:hint="eastAsia" w:ascii="宋体" w:hAnsi="宋体" w:eastAsia="宋体" w:cs="宋体"/>
                <w:b/>
                <w:color w:val="000000"/>
                <w:kern w:val="2"/>
                <w:sz w:val="24"/>
                <w:szCs w:val="24"/>
                <w:highlight w:val="none"/>
                <w:lang w:val="en-US" w:eastAsia="zh-CN" w:bidi="ar-SA"/>
              </w:rPr>
              <w:t>供货及安装地点</w:t>
            </w:r>
          </w:p>
        </w:tc>
        <w:tc>
          <w:tcPr>
            <w:tcW w:w="8019" w:type="dxa"/>
            <w:noWrap w:val="0"/>
            <w:vAlign w:val="center"/>
          </w:tcPr>
          <w:p w14:paraId="2424A252">
            <w:pPr>
              <w:widowControl/>
              <w:adjustRightInd w:val="0"/>
              <w:snapToGrid w:val="0"/>
              <w:spacing w:after="120" w:line="360" w:lineRule="auto"/>
              <w:jc w:val="both"/>
              <w:rPr>
                <w:rFonts w:hint="eastAsia" w:ascii="宋体" w:hAnsi="宋体" w:eastAsia="宋体" w:cs="宋体"/>
                <w:b w:val="0"/>
                <w:bCs/>
                <w:i w:val="0"/>
                <w:strike w:val="0"/>
                <w:color w:val="auto"/>
                <w:kern w:val="2"/>
                <w:sz w:val="24"/>
                <w:szCs w:val="24"/>
                <w:highlight w:val="none"/>
                <w:u w:val="none"/>
                <w:lang w:val="en-US" w:eastAsia="zh-CN" w:bidi="ar-SA"/>
              </w:rPr>
            </w:pPr>
            <w:r>
              <w:rPr>
                <w:rFonts w:hint="eastAsia" w:ascii="宋体" w:hAnsi="宋体" w:eastAsia="宋体" w:cs="宋体"/>
                <w:b w:val="0"/>
                <w:bCs/>
                <w:i w:val="0"/>
                <w:strike w:val="0"/>
                <w:color w:val="auto"/>
                <w:kern w:val="2"/>
                <w:sz w:val="24"/>
                <w:szCs w:val="24"/>
                <w:highlight w:val="none"/>
                <w:u w:val="none"/>
                <w:lang w:val="en-US" w:eastAsia="zh-CN" w:bidi="ar-SA"/>
              </w:rPr>
              <w:t>上海市第六人民医院安徽医院</w:t>
            </w:r>
          </w:p>
        </w:tc>
      </w:tr>
      <w:tr w14:paraId="1443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61" w:type="dxa"/>
            <w:noWrap w:val="0"/>
            <w:vAlign w:val="center"/>
          </w:tcPr>
          <w:p w14:paraId="6953544C">
            <w:pPr>
              <w:wordWrap w:val="0"/>
              <w:spacing w:line="360" w:lineRule="auto"/>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3</w:t>
            </w:r>
          </w:p>
        </w:tc>
        <w:tc>
          <w:tcPr>
            <w:tcW w:w="1232" w:type="dxa"/>
            <w:noWrap w:val="0"/>
            <w:vAlign w:val="center"/>
          </w:tcPr>
          <w:p w14:paraId="75184E02">
            <w:pPr>
              <w:wordWrap w:val="0"/>
              <w:spacing w:line="360" w:lineRule="auto"/>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付款方式</w:t>
            </w:r>
          </w:p>
        </w:tc>
        <w:tc>
          <w:tcPr>
            <w:tcW w:w="8019" w:type="dxa"/>
            <w:noWrap w:val="0"/>
            <w:vAlign w:val="center"/>
          </w:tcPr>
          <w:p w14:paraId="3BCFD2F1">
            <w:pPr>
              <w:widowControl/>
              <w:adjustRightInd w:val="0"/>
              <w:snapToGrid w:val="0"/>
              <w:spacing w:line="360" w:lineRule="auto"/>
              <w:rPr>
                <w:rFonts w:hint="eastAsia" w:ascii="宋体" w:hAnsi="宋体" w:eastAsia="宋体" w:cs="宋体"/>
                <w:b/>
                <w:color w:val="000000"/>
                <w:sz w:val="24"/>
                <w:szCs w:val="24"/>
              </w:rPr>
            </w:pPr>
            <w:r>
              <w:rPr>
                <w:rFonts w:hint="eastAsia" w:ascii="宋体" w:hAnsi="宋体" w:eastAsia="宋体" w:cs="宋体"/>
                <w:color w:val="000000"/>
                <w:kern w:val="2"/>
                <w:sz w:val="24"/>
                <w:szCs w:val="24"/>
                <w:lang w:val="en-US" w:eastAsia="zh-CN" w:bidi="ar-SA"/>
              </w:rPr>
              <w:t>本项目货到安装验收合格，提供产品的使用、操作及维修人员的培训， 并能独立操作且使用部门签字确认后，采购人支付全部货款。</w:t>
            </w:r>
            <w:r>
              <w:rPr>
                <w:rFonts w:hint="eastAsia" w:ascii="宋体" w:hAnsi="宋体" w:eastAsia="宋体" w:cs="宋体"/>
                <w:color w:val="000000"/>
                <w:sz w:val="24"/>
                <w:szCs w:val="24"/>
              </w:rPr>
              <w:t xml:space="preserve"> </w:t>
            </w:r>
          </w:p>
        </w:tc>
      </w:tr>
      <w:tr w14:paraId="4C04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61" w:type="dxa"/>
            <w:noWrap w:val="0"/>
            <w:vAlign w:val="center"/>
          </w:tcPr>
          <w:p w14:paraId="53C50FD4">
            <w:pPr>
              <w:wordWrap w:val="0"/>
              <w:spacing w:line="360" w:lineRule="auto"/>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4</w:t>
            </w:r>
          </w:p>
        </w:tc>
        <w:tc>
          <w:tcPr>
            <w:tcW w:w="1232" w:type="dxa"/>
            <w:noWrap w:val="0"/>
            <w:vAlign w:val="center"/>
          </w:tcPr>
          <w:p w14:paraId="0C6C0618">
            <w:pPr>
              <w:wordWrap w:val="0"/>
              <w:spacing w:line="360" w:lineRule="auto"/>
              <w:jc w:val="center"/>
              <w:rPr>
                <w:rFonts w:hint="eastAsia" w:ascii="宋体" w:hAnsi="宋体" w:eastAsia="宋体" w:cs="宋体"/>
                <w:b/>
                <w:bCs/>
                <w:color w:val="000000"/>
                <w:sz w:val="24"/>
                <w:szCs w:val="24"/>
              </w:rPr>
            </w:pPr>
            <w:r>
              <w:rPr>
                <w:rFonts w:hint="eastAsia" w:ascii="宋体" w:hAnsi="宋体" w:eastAsia="宋体" w:cs="宋体"/>
                <w:b/>
                <w:color w:val="000000"/>
                <w:sz w:val="24"/>
                <w:szCs w:val="24"/>
              </w:rPr>
              <w:t>免费质保期</w:t>
            </w:r>
          </w:p>
        </w:tc>
        <w:tc>
          <w:tcPr>
            <w:tcW w:w="8019" w:type="dxa"/>
            <w:noWrap w:val="0"/>
            <w:vAlign w:val="center"/>
          </w:tcPr>
          <w:p w14:paraId="163C1727">
            <w:pPr>
              <w:widowControl/>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自验收合格之日起整体（主机+配套产品）原厂质保不少于72个月。</w:t>
            </w:r>
          </w:p>
        </w:tc>
      </w:tr>
      <w:tr w14:paraId="38AC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61" w:type="dxa"/>
            <w:noWrap w:val="0"/>
            <w:vAlign w:val="center"/>
          </w:tcPr>
          <w:p w14:paraId="6555F5E5">
            <w:pPr>
              <w:wordWrap w:val="0"/>
              <w:spacing w:line="360" w:lineRule="auto"/>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5</w:t>
            </w:r>
          </w:p>
        </w:tc>
        <w:tc>
          <w:tcPr>
            <w:tcW w:w="1232" w:type="dxa"/>
            <w:noWrap w:val="0"/>
            <w:vAlign w:val="center"/>
          </w:tcPr>
          <w:p w14:paraId="41AF450C">
            <w:pPr>
              <w:wordWrap w:val="0"/>
              <w:spacing w:line="360" w:lineRule="auto"/>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信息化要求</w:t>
            </w:r>
          </w:p>
        </w:tc>
        <w:tc>
          <w:tcPr>
            <w:tcW w:w="8019" w:type="dxa"/>
            <w:noWrap w:val="0"/>
            <w:vAlign w:val="center"/>
          </w:tcPr>
          <w:p w14:paraId="7FA1E74E">
            <w:pPr>
              <w:widowControl/>
              <w:adjustRightInd w:val="0"/>
              <w:snapToGrid w:val="0"/>
              <w:spacing w:line="360" w:lineRule="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投标人所投设备须与医院信息系统连接，由此产生的费用包含在投标总报价中，采购人不另行支付。</w:t>
            </w:r>
          </w:p>
        </w:tc>
      </w:tr>
      <w:tr w14:paraId="00F4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61" w:type="dxa"/>
            <w:noWrap w:val="0"/>
            <w:vAlign w:val="center"/>
          </w:tcPr>
          <w:p w14:paraId="0777ED73">
            <w:pPr>
              <w:wordWrap w:val="0"/>
              <w:spacing w:line="360" w:lineRule="auto"/>
              <w:jc w:val="center"/>
              <w:rPr>
                <w:rFonts w:hint="default"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6</w:t>
            </w:r>
          </w:p>
        </w:tc>
        <w:tc>
          <w:tcPr>
            <w:tcW w:w="1232" w:type="dxa"/>
            <w:noWrap w:val="0"/>
            <w:vAlign w:val="center"/>
          </w:tcPr>
          <w:p w14:paraId="52838A49">
            <w:pPr>
              <w:wordWrap w:val="0"/>
              <w:spacing w:line="360" w:lineRule="auto"/>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售后要求</w:t>
            </w:r>
          </w:p>
        </w:tc>
        <w:tc>
          <w:tcPr>
            <w:tcW w:w="8019" w:type="dxa"/>
            <w:noWrap w:val="0"/>
            <w:vAlign w:val="top"/>
          </w:tcPr>
          <w:p w14:paraId="7976E3D3">
            <w:pPr>
              <w:widowControl/>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中标人须负责在项目安装地点进行所投设备的安装调试工作，并现场测试。在安装和调试期间，如发现设备或材料有缺陷或损坏，中标人应尽快更换，相关费用均包含在本次投标报价中。中标人在维护期内应提供现场、电话、传真或电子邮件方式为采购人提供技术支持，要求中标人应在有稳定的技术支撑与服务能力，并且在设备发生故障时2小时内响应。中标人在项目验收合格后，负责对所投设备组织操作使用培训，培训地点、人员由采购人指定。</w:t>
            </w:r>
          </w:p>
        </w:tc>
      </w:tr>
      <w:tr w14:paraId="6C92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61" w:type="dxa"/>
            <w:noWrap w:val="0"/>
            <w:vAlign w:val="center"/>
          </w:tcPr>
          <w:p w14:paraId="250DCE6A">
            <w:pPr>
              <w:wordWrap w:val="0"/>
              <w:spacing w:line="360" w:lineRule="auto"/>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7</w:t>
            </w:r>
          </w:p>
        </w:tc>
        <w:tc>
          <w:tcPr>
            <w:tcW w:w="1232" w:type="dxa"/>
            <w:noWrap w:val="0"/>
            <w:vAlign w:val="center"/>
          </w:tcPr>
          <w:p w14:paraId="69658F38">
            <w:pPr>
              <w:wordWrap w:val="0"/>
              <w:spacing w:line="360" w:lineRule="auto"/>
              <w:jc w:val="center"/>
              <w:rPr>
                <w:rFonts w:hint="eastAsia" w:ascii="宋体" w:hAnsi="宋体" w:eastAsia="宋体" w:cs="宋体"/>
                <w:b/>
                <w:color w:val="000000"/>
                <w:sz w:val="24"/>
                <w:szCs w:val="24"/>
                <w:lang w:eastAsia="zh-CN"/>
              </w:rPr>
            </w:pPr>
            <w:r>
              <w:rPr>
                <w:rFonts w:hint="eastAsia" w:ascii="宋体" w:hAnsi="宋体" w:eastAsia="宋体" w:cs="宋体"/>
                <w:b/>
                <w:color w:val="000000"/>
                <w:sz w:val="24"/>
                <w:szCs w:val="24"/>
              </w:rPr>
              <w:t>如是依法纳入医疗器械管理的须具有</w:t>
            </w:r>
            <w:r>
              <w:rPr>
                <w:rFonts w:hint="eastAsia" w:ascii="宋体" w:hAnsi="宋体" w:eastAsia="宋体" w:cs="宋体"/>
                <w:b/>
                <w:color w:val="000000"/>
                <w:sz w:val="24"/>
                <w:szCs w:val="24"/>
                <w:lang w:eastAsia="zh-CN"/>
              </w:rPr>
              <w:t>（</w:t>
            </w:r>
            <w:r>
              <w:rPr>
                <w:rFonts w:hint="eastAsia" w:ascii="宋体" w:hAnsi="宋体" w:eastAsia="宋体" w:cs="宋体"/>
                <w:b/>
                <w:color w:val="000000"/>
                <w:sz w:val="24"/>
                <w:szCs w:val="24"/>
                <w:lang w:val="en-US" w:eastAsia="zh-CN"/>
              </w:rPr>
              <w:t>投标文件中须提供相应证明材料</w:t>
            </w:r>
            <w:r>
              <w:rPr>
                <w:rFonts w:hint="eastAsia" w:ascii="宋体" w:hAnsi="宋体" w:eastAsia="宋体" w:cs="宋体"/>
                <w:b/>
                <w:color w:val="000000"/>
                <w:sz w:val="24"/>
                <w:szCs w:val="24"/>
                <w:lang w:eastAsia="zh-CN"/>
              </w:rPr>
              <w:t>）：</w:t>
            </w:r>
          </w:p>
        </w:tc>
        <w:tc>
          <w:tcPr>
            <w:tcW w:w="8019" w:type="dxa"/>
            <w:noWrap w:val="0"/>
            <w:vAlign w:val="center"/>
          </w:tcPr>
          <w:p w14:paraId="21F64B2C">
            <w:pPr>
              <w:widowControl/>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7.1 投标人为制造商的，须具有相应的医疗器械生产备案获取的备案编号（属于一类时）。</w:t>
            </w:r>
          </w:p>
          <w:p w14:paraId="19051C67">
            <w:pPr>
              <w:widowControl/>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7.2投标人须具有与投标产品相应的有效经营备案编号（属于二类时）；（如本次投标产品的注册人、备案人在其住所或者生产地址销售的，无需再办理医疗器械经营许可或备案）。</w:t>
            </w:r>
          </w:p>
          <w:p w14:paraId="095E9276">
            <w:pPr>
              <w:widowControl/>
              <w:adjustRightInd w:val="0"/>
              <w:snapToGrid w:val="0"/>
              <w:spacing w:line="360" w:lineRule="auto"/>
              <w:jc w:val="both"/>
              <w:rPr>
                <w:rFonts w:hint="eastAsia" w:ascii="宋体" w:hAnsi="宋体" w:eastAsia="宋体" w:cs="宋体"/>
                <w:b w:val="0"/>
                <w:bCs/>
                <w:color w:val="000000"/>
                <w:sz w:val="24"/>
                <w:szCs w:val="24"/>
              </w:rPr>
            </w:pPr>
            <w:r>
              <w:rPr>
                <w:rFonts w:hint="eastAsia" w:ascii="宋体" w:hAnsi="宋体" w:eastAsia="宋体" w:cs="宋体"/>
                <w:color w:val="000000"/>
                <w:kern w:val="2"/>
                <w:sz w:val="24"/>
                <w:szCs w:val="24"/>
                <w:lang w:val="en-US" w:eastAsia="zh-CN" w:bidi="ar-SA"/>
              </w:rPr>
              <w:t>7.3投标产品须具有有效的医疗器械注册证（属于二类、三类时）；投标产品纳入备案管理时（属于一类时），须在投标文件中提供备案材料或承诺函（承诺在合同签订前提供所投产品的备案证明材料，若未按规定提供视为自动放弃中标资格）。</w:t>
            </w:r>
          </w:p>
        </w:tc>
      </w:tr>
      <w:tr w14:paraId="6BBF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861" w:type="dxa"/>
            <w:noWrap w:val="0"/>
            <w:vAlign w:val="center"/>
          </w:tcPr>
          <w:p w14:paraId="0588322A">
            <w:pPr>
              <w:wordWrap w:val="0"/>
              <w:spacing w:line="360" w:lineRule="auto"/>
              <w:jc w:val="center"/>
              <w:rPr>
                <w:rFonts w:hint="eastAsia" w:ascii="宋体" w:hAnsi="宋体" w:eastAsia="宋体" w:cs="宋体"/>
                <w:b/>
                <w:color w:val="000000"/>
                <w:sz w:val="24"/>
                <w:szCs w:val="24"/>
                <w:lang w:eastAsia="zh-CN"/>
              </w:rPr>
            </w:pPr>
            <w:r>
              <w:rPr>
                <w:rFonts w:hint="eastAsia" w:ascii="宋体" w:hAnsi="宋体" w:eastAsia="宋体" w:cs="宋体"/>
                <w:b/>
                <w:color w:val="000000"/>
                <w:sz w:val="24"/>
                <w:szCs w:val="24"/>
                <w:lang w:val="en-US" w:eastAsia="zh-CN"/>
              </w:rPr>
              <w:t>8</w:t>
            </w:r>
          </w:p>
        </w:tc>
        <w:tc>
          <w:tcPr>
            <w:tcW w:w="1232" w:type="dxa"/>
            <w:noWrap w:val="0"/>
            <w:vAlign w:val="center"/>
          </w:tcPr>
          <w:p w14:paraId="71DB67E8">
            <w:pPr>
              <w:widowControl w:val="0"/>
              <w:wordWrap w:val="0"/>
              <w:spacing w:line="360" w:lineRule="auto"/>
              <w:jc w:val="center"/>
              <w:rPr>
                <w:rFonts w:hint="eastAsia" w:ascii="宋体" w:hAnsi="宋体" w:eastAsia="宋体" w:cs="宋体"/>
                <w:b/>
                <w:color w:val="000000"/>
                <w:kern w:val="2"/>
                <w:sz w:val="24"/>
                <w:szCs w:val="24"/>
                <w:lang w:val="en-US" w:eastAsia="zh-CN" w:bidi="ar-SA"/>
              </w:rPr>
            </w:pPr>
            <w:r>
              <w:rPr>
                <w:rFonts w:hint="eastAsia" w:ascii="宋体" w:hAnsi="宋体" w:eastAsia="宋体" w:cs="宋体"/>
                <w:b/>
                <w:color w:val="000000"/>
                <w:kern w:val="2"/>
                <w:sz w:val="24"/>
                <w:szCs w:val="24"/>
                <w:lang w:val="en-US" w:eastAsia="zh-CN" w:bidi="ar-SA"/>
              </w:rPr>
              <w:t>其他要求</w:t>
            </w:r>
          </w:p>
        </w:tc>
        <w:tc>
          <w:tcPr>
            <w:tcW w:w="8019" w:type="dxa"/>
            <w:noWrap w:val="0"/>
            <w:vAlign w:val="top"/>
          </w:tcPr>
          <w:p w14:paraId="042F10F3">
            <w:pPr>
              <w:widowControl/>
              <w:adjustRightInd w:val="0"/>
              <w:snapToGrid w:val="0"/>
              <w:spacing w:line="360" w:lineRule="auto"/>
              <w:jc w:val="both"/>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8.1 电子结肠镜：该电子结肠镜需配套内镜主机使用。电子胃镜：需配套内镜主机使用。</w:t>
            </w:r>
          </w:p>
          <w:p w14:paraId="40ADFF94">
            <w:pPr>
              <w:widowControl/>
              <w:adjustRightInd w:val="0"/>
              <w:snapToGrid w:val="0"/>
              <w:spacing w:line="360" w:lineRule="auto"/>
              <w:jc w:val="both"/>
              <w:rPr>
                <w:rFonts w:hint="default" w:ascii="宋体" w:hAnsi="宋体" w:eastAsia="宋体" w:cs="宋体"/>
                <w:b w:val="0"/>
                <w:bCs/>
                <w:i w:val="0"/>
                <w:strike w:val="0"/>
                <w:color w:val="auto"/>
                <w:sz w:val="24"/>
                <w:szCs w:val="24"/>
                <w:u w:val="none"/>
                <w:lang w:val="en-US"/>
              </w:rPr>
            </w:pPr>
            <w:r>
              <w:rPr>
                <w:rFonts w:hint="eastAsia" w:ascii="宋体" w:hAnsi="宋体" w:eastAsia="宋体" w:cs="宋体"/>
                <w:color w:val="000000"/>
                <w:kern w:val="2"/>
                <w:sz w:val="24"/>
                <w:szCs w:val="24"/>
                <w:lang w:val="en-US" w:eastAsia="zh-CN" w:bidi="ar-SA"/>
              </w:rPr>
              <w:t>8.2 提供配套台车。</w:t>
            </w:r>
          </w:p>
        </w:tc>
      </w:tr>
    </w:tbl>
    <w:p w14:paraId="43CFEF36">
      <w:pPr>
        <w:widowControl/>
        <w:tabs>
          <w:tab w:val="left" w:pos="1406"/>
        </w:tabs>
        <w:snapToGrid w:val="0"/>
        <w:spacing w:line="360" w:lineRule="auto"/>
        <w:rPr>
          <w:rFonts w:hint="eastAsia" w:ascii="仿宋" w:hAnsi="仿宋" w:eastAsia="仿宋" w:cs="仿宋"/>
          <w:color w:val="000000"/>
          <w:sz w:val="24"/>
        </w:rPr>
      </w:pPr>
      <w:r>
        <w:rPr>
          <w:rFonts w:hint="eastAsia" w:ascii="宋体" w:hAnsi="宋体" w:eastAsia="宋体" w:cs="宋体"/>
          <w:b/>
          <w:color w:val="000000"/>
          <w:sz w:val="24"/>
          <w:szCs w:val="24"/>
        </w:rPr>
        <w:t>注：上述</w:t>
      </w:r>
      <w:r>
        <w:rPr>
          <w:rFonts w:hint="eastAsia" w:ascii="宋体" w:hAnsi="宋体" w:eastAsia="宋体" w:cs="宋体"/>
          <w:b/>
          <w:sz w:val="24"/>
          <w:szCs w:val="24"/>
        </w:rPr>
        <w:t>商务条款必须全部满足，否则做无效投标处理。</w:t>
      </w:r>
    </w:p>
    <w:p w14:paraId="5A2609CB">
      <w:pPr>
        <w:widowControl/>
        <w:tabs>
          <w:tab w:val="left" w:pos="1406"/>
        </w:tabs>
        <w:snapToGrid w:val="0"/>
        <w:spacing w:line="360" w:lineRule="auto"/>
        <w:rPr>
          <w:rFonts w:hint="eastAsia" w:ascii="仿宋" w:hAnsi="仿宋" w:eastAsia="仿宋" w:cs="仿宋"/>
          <w:color w:val="000000"/>
          <w:sz w:val="24"/>
        </w:rPr>
      </w:pPr>
    </w:p>
    <w:p w14:paraId="7341217C">
      <w:pPr>
        <w:widowControl/>
        <w:tabs>
          <w:tab w:val="left" w:pos="1406"/>
        </w:tabs>
        <w:snapToGrid w:val="0"/>
        <w:spacing w:line="360" w:lineRule="auto"/>
        <w:rPr>
          <w:rFonts w:hint="eastAsia" w:ascii="宋体" w:hAnsi="宋体" w:eastAsia="宋体" w:cs="宋体"/>
          <w:b/>
          <w:sz w:val="24"/>
          <w:szCs w:val="24"/>
        </w:rPr>
      </w:pPr>
      <w:bookmarkStart w:id="7" w:name="_Toc27180"/>
      <w:r>
        <w:rPr>
          <w:rFonts w:hint="eastAsia" w:ascii="宋体" w:hAnsi="宋体" w:eastAsia="宋体" w:cs="宋体"/>
          <w:b/>
          <w:sz w:val="24"/>
          <w:szCs w:val="24"/>
        </w:rPr>
        <w:t>二、货物需求</w:t>
      </w:r>
      <w:bookmarkEnd w:id="7"/>
    </w:p>
    <w:p w14:paraId="7BACC0E9">
      <w:pPr>
        <w:pageBreakBefore w:val="0"/>
        <w:widowControl/>
        <w:kinsoku/>
        <w:wordWrap/>
        <w:overflowPunct/>
        <w:topLinePunct w:val="0"/>
        <w:autoSpaceDE/>
        <w:autoSpaceDN/>
        <w:bidi w:val="0"/>
        <w:adjustRightInd/>
        <w:snapToGrid w:val="0"/>
        <w:spacing w:line="360" w:lineRule="auto"/>
        <w:jc w:val="both"/>
        <w:textAlignment w:val="auto"/>
        <w:rPr>
          <w:rFonts w:hint="eastAsia" w:ascii="仿宋" w:hAnsi="仿宋" w:eastAsia="仿宋" w:cs="仿宋"/>
          <w:color w:val="000000"/>
          <w:kern w:val="2"/>
          <w:sz w:val="24"/>
          <w:szCs w:val="24"/>
          <w:lang w:val="en-US" w:eastAsia="zh-CN" w:bidi="ar-SA"/>
        </w:rPr>
      </w:pPr>
      <w:r>
        <w:rPr>
          <w:rFonts w:hint="eastAsia" w:ascii="宋体" w:hAnsi="宋体" w:eastAsia="宋体"/>
          <w:b/>
          <w:bCs/>
          <w:color w:val="auto"/>
          <w:kern w:val="2"/>
          <w:sz w:val="24"/>
          <w:szCs w:val="18"/>
          <w:highlight w:val="none"/>
          <w:lang w:val="en-US" w:eastAsia="zh-CN" w:bidi="ar-SA"/>
        </w:rPr>
        <w:t>（一）</w:t>
      </w:r>
      <w:r>
        <w:rPr>
          <w:rFonts w:hint="eastAsia" w:ascii="宋体" w:hAnsi="宋体" w:eastAsia="宋体"/>
          <w:b/>
          <w:color w:val="auto"/>
          <w:kern w:val="2"/>
          <w:sz w:val="24"/>
          <w:szCs w:val="18"/>
          <w:highlight w:val="none"/>
          <w:lang w:val="en-US" w:eastAsia="zh-CN" w:bidi="ar-SA"/>
        </w:rPr>
        <w:t>采购内容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925"/>
        <w:gridCol w:w="1062"/>
        <w:gridCol w:w="1200"/>
        <w:gridCol w:w="1606"/>
        <w:gridCol w:w="1218"/>
      </w:tblGrid>
      <w:tr w14:paraId="7A52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41" w:type="dxa"/>
            <w:noWrap w:val="0"/>
            <w:vAlign w:val="center"/>
          </w:tcPr>
          <w:p w14:paraId="333073C5">
            <w:pPr>
              <w:pageBreakBefore w:val="0"/>
              <w:widowControl/>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序号</w:t>
            </w:r>
          </w:p>
        </w:tc>
        <w:tc>
          <w:tcPr>
            <w:tcW w:w="3925" w:type="dxa"/>
            <w:noWrap w:val="0"/>
            <w:vAlign w:val="center"/>
          </w:tcPr>
          <w:p w14:paraId="738DF000">
            <w:pPr>
              <w:pageBreakBefore w:val="0"/>
              <w:widowControl/>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kern w:val="0"/>
                <w:sz w:val="24"/>
                <w:lang w:bidi="ar"/>
              </w:rPr>
              <w:t>标的名称</w:t>
            </w:r>
          </w:p>
        </w:tc>
        <w:tc>
          <w:tcPr>
            <w:tcW w:w="1062" w:type="dxa"/>
            <w:noWrap w:val="0"/>
            <w:vAlign w:val="center"/>
          </w:tcPr>
          <w:p w14:paraId="01DD53CC">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sz w:val="24"/>
              </w:rPr>
            </w:pPr>
            <w:r>
              <w:rPr>
                <w:rFonts w:hint="eastAsia" w:ascii="宋体" w:hAnsi="宋体" w:eastAsia="宋体" w:cs="宋体"/>
                <w:color w:val="000000"/>
                <w:kern w:val="0"/>
                <w:sz w:val="24"/>
                <w:lang w:bidi="ar"/>
              </w:rPr>
              <w:t>单位</w:t>
            </w:r>
          </w:p>
        </w:tc>
        <w:tc>
          <w:tcPr>
            <w:tcW w:w="1200" w:type="dxa"/>
            <w:noWrap w:val="0"/>
            <w:vAlign w:val="center"/>
          </w:tcPr>
          <w:p w14:paraId="37A98F41">
            <w:pPr>
              <w:pageBreakBefore w:val="0"/>
              <w:widowControl/>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kern w:val="0"/>
                <w:sz w:val="24"/>
                <w:lang w:bidi="ar"/>
              </w:rPr>
              <w:t>数量</w:t>
            </w:r>
          </w:p>
        </w:tc>
        <w:tc>
          <w:tcPr>
            <w:tcW w:w="1606" w:type="dxa"/>
            <w:noWrap w:val="0"/>
            <w:vAlign w:val="center"/>
          </w:tcPr>
          <w:p w14:paraId="767CD4A7">
            <w:pPr>
              <w:pageBreakBefore w:val="0"/>
              <w:widowControl/>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kern w:val="0"/>
                <w:sz w:val="24"/>
                <w:lang w:bidi="ar"/>
              </w:rPr>
              <w:t>所属行业</w:t>
            </w:r>
          </w:p>
        </w:tc>
        <w:tc>
          <w:tcPr>
            <w:tcW w:w="1218" w:type="dxa"/>
            <w:noWrap w:val="0"/>
            <w:vAlign w:val="center"/>
          </w:tcPr>
          <w:p w14:paraId="2AB74E20">
            <w:pPr>
              <w:pageBreakBefore w:val="0"/>
              <w:widowControl/>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是否接受进口</w:t>
            </w:r>
          </w:p>
        </w:tc>
      </w:tr>
      <w:tr w14:paraId="3653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15A19A13">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1</w:t>
            </w:r>
          </w:p>
        </w:tc>
        <w:tc>
          <w:tcPr>
            <w:tcW w:w="3925" w:type="dxa"/>
            <w:noWrap w:val="0"/>
            <w:vAlign w:val="center"/>
          </w:tcPr>
          <w:p w14:paraId="4C4E2384">
            <w:pPr>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宋体" w:hAnsi="宋体" w:eastAsia="宋体" w:cs="宋体"/>
                <w:color w:val="000000"/>
                <w:kern w:val="0"/>
                <w:sz w:val="24"/>
                <w:lang w:eastAsia="zh-CN" w:bidi="ar"/>
              </w:rPr>
            </w:pPr>
            <w:r>
              <w:rPr>
                <w:rFonts w:hint="eastAsia" w:ascii="宋体" w:hAnsi="宋体" w:eastAsia="宋体" w:cs="宋体"/>
                <w:b/>
                <w:bCs/>
                <w:color w:val="000000"/>
                <w:kern w:val="0"/>
                <w:sz w:val="24"/>
                <w:lang w:eastAsia="zh-CN" w:bidi="ar"/>
              </w:rPr>
              <w:t>▲内镜主机</w:t>
            </w:r>
          </w:p>
        </w:tc>
        <w:tc>
          <w:tcPr>
            <w:tcW w:w="1062" w:type="dxa"/>
            <w:noWrap w:val="0"/>
            <w:vAlign w:val="center"/>
          </w:tcPr>
          <w:p w14:paraId="51ADF0A4">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套</w:t>
            </w:r>
          </w:p>
        </w:tc>
        <w:tc>
          <w:tcPr>
            <w:tcW w:w="1200" w:type="dxa"/>
            <w:noWrap w:val="0"/>
            <w:vAlign w:val="center"/>
          </w:tcPr>
          <w:p w14:paraId="2E0A10B3">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p>
        </w:tc>
        <w:tc>
          <w:tcPr>
            <w:tcW w:w="1606" w:type="dxa"/>
            <w:noWrap w:val="0"/>
            <w:vAlign w:val="center"/>
          </w:tcPr>
          <w:p w14:paraId="2FA4E089">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sz w:val="24"/>
              </w:rPr>
              <w:t>工业</w:t>
            </w:r>
          </w:p>
        </w:tc>
        <w:tc>
          <w:tcPr>
            <w:tcW w:w="1218" w:type="dxa"/>
            <w:noWrap w:val="0"/>
            <w:vAlign w:val="center"/>
          </w:tcPr>
          <w:p w14:paraId="7B26F3D1">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否</w:t>
            </w:r>
          </w:p>
        </w:tc>
      </w:tr>
      <w:tr w14:paraId="6DF9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304B3715">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2</w:t>
            </w:r>
          </w:p>
        </w:tc>
        <w:tc>
          <w:tcPr>
            <w:tcW w:w="3925" w:type="dxa"/>
            <w:noWrap w:val="0"/>
            <w:vAlign w:val="center"/>
          </w:tcPr>
          <w:p w14:paraId="56CB89CB">
            <w:pPr>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内窥镜冷光源</w:t>
            </w:r>
          </w:p>
        </w:tc>
        <w:tc>
          <w:tcPr>
            <w:tcW w:w="1062" w:type="dxa"/>
            <w:noWrap w:val="0"/>
            <w:vAlign w:val="center"/>
          </w:tcPr>
          <w:p w14:paraId="3AE337CF">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套</w:t>
            </w:r>
          </w:p>
        </w:tc>
        <w:tc>
          <w:tcPr>
            <w:tcW w:w="1200" w:type="dxa"/>
            <w:noWrap w:val="0"/>
            <w:vAlign w:val="center"/>
          </w:tcPr>
          <w:p w14:paraId="2C3D3D97">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1</w:t>
            </w:r>
          </w:p>
        </w:tc>
        <w:tc>
          <w:tcPr>
            <w:tcW w:w="1606" w:type="dxa"/>
            <w:noWrap w:val="0"/>
            <w:vAlign w:val="center"/>
          </w:tcPr>
          <w:p w14:paraId="37EE6C68">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sz w:val="24"/>
              </w:rPr>
              <w:t>工业</w:t>
            </w:r>
          </w:p>
        </w:tc>
        <w:tc>
          <w:tcPr>
            <w:tcW w:w="1218" w:type="dxa"/>
            <w:noWrap w:val="0"/>
            <w:vAlign w:val="center"/>
          </w:tcPr>
          <w:p w14:paraId="100D5A2F">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否</w:t>
            </w:r>
          </w:p>
        </w:tc>
      </w:tr>
      <w:tr w14:paraId="112B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641" w:type="dxa"/>
            <w:noWrap w:val="0"/>
            <w:vAlign w:val="center"/>
          </w:tcPr>
          <w:p w14:paraId="09773A8C">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w:t>
            </w:r>
          </w:p>
        </w:tc>
        <w:tc>
          <w:tcPr>
            <w:tcW w:w="3925" w:type="dxa"/>
            <w:noWrap w:val="0"/>
            <w:vAlign w:val="center"/>
          </w:tcPr>
          <w:p w14:paraId="565B51C6">
            <w:pPr>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高清医用监视器</w:t>
            </w:r>
          </w:p>
        </w:tc>
        <w:tc>
          <w:tcPr>
            <w:tcW w:w="1062" w:type="dxa"/>
            <w:noWrap w:val="0"/>
            <w:vAlign w:val="center"/>
          </w:tcPr>
          <w:p w14:paraId="294A1BCA">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套</w:t>
            </w:r>
          </w:p>
        </w:tc>
        <w:tc>
          <w:tcPr>
            <w:tcW w:w="1200" w:type="dxa"/>
            <w:noWrap w:val="0"/>
            <w:vAlign w:val="center"/>
          </w:tcPr>
          <w:p w14:paraId="30F0213C">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1</w:t>
            </w:r>
          </w:p>
        </w:tc>
        <w:tc>
          <w:tcPr>
            <w:tcW w:w="1606" w:type="dxa"/>
            <w:noWrap w:val="0"/>
            <w:vAlign w:val="center"/>
          </w:tcPr>
          <w:p w14:paraId="1ACF3C79">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sz w:val="24"/>
              </w:rPr>
              <w:t>工业</w:t>
            </w:r>
          </w:p>
        </w:tc>
        <w:tc>
          <w:tcPr>
            <w:tcW w:w="1218" w:type="dxa"/>
            <w:noWrap w:val="0"/>
            <w:vAlign w:val="center"/>
          </w:tcPr>
          <w:p w14:paraId="725A26D1">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否</w:t>
            </w:r>
          </w:p>
        </w:tc>
      </w:tr>
      <w:tr w14:paraId="2ABC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0856C8AD">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4</w:t>
            </w:r>
          </w:p>
        </w:tc>
        <w:tc>
          <w:tcPr>
            <w:tcW w:w="3925" w:type="dxa"/>
            <w:noWrap w:val="0"/>
            <w:vAlign w:val="center"/>
          </w:tcPr>
          <w:p w14:paraId="5A07EA3C">
            <w:pPr>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宋体" w:hAnsi="宋体" w:eastAsia="宋体" w:cs="宋体"/>
                <w:color w:val="000000"/>
                <w:sz w:val="24"/>
              </w:rPr>
            </w:pPr>
            <w:r>
              <w:rPr>
                <w:rFonts w:hint="eastAsia" w:ascii="宋体" w:hAnsi="宋体" w:eastAsia="宋体" w:cs="宋体"/>
                <w:color w:val="000000"/>
                <w:sz w:val="24"/>
              </w:rPr>
              <w:t>电子结肠镜</w:t>
            </w:r>
          </w:p>
        </w:tc>
        <w:tc>
          <w:tcPr>
            <w:tcW w:w="1062" w:type="dxa"/>
            <w:noWrap w:val="0"/>
            <w:vAlign w:val="center"/>
          </w:tcPr>
          <w:p w14:paraId="260DC7B2">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根</w:t>
            </w:r>
          </w:p>
        </w:tc>
        <w:tc>
          <w:tcPr>
            <w:tcW w:w="1200" w:type="dxa"/>
            <w:noWrap w:val="0"/>
            <w:vAlign w:val="center"/>
          </w:tcPr>
          <w:p w14:paraId="0CBB32C7">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3</w:t>
            </w:r>
          </w:p>
        </w:tc>
        <w:tc>
          <w:tcPr>
            <w:tcW w:w="1606" w:type="dxa"/>
            <w:noWrap w:val="0"/>
            <w:vAlign w:val="center"/>
          </w:tcPr>
          <w:p w14:paraId="3FA95530">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sz w:val="24"/>
              </w:rPr>
              <w:t>工业</w:t>
            </w:r>
          </w:p>
        </w:tc>
        <w:tc>
          <w:tcPr>
            <w:tcW w:w="1218" w:type="dxa"/>
            <w:noWrap w:val="0"/>
            <w:vAlign w:val="center"/>
          </w:tcPr>
          <w:p w14:paraId="425E30E9">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否</w:t>
            </w:r>
          </w:p>
        </w:tc>
      </w:tr>
      <w:tr w14:paraId="5D38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73007716">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5</w:t>
            </w:r>
          </w:p>
        </w:tc>
        <w:tc>
          <w:tcPr>
            <w:tcW w:w="3925" w:type="dxa"/>
            <w:noWrap w:val="0"/>
            <w:vAlign w:val="center"/>
          </w:tcPr>
          <w:p w14:paraId="3FA42AB5">
            <w:pPr>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宋体" w:hAnsi="宋体" w:eastAsia="宋体" w:cs="宋体"/>
                <w:color w:val="000000"/>
                <w:sz w:val="24"/>
              </w:rPr>
            </w:pPr>
            <w:r>
              <w:rPr>
                <w:rFonts w:hint="eastAsia" w:ascii="宋体" w:hAnsi="宋体" w:eastAsia="宋体" w:cs="宋体"/>
                <w:color w:val="000000"/>
                <w:kern w:val="2"/>
                <w:sz w:val="24"/>
                <w:szCs w:val="24"/>
                <w:lang w:eastAsia="zh-CN" w:bidi="ar"/>
              </w:rPr>
              <w:t>电子胃镜</w:t>
            </w:r>
          </w:p>
        </w:tc>
        <w:tc>
          <w:tcPr>
            <w:tcW w:w="1062" w:type="dxa"/>
            <w:noWrap w:val="0"/>
            <w:vAlign w:val="center"/>
          </w:tcPr>
          <w:p w14:paraId="3BA1FFB5">
            <w:pPr>
              <w:pageBreakBefore w:val="0"/>
              <w:widowControl/>
              <w:kinsoku/>
              <w:wordWrap/>
              <w:overflowPunct/>
              <w:topLinePunct w:val="0"/>
              <w:autoSpaceDE/>
              <w:autoSpaceDN/>
              <w:bidi w:val="0"/>
              <w:adjustRightInd/>
              <w:spacing w:line="360" w:lineRule="auto"/>
              <w:jc w:val="center"/>
              <w:textAlignment w:val="auto"/>
              <w:outlineLvl w:val="9"/>
              <w:rPr>
                <w:rFonts w:hint="eastAsia" w:ascii="宋体" w:hAnsi="宋体" w:eastAsia="宋体" w:cs="宋体"/>
                <w:color w:val="000000"/>
                <w:kern w:val="2"/>
                <w:sz w:val="24"/>
                <w:lang w:val="en-US" w:eastAsia="zh-CN" w:bidi="ar"/>
              </w:rPr>
            </w:pPr>
            <w:r>
              <w:rPr>
                <w:rFonts w:hint="eastAsia" w:ascii="宋体" w:hAnsi="宋体" w:eastAsia="宋体" w:cs="宋体"/>
                <w:color w:val="000000"/>
                <w:kern w:val="2"/>
                <w:sz w:val="24"/>
                <w:lang w:val="en-US" w:eastAsia="zh-CN" w:bidi="ar"/>
              </w:rPr>
              <w:t>根</w:t>
            </w:r>
          </w:p>
        </w:tc>
        <w:tc>
          <w:tcPr>
            <w:tcW w:w="1200" w:type="dxa"/>
            <w:noWrap w:val="0"/>
            <w:vAlign w:val="center"/>
          </w:tcPr>
          <w:p w14:paraId="1F287764">
            <w:pPr>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4</w:t>
            </w:r>
          </w:p>
        </w:tc>
        <w:tc>
          <w:tcPr>
            <w:tcW w:w="1606" w:type="dxa"/>
            <w:noWrap w:val="0"/>
            <w:vAlign w:val="center"/>
          </w:tcPr>
          <w:p w14:paraId="3E89F519">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rPr>
            </w:pPr>
            <w:r>
              <w:rPr>
                <w:rFonts w:hint="eastAsia" w:ascii="宋体" w:hAnsi="宋体" w:eastAsia="宋体" w:cs="宋体"/>
                <w:color w:val="000000"/>
                <w:sz w:val="24"/>
              </w:rPr>
              <w:t>工业</w:t>
            </w:r>
          </w:p>
        </w:tc>
        <w:tc>
          <w:tcPr>
            <w:tcW w:w="1218" w:type="dxa"/>
            <w:noWrap w:val="0"/>
            <w:vAlign w:val="center"/>
          </w:tcPr>
          <w:p w14:paraId="07C9749C">
            <w:pPr>
              <w:keepNext/>
              <w:keepLines/>
              <w:pageBreakBefore w:val="0"/>
              <w:kinsoku/>
              <w:wordWrap/>
              <w:overflowPunct/>
              <w:topLinePunct w:val="0"/>
              <w:autoSpaceDE/>
              <w:autoSpaceDN/>
              <w:bidi w:val="0"/>
              <w:adjustRightInd/>
              <w:spacing w:line="360" w:lineRule="auto"/>
              <w:jc w:val="center"/>
              <w:textAlignment w:val="auto"/>
              <w:outlineLvl w:val="1"/>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否</w:t>
            </w:r>
          </w:p>
        </w:tc>
      </w:tr>
    </w:tbl>
    <w:p w14:paraId="1120B9B5">
      <w:pPr>
        <w:pageBreakBefore w:val="0"/>
        <w:widowControl/>
        <w:kinsoku/>
        <w:wordWrap/>
        <w:overflowPunct/>
        <w:topLinePunct w:val="0"/>
        <w:autoSpaceDE/>
        <w:autoSpaceDN/>
        <w:bidi w:val="0"/>
        <w:adjustRightInd/>
        <w:snapToGrid w:val="0"/>
        <w:spacing w:line="360" w:lineRule="auto"/>
        <w:jc w:val="both"/>
        <w:textAlignment w:val="auto"/>
        <w:rPr>
          <w:rFonts w:hint="eastAsia" w:ascii="宋体" w:hAnsi="宋体" w:eastAsia="宋体"/>
          <w:b/>
          <w:color w:val="auto"/>
          <w:kern w:val="2"/>
          <w:sz w:val="24"/>
          <w:szCs w:val="18"/>
          <w:highlight w:val="none"/>
          <w:lang w:val="en-US" w:eastAsia="zh-CN" w:bidi="ar-SA"/>
        </w:rPr>
      </w:pPr>
    </w:p>
    <w:p w14:paraId="514B7933">
      <w:pPr>
        <w:pageBreakBefore w:val="0"/>
        <w:widowControl/>
        <w:kinsoku/>
        <w:wordWrap/>
        <w:overflowPunct/>
        <w:topLinePunct w:val="0"/>
        <w:autoSpaceDE/>
        <w:autoSpaceDN/>
        <w:bidi w:val="0"/>
        <w:adjustRightInd/>
        <w:snapToGrid w:val="0"/>
        <w:spacing w:line="360" w:lineRule="auto"/>
        <w:jc w:val="both"/>
        <w:textAlignment w:val="auto"/>
        <w:rPr>
          <w:rFonts w:hint="eastAsia" w:ascii="宋体" w:hAnsi="宋体" w:eastAsia="宋体"/>
          <w:b/>
          <w:color w:val="auto"/>
          <w:kern w:val="2"/>
          <w:sz w:val="24"/>
          <w:szCs w:val="18"/>
          <w:highlight w:val="none"/>
          <w:lang w:val="en-US" w:eastAsia="zh-CN" w:bidi="ar-SA"/>
        </w:rPr>
      </w:pPr>
      <w:r>
        <w:rPr>
          <w:rFonts w:hint="eastAsia" w:ascii="宋体" w:hAnsi="宋体" w:eastAsia="宋体"/>
          <w:b/>
          <w:color w:val="auto"/>
          <w:kern w:val="2"/>
          <w:sz w:val="24"/>
          <w:szCs w:val="18"/>
          <w:highlight w:val="none"/>
          <w:lang w:val="en-US" w:eastAsia="zh-CN" w:bidi="ar-SA"/>
        </w:rPr>
        <w:t>（二）采购范围</w:t>
      </w:r>
    </w:p>
    <w:p w14:paraId="27D02E4D">
      <w:pPr>
        <w:keepNext/>
        <w:keepLines/>
        <w:pageBreakBefore w:val="0"/>
        <w:kinsoku/>
        <w:wordWrap/>
        <w:overflowPunct/>
        <w:topLinePunct w:val="0"/>
        <w:autoSpaceDE/>
        <w:autoSpaceDN/>
        <w:bidi w:val="0"/>
        <w:adjustRightInd/>
        <w:spacing w:line="360" w:lineRule="auto"/>
        <w:ind w:firstLine="480" w:firstLineChars="200"/>
        <w:textAlignment w:val="auto"/>
        <w:outlineLvl w:val="1"/>
        <w:rPr>
          <w:rFonts w:hint="eastAsia" w:ascii="宋体" w:hAnsi="宋体" w:eastAsia="宋体" w:cs="宋体"/>
          <w:sz w:val="24"/>
        </w:rPr>
      </w:pPr>
      <w:r>
        <w:rPr>
          <w:rFonts w:hint="eastAsia" w:ascii="宋体" w:hAnsi="宋体" w:eastAsia="宋体" w:cs="宋体"/>
          <w:sz w:val="24"/>
        </w:rPr>
        <w:t>包括所有货物的供货、包装运输（包括卸车及就位至采购人指定的安装地点）、安装、调试、技术服务、培训、售后服务等所有内容。</w:t>
      </w:r>
    </w:p>
    <w:p w14:paraId="7840C2DC">
      <w:pPr>
        <w:pageBreakBefore w:val="0"/>
        <w:widowControl/>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
          <w:color w:val="auto"/>
          <w:kern w:val="2"/>
          <w:sz w:val="24"/>
          <w:szCs w:val="18"/>
          <w:highlight w:val="none"/>
          <w:lang w:val="en-US" w:eastAsia="zh-CN" w:bidi="ar-SA"/>
        </w:rPr>
      </w:pPr>
    </w:p>
    <w:p w14:paraId="2C98B5F3">
      <w:pPr>
        <w:pageBreakBefore w:val="0"/>
        <w:widowControl/>
        <w:kinsoku/>
        <w:wordWrap/>
        <w:overflowPunct/>
        <w:topLinePunct w:val="0"/>
        <w:autoSpaceDE/>
        <w:autoSpaceDN/>
        <w:bidi w:val="0"/>
        <w:adjustRightInd/>
        <w:snapToGrid w:val="0"/>
        <w:spacing w:line="360" w:lineRule="auto"/>
        <w:jc w:val="both"/>
        <w:textAlignment w:val="auto"/>
        <w:rPr>
          <w:rFonts w:hint="default" w:ascii="宋体" w:hAnsi="宋体" w:eastAsia="宋体" w:cs="Times New Roman"/>
          <w:b/>
          <w:color w:val="auto"/>
          <w:kern w:val="2"/>
          <w:sz w:val="24"/>
          <w:szCs w:val="18"/>
          <w:highlight w:val="none"/>
          <w:lang w:val="en-US" w:eastAsia="zh-CN" w:bidi="ar-SA"/>
        </w:rPr>
      </w:pPr>
      <w:r>
        <w:rPr>
          <w:rFonts w:hint="eastAsia" w:ascii="宋体" w:hAnsi="宋体" w:eastAsia="宋体" w:cs="Times New Roman"/>
          <w:b/>
          <w:color w:val="auto"/>
          <w:kern w:val="2"/>
          <w:sz w:val="24"/>
          <w:szCs w:val="18"/>
          <w:highlight w:val="none"/>
          <w:lang w:val="en-US" w:eastAsia="zh-CN" w:bidi="ar-SA"/>
        </w:rPr>
        <w:t>三、技术需求</w:t>
      </w:r>
    </w:p>
    <w:p w14:paraId="40E7B557">
      <w:pPr>
        <w:pageBreakBefore w:val="0"/>
        <w:widowControl/>
        <w:kinsoku/>
        <w:wordWrap/>
        <w:overflowPunct/>
        <w:topLinePunct w:val="0"/>
        <w:autoSpaceDE/>
        <w:autoSpaceDN/>
        <w:bidi w:val="0"/>
        <w:adjustRightInd/>
        <w:snapToGrid w:val="0"/>
        <w:spacing w:line="360" w:lineRule="auto"/>
        <w:jc w:val="both"/>
        <w:textAlignment w:val="auto"/>
        <w:rPr>
          <w:rFonts w:hint="eastAsia" w:ascii="宋体" w:hAnsi="宋体" w:eastAsia="宋体" w:cs="宋体"/>
          <w:b/>
          <w:color w:val="auto"/>
          <w:kern w:val="2"/>
          <w:sz w:val="24"/>
          <w:szCs w:val="18"/>
          <w:highlight w:val="none"/>
          <w:lang w:val="en-US" w:eastAsia="zh-CN" w:bidi="ar-SA"/>
        </w:rPr>
      </w:pPr>
      <w:r>
        <w:rPr>
          <w:rFonts w:hint="eastAsia" w:ascii="宋体" w:hAnsi="宋体" w:eastAsia="宋体" w:cs="宋体"/>
          <w:b/>
          <w:color w:val="auto"/>
          <w:kern w:val="2"/>
          <w:sz w:val="24"/>
          <w:szCs w:val="18"/>
          <w:highlight w:val="none"/>
          <w:lang w:val="en-US" w:eastAsia="zh-CN" w:bidi="ar-SA"/>
        </w:rPr>
        <w:t>（一）标识符号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7"/>
        <w:gridCol w:w="1906"/>
        <w:gridCol w:w="5921"/>
      </w:tblGrid>
      <w:tr w14:paraId="0DC8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27" w:type="dxa"/>
            <w:noWrap w:val="0"/>
            <w:vAlign w:val="center"/>
          </w:tcPr>
          <w:p w14:paraId="2A6994A7">
            <w:pPr>
              <w:widowControl/>
              <w:spacing w:line="360" w:lineRule="auto"/>
              <w:jc w:val="center"/>
              <w:rPr>
                <w:rFonts w:hint="eastAsia" w:ascii="宋体" w:hAnsi="宋体" w:eastAsia="宋体" w:cs="宋体"/>
                <w:sz w:val="24"/>
              </w:rPr>
            </w:pPr>
            <w:r>
              <w:rPr>
                <w:rFonts w:hint="eastAsia" w:ascii="宋体" w:hAnsi="宋体" w:eastAsia="宋体" w:cs="宋体"/>
                <w:color w:val="000000"/>
                <w:kern w:val="0"/>
                <w:sz w:val="24"/>
                <w:lang w:bidi="ar"/>
              </w:rPr>
              <w:t>标识重要性</w:t>
            </w:r>
          </w:p>
        </w:tc>
        <w:tc>
          <w:tcPr>
            <w:tcW w:w="1906" w:type="dxa"/>
            <w:noWrap w:val="0"/>
            <w:vAlign w:val="center"/>
          </w:tcPr>
          <w:p w14:paraId="77960B20">
            <w:pPr>
              <w:widowControl/>
              <w:spacing w:line="360" w:lineRule="auto"/>
              <w:jc w:val="center"/>
              <w:rPr>
                <w:rFonts w:hint="eastAsia" w:ascii="宋体" w:hAnsi="宋体" w:eastAsia="宋体" w:cs="宋体"/>
                <w:sz w:val="24"/>
              </w:rPr>
            </w:pPr>
            <w:r>
              <w:rPr>
                <w:rFonts w:hint="eastAsia" w:ascii="宋体" w:hAnsi="宋体" w:eastAsia="宋体" w:cs="宋体"/>
                <w:color w:val="000000"/>
                <w:kern w:val="0"/>
                <w:sz w:val="24"/>
                <w:lang w:bidi="ar"/>
              </w:rPr>
              <w:t>标识符号</w:t>
            </w:r>
          </w:p>
        </w:tc>
        <w:tc>
          <w:tcPr>
            <w:tcW w:w="5921" w:type="dxa"/>
            <w:noWrap w:val="0"/>
            <w:vAlign w:val="center"/>
          </w:tcPr>
          <w:p w14:paraId="426EE5FD">
            <w:pPr>
              <w:widowControl/>
              <w:spacing w:line="360" w:lineRule="auto"/>
              <w:jc w:val="center"/>
              <w:rPr>
                <w:rFonts w:hint="eastAsia" w:ascii="宋体" w:hAnsi="宋体" w:eastAsia="宋体" w:cs="宋体"/>
                <w:sz w:val="24"/>
              </w:rPr>
            </w:pPr>
            <w:r>
              <w:rPr>
                <w:rFonts w:hint="eastAsia" w:ascii="宋体" w:hAnsi="宋体" w:eastAsia="宋体" w:cs="宋体"/>
                <w:color w:val="000000"/>
                <w:kern w:val="0"/>
                <w:sz w:val="24"/>
                <w:lang w:bidi="ar"/>
              </w:rPr>
              <w:t>代表意思</w:t>
            </w:r>
          </w:p>
        </w:tc>
      </w:tr>
      <w:tr w14:paraId="4101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0B0ABB25">
            <w:pPr>
              <w:widowControl/>
              <w:spacing w:line="360" w:lineRule="auto"/>
              <w:jc w:val="center"/>
              <w:rPr>
                <w:rFonts w:hint="eastAsia" w:ascii="宋体" w:hAnsi="宋体" w:eastAsia="宋体" w:cs="宋体"/>
                <w:sz w:val="24"/>
              </w:rPr>
            </w:pPr>
            <w:r>
              <w:rPr>
                <w:rFonts w:hint="eastAsia" w:ascii="宋体" w:hAnsi="宋体" w:eastAsia="宋体" w:cs="宋体"/>
                <w:color w:val="000000"/>
                <w:kern w:val="0"/>
                <w:sz w:val="24"/>
                <w:lang w:bidi="ar"/>
              </w:rPr>
              <w:t>一般指标项</w:t>
            </w:r>
          </w:p>
        </w:tc>
        <w:tc>
          <w:tcPr>
            <w:tcW w:w="1906" w:type="dxa"/>
            <w:noWrap w:val="0"/>
            <w:vAlign w:val="center"/>
          </w:tcPr>
          <w:p w14:paraId="7FCC1CF7">
            <w:pPr>
              <w:spacing w:line="360" w:lineRule="auto"/>
              <w:jc w:val="center"/>
              <w:rPr>
                <w:rFonts w:hint="eastAsia" w:ascii="宋体" w:hAnsi="宋体" w:eastAsia="宋体" w:cs="宋体"/>
                <w:sz w:val="24"/>
              </w:rPr>
            </w:pPr>
            <w:r>
              <w:rPr>
                <w:rFonts w:hint="eastAsia" w:ascii="宋体" w:hAnsi="宋体" w:eastAsia="宋体" w:cs="宋体"/>
                <w:sz w:val="24"/>
              </w:rPr>
              <w:t>无标识项</w:t>
            </w:r>
          </w:p>
        </w:tc>
        <w:tc>
          <w:tcPr>
            <w:tcW w:w="5921" w:type="dxa"/>
            <w:noWrap w:val="0"/>
            <w:vAlign w:val="center"/>
          </w:tcPr>
          <w:p w14:paraId="630456AA">
            <w:pPr>
              <w:widowControl/>
              <w:spacing w:line="360" w:lineRule="auto"/>
              <w:jc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评分项，详见第四章评分细则</w:t>
            </w:r>
          </w:p>
        </w:tc>
      </w:tr>
      <w:tr w14:paraId="6AAF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4" w:type="dxa"/>
            <w:gridSpan w:val="3"/>
            <w:noWrap w:val="0"/>
            <w:vAlign w:val="center"/>
          </w:tcPr>
          <w:p w14:paraId="5628881F">
            <w:pPr>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szCs w:val="24"/>
                <w:lang w:bidi="ar"/>
              </w:rPr>
              <w:t>注：投标人须如实响应，如在后期合同履约过程中，发现有虚假响应情况，招标人有权解除合同、不予退还履约保证金、不予支付合同款项，且上报监管部门并追究中标人给采购人带来的一切损失。</w:t>
            </w:r>
          </w:p>
        </w:tc>
      </w:tr>
    </w:tbl>
    <w:p w14:paraId="09BCA370">
      <w:pPr>
        <w:pageBreakBefore w:val="0"/>
        <w:widowControl/>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
          <w:color w:val="auto"/>
          <w:kern w:val="2"/>
          <w:sz w:val="24"/>
          <w:szCs w:val="18"/>
          <w:highlight w:val="none"/>
          <w:lang w:val="en-US" w:eastAsia="zh-CN" w:bidi="ar-SA"/>
        </w:rPr>
      </w:pPr>
    </w:p>
    <w:p w14:paraId="4C8CEA7C">
      <w:pPr>
        <w:pageBreakBefore w:val="0"/>
        <w:widowControl/>
        <w:kinsoku/>
        <w:wordWrap/>
        <w:overflowPunct/>
        <w:topLinePunct w:val="0"/>
        <w:autoSpaceDE/>
        <w:autoSpaceDN/>
        <w:bidi w:val="0"/>
        <w:adjustRightInd/>
        <w:snapToGrid w:val="0"/>
        <w:spacing w:line="360" w:lineRule="auto"/>
        <w:jc w:val="both"/>
        <w:textAlignment w:val="auto"/>
        <w:rPr>
          <w:rFonts w:hint="eastAsia" w:ascii="宋体" w:hAnsi="宋体" w:eastAsia="宋体" w:cs="Times New Roman"/>
          <w:b/>
          <w:color w:val="auto"/>
          <w:kern w:val="2"/>
          <w:sz w:val="24"/>
          <w:szCs w:val="18"/>
          <w:highlight w:val="none"/>
          <w:lang w:val="en-US" w:eastAsia="zh-CN" w:bidi="ar-SA"/>
        </w:rPr>
      </w:pPr>
      <w:r>
        <w:rPr>
          <w:rFonts w:hint="eastAsia" w:ascii="宋体" w:hAnsi="宋体" w:eastAsia="宋体" w:cs="Times New Roman"/>
          <w:b/>
          <w:color w:val="auto"/>
          <w:kern w:val="2"/>
          <w:sz w:val="24"/>
          <w:szCs w:val="18"/>
          <w:highlight w:val="none"/>
          <w:lang w:val="en-US" w:eastAsia="zh-CN" w:bidi="ar-SA"/>
        </w:rPr>
        <w:t>（二）技术要求</w:t>
      </w:r>
    </w:p>
    <w:p w14:paraId="6DE4C5B7">
      <w:pPr>
        <w:widowControl/>
        <w:numPr>
          <w:ilvl w:val="0"/>
          <w:numId w:val="0"/>
        </w:numPr>
        <w:spacing w:line="360" w:lineRule="auto"/>
        <w:jc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产品1：内镜主机</w:t>
      </w:r>
    </w:p>
    <w:p w14:paraId="202B458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1.1、分体式内镜设计：主机光源采用分体式设计，图像处理性能强、运行稳定；</w:t>
      </w:r>
    </w:p>
    <w:p w14:paraId="092E0D2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1.2、图像输出：支持超高清≥3840*2160数字输出图像；</w:t>
      </w:r>
    </w:p>
    <w:p w14:paraId="30840BB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1.3、高清输出信号接口：具有高清输出端口≥4个,SDI、DVI接口；</w:t>
      </w:r>
    </w:p>
    <w:p w14:paraId="726B642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1.4、输入信号接口：具有外部视频输入信号接口≥2个；</w:t>
      </w:r>
    </w:p>
    <w:p w14:paraId="16B1D77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1.5、USB 端口：USB端口，具有实时存储视频、图片、键盘连接等功能；</w:t>
      </w:r>
    </w:p>
    <w:p w14:paraId="0580956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1.6、图像传输方式：采用高速激光光学传输内镜图像，无线传输/高速率传输</w:t>
      </w:r>
    </w:p>
    <w:p w14:paraId="1FDCFDC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1.7、图像处理系统模式：封闭式FPGA硬件处理系统，信息安全性能稳定；</w:t>
      </w:r>
    </w:p>
    <w:p w14:paraId="160AA57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1.8、电子放大：具备电子放大≥4倍，六档可调；</w:t>
      </w:r>
    </w:p>
    <w:p w14:paraId="5CB615A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1.9、测光模式：具有平均测光/峰值测光/混合（自动)测光；</w:t>
      </w:r>
    </w:p>
    <w:p w14:paraId="3804D14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1.10、具有窄带成像光学或分光染色功能，具备电子染色模式；</w:t>
      </w:r>
    </w:p>
    <w:p w14:paraId="1164833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1.11、色彩定制功能：红色、蓝色、色度饱和度调节；可自定义模式后存储个人模式；</w:t>
      </w:r>
    </w:p>
    <w:p w14:paraId="14EDA8C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1.12、血液强化功能：对内窥镜图像进行图像处理，强化显示血管组织，增强对比；</w:t>
      </w:r>
    </w:p>
    <w:p w14:paraId="0317CE6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1.13、降噪功能：可降低图像的噪点；</w:t>
      </w:r>
    </w:p>
    <w:p w14:paraId="1C0DC9B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1.14、自动增益控制（AGC）：可自动进行电子增益，使图像明亮，并且可手动调节 AGC 亮度目标级别；</w:t>
      </w:r>
    </w:p>
    <w:p w14:paraId="10A5ED2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1.15、白平衡：具有白平衡功能，调试有显示信息反馈，携带白平衡帽并可360°旋转；</w:t>
      </w:r>
    </w:p>
    <w:p w14:paraId="0B695A8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1.16、防抖功能：图像处理器可自行选择冻结前图像中最清晰的图像显示；</w:t>
      </w:r>
    </w:p>
    <w:p w14:paraId="7CFDD3E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1.17、图像冻结：图像可冻结，图像处理器系统，具有内镜按键、脚踏、图像处理器等</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kern w:val="2"/>
          <w:sz w:val="24"/>
          <w:szCs w:val="24"/>
          <w:lang w:val="en-US" w:eastAsia="zh-CN" w:bidi="ar"/>
        </w:rPr>
        <w:t>3种冻结控制模式选择；在冻结时能并行显示冻结和实时图像；</w:t>
      </w:r>
    </w:p>
    <w:p w14:paraId="35A8ED6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1.18、冻结及回放：可冻结图片和回放可再编辑，并支持实时存储U盘；支持图像回放，且对回放图像可以进行血红蛋白强调、结构强化、轮廓强化及数字放大等图像处理；</w:t>
      </w:r>
    </w:p>
    <w:p w14:paraId="6923567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1.20、用户/自定义模式设置：支持用户自定义模式，用户数</w:t>
      </w:r>
      <w:r>
        <w:rPr>
          <w:rFonts w:hint="eastAsia" w:ascii="宋体" w:hAnsi="宋体" w:eastAsia="宋体" w:cs="宋体"/>
          <w:b w:val="0"/>
          <w:bCs/>
          <w:color w:val="000000"/>
          <w:kern w:val="2"/>
          <w:sz w:val="24"/>
          <w:szCs w:val="24"/>
          <w:lang w:val="en-US" w:eastAsia="zh-CN" w:bidi="ar"/>
        </w:rPr>
        <w:t>量≥10</w:t>
      </w:r>
      <w:r>
        <w:rPr>
          <w:rFonts w:hint="eastAsia" w:ascii="宋体" w:hAnsi="宋体" w:eastAsia="宋体" w:cs="宋体"/>
          <w:b w:val="0"/>
          <w:bCs/>
          <w:kern w:val="2"/>
          <w:sz w:val="24"/>
          <w:szCs w:val="24"/>
          <w:lang w:val="en-US" w:eastAsia="zh-CN" w:bidi="ar"/>
        </w:rPr>
        <w:t>个；用户管理存储默认使用的图像输出颜色设置、强化参数、测光模式以及测光目标值设置、气泵等级、放大参数、默认的手柄按钮快捷功能等。医生操控简单无需日常调节参数性能；</w:t>
      </w:r>
    </w:p>
    <w:p w14:paraId="7E219C7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1.21、双光/双画面模式：可动态实时同步显示白光与染色图像于同一画面同步实时显示，直观对比黏膜细节病灶；</w:t>
      </w:r>
    </w:p>
    <w:p w14:paraId="6C81589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1.22、画中画视频输入：PIP按键，可切换画中画输入接口，便于科室大超、小超等内镜视频的接入。有“VIDEO”和“Y/C”等视频信号输入选项；</w:t>
      </w:r>
    </w:p>
    <w:p w14:paraId="3CEA2BB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1.23、使用便捷：更换镜体无需开关机，内镜更换支持热插拔；</w:t>
      </w:r>
    </w:p>
    <w:p w14:paraId="6FBF3AE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lang w:val="en-US" w:eastAsia="zh-CN" w:bidi="ar"/>
        </w:rPr>
      </w:pPr>
      <w:r>
        <w:rPr>
          <w:rFonts w:hint="eastAsia" w:ascii="宋体" w:hAnsi="宋体" w:eastAsia="宋体" w:cs="宋体"/>
          <w:b w:val="0"/>
          <w:bCs/>
          <w:kern w:val="2"/>
          <w:sz w:val="24"/>
          <w:szCs w:val="24"/>
          <w:lang w:val="en-US" w:eastAsia="zh-CN" w:bidi="ar"/>
        </w:rPr>
        <w:t>1.24、设备兼容性：插入管外径≤2.8mm电子鼻咽喉镜，插入管外径≤2.8mm电子支气管镜 ，电子肾盂镜 ，电子膀胱镜 ，十二指肠镜，插入管外径≤5.4mm外径超细电子胃镜用于儿童胃镜检查等。</w:t>
      </w:r>
    </w:p>
    <w:p w14:paraId="0BD6C00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lang w:val="en-US" w:eastAsia="zh-CN" w:bidi="ar"/>
        </w:rPr>
      </w:pPr>
    </w:p>
    <w:p w14:paraId="036D133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产品2： 内窥镜冷光源</w:t>
      </w:r>
    </w:p>
    <w:p w14:paraId="5744CB6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2.1、光源：独立LED光源设备；</w:t>
      </w:r>
    </w:p>
    <w:p w14:paraId="02DA6C0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2.2、多路LED光源：≥5 LED光源；</w:t>
      </w:r>
    </w:p>
    <w:p w14:paraId="10D070A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2.3、照明模式：冷光源具备≥4种照明成像模式，1种白光≥4种及以上的染色照明模式；</w:t>
      </w:r>
    </w:p>
    <w:p w14:paraId="3FC3AF7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2.4、光照强度/亮度：光照强度可调节，自动/手动调光，调光级别≥18级；</w:t>
      </w:r>
    </w:p>
    <w:p w14:paraId="54CBCBC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2.5、透光功能：具备透光闪光功能，可实现体外透视定位；</w:t>
      </w:r>
    </w:p>
    <w:p w14:paraId="554825F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2.6、气泵压力：气泵压力：气泵压力范围40～90kPa；</w:t>
      </w:r>
    </w:p>
    <w:p w14:paraId="4CA36C2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2.7、气体大小选择：气泵流量：气泵流量具有OFF\ L\M\H（关闭、低、中、高）档可选；</w:t>
      </w:r>
    </w:p>
    <w:p w14:paraId="3DA1F68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2.8、气泵流量：流量范围：≥4L/min，≤7L/min；</w:t>
      </w:r>
    </w:p>
    <w:p w14:paraId="42FDF84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2.9、内镜连接：内镜连接采用无线供电模式，无辅助电缆接头，且支持内镜热插拔。</w:t>
      </w:r>
    </w:p>
    <w:p w14:paraId="258612E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4"/>
          <w:szCs w:val="24"/>
          <w:lang w:val="en-US" w:eastAsia="zh-CN" w:bidi="ar"/>
        </w:rPr>
      </w:pPr>
    </w:p>
    <w:p w14:paraId="7F20588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产品3：高清医用监视器</w:t>
      </w:r>
    </w:p>
    <w:p w14:paraId="2ED6B88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3.1、尺寸≥32英寸；</w:t>
      </w:r>
    </w:p>
    <w:p w14:paraId="55B9E17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3.2、分辨率：</w:t>
      </w:r>
      <w:r>
        <w:rPr>
          <w:rFonts w:hint="eastAsia" w:ascii="宋体" w:hAnsi="宋体" w:eastAsia="宋体" w:cs="宋体"/>
          <w:b w:val="0"/>
          <w:bCs/>
          <w:color w:val="000000"/>
          <w:kern w:val="2"/>
          <w:sz w:val="24"/>
          <w:szCs w:val="24"/>
          <w:lang w:val="en-US" w:eastAsia="zh-CN" w:bidi="ar"/>
        </w:rPr>
        <w:t>≥384</w:t>
      </w:r>
      <w:r>
        <w:rPr>
          <w:rFonts w:hint="eastAsia" w:ascii="宋体" w:hAnsi="宋体" w:eastAsia="宋体" w:cs="宋体"/>
          <w:b w:val="0"/>
          <w:bCs/>
          <w:kern w:val="2"/>
          <w:sz w:val="24"/>
          <w:szCs w:val="24"/>
          <w:lang w:val="en-US" w:eastAsia="zh-CN" w:bidi="ar"/>
        </w:rPr>
        <w:t>0 x 2160；</w:t>
      </w:r>
    </w:p>
    <w:p w14:paraId="4881C2E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3.3、支持PIP模式：具有画中画/双屏模式/关；</w:t>
      </w:r>
    </w:p>
    <w:p w14:paraId="54D73D7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3.4、屏幕工艺：彩色，液晶显示屏，防眩，硬涂层；</w:t>
      </w:r>
    </w:p>
    <w:p w14:paraId="20B0B17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3.5、图像可调：具有亮度、对比度、饱和度、清晰度、比例缩放等调节功能。</w:t>
      </w:r>
    </w:p>
    <w:p w14:paraId="2F660D24">
      <w:pPr>
        <w:widowControl/>
        <w:numPr>
          <w:ilvl w:val="0"/>
          <w:numId w:val="0"/>
        </w:numPr>
        <w:spacing w:line="360" w:lineRule="auto"/>
        <w:jc w:val="left"/>
        <w:rPr>
          <w:rFonts w:hint="eastAsia" w:ascii="宋体" w:hAnsi="宋体" w:eastAsia="宋体" w:cs="宋体"/>
          <w:b/>
          <w:bCs/>
          <w:color w:val="000000"/>
          <w:kern w:val="0"/>
          <w:sz w:val="24"/>
          <w:szCs w:val="24"/>
          <w:lang w:val="en-US" w:eastAsia="zh-CN" w:bidi="ar"/>
        </w:rPr>
      </w:pPr>
    </w:p>
    <w:p w14:paraId="142D9521">
      <w:pPr>
        <w:widowControl/>
        <w:numPr>
          <w:ilvl w:val="0"/>
          <w:numId w:val="0"/>
        </w:numPr>
        <w:spacing w:line="360" w:lineRule="auto"/>
        <w:jc w:val="cente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产品4 ：电子结肠镜</w:t>
      </w:r>
    </w:p>
    <w:p w14:paraId="3C6EA1AE">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4.1、具备≥3个照明光窗设计，腔内远景下光线均匀，获得更清晰明亮的临床图；</w:t>
      </w:r>
    </w:p>
    <w:p w14:paraId="02E4C66D">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4.2、导光部一键式拔插设计，支持内镜热插拔，全密封设计，无需防水帽，可直接浸泡消毒；</w:t>
      </w:r>
    </w:p>
    <w:p w14:paraId="34918A7E">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4.3、视野角≥170°；</w:t>
      </w:r>
    </w:p>
    <w:p w14:paraId="53F1EE1C">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4.4、景深：2～100mm；</w:t>
      </w:r>
    </w:p>
    <w:p w14:paraId="33DB73A1">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4.5、头端部外径≤12.2mm；</w:t>
      </w:r>
    </w:p>
    <w:p w14:paraId="2462A688">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4.6、插入部主软管外径≤12.0mm；</w:t>
      </w:r>
    </w:p>
    <w:p w14:paraId="0A2A11DE">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4.7、钳道孔内径：≥3.8mm；</w:t>
      </w:r>
    </w:p>
    <w:p w14:paraId="42569232">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4.8、弯曲角度：上、下≥180°，左、右≥160°；</w:t>
      </w:r>
    </w:p>
    <w:p w14:paraId="5F9E4657">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4.9、有效工作长度≥1350mm；</w:t>
      </w:r>
    </w:p>
    <w:p w14:paraId="7113184C">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4.10、可变硬度：0-4档可调节；</w:t>
      </w:r>
    </w:p>
    <w:p w14:paraId="62000481">
      <w:pPr>
        <w:keepNext w:val="0"/>
        <w:keepLines w:val="0"/>
        <w:widowControl w:val="0"/>
        <w:numPr>
          <w:ilvl w:val="0"/>
          <w:numId w:val="0"/>
        </w:numPr>
        <w:suppressLineNumbers w:val="0"/>
        <w:spacing w:before="0" w:beforeAutospacing="0" w:after="0" w:afterAutospacing="0" w:line="360" w:lineRule="auto"/>
        <w:ind w:left="0" w:leftChars="0" w:right="0" w:firstLine="0" w:firstLineChars="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4.11、智能按键：操作手柄具有快捷按键，可自定义功能按键，且</w:t>
      </w:r>
      <w:r>
        <w:rPr>
          <w:rFonts w:hint="eastAsia" w:ascii="宋体" w:hAnsi="宋体" w:eastAsia="宋体" w:cs="宋体"/>
          <w:b w:val="0"/>
          <w:bCs/>
          <w:color w:val="000000"/>
          <w:kern w:val="2"/>
          <w:sz w:val="24"/>
          <w:szCs w:val="24"/>
          <w:lang w:val="en-US" w:eastAsia="zh-CN" w:bidi="ar"/>
        </w:rPr>
        <w:t>≥4</w:t>
      </w:r>
      <w:r>
        <w:rPr>
          <w:rFonts w:hint="eastAsia" w:ascii="宋体" w:hAnsi="宋体" w:eastAsia="宋体" w:cs="宋体"/>
          <w:b w:val="0"/>
          <w:bCs/>
          <w:kern w:val="2"/>
          <w:sz w:val="24"/>
          <w:szCs w:val="24"/>
          <w:lang w:val="en-US" w:eastAsia="zh-CN" w:bidi="ar"/>
        </w:rPr>
        <w:t>个；</w:t>
      </w:r>
    </w:p>
    <w:p w14:paraId="2041D623">
      <w:pPr>
        <w:keepNext w:val="0"/>
        <w:keepLines w:val="0"/>
        <w:widowControl/>
        <w:suppressLineNumbers w:val="0"/>
        <w:spacing w:line="360" w:lineRule="auto"/>
        <w:jc w:val="left"/>
        <w:rPr>
          <w:rFonts w:hint="eastAsia" w:ascii="宋体" w:hAnsi="宋体" w:eastAsia="宋体" w:cs="宋体"/>
          <w:sz w:val="24"/>
          <w:szCs w:val="24"/>
        </w:rPr>
      </w:pPr>
      <w:r>
        <w:rPr>
          <w:rFonts w:hint="eastAsia" w:ascii="宋体" w:hAnsi="宋体" w:eastAsia="宋体" w:cs="宋体"/>
          <w:b w:val="0"/>
          <w:bCs/>
          <w:kern w:val="2"/>
          <w:sz w:val="24"/>
          <w:szCs w:val="24"/>
          <w:lang w:val="en-US" w:eastAsia="zh-CN" w:bidi="ar"/>
        </w:rPr>
        <w:t>4.12、具备向前副送水功能。</w:t>
      </w:r>
    </w:p>
    <w:p w14:paraId="270EBE4D">
      <w:pPr>
        <w:widowControl/>
        <w:numPr>
          <w:ilvl w:val="0"/>
          <w:numId w:val="0"/>
        </w:numPr>
        <w:spacing w:line="360" w:lineRule="auto"/>
        <w:jc w:val="center"/>
        <w:rPr>
          <w:rFonts w:hint="eastAsia" w:ascii="宋体" w:hAnsi="宋体" w:eastAsia="宋体" w:cs="宋体"/>
          <w:b/>
          <w:bCs/>
          <w:color w:val="000000"/>
          <w:kern w:val="0"/>
          <w:sz w:val="24"/>
          <w:lang w:val="en-US" w:eastAsia="zh-CN" w:bidi="ar"/>
        </w:rPr>
      </w:pPr>
    </w:p>
    <w:p w14:paraId="2084AD7A">
      <w:pPr>
        <w:widowControl/>
        <w:numPr>
          <w:ilvl w:val="0"/>
          <w:numId w:val="0"/>
        </w:numPr>
        <w:spacing w:line="360" w:lineRule="auto"/>
        <w:jc w:val="center"/>
        <w:rPr>
          <w:rFonts w:hint="eastAsia" w:ascii="宋体" w:hAnsi="宋体" w:eastAsia="宋体" w:cs="宋体"/>
          <w:b/>
          <w:bCs/>
          <w:color w:val="000000"/>
          <w:kern w:val="0"/>
          <w:sz w:val="24"/>
          <w:lang w:val="en-US" w:eastAsia="zh-CN" w:bidi="ar"/>
        </w:rPr>
      </w:pPr>
      <w:r>
        <w:rPr>
          <w:rFonts w:hint="eastAsia" w:ascii="宋体" w:hAnsi="宋体" w:eastAsia="宋体" w:cs="宋体"/>
          <w:b/>
          <w:bCs/>
          <w:color w:val="000000"/>
          <w:kern w:val="0"/>
          <w:sz w:val="24"/>
          <w:lang w:val="en-US" w:eastAsia="zh-CN" w:bidi="ar"/>
        </w:rPr>
        <w:t>产品5：</w:t>
      </w:r>
      <w:r>
        <w:rPr>
          <w:rFonts w:hint="eastAsia" w:ascii="宋体" w:hAnsi="宋体" w:eastAsia="宋体" w:cs="宋体"/>
          <w:b/>
          <w:bCs/>
          <w:color w:val="000000"/>
          <w:kern w:val="0"/>
          <w:sz w:val="24"/>
          <w:szCs w:val="24"/>
          <w:lang w:eastAsia="zh-CN" w:bidi="ar"/>
        </w:rPr>
        <w:t>电子胃镜</w:t>
      </w:r>
    </w:p>
    <w:p w14:paraId="4BEDCCD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一、电子胃镜（包含放大胃镜1根，治疗型胃镜1根）</w:t>
      </w:r>
    </w:p>
    <w:p w14:paraId="3427C05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5.1、有效工作长度≥1100mm；</w:t>
      </w:r>
    </w:p>
    <w:p w14:paraId="4C590FE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5.2、导光部一键式拔插设计，支持内镜热插拔，全密封设计，无需防水帽，可直接浸泡消毒；</w:t>
      </w:r>
    </w:p>
    <w:p w14:paraId="125302A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5.3、视野角≥145°；</w:t>
      </w:r>
    </w:p>
    <w:p w14:paraId="71146B5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5.4、景深：2～100mm；</w:t>
      </w:r>
    </w:p>
    <w:p w14:paraId="5EF2612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5.5、头端部外径≤9.2mm；</w:t>
      </w:r>
    </w:p>
    <w:p w14:paraId="67C0018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5.6、插入部主软管外径≤9.2mm；</w:t>
      </w:r>
    </w:p>
    <w:p w14:paraId="346FFAB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5.7、钳道孔内径≥2.8mm；</w:t>
      </w:r>
    </w:p>
    <w:p w14:paraId="61887DB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5.8、弯曲角度：上≥210°，下≥120°，左右各≥100°；</w:t>
      </w:r>
    </w:p>
    <w:p w14:paraId="3FB99C0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5.9、智能按键：操作手柄具有快捷按键，可自定义功能按键，且</w:t>
      </w:r>
      <w:r>
        <w:rPr>
          <w:rFonts w:hint="eastAsia" w:ascii="宋体" w:hAnsi="宋体" w:eastAsia="宋体" w:cs="宋体"/>
          <w:b w:val="0"/>
          <w:bCs/>
          <w:color w:val="000000"/>
          <w:kern w:val="2"/>
          <w:sz w:val="24"/>
          <w:szCs w:val="24"/>
          <w:lang w:val="en-US" w:eastAsia="zh-CN" w:bidi="ar"/>
        </w:rPr>
        <w:t>≥</w:t>
      </w:r>
      <w:r>
        <w:rPr>
          <w:rFonts w:hint="eastAsia" w:ascii="宋体" w:hAnsi="宋体" w:eastAsia="宋体" w:cs="宋体"/>
          <w:b w:val="0"/>
          <w:bCs/>
          <w:kern w:val="2"/>
          <w:sz w:val="24"/>
          <w:szCs w:val="24"/>
          <w:lang w:val="en-US" w:eastAsia="zh-CN" w:bidi="ar"/>
        </w:rPr>
        <w:t>4个；</w:t>
      </w:r>
    </w:p>
    <w:p w14:paraId="36B3B2D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5.10、具备向前副送水功能。</w:t>
      </w:r>
    </w:p>
    <w:p w14:paraId="2185EAB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val="0"/>
          <w:kern w:val="2"/>
          <w:sz w:val="24"/>
          <w:szCs w:val="24"/>
          <w:lang w:val="en-US" w:eastAsia="zh-CN"/>
        </w:rPr>
      </w:pPr>
      <w:r>
        <w:rPr>
          <w:rFonts w:hint="eastAsia" w:ascii="宋体" w:hAnsi="宋体" w:eastAsia="宋体" w:cs="宋体"/>
          <w:b/>
          <w:bCs w:val="0"/>
          <w:kern w:val="2"/>
          <w:sz w:val="24"/>
          <w:szCs w:val="24"/>
          <w:lang w:val="en-US" w:eastAsia="zh-CN" w:bidi="ar"/>
        </w:rPr>
        <w:t>二、超高清治疗型电子胃镜 （1根）</w:t>
      </w:r>
    </w:p>
    <w:p w14:paraId="287CD10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5.11、有效工作长度≥1100mm；</w:t>
      </w:r>
    </w:p>
    <w:p w14:paraId="69B2202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5.12、导光部一键式拔插设计，支持内镜热插拔，全密封设计，无需防水帽，可直接浸泡消毒；</w:t>
      </w:r>
    </w:p>
    <w:p w14:paraId="3099533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5.13、视野角≥145°；</w:t>
      </w:r>
    </w:p>
    <w:p w14:paraId="422BD58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5.14、景深：2～100mm；</w:t>
      </w:r>
    </w:p>
    <w:p w14:paraId="311BCB3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5.15、头端部外径≤9.8mm；</w:t>
      </w:r>
    </w:p>
    <w:p w14:paraId="4E8DF3B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5.16、插入部主软管外径≤9.6mm；</w:t>
      </w:r>
    </w:p>
    <w:p w14:paraId="363983F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5.17、钳道孔内径≥3.2mm；</w:t>
      </w:r>
    </w:p>
    <w:p w14:paraId="7E50240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5.18、弯曲角度：上≥210°，下≥120°，左右各≥100°；</w:t>
      </w:r>
    </w:p>
    <w:p w14:paraId="284FE25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5.19、智能按键：操作手柄具有快捷按键，可自定义功能按键，且≥4个；</w:t>
      </w:r>
    </w:p>
    <w:p w14:paraId="49E9A6C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5.20、具备向前副送水功能；</w:t>
      </w:r>
    </w:p>
    <w:p w14:paraId="4BA12D7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5.21、电子胃镜使用年限≥8年。</w:t>
      </w:r>
    </w:p>
    <w:p w14:paraId="204B633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bCs w:val="0"/>
          <w:kern w:val="2"/>
          <w:sz w:val="24"/>
          <w:szCs w:val="24"/>
          <w:lang w:val="en-US" w:eastAsia="zh-CN"/>
        </w:rPr>
      </w:pPr>
      <w:r>
        <w:rPr>
          <w:rFonts w:hint="eastAsia" w:ascii="宋体" w:hAnsi="宋体" w:eastAsia="宋体" w:cs="宋体"/>
          <w:b/>
          <w:bCs w:val="0"/>
          <w:kern w:val="2"/>
          <w:sz w:val="24"/>
          <w:szCs w:val="24"/>
          <w:lang w:val="en-US" w:eastAsia="zh-CN" w:bidi="ar"/>
        </w:rPr>
        <w:t>三、超高清放大胃镜 （1根）</w:t>
      </w:r>
    </w:p>
    <w:p w14:paraId="7D82C4E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5.22、有效工作长度≥1100mm；</w:t>
      </w:r>
    </w:p>
    <w:p w14:paraId="79C6FB7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5.23、导光部一键式拔插设计，支持内镜热插拔，全密封设计，无需防水帽，可直接浸泡消毒；</w:t>
      </w:r>
    </w:p>
    <w:p w14:paraId="7CC5EDF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5.24、视野角：广角≥145°长焦95°；</w:t>
      </w:r>
    </w:p>
    <w:p w14:paraId="6D2D59E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5.25、景深：广角3mm～100mm、长焦1.5mm～3mm；</w:t>
      </w:r>
    </w:p>
    <w:p w14:paraId="1C7E413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5.26、头端部外径≤9.9mm；</w:t>
      </w:r>
    </w:p>
    <w:p w14:paraId="286F912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5.27、插入部主软管外径≤9.6mm；</w:t>
      </w:r>
    </w:p>
    <w:p w14:paraId="630C3BE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5.28、钳道孔内径≥2.8mm；</w:t>
      </w:r>
    </w:p>
    <w:p w14:paraId="751B1B8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5.29、弯曲角度：上≥210°，下≥90°，左右各≥100°；</w:t>
      </w:r>
    </w:p>
    <w:p w14:paraId="0BC9775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5.30、智能按键：操作手柄具有快捷按键，可自定义功能按键，且≥4个；</w:t>
      </w:r>
    </w:p>
    <w:p w14:paraId="57C4D79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5.31、具备向前副送水功能；</w:t>
      </w:r>
    </w:p>
    <w:p w14:paraId="6F2F300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5.32、电子胃镜使用年限≥8年；</w:t>
      </w:r>
    </w:p>
    <w:p w14:paraId="062BEB8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rPr>
      </w:pPr>
      <w:r>
        <w:rPr>
          <w:rFonts w:hint="eastAsia" w:ascii="宋体" w:hAnsi="宋体" w:eastAsia="宋体" w:cs="宋体"/>
          <w:b w:val="0"/>
          <w:bCs/>
          <w:kern w:val="2"/>
          <w:sz w:val="24"/>
          <w:szCs w:val="24"/>
          <w:lang w:val="en-US" w:eastAsia="zh-CN" w:bidi="ar"/>
        </w:rPr>
        <w:t>5.33、放大倍数：≥100倍。</w:t>
      </w:r>
    </w:p>
    <w:p w14:paraId="3A2EDE2F">
      <w:pPr>
        <w:widowControl/>
        <w:numPr>
          <w:ilvl w:val="0"/>
          <w:numId w:val="0"/>
        </w:numPr>
        <w:spacing w:line="360" w:lineRule="auto"/>
        <w:jc w:val="both"/>
        <w:rPr>
          <w:rFonts w:hint="eastAsia" w:ascii="宋体" w:hAnsi="宋体" w:eastAsia="宋体" w:cs="宋体"/>
          <w:b/>
          <w:bCs/>
          <w:color w:val="000000"/>
          <w:kern w:val="0"/>
          <w:sz w:val="24"/>
          <w:lang w:val="en-US" w:eastAsia="zh-CN" w:bidi="ar"/>
        </w:rPr>
      </w:pPr>
    </w:p>
    <w:p w14:paraId="59FE96A0">
      <w:pPr>
        <w:pStyle w:val="3"/>
        <w:numPr>
          <w:ilvl w:val="0"/>
          <w:numId w:val="0"/>
        </w:numPr>
        <w:spacing w:line="360" w:lineRule="auto"/>
        <w:ind w:firstLine="0" w:firstLineChars="0"/>
        <w:rPr>
          <w:rFonts w:hint="eastAsia" w:ascii="宋体" w:hAnsi="宋体" w:eastAsia="宋体" w:cs="宋体"/>
          <w:b/>
          <w:color w:val="000000"/>
          <w:sz w:val="24"/>
        </w:rPr>
      </w:pPr>
      <w:r>
        <w:rPr>
          <w:rFonts w:hint="eastAsia" w:ascii="宋体" w:hAnsi="宋体" w:eastAsia="宋体" w:cs="宋体"/>
          <w:b/>
          <w:color w:val="000000"/>
          <w:sz w:val="24"/>
          <w:lang w:val="en-US" w:eastAsia="zh-CN"/>
        </w:rPr>
        <w:t>四、</w:t>
      </w:r>
      <w:r>
        <w:rPr>
          <w:rFonts w:hint="eastAsia" w:ascii="宋体" w:hAnsi="宋体" w:eastAsia="宋体" w:cs="宋体"/>
          <w:b/>
          <w:color w:val="000000"/>
          <w:sz w:val="24"/>
        </w:rPr>
        <w:t>其他配套要求：</w:t>
      </w:r>
    </w:p>
    <w:p w14:paraId="0FDEBE53">
      <w:pPr>
        <w:widowControl/>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（一）应急服务要求</w:t>
      </w:r>
    </w:p>
    <w:p w14:paraId="0C600C09">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1.备品备件：中标人提供能够满足质量保证期内的设备维修要求的备品备件，备品备件应是新品。中标人应保证10年以上零部件供应期，并对设备故障等突发状况及时响应。</w:t>
      </w:r>
    </w:p>
    <w:p w14:paraId="781711F6">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2.专用工具：中标人提供设备安装、调试、验收、维修、保养所必要的专用工具、仪器、仪表等工具。</w:t>
      </w:r>
    </w:p>
    <w:p w14:paraId="3E2D4376">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 接到报修后应及时响应，若未及时修复设备故障，应提供备用设备供院方使用。</w:t>
      </w:r>
    </w:p>
    <w:p w14:paraId="4444980D">
      <w:pPr>
        <w:widowControl/>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（二）安装调试、验收试验及质量保证</w:t>
      </w:r>
    </w:p>
    <w:p w14:paraId="4EF1F10F">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1.中标人在设备安装地点负责安装、调试。</w:t>
      </w:r>
    </w:p>
    <w:p w14:paraId="721A7037">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2.具体设备验收标准和程序按采购人要求执行，下列验收程序可参照执行：</w:t>
      </w:r>
    </w:p>
    <w:p w14:paraId="6533E2FD">
      <w:pPr>
        <w:widowControl/>
        <w:spacing w:line="360" w:lineRule="auto"/>
        <w:ind w:firstLine="480" w:firstLineChars="200"/>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01D67C02">
      <w:pPr>
        <w:widowControl/>
        <w:spacing w:line="360" w:lineRule="auto"/>
        <w:ind w:firstLine="480" w:firstLineChars="200"/>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28DAAC36">
      <w:pPr>
        <w:widowControl/>
        <w:spacing w:line="360" w:lineRule="auto"/>
        <w:ind w:firstLine="480" w:firstLineChars="200"/>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2.3中标人应根据采购人使用单位的技术要求提供相应的产品。由中标人所提供的设备部件间的连线和插接件均应视为设备内部器件，包含在相应的设备之中；</w:t>
      </w:r>
    </w:p>
    <w:p w14:paraId="4689F2F9">
      <w:pPr>
        <w:widowControl/>
        <w:spacing w:line="360" w:lineRule="auto"/>
        <w:ind w:firstLine="480" w:firstLineChars="200"/>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2.4运行测试及最终验收。在系统安装、调试结束后，采购人对其进行全面的测试，对测试中暴露出来的问题，中标人应及时进行整改，系统最终测试完毕经验收合格后，采购人应向中标人签发最终验收证明；</w:t>
      </w:r>
    </w:p>
    <w:p w14:paraId="398ED325">
      <w:pPr>
        <w:widowControl/>
        <w:spacing w:line="360" w:lineRule="auto"/>
        <w:ind w:firstLine="480" w:firstLineChars="200"/>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459C0D96">
      <w:pPr>
        <w:widowControl/>
        <w:spacing w:line="360" w:lineRule="auto"/>
        <w:ind w:firstLine="480" w:firstLineChars="200"/>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2.6如设备在验收时有一个或多个指标未能达到要求而属于中标人责任时，则中标人自费采取有效措施，在规定时间内使之达到保证指标。如在规定的时间内仍达不到合格标准时，则中标人应向采购人赔偿。</w:t>
      </w:r>
    </w:p>
    <w:p w14:paraId="27F697F2">
      <w:pPr>
        <w:widowControl/>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（三）包装运输</w:t>
      </w:r>
    </w:p>
    <w:p w14:paraId="3EF59F77">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1.中标人负责设备包装、办理运输和保险，将设备安全运抵交货地点。</w:t>
      </w:r>
    </w:p>
    <w:p w14:paraId="1A662B9F">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2.设备制造完成并通过试验后应及时包装，否则应得到切实的保护，确保其不受污损。</w:t>
      </w:r>
    </w:p>
    <w:p w14:paraId="2008E459">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3.在包装箱外应标明采购人的订货号、发货号。</w:t>
      </w:r>
    </w:p>
    <w:p w14:paraId="24CA5C4B">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4.各种包装应能确保各零部件在运输过程中不致遭到损坏、丢失、变形、受潮和腐蚀。</w:t>
      </w:r>
    </w:p>
    <w:p w14:paraId="0E304FD6">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5.包装箱上应有明显的包装储运图示标志。</w:t>
      </w:r>
    </w:p>
    <w:p w14:paraId="2C4A91E9">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6.整体产品或分别运输的部件都要适应运输和装载的要求。</w:t>
      </w:r>
    </w:p>
    <w:p w14:paraId="45F0AA45">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7.随产品提供的技术资料应完整无缺。</w:t>
      </w:r>
    </w:p>
    <w:p w14:paraId="38FC12B1">
      <w:pPr>
        <w:widowControl/>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（四）培训要求</w:t>
      </w:r>
    </w:p>
    <w:p w14:paraId="2D8C9835">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1.技术人员厂方培训：维修维护不少于1人，设备培训时间不低于3天，有详细的技术培训方案和完整规范的培训资料，培训结束获得厂方授权或资质许可，交通、食宿、资料、工具材料等所有与培训相关的费用包含在投标报价中。设备使用培训：不少于2-4人，直至完全掌握设备应用技术，并获厂方资质许可；交通、食宿、资料、工具材料等所有与培训相关的费用包含在投标报价中。</w:t>
      </w:r>
    </w:p>
    <w:p w14:paraId="2F5F9CC7">
      <w:pPr>
        <w:widowControl/>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（五）质保及售后服务</w:t>
      </w:r>
    </w:p>
    <w:p w14:paraId="49D3CA1E">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1.自双方签订《验收报告》起进入免费质保期。</w:t>
      </w:r>
    </w:p>
    <w:p w14:paraId="6E1A3638">
      <w:pPr>
        <w:widowControl/>
        <w:spacing w:line="360" w:lineRule="auto"/>
        <w:jc w:val="left"/>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2.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p>
    <w:p w14:paraId="3EB2F7F6">
      <w:pPr>
        <w:widowControl/>
        <w:spacing w:line="360" w:lineRule="auto"/>
        <w:jc w:val="left"/>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（六）其他</w:t>
      </w:r>
    </w:p>
    <w:p w14:paraId="4A6B1C75">
      <w:pPr>
        <w:spacing w:line="360" w:lineRule="auto"/>
      </w:pPr>
      <w:r>
        <w:rPr>
          <w:rFonts w:hint="eastAsia" w:ascii="宋体" w:hAnsi="宋体" w:eastAsia="宋体" w:cs="宋体"/>
          <w:color w:val="000000"/>
          <w:kern w:val="0"/>
          <w:sz w:val="24"/>
          <w:lang w:bidi="ar"/>
        </w:rPr>
        <w:t>1.投标人所投产品应为性能稳定、安全的成熟设备，故障率低、维修便利，并在投标文件中针对所投产品技术先进性、设备性能、配置情况、设计等方面进行阐述说明，提供相应证明材料。</w:t>
      </w:r>
      <w:bookmarkStart w:id="8" w:name="_GoBack"/>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9239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4"/>
    <w:uiPriority w:val="0"/>
    <w:pPr>
      <w:ind w:firstLine="420" w:firstLineChars="200"/>
    </w:pPr>
  </w:style>
  <w:style w:type="paragraph" w:styleId="4">
    <w:name w:val="Body Text First Indent 2"/>
    <w:basedOn w:val="5"/>
    <w:qFormat/>
    <w:uiPriority w:val="99"/>
    <w:pPr>
      <w:spacing w:after="0"/>
      <w:ind w:left="0" w:leftChars="0" w:firstLine="420"/>
    </w:pPr>
    <w:rPr>
      <w:rFonts w:ascii="楷体_GB2312" w:eastAsia="楷体_GB2312"/>
      <w:sz w:val="32"/>
    </w:rPr>
  </w:style>
  <w:style w:type="paragraph" w:styleId="5">
    <w:name w:val="Body Text Indent"/>
    <w:basedOn w:val="1"/>
    <w:qFormat/>
    <w:uiPriority w:val="99"/>
    <w:pPr>
      <w:spacing w:after="120" w:afterLines="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2026-10-21T08:39:49Z</dcterms:created>
  <dc:creator>admin</dc:creator>
  <cp:lastModifiedBy>豆奶是个小胖子</cp:lastModifiedBy>
  <dcterms:modified xsi:type="dcterms:W3CDTF">2026-10-21T08:40:19Z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eyJoZGlkIjoiNmExMjc1NzQ3NWFiZTgzMjNiYTYxNmEzOTMwZTVjYjAiLCJ1c2VySWQiOiIzMDI3OTc1ODcifQ==</vt:lpwstr>
  </property>
  <property fmtid="{D5CDD505-2E9C-101B-9397-08002B2CF9AE}" pid="4" name="ICV">
    <vt:lpwstr>C426993B2E9C4D998E05156C46EE9D54_12</vt:lpwstr>
  </property>
</Properties>
</file>