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92F0AC">
      <w:pPr>
        <w:numPr>
          <w:ilvl w:val="0"/>
          <w:numId w:val="1"/>
        </w:numPr>
        <w:spacing w:line="360" w:lineRule="auto"/>
        <w:jc w:val="center"/>
        <w:outlineLvl w:val="0"/>
        <w:rPr>
          <w:rFonts w:hint="eastAsia" w:ascii="宋体" w:hAnsi="宋体" w:eastAsia="宋体"/>
          <w:b/>
          <w:color w:val="auto"/>
          <w:sz w:val="28"/>
          <w:highlight w:val="none"/>
          <w:lang w:eastAsia="zh-CN"/>
        </w:rPr>
      </w:pPr>
      <w:bookmarkStart w:id="0" w:name="_Toc22605"/>
      <w:r>
        <w:rPr>
          <w:rFonts w:hint="eastAsia" w:ascii="宋体" w:hAnsi="宋体" w:eastAsia="宋体"/>
          <w:b/>
          <w:color w:val="auto"/>
          <w:sz w:val="28"/>
          <w:highlight w:val="none"/>
        </w:rPr>
        <w:t>采购需求</w:t>
      </w:r>
      <w:bookmarkEnd w:id="0"/>
    </w:p>
    <w:p w14:paraId="1C113564">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前注：</w:t>
      </w:r>
    </w:p>
    <w:p w14:paraId="6218C212">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本采购需求中提出的服务方案仅为参考，如无明确限制，投标人可以进行优化，提供满足采购人实际需要的更优（或者性能实质上不低于的）服务方案，且此方案须经评标委员会评审认可。</w:t>
      </w:r>
    </w:p>
    <w:p w14:paraId="4CEEDA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sz w:val="24"/>
          <w:szCs w:val="24"/>
          <w:highlight w:val="none"/>
        </w:rPr>
        <w:t>政府采购政策（包括但不限于下列具体政策要求</w:t>
      </w:r>
      <w:r>
        <w:rPr>
          <w:rFonts w:hint="eastAsia" w:ascii="宋体" w:hAnsi="宋体" w:eastAsia="宋体" w:cs="宋体"/>
          <w:sz w:val="24"/>
          <w:szCs w:val="24"/>
          <w:highlight w:val="none"/>
          <w:lang w:eastAsia="zh-CN"/>
        </w:rPr>
        <w:t>）</w:t>
      </w:r>
      <w:r>
        <w:rPr>
          <w:rFonts w:hint="eastAsia" w:ascii="宋体" w:hAnsi="宋体" w:eastAsia="宋体" w:cs="宋体"/>
          <w:color w:val="auto"/>
          <w:sz w:val="24"/>
          <w:szCs w:val="24"/>
          <w:highlight w:val="none"/>
        </w:rPr>
        <w:t>：</w:t>
      </w:r>
    </w:p>
    <w:p w14:paraId="49FD2B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6A108D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573994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bCs/>
          <w:color w:val="auto"/>
          <w:sz w:val="24"/>
          <w:szCs w:val="18"/>
          <w:highlight w:val="none"/>
        </w:rPr>
      </w:pPr>
      <w:r>
        <w:rPr>
          <w:rFonts w:hint="eastAsia" w:ascii="宋体" w:hAnsi="宋体" w:eastAsia="宋体" w:cs="宋体"/>
          <w:color w:val="auto"/>
          <w:sz w:val="24"/>
          <w:szCs w:val="24"/>
          <w:highlight w:val="none"/>
        </w:rPr>
        <w:t>3.如采购人允许采用分包方式履行合同的，应当明确可以分包履行的相关内容。</w:t>
      </w:r>
    </w:p>
    <w:p w14:paraId="7E22CDDF">
      <w:pPr>
        <w:spacing w:line="360" w:lineRule="auto"/>
        <w:ind w:firstLine="437"/>
        <w:outlineLvl w:val="1"/>
        <w:rPr>
          <w:rFonts w:ascii="宋体" w:hAnsi="宋体" w:eastAsia="宋体"/>
          <w:b/>
          <w:color w:val="auto"/>
          <w:sz w:val="24"/>
          <w:szCs w:val="18"/>
          <w:highlight w:val="none"/>
        </w:rPr>
      </w:pPr>
      <w:bookmarkStart w:id="1" w:name="_Toc4148"/>
      <w:bookmarkStart w:id="2" w:name="_Toc21798"/>
      <w:bookmarkStart w:id="3" w:name="_Hlk23621890"/>
      <w:r>
        <w:rPr>
          <w:rFonts w:hint="eastAsia" w:ascii="宋体" w:hAnsi="宋体" w:eastAsia="宋体"/>
          <w:b/>
          <w:color w:val="auto"/>
          <w:sz w:val="24"/>
          <w:szCs w:val="18"/>
          <w:highlight w:val="none"/>
        </w:rPr>
        <w:t>一、采购需求前附表</w:t>
      </w:r>
      <w:bookmarkEnd w:id="1"/>
      <w:bookmarkEnd w:id="2"/>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2170"/>
        <w:gridCol w:w="5486"/>
      </w:tblGrid>
      <w:tr w14:paraId="4DEAA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8" w:type="pct"/>
            <w:vAlign w:val="center"/>
          </w:tcPr>
          <w:p w14:paraId="1D820DDC">
            <w:pPr>
              <w:widowControl w:val="0"/>
              <w:pBdr>
                <w:bottom w:val="none" w:color="auto" w:sz="0" w:space="0"/>
              </w:pBdr>
              <w:adjustRightInd/>
              <w:snapToGrid/>
              <w:spacing w:line="240" w:lineRule="auto"/>
              <w:jc w:val="center"/>
              <w:textAlignment w:val="auto"/>
              <w:rPr>
                <w:rFonts w:ascii="宋体" w:hAnsi="宋体" w:eastAsia="宋体" w:cs="@仿宋_GB2312"/>
                <w:b/>
                <w:color w:val="auto"/>
                <w:kern w:val="2"/>
                <w:sz w:val="24"/>
                <w:szCs w:val="20"/>
                <w:highlight w:val="none"/>
                <w:lang w:val="en-US" w:eastAsia="zh-CN" w:bidi="ar-SA"/>
              </w:rPr>
            </w:pPr>
            <w:r>
              <w:rPr>
                <w:rFonts w:hint="eastAsia" w:ascii="宋体" w:hAnsi="宋体" w:eastAsia="宋体" w:cs="@仿宋_GB2312"/>
                <w:b/>
                <w:color w:val="auto"/>
                <w:kern w:val="2"/>
                <w:sz w:val="24"/>
                <w:szCs w:val="20"/>
                <w:highlight w:val="none"/>
                <w:lang w:val="en-US" w:eastAsia="zh-CN" w:bidi="ar-SA"/>
              </w:rPr>
              <w:t>序号</w:t>
            </w:r>
          </w:p>
        </w:tc>
        <w:tc>
          <w:tcPr>
            <w:tcW w:w="1273" w:type="pct"/>
            <w:vAlign w:val="center"/>
          </w:tcPr>
          <w:p w14:paraId="156307B7">
            <w:pPr>
              <w:widowControl w:val="0"/>
              <w:spacing w:before="0" w:beforeAutospacing="0" w:after="0" w:afterAutospacing="0" w:line="360" w:lineRule="auto"/>
              <w:jc w:val="center"/>
              <w:rPr>
                <w:rFonts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条款名称</w:t>
            </w:r>
          </w:p>
        </w:tc>
        <w:tc>
          <w:tcPr>
            <w:tcW w:w="3217" w:type="pct"/>
            <w:vAlign w:val="center"/>
          </w:tcPr>
          <w:p w14:paraId="450F3AF1">
            <w:pPr>
              <w:widowControl w:val="0"/>
              <w:spacing w:before="0" w:beforeAutospacing="0" w:after="0" w:afterAutospacing="0" w:line="360" w:lineRule="auto"/>
              <w:jc w:val="center"/>
              <w:rPr>
                <w:rFonts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内容、说明与要求</w:t>
            </w:r>
          </w:p>
        </w:tc>
      </w:tr>
      <w:tr w14:paraId="0E267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8" w:type="pct"/>
            <w:vAlign w:val="center"/>
          </w:tcPr>
          <w:p w14:paraId="6A340CA2">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1</w:t>
            </w:r>
          </w:p>
        </w:tc>
        <w:tc>
          <w:tcPr>
            <w:tcW w:w="1273" w:type="pct"/>
            <w:vAlign w:val="center"/>
          </w:tcPr>
          <w:p w14:paraId="6DE7A184">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付款方式</w:t>
            </w:r>
          </w:p>
        </w:tc>
        <w:tc>
          <w:tcPr>
            <w:tcW w:w="3217" w:type="pct"/>
            <w:vAlign w:val="center"/>
          </w:tcPr>
          <w:p w14:paraId="037901F1">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合同生效后，支付合同价款的70%；项目履约完成经验收合格后，支付剩余的30%合同价款。</w:t>
            </w:r>
          </w:p>
        </w:tc>
      </w:tr>
      <w:tr w14:paraId="184B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8" w:type="pct"/>
            <w:vAlign w:val="center"/>
          </w:tcPr>
          <w:p w14:paraId="02F86747">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2</w:t>
            </w:r>
          </w:p>
        </w:tc>
        <w:tc>
          <w:tcPr>
            <w:tcW w:w="1273" w:type="pct"/>
            <w:vAlign w:val="center"/>
          </w:tcPr>
          <w:p w14:paraId="59252007">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服务地点</w:t>
            </w:r>
          </w:p>
        </w:tc>
        <w:tc>
          <w:tcPr>
            <w:tcW w:w="3217" w:type="pct"/>
            <w:vAlign w:val="center"/>
          </w:tcPr>
          <w:p w14:paraId="485D2EF4">
            <w:pPr>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default" w:ascii="宋体" w:hAnsi="宋体" w:eastAsia="宋体" w:cs="@仿宋_GB2312"/>
                <w:b w:val="0"/>
                <w:bCs/>
                <w:color w:val="auto"/>
                <w:kern w:val="0"/>
                <w:sz w:val="24"/>
                <w:szCs w:val="28"/>
                <w:highlight w:val="none"/>
                <w:lang w:val="en-US" w:eastAsia="zh-CN" w:bidi="ar-SA"/>
              </w:rPr>
              <w:t>安徽省，具体按采购人指定地点。</w:t>
            </w:r>
          </w:p>
        </w:tc>
      </w:tr>
      <w:tr w14:paraId="46BC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8" w:type="pct"/>
            <w:vAlign w:val="center"/>
          </w:tcPr>
          <w:p w14:paraId="7A64A094">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3</w:t>
            </w:r>
          </w:p>
        </w:tc>
        <w:tc>
          <w:tcPr>
            <w:tcW w:w="1273" w:type="pct"/>
            <w:vAlign w:val="center"/>
          </w:tcPr>
          <w:p w14:paraId="72AF6EFE">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服务期限</w:t>
            </w:r>
          </w:p>
        </w:tc>
        <w:tc>
          <w:tcPr>
            <w:tcW w:w="3217" w:type="pct"/>
            <w:vAlign w:val="center"/>
          </w:tcPr>
          <w:p w14:paraId="7A713831">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自合同生效之日起，至2027年6月30日前完成所有服务内容。</w:t>
            </w:r>
          </w:p>
        </w:tc>
      </w:tr>
      <w:tr w14:paraId="3DBE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8" w:type="pct"/>
            <w:vAlign w:val="center"/>
          </w:tcPr>
          <w:p w14:paraId="6ABF962E">
            <w:pPr>
              <w:widowControl w:val="0"/>
              <w:pBdr>
                <w:bottom w:val="none" w:color="auto" w:sz="0" w:space="0"/>
              </w:pBdr>
              <w:adjustRightInd/>
              <w:snapToGrid/>
              <w:spacing w:line="240" w:lineRule="auto"/>
              <w:jc w:val="center"/>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4</w:t>
            </w:r>
          </w:p>
        </w:tc>
        <w:tc>
          <w:tcPr>
            <w:tcW w:w="1273" w:type="pct"/>
            <w:vAlign w:val="center"/>
          </w:tcPr>
          <w:p w14:paraId="01E0E4F8">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本项目采购标的名称及所属行业</w:t>
            </w:r>
          </w:p>
        </w:tc>
        <w:tc>
          <w:tcPr>
            <w:tcW w:w="3217" w:type="pct"/>
            <w:vAlign w:val="center"/>
          </w:tcPr>
          <w:p w14:paraId="5E314980">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标的名称：安徽省重点水域水生生物重要栖息地调查项目</w:t>
            </w:r>
          </w:p>
          <w:p w14:paraId="1918F60A">
            <w:pPr>
              <w:spacing w:line="360" w:lineRule="auto"/>
              <w:jc w:val="left"/>
              <w:rPr>
                <w:rFonts w:hint="default" w:ascii="宋体" w:hAnsi="宋体" w:eastAsia="宋体"/>
                <w:color w:val="auto"/>
                <w:sz w:val="24"/>
                <w:highlight w:val="none"/>
                <w:lang w:val="en-US" w:eastAsia="zh-CN"/>
              </w:rPr>
            </w:pPr>
            <w:r>
              <w:rPr>
                <w:rFonts w:hint="eastAsia" w:ascii="宋体" w:hAnsi="宋体" w:eastAsia="宋体"/>
                <w:color w:val="auto"/>
                <w:sz w:val="24"/>
                <w:highlight w:val="none"/>
              </w:rPr>
              <w:t>所属行业：其他未列明行业</w:t>
            </w:r>
          </w:p>
        </w:tc>
      </w:tr>
    </w:tbl>
    <w:p w14:paraId="358673D8">
      <w:pPr>
        <w:numPr>
          <w:ilvl w:val="0"/>
          <w:numId w:val="0"/>
        </w:numPr>
        <w:spacing w:line="360" w:lineRule="auto"/>
        <w:ind w:firstLine="482" w:firstLineChars="200"/>
        <w:outlineLvl w:val="1"/>
        <w:rPr>
          <w:rFonts w:hint="eastAsia" w:ascii="宋体" w:hAnsi="宋体" w:eastAsia="宋体"/>
          <w:b/>
          <w:color w:val="auto"/>
          <w:sz w:val="24"/>
          <w:szCs w:val="18"/>
          <w:highlight w:val="none"/>
        </w:rPr>
      </w:pPr>
      <w:bookmarkStart w:id="4" w:name="_Toc16543"/>
      <w:bookmarkStart w:id="5" w:name="_Toc8753"/>
      <w:bookmarkStart w:id="6" w:name="_Hlk16461016"/>
      <w:r>
        <w:rPr>
          <w:rFonts w:hint="eastAsia" w:ascii="宋体" w:hAnsi="宋体" w:eastAsia="宋体"/>
          <w:b/>
          <w:color w:val="auto"/>
          <w:sz w:val="24"/>
          <w:szCs w:val="18"/>
          <w:highlight w:val="none"/>
          <w:lang w:val="en-US" w:eastAsia="zh-CN"/>
        </w:rPr>
        <w:t>二、</w:t>
      </w:r>
      <w:r>
        <w:rPr>
          <w:rFonts w:hint="eastAsia" w:ascii="宋体" w:hAnsi="宋体" w:eastAsia="宋体"/>
          <w:b/>
          <w:color w:val="auto"/>
          <w:sz w:val="24"/>
          <w:szCs w:val="18"/>
          <w:highlight w:val="none"/>
        </w:rPr>
        <w:t>项目概况</w:t>
      </w:r>
      <w:bookmarkEnd w:id="4"/>
      <w:bookmarkEnd w:id="5"/>
    </w:p>
    <w:p w14:paraId="15E6D9D8">
      <w:pPr>
        <w:adjustRightInd w:val="0"/>
        <w:snapToGrid w:val="0"/>
        <w:spacing w:line="360" w:lineRule="auto"/>
        <w:ind w:firstLine="480" w:firstLineChars="200"/>
        <w:jc w:val="left"/>
        <w:outlineLvl w:val="0"/>
        <w:rPr>
          <w:rFonts w:ascii="宋体" w:hAnsi="宋体" w:eastAsia="宋体" w:cs="宋体"/>
          <w:sz w:val="24"/>
          <w:szCs w:val="24"/>
        </w:rPr>
      </w:pPr>
      <w:r>
        <w:rPr>
          <w:rFonts w:hint="eastAsia" w:ascii="宋体" w:hAnsi="宋体" w:eastAsia="宋体" w:cs="宋体"/>
          <w:sz w:val="24"/>
          <w:szCs w:val="24"/>
        </w:rPr>
        <w:t>为贯彻落实《中华人民共和国野生动物保护法》《中华人民共和国长江保护法》《国务院办公厅关于加强长江水生生物保护工作的意见》</w:t>
      </w:r>
      <w:r>
        <w:rPr>
          <w:rFonts w:hint="eastAsia" w:ascii="宋体" w:hAnsi="宋体" w:eastAsia="宋体" w:cs="宋体"/>
          <w:sz w:val="24"/>
          <w:szCs w:val="24"/>
          <w:lang w:eastAsia="zh-CN"/>
        </w:rPr>
        <w:t>《国务院办公厅关于坚定不移推进长江十年禁渔的意见》</w:t>
      </w:r>
      <w:r>
        <w:rPr>
          <w:rFonts w:hint="eastAsia" w:ascii="宋体" w:hAnsi="宋体" w:eastAsia="宋体" w:cs="宋体"/>
          <w:sz w:val="24"/>
          <w:szCs w:val="24"/>
        </w:rPr>
        <w:t>《长江水生生物保护管理规定》等法律法规和政策文件的具体要求，加强生物多样性及水生野生动物保护，针对安徽省重点水域水生生物重要栖息地开展调查，摸清渔业资源、重点保护水生野生动物产卵场、索饵场、越冬场和洄游通道等重要栖息地状况，掌握水产种质资源保护区以外重点水域以产卵场为重点的重要栖息地现状，以及调查水域重要栖息地水生野生动物、水生生物多样性及生境质量，支撑出台安徽省重点水域水生生物重要栖息地名录。</w:t>
      </w:r>
    </w:p>
    <w:p w14:paraId="5F936F56">
      <w:pPr>
        <w:numPr>
          <w:ilvl w:val="0"/>
          <w:numId w:val="0"/>
        </w:numPr>
        <w:spacing w:line="360" w:lineRule="auto"/>
        <w:ind w:left="437" w:leftChars="0"/>
        <w:outlineLvl w:val="1"/>
        <w:rPr>
          <w:rFonts w:hint="eastAsia" w:ascii="宋体" w:hAnsi="宋体" w:eastAsia="宋体"/>
          <w:b/>
          <w:color w:val="auto"/>
          <w:sz w:val="24"/>
          <w:szCs w:val="18"/>
          <w:highlight w:val="none"/>
        </w:rPr>
      </w:pPr>
      <w:bookmarkStart w:id="7" w:name="_Toc27920"/>
      <w:bookmarkStart w:id="8" w:name="_Toc13016"/>
      <w:r>
        <w:rPr>
          <w:rFonts w:hint="eastAsia" w:ascii="宋体" w:hAnsi="宋体" w:eastAsia="宋体"/>
          <w:b/>
          <w:color w:val="auto"/>
          <w:sz w:val="24"/>
          <w:szCs w:val="18"/>
          <w:highlight w:val="none"/>
          <w:lang w:val="en-US" w:eastAsia="zh-CN"/>
        </w:rPr>
        <w:t>三、</w:t>
      </w:r>
      <w:r>
        <w:rPr>
          <w:rFonts w:hint="eastAsia" w:ascii="宋体" w:hAnsi="宋体" w:eastAsia="宋体"/>
          <w:b/>
          <w:color w:val="auto"/>
          <w:sz w:val="24"/>
          <w:szCs w:val="18"/>
          <w:highlight w:val="none"/>
        </w:rPr>
        <w:t>服务需求</w:t>
      </w:r>
      <w:bookmarkEnd w:id="7"/>
      <w:bookmarkEnd w:id="8"/>
    </w:p>
    <w:p w14:paraId="2159B86B">
      <w:pPr>
        <w:numPr>
          <w:ilvl w:val="0"/>
          <w:numId w:val="0"/>
        </w:numPr>
        <w:spacing w:line="360" w:lineRule="auto"/>
        <w:ind w:firstLine="480" w:firstLineChars="200"/>
        <w:jc w:val="left"/>
        <w:outlineLvl w:val="1"/>
        <w:rPr>
          <w:rFonts w:ascii="Times New Roman" w:hAnsi="Times New Roman" w:eastAsia="宋体" w:cs="Times New Roman"/>
          <w:sz w:val="24"/>
        </w:rPr>
      </w:pPr>
      <w:bookmarkStart w:id="9" w:name="_Toc16414"/>
      <w:bookmarkStart w:id="10" w:name="_Toc20717"/>
      <w:r>
        <w:rPr>
          <w:rFonts w:ascii="Times New Roman" w:hAnsi="Times New Roman" w:eastAsia="宋体" w:cs="Times New Roman"/>
          <w:sz w:val="24"/>
        </w:rPr>
        <w:t>本次采购内容为科学准确地掌握安徽省重点水域水生生物</w:t>
      </w:r>
      <w:r>
        <w:rPr>
          <w:rFonts w:hint="eastAsia" w:ascii="Times New Roman" w:hAnsi="Times New Roman" w:eastAsia="宋体" w:cs="Times New Roman"/>
          <w:sz w:val="24"/>
        </w:rPr>
        <w:t>重要</w:t>
      </w:r>
      <w:r>
        <w:rPr>
          <w:rFonts w:ascii="Times New Roman" w:hAnsi="Times New Roman" w:eastAsia="宋体" w:cs="Times New Roman"/>
          <w:sz w:val="24"/>
        </w:rPr>
        <w:t>栖息地现状。包括但不限于编制《安徽省重点水域水生生物重要栖息地</w:t>
      </w:r>
      <w:r>
        <w:rPr>
          <w:rFonts w:hint="eastAsia" w:ascii="Times New Roman" w:hAnsi="Times New Roman" w:eastAsia="宋体" w:cs="Times New Roman"/>
          <w:sz w:val="24"/>
        </w:rPr>
        <w:t>状况</w:t>
      </w:r>
      <w:r>
        <w:rPr>
          <w:rFonts w:ascii="Times New Roman" w:hAnsi="Times New Roman" w:eastAsia="宋体" w:cs="Times New Roman"/>
          <w:sz w:val="24"/>
        </w:rPr>
        <w:t>调查项目工作方案》，内容涵盖安徽省重点水域水生生物重要栖息地调查项目调查站位整体布局、服务方案、组织架构、预算明细等，</w:t>
      </w:r>
      <w:r>
        <w:rPr>
          <w:rFonts w:hint="eastAsia" w:ascii="Times New Roman" w:hAnsi="Times New Roman" w:eastAsia="宋体" w:cs="Times New Roman"/>
          <w:sz w:val="24"/>
        </w:rPr>
        <w:t>提交</w:t>
      </w:r>
      <w:r>
        <w:rPr>
          <w:rFonts w:ascii="Times New Roman" w:hAnsi="Times New Roman" w:eastAsia="宋体" w:cs="Times New Roman"/>
          <w:sz w:val="24"/>
        </w:rPr>
        <w:t>安徽省重点水域水生生物重要栖息地调查报告。安徽省重点水域水生生物重要栖息地调查项目验收完成前，为省农业农村厅提供工作方案完善、项目实施咨询等服务。</w:t>
      </w:r>
    </w:p>
    <w:p w14:paraId="5F9F100D">
      <w:pPr>
        <w:spacing w:line="360" w:lineRule="auto"/>
        <w:ind w:left="482"/>
        <w:rPr>
          <w:rFonts w:ascii="Times New Roman" w:hAnsi="Times New Roman" w:eastAsia="宋体" w:cs="Times New Roman"/>
          <w:b/>
          <w:bCs/>
          <w:sz w:val="24"/>
        </w:rPr>
      </w:pPr>
      <w:r>
        <w:rPr>
          <w:rFonts w:ascii="Times New Roman" w:hAnsi="Times New Roman" w:eastAsia="宋体" w:cs="Times New Roman"/>
          <w:b/>
          <w:bCs/>
          <w:sz w:val="24"/>
        </w:rPr>
        <w:t>（</w:t>
      </w:r>
      <w:r>
        <w:rPr>
          <w:rFonts w:hint="eastAsia" w:ascii="Times New Roman" w:hAnsi="Times New Roman" w:eastAsia="宋体" w:cs="Times New Roman"/>
          <w:b/>
          <w:bCs/>
          <w:sz w:val="24"/>
        </w:rPr>
        <w:t>一</w:t>
      </w:r>
      <w:r>
        <w:rPr>
          <w:rFonts w:ascii="Times New Roman" w:hAnsi="Times New Roman" w:eastAsia="宋体" w:cs="Times New Roman"/>
          <w:b/>
          <w:bCs/>
          <w:sz w:val="24"/>
        </w:rPr>
        <w:t>）</w:t>
      </w:r>
      <w:r>
        <w:rPr>
          <w:rFonts w:hint="eastAsia" w:ascii="Times New Roman" w:hAnsi="Times New Roman" w:eastAsia="宋体" w:cs="Times New Roman"/>
          <w:b/>
          <w:bCs/>
          <w:sz w:val="24"/>
        </w:rPr>
        <w:t>项目目标</w:t>
      </w:r>
    </w:p>
    <w:p w14:paraId="5C284915">
      <w:pPr>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为加强水生生物多样性及水生野生动物保护，</w:t>
      </w:r>
      <w:r>
        <w:rPr>
          <w:rFonts w:ascii="Times New Roman" w:hAnsi="Times New Roman" w:eastAsia="宋体" w:cs="Times New Roman"/>
          <w:sz w:val="24"/>
        </w:rPr>
        <w:t>针对安徽省重点水域水生生物</w:t>
      </w:r>
      <w:r>
        <w:rPr>
          <w:rFonts w:hint="eastAsia" w:ascii="Times New Roman" w:hAnsi="Times New Roman" w:eastAsia="宋体" w:cs="Times New Roman"/>
          <w:sz w:val="24"/>
        </w:rPr>
        <w:t>及其</w:t>
      </w:r>
      <w:r>
        <w:rPr>
          <w:rFonts w:ascii="Times New Roman" w:hAnsi="Times New Roman" w:eastAsia="宋体" w:cs="Times New Roman"/>
          <w:sz w:val="24"/>
        </w:rPr>
        <w:t>重要栖息地开展调查，以规范方法结合先进技术，以面上兼顾、突出重点为原则，</w:t>
      </w:r>
      <w:r>
        <w:rPr>
          <w:rFonts w:hint="eastAsia" w:ascii="Times New Roman" w:hAnsi="Times New Roman" w:eastAsia="宋体" w:cs="Times New Roman"/>
          <w:sz w:val="24"/>
        </w:rPr>
        <w:t>主要</w:t>
      </w:r>
      <w:r>
        <w:rPr>
          <w:rFonts w:ascii="Times New Roman" w:hAnsi="Times New Roman" w:eastAsia="宋体" w:cs="Times New Roman"/>
          <w:sz w:val="24"/>
        </w:rPr>
        <w:t>对现有水产种质资源保护区以外水域，从重要生境和重要物种两个维度，掌握安徽省重点水域水产种质资源保护区以外水域重要</w:t>
      </w:r>
      <w:r>
        <w:rPr>
          <w:rFonts w:hint="eastAsia" w:ascii="Times New Roman" w:hAnsi="Times New Roman" w:eastAsia="宋体" w:cs="Times New Roman"/>
          <w:sz w:val="24"/>
        </w:rPr>
        <w:t>水生生物的</w:t>
      </w:r>
      <w:r>
        <w:rPr>
          <w:rFonts w:ascii="Times New Roman" w:hAnsi="Times New Roman" w:eastAsia="宋体" w:cs="Times New Roman"/>
          <w:sz w:val="24"/>
        </w:rPr>
        <w:t>产卵场、索饵场、越冬场及洄游通道等重要栖息地现状，支撑出台安徽省</w:t>
      </w:r>
      <w:r>
        <w:rPr>
          <w:rFonts w:hint="eastAsia" w:ascii="Times New Roman" w:hAnsi="Times New Roman" w:eastAsia="宋体" w:cs="Times New Roman"/>
          <w:sz w:val="24"/>
        </w:rPr>
        <w:t>重点水域</w:t>
      </w:r>
      <w:r>
        <w:rPr>
          <w:rFonts w:ascii="Times New Roman" w:hAnsi="Times New Roman" w:eastAsia="宋体" w:cs="Times New Roman"/>
          <w:sz w:val="24"/>
        </w:rPr>
        <w:t>水生生物重要栖息地名录，为</w:t>
      </w:r>
      <w:r>
        <w:rPr>
          <w:rFonts w:hint="eastAsia" w:ascii="Times New Roman" w:hAnsi="Times New Roman" w:eastAsia="宋体" w:cs="Times New Roman"/>
          <w:sz w:val="24"/>
          <w:lang w:eastAsia="zh-CN"/>
        </w:rPr>
        <w:t>推动</w:t>
      </w:r>
      <w:r>
        <w:rPr>
          <w:rFonts w:ascii="Times New Roman" w:hAnsi="Times New Roman" w:eastAsia="宋体" w:cs="Times New Roman"/>
          <w:sz w:val="24"/>
        </w:rPr>
        <w:t>安徽省水生生物全面保护和系统修复提供支撑。</w:t>
      </w:r>
    </w:p>
    <w:p w14:paraId="1C9FBF13">
      <w:pPr>
        <w:spacing w:line="360" w:lineRule="auto"/>
        <w:ind w:left="482"/>
        <w:rPr>
          <w:rFonts w:ascii="Times New Roman" w:hAnsi="Times New Roman" w:eastAsia="宋体" w:cs="Times New Roman"/>
          <w:b/>
          <w:bCs/>
          <w:sz w:val="24"/>
        </w:rPr>
      </w:pPr>
      <w:r>
        <w:rPr>
          <w:rFonts w:ascii="Times New Roman" w:hAnsi="Times New Roman" w:eastAsia="宋体" w:cs="Times New Roman"/>
          <w:b/>
          <w:bCs/>
          <w:sz w:val="24"/>
        </w:rPr>
        <w:t>（</w:t>
      </w:r>
      <w:r>
        <w:rPr>
          <w:rFonts w:hint="eastAsia" w:ascii="Times New Roman" w:hAnsi="Times New Roman" w:eastAsia="宋体" w:cs="Times New Roman"/>
          <w:b/>
          <w:bCs/>
          <w:sz w:val="24"/>
        </w:rPr>
        <w:t>二</w:t>
      </w:r>
      <w:r>
        <w:rPr>
          <w:rFonts w:ascii="Times New Roman" w:hAnsi="Times New Roman" w:eastAsia="宋体" w:cs="Times New Roman"/>
          <w:b/>
          <w:bCs/>
          <w:sz w:val="24"/>
        </w:rPr>
        <w:t>）项目任务</w:t>
      </w:r>
    </w:p>
    <w:p w14:paraId="73AB8338">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围绕项目目标，设置如下任务：</w:t>
      </w:r>
    </w:p>
    <w:p w14:paraId="66754BE1">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（1）基于重要生境生态功能及重要物种分布特征，初步查明产卵场等重要栖息地的边界范围、功能对象和功能时段；</w:t>
      </w:r>
    </w:p>
    <w:p w14:paraId="72CBD8D2">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（2）基于河湖形态、底形底质、生态水文、洲滩植被及洲滩淹露特征等生境要素调查成果及鱼类</w:t>
      </w:r>
      <w:r>
        <w:rPr>
          <w:rFonts w:hint="eastAsia" w:ascii="Times New Roman" w:hAnsi="Times New Roman" w:eastAsia="宋体" w:cs="Times New Roman"/>
          <w:sz w:val="24"/>
        </w:rPr>
        <w:t>、重点保护水生野生动物</w:t>
      </w:r>
      <w:r>
        <w:rPr>
          <w:rFonts w:ascii="Times New Roman" w:hAnsi="Times New Roman" w:eastAsia="宋体" w:cs="Times New Roman"/>
          <w:sz w:val="24"/>
        </w:rPr>
        <w:t>生态需求，划定重要栖息地范围，编制安徽省水生生物重要栖息地名录；</w:t>
      </w:r>
    </w:p>
    <w:p w14:paraId="268D5F75">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w:t>
      </w:r>
      <w:bookmarkStart w:id="11" w:name="_Hlk167701560"/>
      <w:r>
        <w:rPr>
          <w:rFonts w:hint="eastAsia" w:ascii="Times New Roman" w:hAnsi="Times New Roman" w:eastAsia="宋体" w:cs="Times New Roman"/>
          <w:sz w:val="24"/>
        </w:rPr>
        <w:t>提交重要栖息地生境质量调查报告</w:t>
      </w:r>
      <w:bookmarkEnd w:id="11"/>
      <w:r>
        <w:rPr>
          <w:rFonts w:hint="eastAsia" w:ascii="Times New Roman" w:hAnsi="Times New Roman" w:eastAsia="宋体" w:cs="Times New Roman"/>
          <w:sz w:val="24"/>
        </w:rPr>
        <w:t>，</w:t>
      </w:r>
      <w:r>
        <w:rPr>
          <w:rFonts w:ascii="Times New Roman" w:hAnsi="Times New Roman" w:eastAsia="宋体" w:cs="Times New Roman"/>
          <w:sz w:val="24"/>
        </w:rPr>
        <w:t>系统描述重要栖息地生态状况，提出保护措施；</w:t>
      </w:r>
    </w:p>
    <w:p w14:paraId="71F7F8BE">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（4）构建重要栖息地信息数据库及重要栖息地一张图，并按相关</w:t>
      </w:r>
      <w:r>
        <w:rPr>
          <w:rFonts w:hint="eastAsia" w:ascii="Times New Roman" w:hAnsi="Times New Roman" w:eastAsia="宋体" w:cs="Times New Roman"/>
          <w:sz w:val="24"/>
        </w:rPr>
        <w:t>要求</w:t>
      </w:r>
      <w:r>
        <w:rPr>
          <w:rFonts w:ascii="Times New Roman" w:hAnsi="Times New Roman" w:eastAsia="宋体" w:cs="Times New Roman"/>
          <w:sz w:val="24"/>
        </w:rPr>
        <w:t>矢量化；</w:t>
      </w:r>
    </w:p>
    <w:p w14:paraId="06E8A540">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（5）</w:t>
      </w:r>
      <w:r>
        <w:rPr>
          <w:rFonts w:hint="eastAsia" w:ascii="Times New Roman" w:hAnsi="Times New Roman" w:eastAsia="宋体" w:cs="Times New Roman"/>
          <w:sz w:val="24"/>
        </w:rPr>
        <w:t>提交重要栖息地水生野生动物及水生生物多样性调查报告，</w:t>
      </w:r>
      <w:r>
        <w:rPr>
          <w:rFonts w:ascii="Times New Roman" w:hAnsi="Times New Roman" w:eastAsia="宋体" w:cs="Times New Roman"/>
          <w:sz w:val="24"/>
        </w:rPr>
        <w:t>评估重点水域水生生物资源及重要物种状况及受威胁因素，提出相关建议。</w:t>
      </w:r>
    </w:p>
    <w:p w14:paraId="6C735635">
      <w:pPr>
        <w:spacing w:line="360" w:lineRule="auto"/>
        <w:ind w:firstLine="482" w:firstLineChars="200"/>
        <w:rPr>
          <w:rFonts w:ascii="Times New Roman" w:hAnsi="Times New Roman" w:eastAsia="宋体" w:cs="Times New Roman"/>
          <w:b/>
          <w:bCs/>
          <w:sz w:val="24"/>
        </w:rPr>
      </w:pPr>
      <w:r>
        <w:rPr>
          <w:rFonts w:ascii="Times New Roman" w:hAnsi="Times New Roman" w:eastAsia="宋体" w:cs="Times New Roman"/>
          <w:b/>
          <w:bCs/>
          <w:sz w:val="24"/>
        </w:rPr>
        <w:t>（</w:t>
      </w:r>
      <w:r>
        <w:rPr>
          <w:rFonts w:hint="eastAsia" w:ascii="Times New Roman" w:hAnsi="Times New Roman" w:eastAsia="宋体" w:cs="Times New Roman"/>
          <w:b/>
          <w:bCs/>
          <w:sz w:val="24"/>
        </w:rPr>
        <w:t>三</w:t>
      </w:r>
      <w:r>
        <w:rPr>
          <w:rFonts w:ascii="Times New Roman" w:hAnsi="Times New Roman" w:eastAsia="宋体" w:cs="Times New Roman"/>
          <w:b/>
          <w:bCs/>
          <w:sz w:val="24"/>
        </w:rPr>
        <w:t>）</w:t>
      </w:r>
      <w:r>
        <w:rPr>
          <w:rFonts w:hint="eastAsia" w:ascii="Times New Roman" w:hAnsi="Times New Roman" w:eastAsia="宋体" w:cs="Times New Roman"/>
          <w:b/>
          <w:bCs/>
          <w:sz w:val="24"/>
        </w:rPr>
        <w:t>总体布局</w:t>
      </w:r>
    </w:p>
    <w:p w14:paraId="07617C3E">
      <w:pPr>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color w:val="000000"/>
          <w:sz w:val="24"/>
        </w:rPr>
        <w:t>针对巢湖、杭埠河、南淝河、柘皋河、裕溪河、白石天河、派河和升金湖水生生物重要栖息地开展专项调查评估</w:t>
      </w:r>
      <w:r>
        <w:rPr>
          <w:rFonts w:hint="eastAsia" w:ascii="Times New Roman" w:hAnsi="Times New Roman" w:eastAsia="宋体" w:cs="Times New Roman"/>
          <w:color w:val="000000"/>
          <w:sz w:val="24"/>
          <w:lang w:eastAsia="zh-CN"/>
        </w:rPr>
        <w:t>，</w:t>
      </w:r>
      <w:r>
        <w:rPr>
          <w:rFonts w:hint="eastAsia" w:ascii="Times New Roman" w:hAnsi="Times New Roman" w:eastAsia="宋体" w:cs="Times New Roman"/>
          <w:color w:val="000000"/>
          <w:sz w:val="24"/>
        </w:rPr>
        <w:t>以规范</w:t>
      </w:r>
      <w:r>
        <w:rPr>
          <w:rFonts w:hint="eastAsia" w:ascii="Times New Roman" w:hAnsi="Times New Roman" w:eastAsia="宋体" w:cs="Times New Roman"/>
          <w:sz w:val="24"/>
        </w:rPr>
        <w:t>方法结合先进技术，以面上兼顾、突出重点为原则，基于珍贵濒危及重要物种和重要生境两个维度组织实施，系统查清调查水域水生生物产卵场、索饵场、越冬场和洄游通道等重要栖息地现状，评估栖息地状况</w:t>
      </w:r>
      <w:r>
        <w:rPr>
          <w:rFonts w:ascii="Times New Roman" w:hAnsi="Times New Roman" w:eastAsia="宋体" w:cs="Times New Roman"/>
          <w:sz w:val="24"/>
        </w:rPr>
        <w:t>。</w:t>
      </w:r>
    </w:p>
    <w:p w14:paraId="0AAC597F">
      <w:pPr>
        <w:spacing w:line="360" w:lineRule="auto"/>
        <w:ind w:firstLine="482" w:firstLineChars="200"/>
        <w:rPr>
          <w:rFonts w:ascii="Times New Roman" w:hAnsi="Times New Roman" w:eastAsia="宋体" w:cs="Times New Roman"/>
          <w:b/>
          <w:bCs/>
          <w:sz w:val="24"/>
        </w:rPr>
      </w:pPr>
      <w:r>
        <w:rPr>
          <w:rFonts w:ascii="Times New Roman" w:hAnsi="Times New Roman" w:eastAsia="宋体" w:cs="Times New Roman"/>
          <w:b/>
          <w:bCs/>
          <w:sz w:val="24"/>
        </w:rPr>
        <w:t>（</w:t>
      </w:r>
      <w:r>
        <w:rPr>
          <w:rFonts w:hint="eastAsia" w:ascii="Times New Roman" w:hAnsi="Times New Roman" w:eastAsia="宋体" w:cs="Times New Roman"/>
          <w:b/>
          <w:bCs/>
          <w:sz w:val="24"/>
        </w:rPr>
        <w:t>四</w:t>
      </w:r>
      <w:r>
        <w:rPr>
          <w:rFonts w:ascii="Times New Roman" w:hAnsi="Times New Roman" w:eastAsia="宋体" w:cs="Times New Roman"/>
          <w:b/>
          <w:bCs/>
          <w:sz w:val="24"/>
        </w:rPr>
        <w:t>）调查内容</w:t>
      </w:r>
    </w:p>
    <w:p w14:paraId="090086B7">
      <w:pPr>
        <w:spacing w:line="360" w:lineRule="auto"/>
        <w:ind w:firstLine="482" w:firstLineChars="200"/>
        <w:rPr>
          <w:rFonts w:ascii="Times New Roman" w:hAnsi="Times New Roman" w:eastAsia="宋体" w:cs="Times New Roman"/>
          <w:b/>
          <w:bCs/>
          <w:sz w:val="24"/>
        </w:rPr>
      </w:pPr>
      <w:r>
        <w:rPr>
          <w:rFonts w:ascii="Times New Roman" w:hAnsi="Times New Roman" w:eastAsia="宋体" w:cs="Times New Roman"/>
          <w:b/>
          <w:bCs/>
          <w:sz w:val="24"/>
        </w:rPr>
        <w:t>1 重要栖息地范围初筛</w:t>
      </w:r>
    </w:p>
    <w:p w14:paraId="5809A210">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（1）产卵场调查</w:t>
      </w:r>
    </w:p>
    <w:p w14:paraId="17E225A4">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主要针对产漂流性卵和产黏性卵鱼类产卵场开展调查。</w:t>
      </w:r>
    </w:p>
    <w:p w14:paraId="574F93F5">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①</w:t>
      </w:r>
      <w:r>
        <w:rPr>
          <w:rFonts w:ascii="Times New Roman" w:hAnsi="Times New Roman" w:eastAsia="宋体" w:cs="Times New Roman"/>
          <w:bCs/>
          <w:sz w:val="24"/>
          <w:szCs w:val="24"/>
        </w:rPr>
        <w:t>产漂流性卵鱼类产卵场调查：</w:t>
      </w:r>
      <w:r>
        <w:rPr>
          <w:rFonts w:ascii="Times New Roman" w:hAnsi="Times New Roman" w:eastAsia="宋体" w:cs="Times New Roman"/>
          <w:sz w:val="24"/>
          <w:szCs w:val="24"/>
        </w:rPr>
        <w:t>开展</w:t>
      </w:r>
      <w:r>
        <w:rPr>
          <w:rFonts w:hint="eastAsia" w:ascii="Times New Roman" w:hAnsi="Times New Roman" w:eastAsia="宋体" w:cs="Times New Roman"/>
          <w:sz w:val="24"/>
          <w:szCs w:val="24"/>
        </w:rPr>
        <w:t>3次</w:t>
      </w:r>
      <w:r>
        <w:rPr>
          <w:rFonts w:ascii="Times New Roman" w:hAnsi="Times New Roman" w:eastAsia="宋体" w:cs="Times New Roman"/>
          <w:sz w:val="24"/>
          <w:szCs w:val="24"/>
        </w:rPr>
        <w:t>产漂流性卵鱼类早期资源（兼顾其他产卵类型鱼类的鱼卵、仔稚鱼）面上调查，掌握早期资源种类组成、资源丰度、发育期等，同步测定水文水质参数；在设置2个固定调查断面，掌握敏感区域卵苗丰度逐日变化特征。基于流速、鱼类早期资源发育期等相关调查结果，推算产漂流性卵鱼类的产卵场范围及繁殖规模。</w:t>
      </w:r>
    </w:p>
    <w:p w14:paraId="33CBEC8E">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②产黏性卵鱼类产卵场调查：在高时相分辨率遥感影像水体信息提取的基础上，分析调查水域洲滩植被分布特征及水</w:t>
      </w:r>
      <w:r>
        <w:rPr>
          <w:rFonts w:hint="eastAsia" w:ascii="Times New Roman" w:hAnsi="Times New Roman" w:eastAsia="宋体" w:cs="Times New Roman"/>
          <w:sz w:val="24"/>
          <w:szCs w:val="24"/>
        </w:rPr>
        <w:t>位季节性</w:t>
      </w:r>
      <w:r>
        <w:rPr>
          <w:rFonts w:ascii="Times New Roman" w:hAnsi="Times New Roman" w:eastAsia="宋体" w:cs="Times New Roman"/>
          <w:sz w:val="24"/>
          <w:szCs w:val="24"/>
        </w:rPr>
        <w:t>变化规律，研究水位与洲滩植被淹没面积之间的相关关系，掌握植被集中分布区洲滩淹露情况；对上述区域针对性开展洲滩植被抽样调查，掌握植被种类及分布特征，同步开展产黏性卵鱼类卵苗调查。</w:t>
      </w:r>
      <w:bookmarkStart w:id="12" w:name="_Hlk125794385"/>
      <w:r>
        <w:rPr>
          <w:rFonts w:ascii="Times New Roman" w:hAnsi="Times New Roman" w:eastAsia="宋体" w:cs="Times New Roman"/>
          <w:sz w:val="24"/>
          <w:szCs w:val="24"/>
        </w:rPr>
        <w:t>基于植被分布特征及卵苗数量等相关调查结果，判断产黏性卵鱼类的产卵场范围及繁殖规模。</w:t>
      </w:r>
    </w:p>
    <w:p w14:paraId="47A925D0">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③鱼类亲本调查：针对前述判断的产漂流性卵及产黏性卵鱼类产卵场范围，在鱼类繁殖期开展鱼类亲本调查，掌握鱼类亲本的种类组成、数量和繁殖特性等，判断产卵场范围，其中安徽省重点水域水生生物资源监测项目监测站位覆盖的水域不重复调查。</w:t>
      </w:r>
    </w:p>
    <w:p w14:paraId="36100863">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（2）索饵场调查</w:t>
      </w:r>
    </w:p>
    <w:p w14:paraId="64272D65">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使用遥感影像数据动态掌握洲滩淹露特征和洲滩植被分布情况，在植被淹没区域同步开展亲鱼、仔稚鱼及幼鱼调查，根据植被分布特征和鱼类分布特征判断索饵场范围及索饵规模。</w:t>
      </w:r>
    </w:p>
    <w:p w14:paraId="40CD5D9E">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（3）越冬场调查</w:t>
      </w:r>
    </w:p>
    <w:p w14:paraId="57A5FBCD">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采用水声学技术在</w:t>
      </w:r>
      <w:r>
        <w:rPr>
          <w:rFonts w:hint="eastAsia" w:ascii="Times New Roman" w:hAnsi="Times New Roman" w:eastAsia="宋体" w:cs="Times New Roman"/>
          <w:sz w:val="24"/>
          <w:szCs w:val="24"/>
        </w:rPr>
        <w:t>索饵期</w:t>
      </w:r>
      <w:r>
        <w:rPr>
          <w:rFonts w:ascii="Times New Roman" w:hAnsi="Times New Roman" w:eastAsia="宋体" w:cs="Times New Roman"/>
          <w:sz w:val="24"/>
          <w:szCs w:val="24"/>
        </w:rPr>
        <w:t>及</w:t>
      </w:r>
      <w:r>
        <w:rPr>
          <w:rFonts w:hint="eastAsia" w:ascii="Times New Roman" w:hAnsi="Times New Roman" w:eastAsia="宋体" w:cs="Times New Roman"/>
          <w:sz w:val="24"/>
          <w:szCs w:val="24"/>
        </w:rPr>
        <w:t>越冬期</w:t>
      </w:r>
      <w:r>
        <w:rPr>
          <w:rFonts w:ascii="Times New Roman" w:hAnsi="Times New Roman" w:eastAsia="宋体" w:cs="Times New Roman"/>
          <w:sz w:val="24"/>
          <w:szCs w:val="24"/>
        </w:rPr>
        <w:t>开展水域内鱼类时空分布格局、资源密度及不同水层深度分布鱼类个体规格等指标的调查，结合重要鱼类越冬生态需求，根据</w:t>
      </w:r>
      <w:r>
        <w:rPr>
          <w:rFonts w:hint="eastAsia" w:ascii="Times New Roman" w:hAnsi="Times New Roman" w:eastAsia="宋体" w:cs="Times New Roman"/>
          <w:sz w:val="24"/>
          <w:szCs w:val="24"/>
        </w:rPr>
        <w:t>越冬期</w:t>
      </w:r>
      <w:r>
        <w:rPr>
          <w:rFonts w:ascii="Times New Roman" w:hAnsi="Times New Roman" w:eastAsia="宋体" w:cs="Times New Roman"/>
          <w:sz w:val="24"/>
          <w:szCs w:val="24"/>
        </w:rPr>
        <w:t>调查获取的不同水层鱼类个体数量及规格评估鱼类资源密度空间分布格局，并据此判断越冬场范围；</w:t>
      </w:r>
      <w:r>
        <w:rPr>
          <w:rFonts w:hint="eastAsia" w:ascii="Times New Roman" w:hAnsi="Times New Roman" w:eastAsia="宋体" w:cs="Times New Roman"/>
          <w:sz w:val="24"/>
          <w:szCs w:val="24"/>
        </w:rPr>
        <w:t>索饵期</w:t>
      </w:r>
      <w:r>
        <w:rPr>
          <w:rFonts w:ascii="Times New Roman" w:hAnsi="Times New Roman" w:eastAsia="宋体" w:cs="Times New Roman"/>
          <w:sz w:val="24"/>
          <w:szCs w:val="24"/>
        </w:rPr>
        <w:t>调查结果用于对比验证。</w:t>
      </w:r>
      <w:r>
        <w:rPr>
          <w:rFonts w:hint="eastAsia" w:ascii="Times New Roman" w:hAnsi="Times New Roman" w:eastAsia="宋体" w:cs="Times New Roman"/>
          <w:sz w:val="24"/>
          <w:szCs w:val="24"/>
        </w:rPr>
        <w:t>针对无法开展水声学技术调查的水域，通过网具调查结果判断越冬场范围；索饵期调查结果用于对比验证。</w:t>
      </w:r>
    </w:p>
    <w:p w14:paraId="551C8B47">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w:t>
      </w:r>
      <w:r>
        <w:rPr>
          <w:rFonts w:hint="eastAsia" w:ascii="Times New Roman" w:hAnsi="Times New Roman" w:eastAsia="宋体" w:cs="Times New Roman"/>
          <w:sz w:val="24"/>
          <w:szCs w:val="24"/>
        </w:rPr>
        <w:t>4</w:t>
      </w:r>
      <w:r>
        <w:rPr>
          <w:rFonts w:ascii="Times New Roman" w:hAnsi="Times New Roman" w:eastAsia="宋体" w:cs="Times New Roman"/>
          <w:sz w:val="24"/>
          <w:szCs w:val="24"/>
        </w:rPr>
        <w:t>）重要</w:t>
      </w:r>
      <w:r>
        <w:rPr>
          <w:rFonts w:hint="eastAsia" w:ascii="Times New Roman" w:hAnsi="Times New Roman" w:eastAsia="宋体" w:cs="Times New Roman"/>
          <w:sz w:val="24"/>
          <w:szCs w:val="24"/>
        </w:rPr>
        <w:t>水生</w:t>
      </w:r>
      <w:r>
        <w:rPr>
          <w:rFonts w:ascii="Times New Roman" w:hAnsi="Times New Roman" w:eastAsia="宋体" w:cs="Times New Roman"/>
          <w:sz w:val="24"/>
          <w:szCs w:val="24"/>
        </w:rPr>
        <w:t>物种栖息地</w:t>
      </w:r>
      <w:r>
        <w:rPr>
          <w:rFonts w:hint="eastAsia" w:ascii="Times New Roman" w:hAnsi="Times New Roman" w:eastAsia="宋体" w:cs="Times New Roman"/>
          <w:sz w:val="24"/>
          <w:szCs w:val="24"/>
        </w:rPr>
        <w:t>调查</w:t>
      </w:r>
    </w:p>
    <w:p w14:paraId="0A1422CA">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利用遥感影像、水声学和野外生态调查等技术手段，掌握初筛栖息地所在河湖形态、底形底质、洲滩淹露及洲滩植被特征，结合重要物种生活史生态需求和安徽省重点水域水生生物资源监测项目结果，综合分析划定安徽省重点水域水生生物重要栖息地范围。</w:t>
      </w:r>
    </w:p>
    <w:bookmarkEnd w:id="12"/>
    <w:p w14:paraId="4EA2B761">
      <w:pPr>
        <w:spacing w:line="360" w:lineRule="auto"/>
        <w:ind w:firstLine="482" w:firstLineChars="200"/>
        <w:rPr>
          <w:rFonts w:ascii="Times New Roman" w:hAnsi="Times New Roman" w:eastAsia="宋体" w:cs="Times New Roman"/>
          <w:b/>
          <w:bCs/>
          <w:sz w:val="24"/>
        </w:rPr>
      </w:pPr>
      <w:r>
        <w:rPr>
          <w:rFonts w:ascii="Times New Roman" w:hAnsi="Times New Roman" w:eastAsia="宋体" w:cs="Times New Roman"/>
          <w:b/>
          <w:bCs/>
          <w:sz w:val="24"/>
        </w:rPr>
        <w:t>（</w:t>
      </w:r>
      <w:r>
        <w:rPr>
          <w:rFonts w:hint="eastAsia" w:ascii="Times New Roman" w:hAnsi="Times New Roman" w:eastAsia="宋体" w:cs="Times New Roman"/>
          <w:b/>
          <w:bCs/>
          <w:sz w:val="24"/>
        </w:rPr>
        <w:t>五</w:t>
      </w:r>
      <w:r>
        <w:rPr>
          <w:rFonts w:ascii="Times New Roman" w:hAnsi="Times New Roman" w:eastAsia="宋体" w:cs="Times New Roman"/>
          <w:b/>
          <w:bCs/>
          <w:sz w:val="24"/>
        </w:rPr>
        <w:t>）调查方法</w:t>
      </w:r>
    </w:p>
    <w:p w14:paraId="61EBF796">
      <w:pPr>
        <w:spacing w:line="360" w:lineRule="auto"/>
        <w:ind w:firstLine="638" w:firstLineChars="266"/>
        <w:jc w:val="left"/>
        <w:outlineLvl w:val="0"/>
        <w:rPr>
          <w:rFonts w:hint="eastAsia" w:ascii="宋体" w:hAnsi="宋体" w:eastAsia="宋体"/>
          <w:b/>
          <w:color w:val="auto"/>
          <w:sz w:val="24"/>
          <w:szCs w:val="18"/>
          <w:highlight w:val="none"/>
          <w:lang w:val="en-US" w:eastAsia="zh-CN"/>
        </w:rPr>
      </w:pPr>
      <w:r>
        <w:rPr>
          <w:rFonts w:ascii="Times New Roman" w:hAnsi="Times New Roman" w:eastAsia="宋体" w:cs="Times New Roman"/>
          <w:sz w:val="24"/>
        </w:rPr>
        <w:t>鱼类栖息生境监测主要参照《河流水生生物调查指南》（科学出版社，2014）；《内陆水域渔业自然资源调查手册》（农业出版社，1991）；《湖泊调查技术规程》（科学出版社，2015）；HJ 493－2009《水质采样样品的保存和管理技术规定》；HJ－494－2009《水质采</w:t>
      </w:r>
      <w:r>
        <w:rPr>
          <w:rFonts w:ascii="Times New Roman" w:hAnsi="Times New Roman" w:eastAsia="宋体" w:cs="Times New Roman"/>
          <w:color w:val="auto"/>
          <w:sz w:val="24"/>
        </w:rPr>
        <w:t>样技术指导》；</w:t>
      </w:r>
      <w:r>
        <w:rPr>
          <w:rFonts w:hint="eastAsia" w:ascii="Times New Roman" w:hAnsi="Times New Roman" w:eastAsia="宋体" w:cs="Times New Roman"/>
          <w:color w:val="auto"/>
          <w:sz w:val="24"/>
        </w:rPr>
        <w:t>《水质水生态监测规范》</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SL/T219一2026</w:t>
      </w:r>
      <w:r>
        <w:rPr>
          <w:rFonts w:hint="eastAsia" w:ascii="Times New Roman" w:hAnsi="Times New Roman" w:eastAsia="宋体" w:cs="Times New Roman"/>
          <w:color w:val="auto"/>
          <w:sz w:val="24"/>
          <w:lang w:eastAsia="zh-CN"/>
        </w:rPr>
        <w:t>）</w:t>
      </w:r>
      <w:r>
        <w:rPr>
          <w:rFonts w:ascii="Times New Roman" w:hAnsi="Times New Roman" w:eastAsia="宋体" w:cs="Times New Roman"/>
          <w:color w:val="auto"/>
          <w:sz w:val="24"/>
        </w:rPr>
        <w:t>；GB 11607－89《渔业水质标准》；GB 3838－2002《地表水环境质量标准》；（CH/T 7003-2021）《内陆水域水下地形测量技术规程》；（SL 58-2014）《水文测量规范》</w:t>
      </w:r>
      <w:r>
        <w:rPr>
          <w:rFonts w:hint="eastAsia" w:ascii="Times New Roman" w:hAnsi="Times New Roman" w:eastAsia="宋体" w:cs="Times New Roman"/>
          <w:color w:val="auto"/>
          <w:sz w:val="24"/>
          <w:lang w:eastAsia="zh-CN"/>
        </w:rPr>
        <w:t>。</w:t>
      </w:r>
    </w:p>
    <w:p w14:paraId="771B1D51">
      <w:pPr>
        <w:numPr>
          <w:ilvl w:val="0"/>
          <w:numId w:val="0"/>
        </w:numPr>
        <w:spacing w:line="360" w:lineRule="auto"/>
        <w:ind w:firstLine="482" w:firstLineChars="200"/>
        <w:outlineLvl w:val="1"/>
        <w:rPr>
          <w:rFonts w:hint="eastAsia" w:ascii="宋体" w:hAnsi="宋体" w:eastAsia="宋体"/>
          <w:b/>
          <w:color w:val="auto"/>
          <w:sz w:val="24"/>
          <w:szCs w:val="18"/>
          <w:highlight w:val="none"/>
        </w:rPr>
      </w:pPr>
      <w:r>
        <w:rPr>
          <w:rFonts w:hint="eastAsia" w:ascii="宋体" w:hAnsi="宋体" w:eastAsia="宋体"/>
          <w:b/>
          <w:color w:val="auto"/>
          <w:sz w:val="24"/>
          <w:szCs w:val="18"/>
          <w:highlight w:val="none"/>
          <w:lang w:val="en-US" w:eastAsia="zh-CN"/>
        </w:rPr>
        <w:t>四、</w:t>
      </w:r>
      <w:r>
        <w:rPr>
          <w:rFonts w:hint="eastAsia" w:ascii="宋体" w:hAnsi="宋体" w:eastAsia="宋体"/>
          <w:b/>
          <w:color w:val="auto"/>
          <w:sz w:val="24"/>
          <w:szCs w:val="18"/>
          <w:highlight w:val="none"/>
        </w:rPr>
        <w:t>报价要求</w:t>
      </w:r>
      <w:bookmarkEnd w:id="9"/>
      <w:bookmarkEnd w:id="10"/>
    </w:p>
    <w:p w14:paraId="65724B9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本项目为报总价，报价包含完成本项目所需的全部费用，投标人的报价包括但不限于人员工资、管理费、资料收集、监测分析、报告编制、成果验收、后续服务等为完成本项目所发生的一切费用。中标人必须及时、高质量地完成相应的服务，采购人不再追加任何费用，请投标人自行考虑报价风险，根据自身及项目实际情况谨慎报价</w:t>
      </w:r>
      <w:r>
        <w:rPr>
          <w:rFonts w:hint="eastAsia" w:ascii="宋体" w:hAnsi="宋体" w:eastAsia="宋体" w:cs="宋体"/>
          <w:sz w:val="24"/>
          <w:szCs w:val="24"/>
        </w:rPr>
        <w:t>。</w:t>
      </w:r>
    </w:p>
    <w:p w14:paraId="778FE18E">
      <w:pPr>
        <w:spacing w:line="360" w:lineRule="auto"/>
        <w:ind w:firstLine="437"/>
        <w:outlineLvl w:val="1"/>
        <w:rPr>
          <w:rFonts w:hint="eastAsia" w:ascii="宋体" w:hAnsi="宋体" w:eastAsia="宋体"/>
          <w:b/>
          <w:color w:val="auto"/>
          <w:sz w:val="24"/>
          <w:szCs w:val="18"/>
          <w:highlight w:val="none"/>
        </w:rPr>
      </w:pPr>
      <w:bookmarkStart w:id="13" w:name="_Toc8283"/>
      <w:bookmarkStart w:id="14" w:name="_Toc18794"/>
      <w:r>
        <w:rPr>
          <w:rFonts w:hint="eastAsia" w:ascii="宋体" w:hAnsi="宋体" w:eastAsia="宋体"/>
          <w:b/>
          <w:color w:val="auto"/>
          <w:sz w:val="24"/>
          <w:szCs w:val="18"/>
          <w:highlight w:val="none"/>
        </w:rPr>
        <w:t>五、其他要求</w:t>
      </w:r>
      <w:bookmarkEnd w:id="13"/>
      <w:bookmarkEnd w:id="14"/>
    </w:p>
    <w:bookmarkEnd w:id="3"/>
    <w:bookmarkEnd w:id="6"/>
    <w:p w14:paraId="11B1D3B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中标人</w:t>
      </w:r>
      <w:r>
        <w:rPr>
          <w:rFonts w:hint="eastAsia" w:ascii="宋体" w:hAnsi="宋体" w:eastAsia="宋体" w:cs="宋体"/>
          <w:sz w:val="24"/>
          <w:szCs w:val="24"/>
        </w:rPr>
        <w:t>的所有参与人员均需对项目信息、成果等严格保密。未经采购人明确的授权许可，不得擅自发布或使用相关信息。如有违反，必将依法追究其法律责任。</w:t>
      </w:r>
    </w:p>
    <w:p w14:paraId="29CB485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中标人</w:t>
      </w:r>
      <w:r>
        <w:rPr>
          <w:rFonts w:hint="eastAsia" w:ascii="宋体" w:hAnsi="宋体" w:eastAsia="宋体" w:cs="宋体"/>
          <w:sz w:val="24"/>
          <w:szCs w:val="24"/>
        </w:rPr>
        <w:t>须遵守工作纪律和保密制度，不得向利益相关人泄露项目信息。</w:t>
      </w:r>
    </w:p>
    <w:p w14:paraId="394BFF4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中标人</w:t>
      </w:r>
      <w:r>
        <w:rPr>
          <w:rFonts w:hint="eastAsia" w:ascii="宋体" w:hAnsi="宋体" w:eastAsia="宋体" w:cs="宋体"/>
          <w:sz w:val="24"/>
          <w:szCs w:val="24"/>
        </w:rPr>
        <w:t>须对方案（含成果）不断完善，并根据采购人具体要求进行修改完善，</w:t>
      </w:r>
      <w:r>
        <w:rPr>
          <w:rFonts w:hint="eastAsia" w:ascii="宋体" w:hAnsi="宋体" w:eastAsia="宋体" w:cs="宋体"/>
          <w:sz w:val="24"/>
          <w:szCs w:val="24"/>
          <w:lang w:eastAsia="zh-CN"/>
        </w:rPr>
        <w:t>中标人</w:t>
      </w:r>
      <w:r>
        <w:rPr>
          <w:rFonts w:hint="eastAsia" w:ascii="宋体" w:hAnsi="宋体" w:eastAsia="宋体" w:cs="宋体"/>
          <w:sz w:val="24"/>
          <w:szCs w:val="24"/>
        </w:rPr>
        <w:t>须积极配合完成，中途由于验收等原因造成的方案修改及调整，所产生的费用由</w:t>
      </w:r>
      <w:r>
        <w:rPr>
          <w:rFonts w:hint="eastAsia" w:ascii="宋体" w:hAnsi="宋体" w:eastAsia="宋体" w:cs="宋体"/>
          <w:sz w:val="24"/>
          <w:szCs w:val="24"/>
          <w:lang w:eastAsia="zh-CN"/>
        </w:rPr>
        <w:t>中标人</w:t>
      </w:r>
      <w:r>
        <w:rPr>
          <w:rFonts w:hint="eastAsia" w:ascii="宋体" w:hAnsi="宋体" w:eastAsia="宋体" w:cs="宋体"/>
          <w:sz w:val="24"/>
          <w:szCs w:val="24"/>
        </w:rPr>
        <w:t>自行承担，直至通过验收为止。</w:t>
      </w:r>
    </w:p>
    <w:p w14:paraId="4475256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4.未经采购人和</w:t>
      </w:r>
      <w:r>
        <w:rPr>
          <w:rFonts w:hint="eastAsia" w:ascii="宋体" w:hAnsi="宋体" w:eastAsia="宋体" w:cs="宋体"/>
          <w:sz w:val="24"/>
          <w:szCs w:val="24"/>
          <w:lang w:eastAsia="zh-CN"/>
        </w:rPr>
        <w:t>中标人</w:t>
      </w:r>
      <w:r>
        <w:rPr>
          <w:rFonts w:hint="eastAsia" w:ascii="宋体" w:hAnsi="宋体" w:eastAsia="宋体" w:cs="宋体"/>
          <w:sz w:val="24"/>
          <w:szCs w:val="24"/>
        </w:rPr>
        <w:t>许可，双方都不得将</w:t>
      </w:r>
      <w:r>
        <w:rPr>
          <w:rFonts w:hint="eastAsia" w:ascii="宋体" w:hAnsi="宋体" w:eastAsia="宋体" w:cs="宋体"/>
          <w:sz w:val="24"/>
          <w:szCs w:val="24"/>
          <w:lang w:val="en-US" w:eastAsia="zh-CN"/>
        </w:rPr>
        <w:t>投标</w:t>
      </w:r>
      <w:r>
        <w:rPr>
          <w:rFonts w:hint="eastAsia" w:ascii="宋体" w:hAnsi="宋体" w:eastAsia="宋体" w:cs="宋体"/>
          <w:sz w:val="24"/>
          <w:szCs w:val="24"/>
        </w:rPr>
        <w:t>文件中关于采购人的需求情况、建设情况提供给任何第三方。</w:t>
      </w:r>
    </w:p>
    <w:p w14:paraId="50756EE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CN"/>
        </w:rPr>
        <w:t>中标人</w:t>
      </w:r>
      <w:r>
        <w:rPr>
          <w:rFonts w:hint="eastAsia" w:ascii="宋体" w:hAnsi="宋体" w:eastAsia="宋体" w:cs="宋体"/>
          <w:sz w:val="24"/>
          <w:szCs w:val="24"/>
        </w:rPr>
        <w:t>必须接受采购人对项目执行情况、服务质量等的监督、检查和验收，并有权查看与项目直接相关的凭证和资料，</w:t>
      </w:r>
      <w:r>
        <w:rPr>
          <w:rFonts w:hint="eastAsia" w:ascii="宋体" w:hAnsi="宋体" w:eastAsia="宋体" w:cs="宋体"/>
          <w:sz w:val="24"/>
          <w:szCs w:val="24"/>
          <w:lang w:eastAsia="zh-CN"/>
        </w:rPr>
        <w:t>中标人</w:t>
      </w:r>
      <w:r>
        <w:rPr>
          <w:rFonts w:hint="eastAsia" w:ascii="宋体" w:hAnsi="宋体" w:eastAsia="宋体" w:cs="宋体"/>
          <w:sz w:val="24"/>
          <w:szCs w:val="24"/>
        </w:rPr>
        <w:t>应予以配合。</w:t>
      </w:r>
    </w:p>
    <w:p w14:paraId="7C73C9A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6.合同签订前，</w:t>
      </w:r>
      <w:r>
        <w:rPr>
          <w:rFonts w:hint="eastAsia" w:ascii="宋体" w:hAnsi="宋体" w:eastAsia="宋体" w:cs="宋体"/>
          <w:sz w:val="24"/>
          <w:szCs w:val="24"/>
          <w:lang w:eastAsia="zh-CN"/>
        </w:rPr>
        <w:t>中标人</w:t>
      </w:r>
      <w:r>
        <w:rPr>
          <w:rFonts w:hint="eastAsia" w:ascii="宋体" w:hAnsi="宋体" w:eastAsia="宋体" w:cs="宋体"/>
          <w:sz w:val="24"/>
          <w:szCs w:val="24"/>
        </w:rPr>
        <w:t>响应文件中提供的所有证书、合同、检测报告等证明性材料在原件备查，如果逾期不能按要求提供或经审查、验证不能通过，采购人将有权取消其成交资格，并追究其一切法律责任。</w:t>
      </w:r>
    </w:p>
    <w:p w14:paraId="576E71D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sz w:val="24"/>
          <w:szCs w:val="24"/>
        </w:rPr>
        <w:t>7.</w:t>
      </w:r>
      <w:r>
        <w:rPr>
          <w:rFonts w:hint="eastAsia" w:ascii="宋体" w:hAnsi="宋体" w:eastAsia="宋体" w:cs="宋体"/>
          <w:sz w:val="24"/>
          <w:szCs w:val="24"/>
          <w:lang w:eastAsia="zh-CN"/>
        </w:rPr>
        <w:t>中标人</w:t>
      </w:r>
      <w:r>
        <w:rPr>
          <w:rFonts w:hint="eastAsia" w:ascii="宋体" w:hAnsi="宋体" w:eastAsia="宋体" w:cs="宋体"/>
          <w:sz w:val="24"/>
          <w:szCs w:val="24"/>
        </w:rPr>
        <w:t>应保证采购人在使用货物或服务的任何部分不受任何关于侵犯所有权和工业产权、著作权（版权）等知识产权的指控，若因上述原因引起的第三</w:t>
      </w:r>
      <w:r>
        <w:rPr>
          <w:rFonts w:hint="eastAsia" w:ascii="宋体" w:hAnsi="宋体" w:eastAsia="宋体" w:cs="宋体"/>
          <w:color w:val="auto"/>
          <w:sz w:val="24"/>
          <w:szCs w:val="24"/>
        </w:rPr>
        <w:t>方追诉，采购人概不负责，</w:t>
      </w:r>
      <w:r>
        <w:rPr>
          <w:rFonts w:hint="eastAsia" w:ascii="宋体" w:hAnsi="宋体" w:eastAsia="宋体" w:cs="宋体"/>
          <w:color w:val="auto"/>
          <w:sz w:val="24"/>
          <w:szCs w:val="24"/>
          <w:lang w:eastAsia="zh-CN"/>
        </w:rPr>
        <w:t>中标人</w:t>
      </w:r>
      <w:r>
        <w:rPr>
          <w:rFonts w:hint="eastAsia" w:ascii="宋体" w:hAnsi="宋体" w:eastAsia="宋体" w:cs="宋体"/>
          <w:color w:val="auto"/>
          <w:sz w:val="24"/>
          <w:szCs w:val="24"/>
        </w:rPr>
        <w:t>承担由此引起的全部责任，并赔偿因此给采购人带来的全部损失。</w:t>
      </w:r>
    </w:p>
    <w:p w14:paraId="134E38A0">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highlight w:val="none"/>
          <w:lang w:val="en-US" w:eastAsia="zh-CN"/>
        </w:rPr>
        <w:t>中标人</w:t>
      </w:r>
      <w:r>
        <w:rPr>
          <w:rFonts w:hint="default" w:ascii="宋体" w:hAnsi="宋体" w:eastAsia="宋体" w:cs="宋体"/>
          <w:color w:val="auto"/>
          <w:sz w:val="24"/>
          <w:szCs w:val="24"/>
          <w:highlight w:val="none"/>
        </w:rPr>
        <w:t>履行本</w:t>
      </w:r>
      <w:r>
        <w:rPr>
          <w:rFonts w:hint="eastAsia" w:ascii="宋体" w:hAnsi="宋体" w:eastAsia="宋体" w:cs="宋体"/>
          <w:color w:val="auto"/>
          <w:sz w:val="24"/>
          <w:szCs w:val="24"/>
          <w:highlight w:val="none"/>
          <w:lang w:val="en-US" w:eastAsia="zh-CN"/>
        </w:rPr>
        <w:t>项目</w:t>
      </w:r>
      <w:r>
        <w:rPr>
          <w:rFonts w:hint="default" w:ascii="宋体" w:hAnsi="宋体" w:eastAsia="宋体" w:cs="宋体"/>
          <w:color w:val="auto"/>
          <w:sz w:val="24"/>
          <w:szCs w:val="24"/>
          <w:highlight w:val="none"/>
        </w:rPr>
        <w:t>所形成的所有工作成果（包括但不限于调研材料</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统计数据、分析报告等）的知识产权均归</w:t>
      </w:r>
      <w:r>
        <w:rPr>
          <w:rFonts w:hint="eastAsia" w:ascii="宋体" w:hAnsi="宋体" w:eastAsia="宋体" w:cs="宋体"/>
          <w:color w:val="auto"/>
          <w:sz w:val="24"/>
          <w:szCs w:val="24"/>
          <w:highlight w:val="none"/>
          <w:lang w:val="en-US" w:eastAsia="zh-CN"/>
        </w:rPr>
        <w:t>采购人</w:t>
      </w:r>
      <w:r>
        <w:rPr>
          <w:rFonts w:hint="default" w:ascii="宋体" w:hAnsi="宋体" w:eastAsia="宋体" w:cs="宋体"/>
          <w:color w:val="auto"/>
          <w:sz w:val="24"/>
          <w:szCs w:val="24"/>
          <w:highlight w:val="none"/>
        </w:rPr>
        <w:t>所有。</w:t>
      </w:r>
      <w:r>
        <w:rPr>
          <w:rFonts w:hint="eastAsia" w:ascii="宋体" w:hAnsi="宋体" w:eastAsia="宋体" w:cs="宋体"/>
          <w:color w:val="auto"/>
          <w:sz w:val="24"/>
          <w:szCs w:val="24"/>
          <w:highlight w:val="none"/>
          <w:lang w:val="en-US" w:eastAsia="zh-CN"/>
        </w:rPr>
        <w:t>中标人</w:t>
      </w:r>
      <w:r>
        <w:rPr>
          <w:rFonts w:hint="default" w:ascii="宋体" w:hAnsi="宋体" w:eastAsia="宋体" w:cs="宋体"/>
          <w:color w:val="auto"/>
          <w:sz w:val="24"/>
          <w:szCs w:val="24"/>
          <w:highlight w:val="none"/>
        </w:rPr>
        <w:t>不得擅自使用、复制或向第三方披露相关成果</w:t>
      </w:r>
      <w:r>
        <w:rPr>
          <w:rFonts w:hint="eastAsia" w:ascii="宋体" w:hAnsi="宋体" w:eastAsia="宋体" w:cs="宋体"/>
          <w:color w:val="auto"/>
          <w:sz w:val="24"/>
          <w:szCs w:val="24"/>
          <w:highlight w:val="none"/>
          <w:lang w:eastAsia="zh-CN"/>
        </w:rPr>
        <w:t>。</w:t>
      </w:r>
    </w:p>
    <w:p w14:paraId="11682F95">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color w:val="auto"/>
          <w:sz w:val="24"/>
          <w:szCs w:val="24"/>
        </w:rPr>
        <w:t>8.如因国家相关政策、自然灾害或意外事件等不可抗力因素的影响项目正常执行的，</w:t>
      </w:r>
      <w:r>
        <w:rPr>
          <w:rFonts w:hint="eastAsia" w:ascii="宋体" w:hAnsi="宋体" w:eastAsia="宋体" w:cs="宋体"/>
          <w:color w:val="auto"/>
          <w:sz w:val="24"/>
          <w:szCs w:val="24"/>
          <w:lang w:eastAsia="zh-CN"/>
        </w:rPr>
        <w:t>中标人</w:t>
      </w:r>
      <w:r>
        <w:rPr>
          <w:rFonts w:hint="eastAsia" w:ascii="宋体" w:hAnsi="宋体" w:eastAsia="宋体" w:cs="宋体"/>
          <w:color w:val="auto"/>
          <w:sz w:val="24"/>
          <w:szCs w:val="24"/>
        </w:rPr>
        <w:t>应及时以书面形式说明情况，并商采购人研究提出解决方案。如因不可抗力影响导致活动延期，其</w:t>
      </w:r>
      <w:r>
        <w:rPr>
          <w:rFonts w:hint="eastAsia" w:ascii="宋体" w:hAnsi="宋体" w:eastAsia="宋体" w:cs="宋体"/>
          <w:sz w:val="24"/>
          <w:szCs w:val="24"/>
        </w:rPr>
        <w:t>相关服务也延期，</w:t>
      </w:r>
      <w:r>
        <w:rPr>
          <w:rFonts w:hint="eastAsia" w:ascii="宋体" w:hAnsi="宋体" w:eastAsia="宋体" w:cs="宋体"/>
          <w:sz w:val="24"/>
          <w:szCs w:val="24"/>
          <w:lang w:eastAsia="zh-CN"/>
        </w:rPr>
        <w:t>中标人</w:t>
      </w:r>
      <w:r>
        <w:rPr>
          <w:rFonts w:hint="eastAsia" w:ascii="宋体" w:hAnsi="宋体" w:eastAsia="宋体" w:cs="宋体"/>
          <w:sz w:val="24"/>
          <w:szCs w:val="24"/>
        </w:rPr>
        <w:t>须接受调整和准备相应的解决措施</w:t>
      </w:r>
      <w:r>
        <w:rPr>
          <w:rFonts w:hint="eastAsia" w:ascii="宋体" w:hAnsi="宋体" w:eastAsia="宋体" w:cs="宋体"/>
          <w:sz w:val="24"/>
          <w:szCs w:val="24"/>
          <w:lang w:eastAsia="zh-CN"/>
        </w:rPr>
        <w:t>。</w:t>
      </w:r>
    </w:p>
    <w:p w14:paraId="5ABE215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9.本项目相关配套设施及服务均由</w:t>
      </w:r>
      <w:r>
        <w:rPr>
          <w:rFonts w:hint="eastAsia" w:ascii="宋体" w:hAnsi="宋体" w:eastAsia="宋体" w:cs="宋体"/>
          <w:sz w:val="24"/>
          <w:szCs w:val="24"/>
          <w:lang w:eastAsia="zh-CN"/>
        </w:rPr>
        <w:t>中标人</w:t>
      </w:r>
      <w:r>
        <w:rPr>
          <w:rFonts w:hint="eastAsia" w:ascii="宋体" w:hAnsi="宋体" w:eastAsia="宋体" w:cs="宋体"/>
          <w:sz w:val="24"/>
          <w:szCs w:val="24"/>
        </w:rPr>
        <w:t>负责。责任范围以采购人确认的相应文件中相关实施方案为准。</w:t>
      </w:r>
    </w:p>
    <w:p w14:paraId="0ECB5D0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10.成果质量要求：按照相关规范和标准要求完成调查监测任务，提交相关成果，达到验收要求</w:t>
      </w:r>
      <w:r>
        <w:rPr>
          <w:rFonts w:hint="eastAsia" w:ascii="宋体" w:hAnsi="宋体" w:eastAsia="宋体" w:cs="宋体"/>
          <w:sz w:val="24"/>
          <w:szCs w:val="24"/>
        </w:rPr>
        <w:t>。</w:t>
      </w:r>
    </w:p>
    <w:p w14:paraId="4C71626D">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11</w:t>
      </w:r>
      <w:r>
        <w:rPr>
          <w:rFonts w:hint="eastAsia" w:ascii="宋体" w:hAnsi="宋体" w:eastAsia="宋体" w:cs="宋体"/>
          <w:sz w:val="24"/>
          <w:szCs w:val="24"/>
        </w:rPr>
        <w:t>.</w:t>
      </w:r>
      <w:r>
        <w:rPr>
          <w:rFonts w:hint="eastAsia" w:ascii="宋体" w:hAnsi="宋体" w:eastAsia="宋体" w:cs="宋体"/>
          <w:sz w:val="24"/>
          <w:szCs w:val="24"/>
          <w:lang w:eastAsia="zh-CN"/>
        </w:rPr>
        <w:t>中标人</w:t>
      </w:r>
      <w:r>
        <w:rPr>
          <w:rFonts w:hint="eastAsia" w:ascii="宋体" w:hAnsi="宋体" w:eastAsia="宋体" w:cs="宋体"/>
          <w:sz w:val="24"/>
          <w:szCs w:val="24"/>
        </w:rPr>
        <w:t>在实施本项目过程中应尽必要的安全注意义务，如发生任何事故，由</w:t>
      </w:r>
      <w:r>
        <w:rPr>
          <w:rFonts w:hint="eastAsia" w:ascii="宋体" w:hAnsi="宋体" w:eastAsia="宋体" w:cs="宋体"/>
          <w:sz w:val="24"/>
          <w:szCs w:val="24"/>
          <w:lang w:val="en-US" w:eastAsia="zh-CN"/>
        </w:rPr>
        <w:t>中标人</w:t>
      </w:r>
      <w:r>
        <w:rPr>
          <w:rFonts w:hint="eastAsia" w:ascii="宋体" w:hAnsi="宋体" w:eastAsia="宋体" w:cs="宋体"/>
          <w:sz w:val="24"/>
          <w:szCs w:val="24"/>
        </w:rPr>
        <w:t>自行负责，若由此给采购人或第三人造成损失的，</w:t>
      </w:r>
      <w:r>
        <w:rPr>
          <w:rFonts w:hint="eastAsia" w:ascii="宋体" w:hAnsi="宋体" w:eastAsia="宋体" w:cs="宋体"/>
          <w:sz w:val="24"/>
          <w:szCs w:val="24"/>
          <w:lang w:eastAsia="zh-CN"/>
        </w:rPr>
        <w:t>中标人</w:t>
      </w:r>
      <w:r>
        <w:rPr>
          <w:rFonts w:hint="eastAsia" w:ascii="宋体" w:hAnsi="宋体" w:eastAsia="宋体" w:cs="宋体"/>
          <w:sz w:val="24"/>
          <w:szCs w:val="24"/>
        </w:rPr>
        <w:t>应承担赔偿责任</w:t>
      </w:r>
      <w:r>
        <w:rPr>
          <w:rFonts w:hint="eastAsia" w:ascii="宋体" w:hAnsi="宋体" w:eastAsia="宋体" w:cs="宋体"/>
          <w:sz w:val="24"/>
          <w:szCs w:val="24"/>
          <w:lang w:eastAsia="zh-CN"/>
        </w:rPr>
        <w:t>。</w:t>
      </w:r>
    </w:p>
    <w:p w14:paraId="354BDE07">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12.</w:t>
      </w:r>
      <w:r>
        <w:rPr>
          <w:rFonts w:hint="eastAsia" w:ascii="宋体" w:hAnsi="宋体" w:eastAsia="宋体" w:cs="宋体"/>
          <w:sz w:val="24"/>
          <w:szCs w:val="24"/>
        </w:rPr>
        <w:t>本项目由安徽省</w:t>
      </w:r>
      <w:r>
        <w:rPr>
          <w:rFonts w:hint="eastAsia" w:ascii="宋体" w:hAnsi="宋体" w:eastAsia="宋体" w:cs="宋体"/>
          <w:sz w:val="24"/>
          <w:szCs w:val="24"/>
          <w:lang w:val="en-US" w:eastAsia="zh-CN"/>
        </w:rPr>
        <w:t>农业农村厅</w:t>
      </w:r>
      <w:r>
        <w:rPr>
          <w:rFonts w:hint="eastAsia" w:ascii="宋体" w:hAnsi="宋体" w:eastAsia="宋体" w:cs="宋体"/>
          <w:sz w:val="24"/>
          <w:szCs w:val="24"/>
        </w:rPr>
        <w:t>负责解释。</w:t>
      </w:r>
    </w:p>
    <w:p w14:paraId="2987FAF3">
      <w:pPr>
        <w:widowControl w:val="0"/>
        <w:numPr>
          <w:ilvl w:val="0"/>
          <w:numId w:val="0"/>
        </w:numPr>
        <w:spacing w:after="120"/>
        <w:jc w:val="both"/>
        <w:rPr>
          <w:rFonts w:hint="eastAsia" w:ascii="@微软简标宋" w:hAnsi="@微软简标宋" w:eastAsia="@微软简标宋" w:cs="@微软简标宋"/>
          <w:b w:val="0"/>
          <w:bCs/>
          <w:kern w:val="2"/>
          <w:sz w:val="21"/>
          <w:szCs w:val="24"/>
          <w:lang w:val="zh-CN" w:eastAsia="zh-CN" w:bidi="ar-SA"/>
        </w:rPr>
      </w:pPr>
    </w:p>
    <w:p w14:paraId="38B0EFF6">
      <w:pPr>
        <w:rPr>
          <w:rFonts w:ascii="宋体" w:hAnsi="宋体" w:eastAsia="宋体"/>
          <w:bCs/>
          <w:color w:val="auto"/>
          <w:sz w:val="24"/>
          <w:highlight w:val="none"/>
        </w:rPr>
      </w:pPr>
    </w:p>
    <w:p w14:paraId="25E69D1F">
      <w:bookmarkStart w:id="15" w:name="_GoBack"/>
      <w:bookmarkEnd w:id="1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064A37"/>
    <w:multiLevelType w:val="singleLevel"/>
    <w:tmpl w:val="2A064A37"/>
    <w:lvl w:ilvl="0" w:tentative="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D662E1"/>
    <w:rsid w:val="10394623"/>
    <w:rsid w:val="14457ECD"/>
    <w:rsid w:val="2CD66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微软简标宋" w:hAnsi="@微软简标宋" w:eastAsia="@微软简标宋" w:cs="@微软简标宋"/>
      <w:szCs w:val="24"/>
      <w:lang w:val="zh-CN"/>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D&amp;L"/>
    <w:basedOn w:val="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2026-08-17T03:08:00Z</dcterms:created>
  <dc:creator>省招</dc:creator>
  <cp:lastModifiedBy>省招</cp:lastModifiedBy>
  <dcterms:modified xsi:type="dcterms:W3CDTF">2026-08-17T03:09:15Z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21CF551DD67746D2909E0A5740C1EEC8_11</vt:lpwstr>
  </property>
  <property fmtid="{D5CDD505-2E9C-101B-9397-08002B2CF9AE}" pid="4" name="KSOTemplateDocerSaveRecord">
    <vt:lpwstr>eyJoZGlkIjoiNGMwMTQ4YTY5ZjhmMzQyYzc0YTE3NTkyOGVmODk0MTIiLCJ1c2VySWQiOiI2OTIxNzQ3NjMifQ==</vt:lpwstr>
  </property>
</Properties>
</file>