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C2007D">
      <w:pPr>
        <w:widowControl/>
        <w:tabs>
          <w:tab w:val="center" w:pos="4153"/>
        </w:tabs>
        <w:spacing w:line="440" w:lineRule="exact"/>
        <w:jc w:val="center"/>
        <w:rPr>
          <w:rFonts w:hint="eastAsia" w:ascii="宋体" w:hAnsi="宋体" w:eastAsia="仿宋"/>
          <w:color w:val="auto"/>
          <w:sz w:val="36"/>
          <w:szCs w:val="36"/>
          <w:highlight w:val="none"/>
        </w:rPr>
      </w:pPr>
      <w:bookmarkStart w:id="842" w:name="_GoBack"/>
      <w:bookmarkEnd w:id="842"/>
    </w:p>
    <w:p w14:paraId="706F2C3A">
      <w:pPr>
        <w:widowControl/>
        <w:tabs>
          <w:tab w:val="center" w:pos="4153"/>
        </w:tabs>
        <w:spacing w:line="440" w:lineRule="exact"/>
        <w:rPr>
          <w:rFonts w:hint="eastAsia" w:ascii="宋体" w:hAnsi="宋体" w:eastAsia="仿宋"/>
          <w:color w:val="auto"/>
          <w:sz w:val="36"/>
          <w:szCs w:val="36"/>
          <w:highlight w:val="none"/>
        </w:rPr>
      </w:pPr>
    </w:p>
    <w:p w14:paraId="37742913">
      <w:pPr>
        <w:widowControl/>
        <w:tabs>
          <w:tab w:val="center" w:pos="4153"/>
        </w:tabs>
        <w:spacing w:line="440" w:lineRule="exact"/>
        <w:jc w:val="center"/>
        <w:rPr>
          <w:rFonts w:hint="eastAsia" w:ascii="宋体" w:hAnsi="宋体" w:eastAsia="仿宋"/>
          <w:color w:val="auto"/>
          <w:sz w:val="36"/>
          <w:szCs w:val="36"/>
          <w:highlight w:val="none"/>
        </w:rPr>
      </w:pPr>
    </w:p>
    <w:p w14:paraId="44F3DACA">
      <w:pPr>
        <w:widowControl/>
        <w:tabs>
          <w:tab w:val="center" w:pos="4153"/>
        </w:tabs>
        <w:spacing w:line="440" w:lineRule="exact"/>
        <w:jc w:val="center"/>
        <w:rPr>
          <w:rFonts w:hint="eastAsia" w:ascii="宋体" w:hAnsi="宋体" w:eastAsia="仿宋"/>
          <w:color w:val="auto"/>
          <w:sz w:val="36"/>
          <w:szCs w:val="36"/>
          <w:highlight w:val="none"/>
        </w:rPr>
      </w:pPr>
    </w:p>
    <w:p w14:paraId="11151DC6">
      <w:pPr>
        <w:widowControl/>
        <w:spacing w:line="360" w:lineRule="auto"/>
        <w:jc w:val="center"/>
        <w:rPr>
          <w:rFonts w:hint="eastAsia" w:eastAsia="仿宋"/>
          <w:b/>
          <w:color w:val="auto"/>
          <w:sz w:val="44"/>
          <w:szCs w:val="44"/>
          <w:highlight w:val="none"/>
          <w:lang w:val="en-US" w:eastAsia="zh-CN"/>
        </w:rPr>
      </w:pPr>
      <w:r>
        <w:rPr>
          <w:rFonts w:hint="eastAsia" w:eastAsia="仿宋"/>
          <w:b/>
          <w:color w:val="auto"/>
          <w:sz w:val="44"/>
          <w:szCs w:val="44"/>
          <w:highlight w:val="none"/>
          <w:lang w:eastAsia="zh-CN"/>
        </w:rPr>
        <w:t>蚌埠医科大学第一附属医院彩色多普勒超声诊断仪招标采购</w:t>
      </w:r>
    </w:p>
    <w:p w14:paraId="7EC338A2">
      <w:pPr>
        <w:widowControl/>
        <w:jc w:val="center"/>
        <w:rPr>
          <w:rFonts w:hint="eastAsia" w:ascii="宋体" w:hAnsi="宋体" w:eastAsia="仿宋"/>
          <w:b/>
          <w:color w:val="auto"/>
          <w:sz w:val="72"/>
          <w:highlight w:val="none"/>
        </w:rPr>
      </w:pPr>
      <w:r>
        <w:rPr>
          <w:rFonts w:hint="eastAsia" w:ascii="宋体" w:hAnsi="宋体" w:eastAsia="仿宋"/>
          <w:b/>
          <w:color w:val="auto"/>
          <w:sz w:val="72"/>
          <w:highlight w:val="none"/>
        </w:rPr>
        <w:t>招标文件</w:t>
      </w:r>
    </w:p>
    <w:p w14:paraId="673D317F">
      <w:pPr>
        <w:widowControl/>
        <w:jc w:val="center"/>
        <w:rPr>
          <w:rFonts w:hint="eastAsia" w:ascii="宋体" w:hAnsi="宋体" w:eastAsia="仿宋"/>
          <w:b/>
          <w:color w:val="auto"/>
          <w:sz w:val="72"/>
          <w:highlight w:val="none"/>
        </w:rPr>
      </w:pPr>
    </w:p>
    <w:p w14:paraId="6958FBCB">
      <w:pPr>
        <w:widowControl/>
        <w:jc w:val="center"/>
        <w:rPr>
          <w:rFonts w:hint="eastAsia" w:ascii="宋体" w:hAnsi="宋体" w:eastAsia="仿宋"/>
          <w:b/>
          <w:color w:val="auto"/>
          <w:sz w:val="72"/>
          <w:highlight w:val="none"/>
        </w:rPr>
      </w:pPr>
    </w:p>
    <w:p w14:paraId="4C8DC31D">
      <w:pPr>
        <w:widowControl/>
        <w:spacing w:line="360" w:lineRule="auto"/>
        <w:jc w:val="center"/>
        <w:rPr>
          <w:rFonts w:hint="eastAsia" w:ascii="宋体" w:hAnsi="宋体" w:eastAsia="仿宋"/>
          <w:b/>
          <w:color w:val="auto"/>
          <w:sz w:val="28"/>
          <w:szCs w:val="28"/>
          <w:highlight w:val="none"/>
          <w:lang w:eastAsia="zh-CN"/>
        </w:rPr>
      </w:pPr>
      <w:r>
        <w:rPr>
          <w:rFonts w:hint="eastAsia" w:ascii="宋体" w:hAnsi="宋体" w:eastAsia="仿宋"/>
          <w:b/>
          <w:color w:val="auto"/>
          <w:sz w:val="28"/>
          <w:szCs w:val="28"/>
          <w:highlight w:val="none"/>
        </w:rPr>
        <w:t>项目编号：ZF2025-36-</w:t>
      </w:r>
      <w:r>
        <w:rPr>
          <w:rFonts w:hint="eastAsia" w:ascii="宋体" w:hAnsi="宋体" w:eastAsia="仿宋"/>
          <w:b/>
          <w:color w:val="auto"/>
          <w:sz w:val="28"/>
          <w:szCs w:val="28"/>
          <w:highlight w:val="none"/>
          <w:lang w:eastAsia="zh-CN"/>
        </w:rPr>
        <w:t>2014</w:t>
      </w:r>
    </w:p>
    <w:p w14:paraId="2EAA94E3">
      <w:pPr>
        <w:widowControl/>
        <w:tabs>
          <w:tab w:val="center" w:pos="4153"/>
        </w:tabs>
        <w:spacing w:line="480" w:lineRule="auto"/>
        <w:jc w:val="center"/>
        <w:rPr>
          <w:rFonts w:hint="eastAsia" w:ascii="宋体" w:hAnsi="宋体" w:eastAsia="仿宋"/>
          <w:color w:val="auto"/>
          <w:sz w:val="36"/>
          <w:szCs w:val="36"/>
          <w:highlight w:val="none"/>
        </w:rPr>
      </w:pPr>
    </w:p>
    <w:p w14:paraId="0A741F13">
      <w:pPr>
        <w:widowControl/>
        <w:tabs>
          <w:tab w:val="center" w:pos="4153"/>
        </w:tabs>
        <w:spacing w:line="480" w:lineRule="auto"/>
        <w:jc w:val="center"/>
        <w:rPr>
          <w:rFonts w:hint="eastAsia" w:ascii="宋体" w:hAnsi="宋体" w:eastAsia="仿宋"/>
          <w:color w:val="auto"/>
          <w:sz w:val="36"/>
          <w:szCs w:val="36"/>
          <w:highlight w:val="none"/>
        </w:rPr>
      </w:pPr>
    </w:p>
    <w:p w14:paraId="2D078C53">
      <w:pPr>
        <w:widowControl/>
        <w:tabs>
          <w:tab w:val="center" w:pos="4153"/>
        </w:tabs>
        <w:spacing w:line="480" w:lineRule="auto"/>
        <w:rPr>
          <w:rFonts w:hint="eastAsia" w:ascii="宋体" w:hAnsi="宋体" w:eastAsia="仿宋"/>
          <w:color w:val="auto"/>
          <w:sz w:val="36"/>
          <w:szCs w:val="36"/>
          <w:highlight w:val="none"/>
        </w:rPr>
      </w:pPr>
    </w:p>
    <w:p w14:paraId="69661CDD">
      <w:pPr>
        <w:widowControl/>
        <w:tabs>
          <w:tab w:val="center" w:pos="4153"/>
        </w:tabs>
        <w:spacing w:line="480" w:lineRule="auto"/>
        <w:rPr>
          <w:rFonts w:hint="eastAsia" w:ascii="宋体" w:hAnsi="宋体" w:eastAsia="仿宋"/>
          <w:color w:val="auto"/>
          <w:sz w:val="36"/>
          <w:szCs w:val="36"/>
          <w:highlight w:val="none"/>
        </w:rPr>
      </w:pPr>
    </w:p>
    <w:p w14:paraId="06165C1A">
      <w:pPr>
        <w:widowControl/>
        <w:tabs>
          <w:tab w:val="center" w:pos="4153"/>
        </w:tabs>
        <w:spacing w:line="480" w:lineRule="auto"/>
        <w:jc w:val="center"/>
        <w:rPr>
          <w:rFonts w:hint="eastAsia" w:ascii="宋体" w:hAnsi="宋体" w:eastAsia="仿宋"/>
          <w:color w:val="auto"/>
          <w:sz w:val="36"/>
          <w:szCs w:val="36"/>
          <w:highlight w:val="none"/>
        </w:rPr>
      </w:pPr>
    </w:p>
    <w:p w14:paraId="2149F5C0">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   购   人：蚌埠医科大学第一附属医院</w:t>
      </w:r>
    </w:p>
    <w:p w14:paraId="054CAB0F">
      <w:pPr>
        <w:widowControl/>
        <w:tabs>
          <w:tab w:val="center" w:pos="4153"/>
        </w:tabs>
        <w:spacing w:line="480" w:lineRule="auto"/>
        <w:ind w:firstLine="1699" w:firstLineChars="531"/>
        <w:rPr>
          <w:rFonts w:hint="eastAsia" w:ascii="宋体" w:hAnsi="宋体" w:eastAsia="仿宋"/>
          <w:color w:val="auto"/>
          <w:sz w:val="32"/>
          <w:szCs w:val="36"/>
          <w:highlight w:val="none"/>
        </w:rPr>
      </w:pPr>
      <w:r>
        <w:rPr>
          <w:rFonts w:hint="eastAsia" w:ascii="宋体" w:hAnsi="宋体" w:eastAsia="仿宋"/>
          <w:color w:val="auto"/>
          <w:sz w:val="32"/>
          <w:szCs w:val="36"/>
          <w:highlight w:val="none"/>
        </w:rPr>
        <w:t>采购代理机构：安徽省招标集团股份有限公司</w:t>
      </w:r>
    </w:p>
    <w:p w14:paraId="71407F57">
      <w:pPr>
        <w:widowControl/>
        <w:tabs>
          <w:tab w:val="center" w:pos="4153"/>
        </w:tabs>
        <w:spacing w:line="480" w:lineRule="auto"/>
        <w:jc w:val="center"/>
        <w:rPr>
          <w:rFonts w:ascii="宋体" w:hAnsi="宋体" w:eastAsia="仿宋"/>
          <w:color w:val="auto"/>
          <w:sz w:val="36"/>
          <w:szCs w:val="36"/>
          <w:highlight w:val="none"/>
        </w:rPr>
      </w:pPr>
      <w:r>
        <w:rPr>
          <w:rFonts w:hint="eastAsia" w:ascii="宋体" w:hAnsi="宋体" w:eastAsia="仿宋"/>
          <w:color w:val="auto"/>
          <w:sz w:val="36"/>
          <w:szCs w:val="36"/>
          <w:highlight w:val="none"/>
        </w:rPr>
        <w:t>2025年</w:t>
      </w:r>
      <w:r>
        <w:rPr>
          <w:rFonts w:hint="eastAsia" w:ascii="宋体" w:hAnsi="宋体" w:eastAsia="仿宋"/>
          <w:color w:val="auto"/>
          <w:sz w:val="36"/>
          <w:szCs w:val="36"/>
          <w:highlight w:val="none"/>
          <w:lang w:val="en-US" w:eastAsia="zh-CN"/>
        </w:rPr>
        <w:t>11</w:t>
      </w:r>
      <w:r>
        <w:rPr>
          <w:rFonts w:hint="eastAsia" w:ascii="宋体" w:hAnsi="宋体" w:eastAsia="仿宋"/>
          <w:color w:val="auto"/>
          <w:sz w:val="36"/>
          <w:szCs w:val="36"/>
          <w:highlight w:val="none"/>
        </w:rPr>
        <w:t>月</w:t>
      </w:r>
    </w:p>
    <w:p w14:paraId="0A2B56D7">
      <w:pPr>
        <w:widowControl/>
        <w:tabs>
          <w:tab w:val="center" w:pos="4153"/>
        </w:tabs>
        <w:spacing w:line="480" w:lineRule="auto"/>
        <w:ind w:firstLine="849" w:firstLineChars="236"/>
        <w:rPr>
          <w:rFonts w:ascii="宋体" w:hAnsi="宋体" w:eastAsia="仿宋"/>
          <w:color w:val="auto"/>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10C9FD68">
      <w:pPr>
        <w:widowControl/>
        <w:tabs>
          <w:tab w:val="center" w:pos="4153"/>
        </w:tabs>
        <w:spacing w:line="480" w:lineRule="auto"/>
        <w:jc w:val="center"/>
        <w:outlineLvl w:val="0"/>
        <w:rPr>
          <w:rFonts w:hint="eastAsia" w:ascii="宋体" w:hAnsi="宋体" w:eastAsia="仿宋"/>
          <w:color w:val="auto"/>
          <w:sz w:val="44"/>
          <w:szCs w:val="52"/>
          <w:highlight w:val="none"/>
        </w:rPr>
      </w:pPr>
      <w:r>
        <w:rPr>
          <w:rFonts w:hint="eastAsia" w:ascii="宋体" w:hAnsi="宋体" w:eastAsia="仿宋"/>
          <w:color w:val="auto"/>
          <w:sz w:val="44"/>
          <w:szCs w:val="52"/>
          <w:highlight w:val="none"/>
        </w:rPr>
        <w:t>目  录</w:t>
      </w:r>
    </w:p>
    <w:p w14:paraId="71EC9271">
      <w:pPr>
        <w:pStyle w:val="32"/>
        <w:tabs>
          <w:tab w:val="right" w:leader="dot" w:pos="9638"/>
        </w:tabs>
        <w:rPr>
          <w:rFonts w:hint="eastAsia" w:ascii="仿宋" w:hAnsi="仿宋" w:eastAsia="仿宋" w:cs="仿宋"/>
          <w:color w:val="auto"/>
          <w:sz w:val="28"/>
          <w:szCs w:val="28"/>
          <w:highlight w:val="none"/>
        </w:rPr>
      </w:pPr>
      <w:r>
        <w:rPr>
          <w:rFonts w:ascii="Times New Roman" w:hAnsi="Times New Roman" w:eastAsia="仿宋"/>
          <w:color w:val="auto"/>
          <w:sz w:val="28"/>
          <w:szCs w:val="28"/>
          <w:highlight w:val="none"/>
        </w:rPr>
        <w:fldChar w:fldCharType="begin"/>
      </w:r>
      <w:r>
        <w:rPr>
          <w:rFonts w:ascii="Times New Roman" w:hAnsi="Times New Roman" w:eastAsia="仿宋"/>
          <w:color w:val="auto"/>
          <w:sz w:val="28"/>
          <w:szCs w:val="28"/>
          <w:highlight w:val="none"/>
        </w:rPr>
        <w:instrText xml:space="preserve"> TOC \o "1-1" \h \z \u </w:instrText>
      </w:r>
      <w:r>
        <w:rPr>
          <w:rFonts w:ascii="Times New Roman" w:hAnsi="Times New Roman" w:eastAsia="仿宋"/>
          <w:color w:val="auto"/>
          <w:sz w:val="28"/>
          <w:szCs w:val="28"/>
          <w:highlight w:val="none"/>
        </w:rPr>
        <w:fldChar w:fldCharType="separate"/>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_Toc1434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第一章  招标公告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_Toc1434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55C3E09">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_Toc26870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第二章  投标人须知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_Toc26870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58336925">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_Toc24366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第三章  采购需求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_Toc24366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72679CE">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_Toc9357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第四章  资格审查和评标办法（综合评分法）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_Toc9357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7B72BE32">
      <w:pPr>
        <w:pStyle w:val="32"/>
        <w:tabs>
          <w:tab w:val="right" w:leader="dot" w:pos="9638"/>
        </w:tabs>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_Toc395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第五章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_Toc395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57</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D3889D8">
      <w:pPr>
        <w:pStyle w:val="32"/>
        <w:tabs>
          <w:tab w:val="right" w:leader="dot" w:pos="9638"/>
        </w:tabs>
        <w:rPr>
          <w:color w:val="auto"/>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\l _Toc13236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第六章  投标文件格式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_Toc13236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62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1F19ABD4">
      <w:pPr>
        <w:widowControl/>
        <w:spacing w:line="360" w:lineRule="auto"/>
        <w:rPr>
          <w:rFonts w:hint="eastAsia" w:ascii="宋体" w:hAnsi="宋体" w:eastAsia="仿宋"/>
          <w:color w:val="auto"/>
          <w:sz w:val="52"/>
          <w:szCs w:val="52"/>
          <w:highlight w:val="none"/>
        </w:rPr>
      </w:pPr>
      <w:r>
        <w:rPr>
          <w:rFonts w:eastAsia="仿宋"/>
          <w:color w:val="auto"/>
          <w:szCs w:val="28"/>
          <w:highlight w:val="none"/>
        </w:rPr>
        <w:fldChar w:fldCharType="end"/>
      </w:r>
    </w:p>
    <w:p w14:paraId="57F84C8E">
      <w:pPr>
        <w:widowControl/>
        <w:tabs>
          <w:tab w:val="center" w:pos="4153"/>
        </w:tabs>
        <w:spacing w:line="480" w:lineRule="auto"/>
        <w:jc w:val="center"/>
        <w:rPr>
          <w:rFonts w:ascii="宋体" w:hAnsi="宋体" w:eastAsia="仿宋"/>
          <w:color w:val="auto"/>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docGrid w:linePitch="312" w:charSpace="0"/>
        </w:sectPr>
      </w:pPr>
    </w:p>
    <w:p w14:paraId="67399E8F">
      <w:pPr>
        <w:pStyle w:val="2"/>
        <w:widowControl/>
        <w:spacing w:before="0" w:after="0" w:line="240" w:lineRule="auto"/>
        <w:jc w:val="center"/>
        <w:rPr>
          <w:rFonts w:hint="eastAsia" w:ascii="宋体" w:hAnsi="宋体" w:eastAsia="仿宋"/>
          <w:color w:val="auto"/>
          <w:highlight w:val="none"/>
        </w:rPr>
      </w:pPr>
      <w:bookmarkStart w:id="0" w:name="_Toc1434"/>
      <w:bookmarkStart w:id="1" w:name="_Toc466024489"/>
      <w:r>
        <w:rPr>
          <w:rFonts w:hint="eastAsia" w:ascii="宋体" w:hAnsi="宋体" w:eastAsia="仿宋"/>
          <w:color w:val="auto"/>
          <w:highlight w:val="none"/>
        </w:rPr>
        <w:t>第一章  招标公告</w:t>
      </w:r>
      <w:bookmarkEnd w:id="0"/>
      <w:bookmarkEnd w:id="1"/>
    </w:p>
    <w:p w14:paraId="530691EE">
      <w:pPr>
        <w:rPr>
          <w:rFonts w:hint="eastAsia" w:eastAsia="仿宋"/>
          <w:color w:val="auto"/>
          <w:highlight w:val="none"/>
        </w:rPr>
      </w:pPr>
    </w:p>
    <w:p w14:paraId="6CA2DAEB">
      <w:pPr>
        <w:widowControl/>
        <w:spacing w:before="120" w:beforeLines="50" w:after="120" w:afterLines="50" w:line="400" w:lineRule="exact"/>
        <w:jc w:val="center"/>
        <w:rPr>
          <w:rFonts w:ascii="宋体" w:hAnsi="宋体" w:eastAsia="仿宋"/>
          <w:color w:val="auto"/>
          <w:sz w:val="28"/>
          <w:szCs w:val="28"/>
          <w:highlight w:val="none"/>
        </w:rPr>
      </w:pPr>
      <w:r>
        <w:rPr>
          <w:rFonts w:hint="eastAsia" w:ascii="宋体" w:hAnsi="宋体" w:eastAsia="仿宋"/>
          <w:color w:val="auto"/>
          <w:sz w:val="28"/>
          <w:szCs w:val="28"/>
          <w:highlight w:val="none"/>
          <w:lang w:eastAsia="zh-CN"/>
        </w:rPr>
        <w:t>蚌埠医科大学第一附属医院彩色多普勒超声诊断仪招标采购</w:t>
      </w:r>
      <w:r>
        <w:rPr>
          <w:rFonts w:ascii="宋体" w:hAnsi="宋体" w:eastAsia="仿宋"/>
          <w:color w:val="auto"/>
          <w:sz w:val="28"/>
          <w:szCs w:val="28"/>
          <w:highlight w:val="none"/>
        </w:rPr>
        <w:t>招标公告</w:t>
      </w:r>
    </w:p>
    <w:p w14:paraId="75E976D3">
      <w:pPr>
        <w:rPr>
          <w:rFonts w:eastAsia="仿宋"/>
          <w:color w:val="auto"/>
          <w:sz w:val="28"/>
          <w:szCs w:val="28"/>
          <w:highlight w:val="none"/>
        </w:rPr>
      </w:pPr>
    </w:p>
    <w:p w14:paraId="7FE9010D">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项目概况</w:t>
      </w:r>
    </w:p>
    <w:p w14:paraId="0C301E5E">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lang w:eastAsia="zh-CN"/>
        </w:rPr>
        <w:t>蚌埠医科大学第一附属医院彩色多普勒超声诊断仪招标采购</w:t>
      </w:r>
      <w:r>
        <w:rPr>
          <w:rFonts w:hint="eastAsia" w:ascii="宋体" w:hAnsi="宋体" w:eastAsia="仿宋"/>
          <w:color w:val="auto"/>
          <w:sz w:val="28"/>
          <w:szCs w:val="28"/>
          <w:highlight w:val="none"/>
        </w:rPr>
        <w:t>的潜在投标人应在</w:t>
      </w:r>
      <w:r>
        <w:rPr>
          <w:rFonts w:hint="eastAsia" w:ascii="楷体" w:hAnsi="楷体" w:eastAsia="仿宋"/>
          <w:color w:val="auto"/>
          <w:sz w:val="28"/>
          <w:szCs w:val="28"/>
          <w:highlight w:val="none"/>
        </w:rPr>
        <w:t xml:space="preserve">  优质采云采购平台</w:t>
      </w:r>
      <w:r>
        <w:rPr>
          <w:rFonts w:hint="eastAsia" w:ascii="宋体" w:hAnsi="宋体" w:eastAsia="仿宋"/>
          <w:color w:val="auto"/>
          <w:sz w:val="28"/>
          <w:szCs w:val="28"/>
          <w:highlight w:val="none"/>
        </w:rPr>
        <w:t>（http://www.youzhicai.com/） 获取招标文件，并于</w:t>
      </w:r>
      <w:r>
        <w:rPr>
          <w:rFonts w:hint="eastAsia" w:ascii="宋体" w:hAnsi="宋体" w:eastAsia="仿宋"/>
          <w:color w:val="auto"/>
          <w:sz w:val="28"/>
          <w:szCs w:val="28"/>
          <w:highlight w:val="none"/>
          <w:lang w:val="en-US" w:eastAsia="zh-CN"/>
        </w:rPr>
        <w:t>2025</w:t>
      </w:r>
      <w:r>
        <w:rPr>
          <w:rFonts w:hint="eastAsia" w:ascii="宋体" w:hAnsi="宋体" w:eastAsia="仿宋"/>
          <w:bCs/>
          <w:color w:val="auto"/>
          <w:sz w:val="28"/>
          <w:szCs w:val="28"/>
          <w:highlight w:val="none"/>
        </w:rPr>
        <w:t>年</w:t>
      </w:r>
      <w:r>
        <w:rPr>
          <w:rFonts w:hint="eastAsia" w:ascii="宋体" w:hAnsi="宋体" w:eastAsia="仿宋"/>
          <w:bCs/>
          <w:color w:val="auto"/>
          <w:sz w:val="28"/>
          <w:szCs w:val="28"/>
          <w:highlight w:val="none"/>
          <w:lang w:val="en-US" w:eastAsia="zh-CN"/>
        </w:rPr>
        <w:t>12</w:t>
      </w:r>
      <w:r>
        <w:rPr>
          <w:rFonts w:hint="eastAsia" w:ascii="宋体" w:hAnsi="宋体" w:eastAsia="仿宋"/>
          <w:bCs/>
          <w:color w:val="auto"/>
          <w:sz w:val="28"/>
          <w:szCs w:val="28"/>
          <w:highlight w:val="none"/>
        </w:rPr>
        <w:t>月</w:t>
      </w:r>
      <w:r>
        <w:rPr>
          <w:rFonts w:hint="eastAsia" w:ascii="宋体" w:hAnsi="宋体" w:eastAsia="仿宋"/>
          <w:bCs/>
          <w:color w:val="auto"/>
          <w:sz w:val="28"/>
          <w:szCs w:val="28"/>
          <w:highlight w:val="none"/>
          <w:lang w:val="en-US" w:eastAsia="zh-CN"/>
        </w:rPr>
        <w:t>19</w:t>
      </w:r>
      <w:r>
        <w:rPr>
          <w:rFonts w:hint="eastAsia" w:ascii="宋体" w:hAnsi="宋体" w:eastAsia="仿宋"/>
          <w:bCs/>
          <w:color w:val="auto"/>
          <w:sz w:val="28"/>
          <w:szCs w:val="28"/>
          <w:highlight w:val="none"/>
        </w:rPr>
        <w:t>日</w:t>
      </w:r>
      <w:r>
        <w:rPr>
          <w:rFonts w:hint="eastAsia" w:ascii="宋体" w:hAnsi="宋体" w:eastAsia="仿宋"/>
          <w:bCs/>
          <w:color w:val="auto"/>
          <w:sz w:val="28"/>
          <w:szCs w:val="28"/>
          <w:highlight w:val="none"/>
          <w:lang w:val="en-US" w:eastAsia="zh-CN"/>
        </w:rPr>
        <w:t>10</w:t>
      </w:r>
      <w:r>
        <w:rPr>
          <w:rFonts w:hint="eastAsia" w:ascii="宋体" w:hAnsi="宋体" w:eastAsia="仿宋"/>
          <w:bCs/>
          <w:color w:val="auto"/>
          <w:sz w:val="28"/>
          <w:szCs w:val="28"/>
          <w:highlight w:val="none"/>
        </w:rPr>
        <w:t>点</w:t>
      </w:r>
      <w:r>
        <w:rPr>
          <w:rFonts w:hint="eastAsia" w:ascii="宋体" w:hAnsi="宋体" w:eastAsia="仿宋"/>
          <w:bCs/>
          <w:color w:val="auto"/>
          <w:sz w:val="28"/>
          <w:szCs w:val="28"/>
          <w:highlight w:val="none"/>
          <w:lang w:val="en-US" w:eastAsia="zh-CN"/>
        </w:rPr>
        <w:t>00</w:t>
      </w:r>
      <w:r>
        <w:rPr>
          <w:rFonts w:hint="eastAsia" w:ascii="宋体" w:hAnsi="宋体" w:eastAsia="仿宋"/>
          <w:bCs/>
          <w:color w:val="auto"/>
          <w:sz w:val="28"/>
          <w:szCs w:val="28"/>
          <w:highlight w:val="none"/>
        </w:rPr>
        <w:t>分（北京时间）前递交投标</w:t>
      </w:r>
      <w:r>
        <w:rPr>
          <w:rFonts w:ascii="宋体" w:hAnsi="宋体" w:eastAsia="仿宋"/>
          <w:bCs/>
          <w:color w:val="auto"/>
          <w:sz w:val="28"/>
          <w:szCs w:val="28"/>
          <w:highlight w:val="none"/>
        </w:rPr>
        <w:t>文件</w:t>
      </w:r>
      <w:r>
        <w:rPr>
          <w:rFonts w:hint="eastAsia" w:ascii="宋体" w:hAnsi="宋体" w:eastAsia="仿宋"/>
          <w:color w:val="auto"/>
          <w:sz w:val="28"/>
          <w:szCs w:val="28"/>
          <w:highlight w:val="none"/>
        </w:rPr>
        <w:t>。</w:t>
      </w:r>
    </w:p>
    <w:p w14:paraId="2FDADFA0">
      <w:pPr>
        <w:rPr>
          <w:rFonts w:ascii="宋体" w:hAnsi="宋体" w:eastAsia="仿宋"/>
          <w:color w:val="auto"/>
          <w:sz w:val="28"/>
          <w:szCs w:val="28"/>
          <w:highlight w:val="none"/>
        </w:rPr>
      </w:pPr>
    </w:p>
    <w:p w14:paraId="2D69B1F0">
      <w:pPr>
        <w:pStyle w:val="3"/>
        <w:widowControl/>
        <w:adjustRightInd w:val="0"/>
        <w:snapToGrid w:val="0"/>
        <w:spacing w:before="48" w:beforeLines="20" w:after="48" w:afterLines="20" w:line="360" w:lineRule="auto"/>
        <w:ind w:firstLine="504" w:firstLineChars="180"/>
        <w:rPr>
          <w:rStyle w:val="103"/>
          <w:rFonts w:hAnsi="宋体"/>
          <w:b w:val="0"/>
          <w:bCs w:val="0"/>
          <w:color w:val="auto"/>
          <w:sz w:val="28"/>
          <w:szCs w:val="28"/>
          <w:highlight w:val="none"/>
        </w:rPr>
      </w:pPr>
      <w:bookmarkStart w:id="2" w:name="_Toc28359079"/>
      <w:bookmarkStart w:id="3" w:name="_Toc28359002"/>
      <w:bookmarkStart w:id="4" w:name="_Toc35393621"/>
      <w:bookmarkStart w:id="5" w:name="_Toc35393790"/>
      <w:bookmarkStart w:id="6" w:name="_Hlk24379207"/>
      <w:r>
        <w:rPr>
          <w:rStyle w:val="103"/>
          <w:rFonts w:hint="eastAsia" w:hAnsi="宋体"/>
          <w:b w:val="0"/>
          <w:bCs w:val="0"/>
          <w:color w:val="auto"/>
          <w:sz w:val="28"/>
          <w:szCs w:val="28"/>
          <w:highlight w:val="none"/>
        </w:rPr>
        <w:t>一、项目基本情况</w:t>
      </w:r>
      <w:bookmarkEnd w:id="2"/>
      <w:bookmarkEnd w:id="3"/>
      <w:bookmarkEnd w:id="4"/>
      <w:bookmarkEnd w:id="5"/>
    </w:p>
    <w:p w14:paraId="1CAD9895">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项目编号：ZF2025-36-</w:t>
      </w:r>
      <w:r>
        <w:rPr>
          <w:rFonts w:hint="eastAsia" w:ascii="宋体" w:hAnsi="宋体" w:eastAsia="仿宋"/>
          <w:color w:val="auto"/>
          <w:sz w:val="28"/>
          <w:szCs w:val="28"/>
          <w:highlight w:val="none"/>
          <w:lang w:eastAsia="zh-CN"/>
        </w:rPr>
        <w:t>2014</w:t>
      </w:r>
    </w:p>
    <w:p w14:paraId="76037F5B">
      <w:pPr>
        <w:adjustRightInd w:val="0"/>
        <w:snapToGrid w:val="0"/>
        <w:spacing w:line="360" w:lineRule="auto"/>
        <w:ind w:firstLine="560" w:firstLineChars="200"/>
        <w:rPr>
          <w:rFonts w:hint="eastAsia" w:ascii="宋体" w:hAnsi="宋体" w:eastAsia="仿宋"/>
          <w:color w:val="auto"/>
          <w:sz w:val="28"/>
          <w:szCs w:val="28"/>
          <w:highlight w:val="none"/>
          <w:u w:val="single"/>
          <w:lang w:eastAsia="zh-CN"/>
        </w:rPr>
      </w:pPr>
      <w:r>
        <w:rPr>
          <w:rFonts w:hint="eastAsia" w:ascii="宋体" w:hAnsi="宋体" w:eastAsia="仿宋"/>
          <w:color w:val="auto"/>
          <w:sz w:val="28"/>
          <w:szCs w:val="28"/>
          <w:highlight w:val="none"/>
        </w:rPr>
        <w:t>项目名称：</w:t>
      </w:r>
      <w:r>
        <w:rPr>
          <w:rFonts w:hint="eastAsia" w:ascii="宋体" w:hAnsi="宋体" w:eastAsia="仿宋"/>
          <w:color w:val="auto"/>
          <w:sz w:val="28"/>
          <w:szCs w:val="28"/>
          <w:highlight w:val="none"/>
          <w:lang w:eastAsia="zh-CN"/>
        </w:rPr>
        <w:t>蚌埠医科大学第一附属医院彩色多普勒超声诊断仪招标采购</w:t>
      </w:r>
    </w:p>
    <w:bookmarkEnd w:id="6"/>
    <w:p w14:paraId="1BD51C0B">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预算金额：</w:t>
      </w:r>
      <w:r>
        <w:rPr>
          <w:rFonts w:hint="eastAsia" w:ascii="宋体" w:hAnsi="宋体" w:eastAsia="仿宋"/>
          <w:color w:val="auto"/>
          <w:sz w:val="28"/>
          <w:szCs w:val="28"/>
          <w:highlight w:val="none"/>
          <w:lang w:val="en-US" w:eastAsia="zh-CN"/>
        </w:rPr>
        <w:t>269</w:t>
      </w:r>
      <w:r>
        <w:rPr>
          <w:rFonts w:hint="eastAsia" w:ascii="宋体" w:hAnsi="宋体" w:eastAsia="仿宋"/>
          <w:color w:val="auto"/>
          <w:sz w:val="28"/>
          <w:szCs w:val="28"/>
          <w:highlight w:val="none"/>
        </w:rPr>
        <w:t xml:space="preserve">万元            </w:t>
      </w:r>
    </w:p>
    <w:p w14:paraId="451F0058">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最高限价（如有）：</w:t>
      </w:r>
      <w:r>
        <w:rPr>
          <w:rFonts w:hint="eastAsia" w:ascii="宋体" w:hAnsi="宋体" w:eastAsia="仿宋"/>
          <w:color w:val="auto"/>
          <w:sz w:val="28"/>
          <w:szCs w:val="28"/>
          <w:highlight w:val="none"/>
          <w:lang w:val="en-US" w:eastAsia="zh-CN"/>
        </w:rPr>
        <w:t>255</w:t>
      </w:r>
      <w:r>
        <w:rPr>
          <w:rFonts w:hint="eastAsia" w:ascii="宋体" w:hAnsi="宋体" w:eastAsia="仿宋"/>
          <w:color w:val="auto"/>
          <w:sz w:val="28"/>
          <w:szCs w:val="28"/>
          <w:highlight w:val="none"/>
        </w:rPr>
        <w:t xml:space="preserve">万元          </w:t>
      </w:r>
    </w:p>
    <w:p w14:paraId="1155AEA3">
      <w:pPr>
        <w:adjustRightInd w:val="0"/>
        <w:snapToGrid w:val="0"/>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采购需求：蚌埠医科大学第一附属医院本次拟采购</w:t>
      </w:r>
      <w:r>
        <w:rPr>
          <w:rFonts w:hint="eastAsia" w:ascii="宋体" w:hAnsi="宋体" w:eastAsia="仿宋"/>
          <w:color w:val="auto"/>
          <w:sz w:val="28"/>
          <w:szCs w:val="28"/>
          <w:highlight w:val="none"/>
          <w:lang w:eastAsia="zh-CN"/>
        </w:rPr>
        <w:t>彩色多普勒超声诊断仪</w:t>
      </w:r>
      <w:r>
        <w:rPr>
          <w:rFonts w:hint="eastAsia" w:ascii="宋体" w:hAnsi="宋体" w:eastAsia="仿宋"/>
          <w:color w:val="auto"/>
          <w:sz w:val="28"/>
          <w:szCs w:val="28"/>
          <w:highlight w:val="none"/>
        </w:rPr>
        <w:t>。</w:t>
      </w:r>
    </w:p>
    <w:p w14:paraId="5EDBC2C2">
      <w:pPr>
        <w:spacing w:line="300" w:lineRule="auto"/>
        <w:jc w:val="center"/>
        <w:rPr>
          <w:rFonts w:hint="eastAsia" w:ascii="仿宋" w:hAnsi="仿宋" w:eastAsia="仿宋"/>
          <w:color w:val="auto"/>
          <w:sz w:val="28"/>
          <w:szCs w:val="28"/>
          <w:highlight w:val="none"/>
        </w:rPr>
      </w:pPr>
      <w:r>
        <w:rPr>
          <w:rFonts w:ascii="仿宋" w:hAnsi="仿宋" w:eastAsia="仿宋"/>
          <w:color w:val="auto"/>
          <w:sz w:val="28"/>
          <w:szCs w:val="28"/>
          <w:highlight w:val="none"/>
        </w:rPr>
        <w:t>采购货物一览表</w:t>
      </w:r>
    </w:p>
    <w:tbl>
      <w:tblPr>
        <w:tblStyle w:val="46"/>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4371"/>
        <w:gridCol w:w="1900"/>
        <w:gridCol w:w="1185"/>
      </w:tblGrid>
      <w:tr w14:paraId="6384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79" w:type="dxa"/>
            <w:noWrap w:val="0"/>
            <w:vAlign w:val="center"/>
          </w:tcPr>
          <w:p w14:paraId="49E6C13D">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序号</w:t>
            </w:r>
          </w:p>
        </w:tc>
        <w:tc>
          <w:tcPr>
            <w:tcW w:w="4371" w:type="dxa"/>
            <w:noWrap w:val="0"/>
            <w:vAlign w:val="center"/>
          </w:tcPr>
          <w:p w14:paraId="2C5A1260">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项目名称</w:t>
            </w:r>
          </w:p>
        </w:tc>
        <w:tc>
          <w:tcPr>
            <w:tcW w:w="1900" w:type="dxa"/>
            <w:noWrap w:val="0"/>
            <w:vAlign w:val="center"/>
          </w:tcPr>
          <w:p w14:paraId="1D852490">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设备数量（</w:t>
            </w:r>
            <w:r>
              <w:rPr>
                <w:rFonts w:hint="eastAsia" w:ascii="仿宋" w:hAnsi="仿宋" w:eastAsia="仿宋" w:cs="宋体"/>
                <w:b/>
                <w:bCs/>
                <w:color w:val="auto"/>
                <w:kern w:val="0"/>
                <w:sz w:val="24"/>
                <w:highlight w:val="none"/>
                <w:lang w:val="en-US" w:eastAsia="zh-CN"/>
              </w:rPr>
              <w:t>台</w:t>
            </w:r>
            <w:r>
              <w:rPr>
                <w:rFonts w:hint="eastAsia" w:ascii="仿宋" w:hAnsi="仿宋" w:eastAsia="仿宋" w:cs="宋体"/>
                <w:b/>
                <w:bCs/>
                <w:color w:val="auto"/>
                <w:kern w:val="0"/>
                <w:sz w:val="24"/>
                <w:highlight w:val="none"/>
              </w:rPr>
              <w:t>）</w:t>
            </w:r>
          </w:p>
        </w:tc>
        <w:tc>
          <w:tcPr>
            <w:tcW w:w="1185" w:type="dxa"/>
            <w:noWrap w:val="0"/>
            <w:vAlign w:val="center"/>
          </w:tcPr>
          <w:p w14:paraId="5E84F081">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备注</w:t>
            </w:r>
          </w:p>
        </w:tc>
      </w:tr>
      <w:tr w14:paraId="7397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079" w:type="dxa"/>
            <w:noWrap w:val="0"/>
            <w:vAlign w:val="center"/>
          </w:tcPr>
          <w:p w14:paraId="463F031E">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rPr>
            </w:pPr>
            <w:r>
              <w:rPr>
                <w:rFonts w:hint="eastAsia" w:ascii="仿宋" w:hAnsi="仿宋" w:eastAsia="仿宋" w:cs="宋体"/>
                <w:b/>
                <w:bCs/>
                <w:color w:val="auto"/>
                <w:kern w:val="0"/>
                <w:sz w:val="24"/>
                <w:highlight w:val="none"/>
              </w:rPr>
              <w:t>1</w:t>
            </w:r>
          </w:p>
        </w:tc>
        <w:tc>
          <w:tcPr>
            <w:tcW w:w="4371" w:type="dxa"/>
            <w:noWrap w:val="0"/>
            <w:vAlign w:val="center"/>
          </w:tcPr>
          <w:p w14:paraId="46795064">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highlight w:val="none"/>
                <w:lang w:eastAsia="zh-CN"/>
              </w:rPr>
            </w:pPr>
            <w:r>
              <w:rPr>
                <w:rFonts w:hint="eastAsia" w:ascii="仿宋" w:hAnsi="仿宋" w:eastAsia="仿宋" w:cs="宋体"/>
                <w:b/>
                <w:bCs/>
                <w:color w:val="auto"/>
                <w:kern w:val="0"/>
                <w:sz w:val="24"/>
                <w:highlight w:val="none"/>
                <w:lang w:eastAsia="zh-CN"/>
              </w:rPr>
              <w:t>彩色多普勒超声诊断仪</w:t>
            </w:r>
          </w:p>
        </w:tc>
        <w:tc>
          <w:tcPr>
            <w:tcW w:w="1900" w:type="dxa"/>
            <w:noWrap w:val="0"/>
            <w:vAlign w:val="center"/>
          </w:tcPr>
          <w:p w14:paraId="0527C1CE">
            <w:pPr>
              <w:keepNext w:val="0"/>
              <w:keepLines w:val="0"/>
              <w:widowControl/>
              <w:suppressLineNumbers w:val="0"/>
              <w:spacing w:before="0" w:beforeAutospacing="0" w:after="0" w:afterAutospacing="0"/>
              <w:ind w:left="0" w:right="0"/>
              <w:jc w:val="center"/>
              <w:rPr>
                <w:rFonts w:hint="eastAsia" w:ascii="仿宋" w:hAnsi="仿宋" w:eastAsia="仿宋" w:cs="宋体"/>
                <w:b/>
                <w:bCs/>
                <w:color w:val="auto"/>
                <w:kern w:val="0"/>
                <w:sz w:val="24"/>
                <w:highlight w:val="none"/>
                <w:lang w:eastAsia="zh-CN"/>
              </w:rPr>
            </w:pPr>
            <w:r>
              <w:rPr>
                <w:rFonts w:hint="eastAsia" w:ascii="仿宋" w:hAnsi="仿宋" w:eastAsia="仿宋" w:cs="宋体"/>
                <w:b/>
                <w:bCs/>
                <w:color w:val="auto"/>
                <w:kern w:val="0"/>
                <w:sz w:val="24"/>
                <w:highlight w:val="none"/>
                <w:lang w:val="en-US" w:eastAsia="zh-CN"/>
              </w:rPr>
              <w:t>2</w:t>
            </w:r>
          </w:p>
        </w:tc>
        <w:tc>
          <w:tcPr>
            <w:tcW w:w="1185" w:type="dxa"/>
            <w:noWrap w:val="0"/>
            <w:vAlign w:val="center"/>
          </w:tcPr>
          <w:p w14:paraId="7A707A51">
            <w:pPr>
              <w:keepNext w:val="0"/>
              <w:keepLines w:val="0"/>
              <w:widowControl/>
              <w:suppressLineNumbers w:val="0"/>
              <w:spacing w:before="0" w:beforeAutospacing="0" w:after="0" w:afterAutospacing="0"/>
              <w:ind w:left="0" w:right="0"/>
              <w:jc w:val="center"/>
              <w:rPr>
                <w:rFonts w:hint="default" w:ascii="仿宋" w:hAnsi="仿宋" w:eastAsia="仿宋" w:cs="宋体"/>
                <w:b/>
                <w:bCs/>
                <w:color w:val="auto"/>
                <w:kern w:val="0"/>
                <w:sz w:val="24"/>
                <w:highlight w:val="none"/>
                <w:lang w:val="en-US" w:eastAsia="zh-CN"/>
              </w:rPr>
            </w:pPr>
          </w:p>
        </w:tc>
      </w:tr>
    </w:tbl>
    <w:p w14:paraId="36E780C4">
      <w:pPr>
        <w:adjustRightInd w:val="0"/>
        <w:snapToGrid w:val="0"/>
        <w:spacing w:line="360" w:lineRule="auto"/>
        <w:ind w:firstLine="560" w:firstLineChars="200"/>
        <w:rPr>
          <w:rFonts w:hint="eastAsia" w:ascii="宋体" w:hAnsi="宋体"/>
          <w:color w:val="auto"/>
          <w:sz w:val="28"/>
          <w:szCs w:val="28"/>
          <w:highlight w:val="none"/>
        </w:rPr>
      </w:pPr>
      <w:r>
        <w:rPr>
          <w:rFonts w:hint="eastAsia" w:ascii="宋体" w:hAnsi="宋体" w:eastAsia="仿宋"/>
          <w:color w:val="auto"/>
          <w:sz w:val="28"/>
          <w:szCs w:val="28"/>
          <w:highlight w:val="none"/>
        </w:rPr>
        <w:t>合同履行期限：交货期为合同签订后接院方供货通知后30天内。</w:t>
      </w:r>
    </w:p>
    <w:p w14:paraId="1238CD10">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本项目</w:t>
      </w:r>
      <w:r>
        <w:rPr>
          <w:rFonts w:hint="eastAsia" w:ascii="楷体" w:hAnsi="楷体" w:eastAsia="仿宋"/>
          <w:color w:val="auto"/>
          <w:sz w:val="28"/>
          <w:szCs w:val="28"/>
          <w:highlight w:val="none"/>
        </w:rPr>
        <w:t>不接受</w:t>
      </w:r>
      <w:r>
        <w:rPr>
          <w:rFonts w:hint="eastAsia" w:ascii="宋体" w:hAnsi="宋体" w:eastAsia="仿宋"/>
          <w:color w:val="auto"/>
          <w:sz w:val="28"/>
          <w:szCs w:val="28"/>
          <w:highlight w:val="none"/>
        </w:rPr>
        <w:t>联合体投标。</w:t>
      </w:r>
      <w:bookmarkStart w:id="7" w:name="_Toc35393791"/>
      <w:bookmarkStart w:id="8" w:name="_Toc28359003"/>
      <w:bookmarkStart w:id="9" w:name="_Toc35393622"/>
      <w:bookmarkStart w:id="10" w:name="_Toc28359080"/>
    </w:p>
    <w:p w14:paraId="565CFB7B">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r>
        <w:rPr>
          <w:rStyle w:val="103"/>
          <w:rFonts w:hint="eastAsia" w:hAnsi="宋体"/>
          <w:b w:val="0"/>
          <w:bCs w:val="0"/>
          <w:color w:val="auto"/>
          <w:sz w:val="28"/>
          <w:szCs w:val="28"/>
          <w:highlight w:val="none"/>
        </w:rPr>
        <w:t>二、申请人的资格要求：</w:t>
      </w:r>
      <w:bookmarkEnd w:id="7"/>
      <w:bookmarkEnd w:id="8"/>
      <w:bookmarkEnd w:id="9"/>
      <w:bookmarkEnd w:id="10"/>
    </w:p>
    <w:p w14:paraId="452A6FD7">
      <w:pPr>
        <w:adjustRightInd w:val="0"/>
        <w:snapToGrid w:val="0"/>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1.满足《中华人民共和国政府采购法》第二十二条规定；</w:t>
      </w:r>
    </w:p>
    <w:p w14:paraId="7096BC7C">
      <w:pPr>
        <w:adjustRightInd w:val="0"/>
        <w:snapToGrid w:val="0"/>
        <w:spacing w:line="360" w:lineRule="auto"/>
        <w:ind w:firstLine="560" w:firstLineChars="200"/>
        <w:rPr>
          <w:rFonts w:hint="eastAsia" w:ascii="仿宋" w:hAnsi="仿宋" w:eastAsia="仿宋" w:cs="楷体"/>
          <w:color w:val="auto"/>
          <w:sz w:val="28"/>
          <w:szCs w:val="28"/>
          <w:highlight w:val="none"/>
        </w:rPr>
      </w:pPr>
      <w:bookmarkStart w:id="11" w:name="_Toc28359081"/>
      <w:bookmarkStart w:id="12" w:name="_Toc28359004"/>
      <w:r>
        <w:rPr>
          <w:rFonts w:hint="eastAsia" w:ascii="宋体" w:hAnsi="宋体" w:eastAsia="仿宋"/>
          <w:color w:val="auto"/>
          <w:sz w:val="28"/>
          <w:szCs w:val="28"/>
          <w:highlight w:val="none"/>
        </w:rPr>
        <w:t>2.落实政府采购政策需满足的资格要求：</w:t>
      </w:r>
      <w:bookmarkStart w:id="13" w:name="_Toc35393623"/>
      <w:bookmarkStart w:id="14" w:name="_Toc35393792"/>
      <w:r>
        <w:rPr>
          <w:rFonts w:hint="eastAsia" w:ascii="仿宋" w:hAnsi="仿宋" w:eastAsia="仿宋" w:cs="楷体"/>
          <w:color w:val="auto"/>
          <w:sz w:val="28"/>
          <w:szCs w:val="28"/>
          <w:highlight w:val="none"/>
        </w:rPr>
        <w:t>无</w:t>
      </w:r>
    </w:p>
    <w:p w14:paraId="7559A9BD">
      <w:pPr>
        <w:adjustRightInd w:val="0"/>
        <w:snapToGrid w:val="0"/>
        <w:spacing w:line="360" w:lineRule="auto"/>
        <w:ind w:firstLine="560" w:firstLineChars="20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3.本项目的特定资格要求：</w:t>
      </w:r>
    </w:p>
    <w:p w14:paraId="0402AA41">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1在我国关境内注册的产品制造商或经销/代理商。</w:t>
      </w:r>
    </w:p>
    <w:p w14:paraId="58BEC41A">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2投标产品制造商在中国关境内时：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536E7642">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3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0A4A5ED8">
      <w:pPr>
        <w:widowControl/>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w:t>
      </w:r>
      <w:r>
        <w:rPr>
          <w:rFonts w:ascii="楷体" w:hAnsi="楷体" w:eastAsia="仿宋" w:cs="楷体"/>
          <w:color w:val="auto"/>
          <w:sz w:val="28"/>
          <w:szCs w:val="28"/>
          <w:highlight w:val="none"/>
        </w:rPr>
        <w:t>1.</w:t>
      </w:r>
      <w:r>
        <w:rPr>
          <w:rFonts w:hint="eastAsia" w:ascii="楷体" w:hAnsi="楷体" w:eastAsia="仿宋" w:cs="楷体"/>
          <w:color w:val="auto"/>
          <w:sz w:val="28"/>
          <w:szCs w:val="28"/>
          <w:highlight w:val="none"/>
        </w:rPr>
        <w:t>4供应商非所投产品制造商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64EDC299">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3.2信誉要求</w:t>
      </w:r>
    </w:p>
    <w:p w14:paraId="2CE1D3DC">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截至提交投标文件截止时间，投标人（含其不具有独立法人资格的分支机构）存在下列有效情形之一的，其投标文件按无效处理。</w:t>
      </w:r>
    </w:p>
    <w:p w14:paraId="5A28035D">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（1）被人民法院列入失信被执行人名单的；</w:t>
      </w:r>
    </w:p>
    <w:p w14:paraId="55B989BE">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（2）被税务机关列入重大税收违法案件当事人名单的；</w:t>
      </w:r>
    </w:p>
    <w:p w14:paraId="5C349CA3">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（3）被财政部门列入政府采购严重违法失信名单的；</w:t>
      </w:r>
    </w:p>
    <w:p w14:paraId="6E90F112">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4F7259DE">
      <w:pPr>
        <w:adjustRightInd w:val="0"/>
        <w:snapToGrid w:val="0"/>
        <w:spacing w:line="360" w:lineRule="auto"/>
        <w:ind w:firstLine="560" w:firstLineChars="200"/>
        <w:rPr>
          <w:rFonts w:hint="eastAsia" w:ascii="楷体" w:hAnsi="楷体" w:eastAsia="仿宋" w:cs="楷体"/>
          <w:color w:val="auto"/>
          <w:sz w:val="28"/>
          <w:szCs w:val="28"/>
          <w:highlight w:val="none"/>
        </w:rPr>
      </w:pPr>
      <w:r>
        <w:rPr>
          <w:rFonts w:hint="eastAsia" w:ascii="楷体" w:hAnsi="楷体" w:eastAsia="仿宋" w:cs="楷体"/>
          <w:color w:val="auto"/>
          <w:sz w:val="28"/>
          <w:szCs w:val="28"/>
          <w:highlight w:val="none"/>
        </w:rPr>
        <w:t>注：“有效”是指“情形”规定的程度、起止期间处于有效状态。投标人为联合体的，对投标人的要求视同对联合体成员的要求。</w:t>
      </w:r>
    </w:p>
    <w:p w14:paraId="435A206A">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r>
        <w:rPr>
          <w:rStyle w:val="103"/>
          <w:rFonts w:hint="eastAsia" w:hAnsi="宋体"/>
          <w:b w:val="0"/>
          <w:bCs w:val="0"/>
          <w:color w:val="auto"/>
          <w:sz w:val="28"/>
          <w:szCs w:val="28"/>
          <w:highlight w:val="none"/>
        </w:rPr>
        <w:t>三、获取招标文件</w:t>
      </w:r>
      <w:bookmarkEnd w:id="11"/>
      <w:bookmarkEnd w:id="12"/>
      <w:bookmarkEnd w:id="13"/>
      <w:bookmarkEnd w:id="14"/>
    </w:p>
    <w:p w14:paraId="2EE63F27">
      <w:pPr>
        <w:adjustRightInd w:val="0"/>
        <w:snapToGrid w:val="0"/>
        <w:spacing w:line="360" w:lineRule="auto"/>
        <w:ind w:firstLine="540"/>
        <w:rPr>
          <w:rFonts w:hint="eastAsia" w:ascii="宋体" w:hAnsi="宋体" w:eastAsia="仿宋" w:cs="宋体"/>
          <w:color w:val="auto"/>
          <w:sz w:val="28"/>
          <w:szCs w:val="28"/>
          <w:highlight w:val="none"/>
        </w:rPr>
      </w:pPr>
      <w:r>
        <w:rPr>
          <w:rFonts w:hint="eastAsia" w:ascii="宋体" w:hAnsi="宋体" w:eastAsia="仿宋" w:cs="宋体"/>
          <w:color w:val="auto"/>
          <w:sz w:val="28"/>
          <w:szCs w:val="28"/>
          <w:highlight w:val="none"/>
        </w:rPr>
        <w:t>时间：</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11</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28</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至</w:t>
      </w:r>
      <w:r>
        <w:rPr>
          <w:rFonts w:hint="eastAsia" w:ascii="宋体" w:hAnsi="宋体" w:eastAsia="仿宋" w:cs="宋体"/>
          <w:color w:val="auto"/>
          <w:sz w:val="28"/>
          <w:szCs w:val="28"/>
          <w:highlight w:val="none"/>
          <w:u w:val="single"/>
          <w:lang w:val="en-US" w:eastAsia="zh-CN"/>
        </w:rPr>
        <w:t>2025</w:t>
      </w:r>
      <w:r>
        <w:rPr>
          <w:rFonts w:hint="eastAsia" w:ascii="宋体" w:hAnsi="宋体" w:eastAsia="仿宋" w:cs="宋体"/>
          <w:color w:val="auto"/>
          <w:sz w:val="28"/>
          <w:szCs w:val="28"/>
          <w:highlight w:val="none"/>
          <w:u w:val="single"/>
        </w:rPr>
        <w:t>年</w:t>
      </w:r>
      <w:r>
        <w:rPr>
          <w:rFonts w:hint="eastAsia" w:ascii="宋体" w:hAnsi="宋体" w:eastAsia="仿宋" w:cs="宋体"/>
          <w:color w:val="auto"/>
          <w:sz w:val="28"/>
          <w:szCs w:val="28"/>
          <w:highlight w:val="none"/>
          <w:u w:val="single"/>
          <w:lang w:val="en-US" w:eastAsia="zh-CN"/>
        </w:rPr>
        <w:t>12</w:t>
      </w:r>
      <w:r>
        <w:rPr>
          <w:rFonts w:hint="eastAsia" w:ascii="宋体" w:hAnsi="宋体" w:eastAsia="仿宋" w:cs="宋体"/>
          <w:color w:val="auto"/>
          <w:sz w:val="28"/>
          <w:szCs w:val="28"/>
          <w:highlight w:val="none"/>
          <w:u w:val="single"/>
        </w:rPr>
        <w:t>月</w:t>
      </w:r>
      <w:r>
        <w:rPr>
          <w:rFonts w:hint="eastAsia" w:ascii="宋体" w:hAnsi="宋体" w:eastAsia="仿宋" w:cs="宋体"/>
          <w:color w:val="auto"/>
          <w:sz w:val="28"/>
          <w:szCs w:val="28"/>
          <w:highlight w:val="none"/>
          <w:u w:val="single"/>
          <w:lang w:val="en-US" w:eastAsia="zh-CN"/>
        </w:rPr>
        <w:t>5</w:t>
      </w:r>
      <w:r>
        <w:rPr>
          <w:rFonts w:hint="eastAsia" w:ascii="宋体" w:hAnsi="宋体" w:eastAsia="仿宋" w:cs="宋体"/>
          <w:color w:val="auto"/>
          <w:sz w:val="28"/>
          <w:szCs w:val="28"/>
          <w:highlight w:val="none"/>
          <w:u w:val="single"/>
        </w:rPr>
        <w:t>日</w:t>
      </w:r>
      <w:r>
        <w:rPr>
          <w:rFonts w:hint="eastAsia" w:ascii="宋体" w:hAnsi="宋体" w:eastAsia="仿宋" w:cs="宋体"/>
          <w:color w:val="auto"/>
          <w:sz w:val="28"/>
          <w:szCs w:val="28"/>
          <w:highlight w:val="none"/>
        </w:rPr>
        <w:t>（北京时间，</w:t>
      </w:r>
      <w:r>
        <w:rPr>
          <w:rFonts w:ascii="宋体" w:hAnsi="宋体" w:eastAsia="仿宋" w:cs="宋体"/>
          <w:color w:val="auto"/>
          <w:sz w:val="28"/>
          <w:szCs w:val="28"/>
          <w:highlight w:val="none"/>
        </w:rPr>
        <w:t>法定节假日</w:t>
      </w:r>
      <w:r>
        <w:rPr>
          <w:rFonts w:hint="eastAsia" w:ascii="宋体" w:hAnsi="宋体" w:eastAsia="仿宋" w:cs="宋体"/>
          <w:color w:val="auto"/>
          <w:sz w:val="28"/>
          <w:szCs w:val="28"/>
          <w:highlight w:val="none"/>
        </w:rPr>
        <w:t>除外）。</w:t>
      </w:r>
    </w:p>
    <w:p w14:paraId="5B85BE85">
      <w:pPr>
        <w:adjustRightInd w:val="0"/>
        <w:snapToGrid w:val="0"/>
        <w:spacing w:line="360" w:lineRule="auto"/>
        <w:ind w:firstLine="540"/>
        <w:rPr>
          <w:rFonts w:eastAsia="仿宋"/>
          <w:color w:val="auto"/>
          <w:sz w:val="28"/>
          <w:szCs w:val="28"/>
          <w:highlight w:val="none"/>
        </w:rPr>
      </w:pPr>
      <w:r>
        <w:rPr>
          <w:rFonts w:hint="eastAsia" w:eastAsia="仿宋"/>
          <w:color w:val="auto"/>
          <w:sz w:val="28"/>
          <w:szCs w:val="28"/>
          <w:highlight w:val="none"/>
        </w:rPr>
        <w:t>地点：</w:t>
      </w:r>
      <w:r>
        <w:rPr>
          <w:rFonts w:hint="eastAsia" w:ascii="楷体" w:hAnsi="楷体" w:eastAsia="仿宋"/>
          <w:color w:val="auto"/>
          <w:sz w:val="28"/>
          <w:szCs w:val="28"/>
          <w:highlight w:val="none"/>
        </w:rPr>
        <w:t>“优质采云采购平台”（http://www.youzhicai.com/）</w:t>
      </w:r>
    </w:p>
    <w:p w14:paraId="21533FCF">
      <w:pPr>
        <w:adjustRightInd w:val="0"/>
        <w:snapToGrid w:val="0"/>
        <w:spacing w:line="360" w:lineRule="auto"/>
        <w:ind w:firstLine="540"/>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方式：</w:t>
      </w:r>
      <w:r>
        <w:rPr>
          <w:rFonts w:hint="eastAsia" w:ascii="楷体" w:hAnsi="楷体" w:eastAsia="仿宋"/>
          <w:color w:val="auto"/>
          <w:sz w:val="28"/>
          <w:szCs w:val="28"/>
          <w:highlight w:val="none"/>
        </w:rPr>
        <w:t>在线下载</w:t>
      </w:r>
    </w:p>
    <w:p w14:paraId="3B06B7D1">
      <w:pPr>
        <w:adjustRightInd w:val="0"/>
        <w:snapToGrid w:val="0"/>
        <w:spacing w:line="360" w:lineRule="auto"/>
        <w:ind w:firstLine="540"/>
        <w:rPr>
          <w:rFonts w:hint="eastAsia" w:ascii="宋体" w:hAnsi="宋体" w:eastAsia="仿宋" w:cs="宋体"/>
          <w:color w:val="auto"/>
          <w:sz w:val="28"/>
          <w:szCs w:val="28"/>
          <w:highlight w:val="none"/>
          <w:u w:val="single"/>
        </w:rPr>
      </w:pPr>
      <w:r>
        <w:rPr>
          <w:rFonts w:hint="eastAsia" w:ascii="宋体" w:hAnsi="宋体" w:eastAsia="仿宋" w:cs="宋体"/>
          <w:color w:val="auto"/>
          <w:sz w:val="28"/>
          <w:szCs w:val="28"/>
          <w:highlight w:val="none"/>
        </w:rPr>
        <w:t>售价(元)：0</w:t>
      </w:r>
    </w:p>
    <w:p w14:paraId="0132F05B">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15" w:name="_Toc28359082"/>
      <w:bookmarkStart w:id="16" w:name="_Toc28359005"/>
      <w:bookmarkStart w:id="17" w:name="_Toc35393793"/>
      <w:bookmarkStart w:id="18" w:name="_Toc35393624"/>
      <w:r>
        <w:rPr>
          <w:rStyle w:val="103"/>
          <w:rFonts w:hint="eastAsia" w:hAnsi="宋体"/>
          <w:b w:val="0"/>
          <w:bCs w:val="0"/>
          <w:color w:val="auto"/>
          <w:sz w:val="28"/>
          <w:szCs w:val="28"/>
          <w:highlight w:val="none"/>
        </w:rPr>
        <w:t>四、提交投标文件</w:t>
      </w:r>
      <w:bookmarkEnd w:id="15"/>
      <w:bookmarkEnd w:id="16"/>
      <w:r>
        <w:rPr>
          <w:rStyle w:val="103"/>
          <w:rFonts w:hint="eastAsia" w:hAnsi="宋体"/>
          <w:b w:val="0"/>
          <w:bCs w:val="0"/>
          <w:color w:val="auto"/>
          <w:sz w:val="28"/>
          <w:szCs w:val="28"/>
          <w:highlight w:val="none"/>
        </w:rPr>
        <w:t>截止时间、开标时间和地点</w:t>
      </w:r>
      <w:bookmarkEnd w:id="17"/>
      <w:bookmarkEnd w:id="18"/>
    </w:p>
    <w:p w14:paraId="328C3BB7">
      <w:pPr>
        <w:adjustRightInd w:val="0"/>
        <w:snapToGrid w:val="0"/>
        <w:spacing w:line="360" w:lineRule="auto"/>
        <w:ind w:firstLine="660" w:firstLineChars="236"/>
        <w:rPr>
          <w:rFonts w:ascii="楷体" w:hAnsi="楷体" w:eastAsia="仿宋"/>
          <w:color w:val="auto"/>
          <w:sz w:val="28"/>
          <w:szCs w:val="28"/>
          <w:highlight w:val="none"/>
          <w:u w:val="single"/>
        </w:rPr>
      </w:pPr>
      <w:r>
        <w:rPr>
          <w:rFonts w:hint="eastAsia" w:ascii="宋体" w:hAnsi="宋体" w:eastAsia="仿宋"/>
          <w:bCs/>
          <w:color w:val="auto"/>
          <w:sz w:val="28"/>
          <w:szCs w:val="28"/>
          <w:highlight w:val="none"/>
          <w:u w:val="single"/>
          <w:lang w:val="en-US" w:eastAsia="zh-CN"/>
        </w:rPr>
        <w:t>2025</w:t>
      </w:r>
      <w:r>
        <w:rPr>
          <w:rFonts w:hint="eastAsia" w:ascii="宋体" w:hAnsi="宋体" w:eastAsia="仿宋"/>
          <w:bCs/>
          <w:color w:val="auto"/>
          <w:sz w:val="28"/>
          <w:szCs w:val="28"/>
          <w:highlight w:val="none"/>
          <w:u w:val="single"/>
        </w:rPr>
        <w:t>年</w:t>
      </w:r>
      <w:r>
        <w:rPr>
          <w:rFonts w:hint="eastAsia" w:ascii="宋体" w:hAnsi="宋体" w:eastAsia="仿宋"/>
          <w:bCs/>
          <w:color w:val="auto"/>
          <w:sz w:val="28"/>
          <w:szCs w:val="28"/>
          <w:highlight w:val="none"/>
          <w:u w:val="single"/>
          <w:lang w:val="en-US" w:eastAsia="zh-CN"/>
        </w:rPr>
        <w:t>12</w:t>
      </w:r>
      <w:r>
        <w:rPr>
          <w:rFonts w:hint="eastAsia" w:ascii="宋体" w:hAnsi="宋体" w:eastAsia="仿宋"/>
          <w:bCs/>
          <w:color w:val="auto"/>
          <w:sz w:val="28"/>
          <w:szCs w:val="28"/>
          <w:highlight w:val="none"/>
          <w:u w:val="single"/>
        </w:rPr>
        <w:t>月</w:t>
      </w:r>
      <w:r>
        <w:rPr>
          <w:rFonts w:hint="eastAsia" w:ascii="宋体" w:hAnsi="宋体" w:eastAsia="仿宋"/>
          <w:bCs/>
          <w:color w:val="auto"/>
          <w:sz w:val="28"/>
          <w:szCs w:val="28"/>
          <w:highlight w:val="none"/>
          <w:u w:val="single"/>
          <w:lang w:val="en-US" w:eastAsia="zh-CN"/>
        </w:rPr>
        <w:t>19</w:t>
      </w:r>
      <w:r>
        <w:rPr>
          <w:rFonts w:hint="eastAsia" w:ascii="宋体" w:hAnsi="宋体" w:eastAsia="仿宋"/>
          <w:bCs/>
          <w:color w:val="auto"/>
          <w:sz w:val="28"/>
          <w:szCs w:val="28"/>
          <w:highlight w:val="none"/>
          <w:u w:val="single"/>
        </w:rPr>
        <w:t>日</w:t>
      </w:r>
      <w:r>
        <w:rPr>
          <w:rFonts w:hint="eastAsia" w:ascii="宋体" w:hAnsi="宋体" w:eastAsia="仿宋"/>
          <w:bCs/>
          <w:color w:val="auto"/>
          <w:sz w:val="28"/>
          <w:szCs w:val="28"/>
          <w:highlight w:val="none"/>
          <w:u w:val="single"/>
          <w:lang w:val="en-US" w:eastAsia="zh-CN"/>
        </w:rPr>
        <w:t>10</w:t>
      </w:r>
      <w:r>
        <w:rPr>
          <w:rFonts w:hint="eastAsia" w:ascii="宋体" w:hAnsi="宋体" w:eastAsia="仿宋"/>
          <w:bCs/>
          <w:color w:val="auto"/>
          <w:sz w:val="28"/>
          <w:szCs w:val="28"/>
          <w:highlight w:val="none"/>
          <w:u w:val="single"/>
        </w:rPr>
        <w:t>点</w:t>
      </w:r>
      <w:r>
        <w:rPr>
          <w:rFonts w:hint="eastAsia" w:ascii="宋体" w:hAnsi="宋体" w:eastAsia="仿宋"/>
          <w:bCs/>
          <w:color w:val="auto"/>
          <w:sz w:val="28"/>
          <w:szCs w:val="28"/>
          <w:highlight w:val="none"/>
          <w:u w:val="single"/>
          <w:lang w:val="en-US" w:eastAsia="zh-CN"/>
        </w:rPr>
        <w:t>00</w:t>
      </w:r>
      <w:r>
        <w:rPr>
          <w:rFonts w:hint="eastAsia" w:ascii="宋体" w:hAnsi="宋体" w:eastAsia="仿宋"/>
          <w:bCs/>
          <w:color w:val="auto"/>
          <w:sz w:val="28"/>
          <w:szCs w:val="28"/>
          <w:highlight w:val="none"/>
          <w:u w:val="single"/>
        </w:rPr>
        <w:t>分</w:t>
      </w:r>
      <w:r>
        <w:rPr>
          <w:rFonts w:hint="eastAsia" w:ascii="宋体" w:hAnsi="宋体" w:eastAsia="仿宋"/>
          <w:bCs/>
          <w:color w:val="auto"/>
          <w:sz w:val="28"/>
          <w:szCs w:val="28"/>
          <w:highlight w:val="none"/>
        </w:rPr>
        <w:t>（北京时间）</w:t>
      </w:r>
    </w:p>
    <w:p w14:paraId="080FC32C">
      <w:pPr>
        <w:adjustRightInd w:val="0"/>
        <w:snapToGrid w:val="0"/>
        <w:spacing w:line="360" w:lineRule="auto"/>
        <w:ind w:firstLine="660" w:firstLineChars="236"/>
        <w:rPr>
          <w:rFonts w:ascii="宋体" w:hAnsi="宋体" w:eastAsia="仿宋"/>
          <w:color w:val="auto"/>
          <w:sz w:val="28"/>
          <w:szCs w:val="28"/>
          <w:highlight w:val="none"/>
        </w:rPr>
      </w:pPr>
      <w:r>
        <w:rPr>
          <w:rFonts w:hint="eastAsia" w:ascii="宋体" w:hAnsi="宋体" w:eastAsia="仿宋"/>
          <w:color w:val="auto"/>
          <w:sz w:val="28"/>
          <w:szCs w:val="28"/>
          <w:highlight w:val="none"/>
        </w:rPr>
        <w:t>地点：</w:t>
      </w:r>
      <w:bookmarkStart w:id="19" w:name="_Hlk44253880"/>
      <w:r>
        <w:rPr>
          <w:rFonts w:hint="eastAsia" w:ascii="楷体" w:hAnsi="楷体" w:eastAsia="仿宋"/>
          <w:color w:val="auto"/>
          <w:sz w:val="28"/>
          <w:szCs w:val="28"/>
          <w:highlight w:val="none"/>
        </w:rPr>
        <w:t>线上开标：“优质采云采购平台”（http://www.youzhicai.com/）；</w:t>
      </w:r>
      <w:bookmarkEnd w:id="19"/>
    </w:p>
    <w:p w14:paraId="26BF9362">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20" w:name="_Toc35393794"/>
      <w:bookmarkStart w:id="21" w:name="_Toc28359007"/>
      <w:bookmarkStart w:id="22" w:name="_Toc35393625"/>
      <w:bookmarkStart w:id="23" w:name="_Toc28359084"/>
      <w:r>
        <w:rPr>
          <w:rStyle w:val="103"/>
          <w:rFonts w:hint="eastAsia" w:hAnsi="宋体"/>
          <w:b w:val="0"/>
          <w:bCs w:val="0"/>
          <w:color w:val="auto"/>
          <w:sz w:val="28"/>
          <w:szCs w:val="28"/>
          <w:highlight w:val="none"/>
        </w:rPr>
        <w:t>五、公告期限</w:t>
      </w:r>
      <w:bookmarkEnd w:id="20"/>
      <w:bookmarkEnd w:id="21"/>
      <w:bookmarkEnd w:id="22"/>
      <w:bookmarkEnd w:id="23"/>
    </w:p>
    <w:p w14:paraId="798DEBA0">
      <w:pPr>
        <w:adjustRightInd w:val="0"/>
        <w:snapToGrid w:val="0"/>
        <w:spacing w:line="360" w:lineRule="auto"/>
        <w:ind w:firstLine="660" w:firstLineChars="236"/>
        <w:rPr>
          <w:rFonts w:ascii="宋体" w:hAnsi="宋体" w:eastAsia="仿宋" w:cs="宋体"/>
          <w:color w:val="auto"/>
          <w:kern w:val="0"/>
          <w:sz w:val="28"/>
          <w:szCs w:val="28"/>
          <w:highlight w:val="none"/>
        </w:rPr>
      </w:pPr>
      <w:r>
        <w:rPr>
          <w:rFonts w:hint="eastAsia" w:ascii="宋体" w:hAnsi="宋体" w:eastAsia="仿宋" w:cs="宋体"/>
          <w:color w:val="auto"/>
          <w:kern w:val="0"/>
          <w:sz w:val="28"/>
          <w:szCs w:val="28"/>
          <w:highlight w:val="none"/>
        </w:rPr>
        <w:t>自本公告发布之日起5个工作日。</w:t>
      </w:r>
    </w:p>
    <w:p w14:paraId="4F2DBAA4">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24" w:name="_Toc35393795"/>
      <w:bookmarkStart w:id="25" w:name="_Toc35393626"/>
      <w:r>
        <w:rPr>
          <w:rStyle w:val="103"/>
          <w:rFonts w:hint="eastAsia" w:hAnsi="宋体"/>
          <w:b w:val="0"/>
          <w:bCs w:val="0"/>
          <w:color w:val="auto"/>
          <w:sz w:val="28"/>
          <w:szCs w:val="28"/>
          <w:highlight w:val="none"/>
        </w:rPr>
        <w:t>六、其他补充事宜</w:t>
      </w:r>
      <w:bookmarkEnd w:id="24"/>
      <w:bookmarkEnd w:id="25"/>
    </w:p>
    <w:p w14:paraId="2F4F5FF3">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本项目相关信息同时在“安徽省政府采购网、中国招标投标公共服务平台（www.cebpubservice.com）、安徽省招标投标信息网（www.ahtba.org.cn）、优质采云采购平台（网址：www.youzhicai.com）、优质采招标采购平台（www.yzczb.com）”等媒介上发布；</w:t>
      </w:r>
    </w:p>
    <w:p w14:paraId="2446F77D">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2.本项目需落实的节能环保、中小企业扶持等相关政府采购政策详见招标文件。</w:t>
      </w:r>
    </w:p>
    <w:p w14:paraId="53EF6606">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3.政府采购电子化交易要求：</w:t>
      </w:r>
    </w:p>
    <w:p w14:paraId="5D754A1E">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（1）潜在投标人/供应商须登录“优质采云采购平台”（网址：</w:t>
      </w:r>
      <w:r>
        <w:rPr>
          <w:rFonts w:ascii="宋体" w:hAnsi="宋体" w:eastAsia="仿宋"/>
          <w:color w:val="auto"/>
          <w:sz w:val="28"/>
          <w:szCs w:val="28"/>
          <w:highlight w:val="none"/>
        </w:rPr>
        <w:fldChar w:fldCharType="begin"/>
      </w:r>
      <w:r>
        <w:rPr>
          <w:rFonts w:ascii="宋体" w:hAnsi="宋体" w:eastAsia="仿宋"/>
          <w:color w:val="auto"/>
          <w:sz w:val="28"/>
          <w:szCs w:val="28"/>
          <w:highlight w:val="none"/>
        </w:rPr>
        <w:instrText xml:space="preserve"> HYPERLINK "http://www.youzhicai.com" </w:instrText>
      </w:r>
      <w:r>
        <w:rPr>
          <w:rFonts w:ascii="宋体" w:hAnsi="宋体" w:eastAsia="仿宋"/>
          <w:color w:val="auto"/>
          <w:sz w:val="28"/>
          <w:szCs w:val="28"/>
          <w:highlight w:val="none"/>
        </w:rPr>
        <w:fldChar w:fldCharType="separate"/>
      </w:r>
      <w:r>
        <w:rPr>
          <w:rFonts w:hint="eastAsia" w:eastAsia="仿宋"/>
          <w:color w:val="auto"/>
          <w:sz w:val="28"/>
          <w:szCs w:val="28"/>
          <w:highlight w:val="none"/>
        </w:rPr>
        <w:t>www.youzhicai.com</w:t>
      </w:r>
      <w:r>
        <w:rPr>
          <w:rFonts w:eastAsia="仿宋"/>
          <w:color w:val="auto"/>
          <w:sz w:val="28"/>
          <w:szCs w:val="28"/>
          <w:highlight w:val="none"/>
        </w:rPr>
        <w:fldChar w:fldCharType="end"/>
      </w:r>
      <w:r>
        <w:rPr>
          <w:rFonts w:hint="eastAsia" w:ascii="宋体" w:hAnsi="宋体" w:eastAsia="仿宋"/>
          <w:color w:val="auto"/>
          <w:sz w:val="28"/>
          <w:szCs w:val="28"/>
          <w:highlight w:val="none"/>
        </w:rPr>
        <w:t>，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7F8A805E">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79552937">
      <w:pPr>
        <w:widowControl/>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（3）已注册的潜在投标人/供应商若注册信息发生变更（如：与初始注册信息不一致），应及时网上提交变更申请。因未及时变更导致不利后果的，责任自负。</w:t>
      </w:r>
    </w:p>
    <w:p w14:paraId="539073DC">
      <w:pPr>
        <w:widowControl/>
        <w:wordWrap w:val="0"/>
        <w:topLinePunct/>
        <w:spacing w:line="360" w:lineRule="auto"/>
        <w:ind w:firstLine="560" w:firstLineChars="200"/>
        <w:rPr>
          <w:rFonts w:ascii="宋体" w:hAnsi="宋体" w:eastAsia="仿宋"/>
          <w:color w:val="auto"/>
          <w:sz w:val="28"/>
          <w:szCs w:val="28"/>
          <w:highlight w:val="none"/>
        </w:rPr>
      </w:pPr>
      <w:r>
        <w:rPr>
          <w:rFonts w:hint="eastAsia" w:ascii="宋体" w:hAnsi="宋体" w:eastAsia="仿宋"/>
          <w:color w:val="auto"/>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302301AE">
      <w:pPr>
        <w:widowControl/>
        <w:topLinePunct/>
        <w:spacing w:line="360" w:lineRule="auto"/>
        <w:ind w:firstLine="560" w:firstLineChars="200"/>
        <w:rPr>
          <w:rFonts w:hint="eastAsia" w:ascii="宋体" w:hAnsi="宋体" w:eastAsia="仿宋"/>
          <w:color w:val="auto"/>
          <w:sz w:val="28"/>
          <w:szCs w:val="28"/>
          <w:highlight w:val="none"/>
        </w:rPr>
      </w:pPr>
      <w:r>
        <w:rPr>
          <w:rFonts w:hint="eastAsia" w:ascii="宋体" w:hAnsi="宋体" w:eastAsia="仿宋"/>
          <w:color w:val="auto"/>
          <w:sz w:val="28"/>
          <w:szCs w:val="28"/>
          <w:highlight w:val="none"/>
        </w:rPr>
        <w:t>（5）电子投标/响应文件必须使用“优质采投标文件制作工具”制作生成并上传。下载地址：</w:t>
      </w:r>
      <w:r>
        <w:rPr>
          <w:rFonts w:ascii="宋体" w:hAnsi="宋体" w:eastAsia="仿宋"/>
          <w:color w:val="auto"/>
          <w:sz w:val="28"/>
          <w:szCs w:val="28"/>
          <w:highlight w:val="none"/>
        </w:rPr>
        <w:t>http://toolcdn.youzhicai.com/tools/BidderTools.zip</w:t>
      </w:r>
      <w:r>
        <w:rPr>
          <w:rFonts w:hint="eastAsia" w:ascii="宋体" w:hAnsi="宋体" w:eastAsia="仿宋"/>
          <w:color w:val="auto"/>
          <w:sz w:val="28"/>
          <w:szCs w:val="28"/>
          <w:highlight w:val="none"/>
        </w:rPr>
        <w:t>，使用说明书及视频教程下载地址:</w:t>
      </w:r>
      <w:r>
        <w:rPr>
          <w:rFonts w:eastAsia="仿宋"/>
          <w:color w:val="auto"/>
          <w:sz w:val="28"/>
          <w:szCs w:val="28"/>
          <w:highlight w:val="none"/>
        </w:rPr>
        <w:t xml:space="preserve"> </w:t>
      </w:r>
      <w:r>
        <w:rPr>
          <w:rFonts w:ascii="宋体" w:hAnsi="宋体" w:eastAsia="仿宋"/>
          <w:color w:val="auto"/>
          <w:sz w:val="28"/>
          <w:szCs w:val="28"/>
          <w:highlight w:val="none"/>
        </w:rPr>
        <w:t>http://file.youzhicai.com/files/BidderHelp.rar</w:t>
      </w:r>
      <w:r>
        <w:rPr>
          <w:rFonts w:hint="eastAsia" w:ascii="宋体" w:hAnsi="宋体" w:eastAsia="仿宋"/>
          <w:color w:val="auto"/>
          <w:sz w:val="28"/>
          <w:szCs w:val="28"/>
          <w:highlight w:val="none"/>
        </w:rPr>
        <w:t>。</w:t>
      </w:r>
    </w:p>
    <w:p w14:paraId="31B55E73">
      <w:pPr>
        <w:widowControl/>
        <w:topLinePunct/>
        <w:spacing w:line="360" w:lineRule="auto"/>
        <w:ind w:firstLine="560" w:firstLineChars="200"/>
        <w:jc w:val="left"/>
        <w:rPr>
          <w:rFonts w:hint="eastAsia" w:ascii="宋体" w:hAnsi="宋体" w:eastAsia="仿宋"/>
          <w:color w:val="auto"/>
          <w:sz w:val="28"/>
          <w:szCs w:val="28"/>
          <w:highlight w:val="none"/>
        </w:rPr>
      </w:pPr>
      <w:r>
        <w:rPr>
          <w:rFonts w:hint="eastAsia" w:ascii="宋体" w:hAnsi="宋体" w:eastAsia="仿宋"/>
          <w:color w:val="auto"/>
          <w:sz w:val="28"/>
          <w:szCs w:val="28"/>
          <w:highlight w:val="none"/>
        </w:rPr>
        <w:t>4.根据《政府采购促进中小企业发展管理办法》（财库〔2020〕46号）第六条规定，本次采购符合不专门面向中小企业预留采购份额的情形：因确需使用不可替代的专利、专有技术，基础设施限制，或者提供特定公共服务等原因， 只能从中小企业之外的供应商处采购的。投标人如有异议，可按招标文件约定提出询问或质疑。</w:t>
      </w:r>
    </w:p>
    <w:p w14:paraId="4E1EA497">
      <w:pPr>
        <w:pStyle w:val="3"/>
        <w:widowControl/>
        <w:adjustRightInd w:val="0"/>
        <w:snapToGrid w:val="0"/>
        <w:spacing w:before="48" w:beforeLines="20" w:after="48" w:afterLines="20" w:line="360" w:lineRule="auto"/>
        <w:ind w:firstLine="560" w:firstLineChars="200"/>
        <w:rPr>
          <w:rStyle w:val="103"/>
          <w:rFonts w:hAnsi="宋体"/>
          <w:b w:val="0"/>
          <w:bCs w:val="0"/>
          <w:color w:val="auto"/>
          <w:sz w:val="28"/>
          <w:szCs w:val="28"/>
          <w:highlight w:val="none"/>
        </w:rPr>
      </w:pPr>
      <w:bookmarkStart w:id="26" w:name="_Toc35393627"/>
      <w:bookmarkStart w:id="27" w:name="_Toc28359085"/>
      <w:bookmarkStart w:id="28" w:name="_Toc35393796"/>
      <w:bookmarkStart w:id="29" w:name="_Toc28359008"/>
      <w:r>
        <w:rPr>
          <w:rStyle w:val="103"/>
          <w:rFonts w:hint="eastAsia" w:hAnsi="宋体"/>
          <w:b w:val="0"/>
          <w:bCs w:val="0"/>
          <w:color w:val="auto"/>
          <w:sz w:val="28"/>
          <w:szCs w:val="28"/>
          <w:highlight w:val="none"/>
        </w:rPr>
        <w:t>七、对本次招标提出询问，请按</w:t>
      </w:r>
      <w:r>
        <w:rPr>
          <w:rStyle w:val="103"/>
          <w:rFonts w:hAnsi="宋体"/>
          <w:b w:val="0"/>
          <w:bCs w:val="0"/>
          <w:color w:val="auto"/>
          <w:sz w:val="28"/>
          <w:szCs w:val="28"/>
          <w:highlight w:val="none"/>
        </w:rPr>
        <w:t>以下方式</w:t>
      </w:r>
      <w:r>
        <w:rPr>
          <w:rStyle w:val="103"/>
          <w:rFonts w:hint="eastAsia" w:hAnsi="宋体"/>
          <w:b w:val="0"/>
          <w:bCs w:val="0"/>
          <w:color w:val="auto"/>
          <w:sz w:val="28"/>
          <w:szCs w:val="28"/>
          <w:highlight w:val="none"/>
        </w:rPr>
        <w:t>联系。</w:t>
      </w:r>
      <w:bookmarkEnd w:id="26"/>
      <w:bookmarkEnd w:id="27"/>
      <w:bookmarkEnd w:id="28"/>
      <w:bookmarkEnd w:id="29"/>
    </w:p>
    <w:p w14:paraId="59799E1B">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1.采购人信息</w:t>
      </w:r>
    </w:p>
    <w:p w14:paraId="470FEFF8">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称：蚌埠医科大学第一附属医院</w:t>
      </w:r>
    </w:p>
    <w:p w14:paraId="00E14CCF">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地 址：安徽省蚌埠市长淮路287号</w:t>
      </w:r>
    </w:p>
    <w:p w14:paraId="109C7F78">
      <w:pPr>
        <w:widowControl/>
        <w:adjustRightInd w:val="0"/>
        <w:snapToGrid w:val="0"/>
        <w:spacing w:line="360" w:lineRule="auto"/>
        <w:ind w:firstLine="660" w:firstLineChars="236"/>
        <w:jc w:val="left"/>
        <w:rPr>
          <w:rFonts w:ascii="宋体" w:hAnsi="宋体" w:eastAsia="仿宋"/>
          <w:color w:val="auto"/>
          <w:sz w:val="28"/>
          <w:szCs w:val="28"/>
          <w:highlight w:val="none"/>
          <w:u w:val="single"/>
        </w:rPr>
      </w:pPr>
      <w:r>
        <w:rPr>
          <w:rFonts w:hint="eastAsia" w:ascii="宋体" w:hAnsi="宋体" w:eastAsia="仿宋" w:cs="宋体"/>
          <w:color w:val="auto"/>
          <w:sz w:val="28"/>
          <w:szCs w:val="28"/>
          <w:highlight w:val="none"/>
        </w:rPr>
        <w:t>联系方式：</w:t>
      </w:r>
      <w:bookmarkStart w:id="30" w:name="_Toc28359009"/>
      <w:bookmarkStart w:id="31" w:name="_Toc28359086"/>
      <w:r>
        <w:rPr>
          <w:rFonts w:hint="eastAsia" w:ascii="宋体" w:hAnsi="宋体" w:eastAsia="仿宋" w:cs="宋体"/>
          <w:color w:val="auto"/>
          <w:sz w:val="28"/>
          <w:szCs w:val="28"/>
          <w:highlight w:val="none"/>
        </w:rPr>
        <w:t>0552-3086506</w:t>
      </w:r>
    </w:p>
    <w:p w14:paraId="4E8EC8D2">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2.采购代理机构信息</w:t>
      </w:r>
      <w:bookmarkEnd w:id="30"/>
      <w:bookmarkEnd w:id="31"/>
    </w:p>
    <w:p w14:paraId="4C157D4F">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名 称：</w:t>
      </w:r>
      <w:r>
        <w:rPr>
          <w:rFonts w:hint="eastAsia" w:ascii="宋体" w:hAnsi="宋体" w:eastAsia="仿宋"/>
          <w:color w:val="auto"/>
          <w:sz w:val="28"/>
          <w:szCs w:val="28"/>
          <w:highlight w:val="none"/>
        </w:rPr>
        <w:t>安徽省招标集团股份有限公司</w:t>
      </w:r>
    </w:p>
    <w:p w14:paraId="502EEC38">
      <w:pPr>
        <w:widowControl/>
        <w:adjustRightInd w:val="0"/>
        <w:snapToGrid w:val="0"/>
        <w:spacing w:line="360" w:lineRule="auto"/>
        <w:ind w:firstLine="660" w:firstLineChars="236"/>
        <w:jc w:val="left"/>
        <w:rPr>
          <w:rFonts w:hint="default" w:ascii="宋体" w:hAnsi="宋体" w:eastAsia="仿宋"/>
          <w:color w:val="auto"/>
          <w:sz w:val="28"/>
          <w:szCs w:val="28"/>
          <w:highlight w:val="none"/>
          <w:lang w:val="en-US" w:eastAsia="zh-CN"/>
        </w:rPr>
      </w:pPr>
      <w:r>
        <w:rPr>
          <w:rFonts w:hint="eastAsia" w:ascii="宋体" w:hAnsi="宋体" w:eastAsia="仿宋" w:cs="宋体"/>
          <w:color w:val="auto"/>
          <w:sz w:val="28"/>
          <w:szCs w:val="28"/>
          <w:highlight w:val="none"/>
        </w:rPr>
        <w:t>地 址：</w:t>
      </w:r>
      <w:r>
        <w:rPr>
          <w:rFonts w:hint="eastAsia" w:ascii="宋体" w:hAnsi="宋体" w:eastAsia="仿宋"/>
          <w:color w:val="auto"/>
          <w:sz w:val="28"/>
          <w:szCs w:val="28"/>
          <w:highlight w:val="none"/>
        </w:rPr>
        <w:t>合肥市</w:t>
      </w:r>
      <w:r>
        <w:rPr>
          <w:rFonts w:hint="eastAsia" w:ascii="宋体" w:hAnsi="宋体" w:eastAsia="仿宋"/>
          <w:color w:val="auto"/>
          <w:sz w:val="28"/>
          <w:szCs w:val="28"/>
          <w:highlight w:val="none"/>
          <w:lang w:val="en-US" w:eastAsia="zh-CN"/>
        </w:rPr>
        <w:t>包河区紫云路888号</w:t>
      </w:r>
    </w:p>
    <w:p w14:paraId="175B45D5">
      <w:pPr>
        <w:widowControl/>
        <w:adjustRightInd w:val="0"/>
        <w:snapToGrid w:val="0"/>
        <w:spacing w:line="360" w:lineRule="auto"/>
        <w:ind w:firstLine="660" w:firstLineChars="236"/>
        <w:jc w:val="left"/>
        <w:rPr>
          <w:rFonts w:ascii="宋体" w:hAnsi="宋体" w:eastAsia="仿宋"/>
          <w:color w:val="auto"/>
          <w:sz w:val="28"/>
          <w:szCs w:val="28"/>
          <w:highlight w:val="none"/>
        </w:rPr>
      </w:pPr>
      <w:r>
        <w:rPr>
          <w:rFonts w:hint="eastAsia" w:ascii="宋体" w:hAnsi="宋体" w:eastAsia="仿宋" w:cs="宋体"/>
          <w:color w:val="auto"/>
          <w:sz w:val="28"/>
          <w:szCs w:val="28"/>
          <w:highlight w:val="none"/>
        </w:rPr>
        <w:t>联系方式：</w:t>
      </w:r>
      <w:bookmarkStart w:id="32" w:name="_Toc28359010"/>
      <w:bookmarkStart w:id="33" w:name="_Toc28359087"/>
      <w:r>
        <w:rPr>
          <w:rFonts w:hint="eastAsia" w:ascii="宋体" w:hAnsi="宋体" w:eastAsia="仿宋"/>
          <w:color w:val="auto"/>
          <w:sz w:val="28"/>
          <w:szCs w:val="28"/>
          <w:highlight w:val="none"/>
        </w:rPr>
        <w:t>应急客服电话：0551-62220153（接听时间：8:30-12:00,13:30-17:30，节假日除外。潜在投标人应优先拨打项目联系人联系电话，无人接听时再拨打该“应急客服电话”）</w:t>
      </w:r>
    </w:p>
    <w:p w14:paraId="5F72F403">
      <w:pPr>
        <w:widowControl/>
        <w:adjustRightInd w:val="0"/>
        <w:snapToGrid w:val="0"/>
        <w:spacing w:line="360" w:lineRule="auto"/>
        <w:ind w:firstLine="660" w:firstLineChars="236"/>
        <w:jc w:val="left"/>
        <w:rPr>
          <w:rFonts w:ascii="宋体" w:hAnsi="宋体" w:eastAsia="仿宋" w:cs="宋体"/>
          <w:color w:val="auto"/>
          <w:sz w:val="28"/>
          <w:szCs w:val="28"/>
          <w:highlight w:val="none"/>
        </w:rPr>
      </w:pPr>
      <w:r>
        <w:rPr>
          <w:rFonts w:hint="eastAsia" w:ascii="宋体" w:hAnsi="宋体" w:eastAsia="仿宋" w:cs="宋体"/>
          <w:color w:val="auto"/>
          <w:sz w:val="28"/>
          <w:szCs w:val="28"/>
          <w:highlight w:val="none"/>
        </w:rPr>
        <w:t>3.项目</w:t>
      </w:r>
      <w:r>
        <w:rPr>
          <w:rFonts w:ascii="宋体" w:hAnsi="宋体" w:eastAsia="仿宋" w:cs="宋体"/>
          <w:color w:val="auto"/>
          <w:sz w:val="28"/>
          <w:szCs w:val="28"/>
          <w:highlight w:val="none"/>
        </w:rPr>
        <w:t>联系方式</w:t>
      </w:r>
      <w:bookmarkEnd w:id="32"/>
      <w:bookmarkEnd w:id="33"/>
    </w:p>
    <w:p w14:paraId="654252B4">
      <w:pPr>
        <w:pStyle w:val="24"/>
        <w:adjustRightInd w:val="0"/>
        <w:snapToGrid w:val="0"/>
        <w:spacing w:line="360" w:lineRule="auto"/>
        <w:ind w:firstLine="660" w:firstLineChars="236"/>
        <w:rPr>
          <w:rFonts w:hint="default" w:hAnsi="宋体" w:eastAsia="仿宋" w:cs="宋体"/>
          <w:color w:val="auto"/>
          <w:sz w:val="28"/>
          <w:szCs w:val="28"/>
          <w:highlight w:val="none"/>
          <w:lang w:val="en-US" w:eastAsia="zh-CN"/>
        </w:rPr>
      </w:pPr>
      <w:r>
        <w:rPr>
          <w:rFonts w:hint="eastAsia" w:hAnsi="宋体" w:eastAsia="仿宋" w:cs="宋体"/>
          <w:color w:val="auto"/>
          <w:sz w:val="28"/>
          <w:szCs w:val="28"/>
          <w:highlight w:val="none"/>
        </w:rPr>
        <w:t>项目联系人：俞云龙、倪孟杰、施雨朦</w:t>
      </w:r>
      <w:r>
        <w:rPr>
          <w:rFonts w:hint="eastAsia" w:hAnsi="宋体" w:eastAsia="仿宋" w:cs="宋体"/>
          <w:color w:val="auto"/>
          <w:sz w:val="28"/>
          <w:szCs w:val="28"/>
          <w:highlight w:val="none"/>
          <w:lang w:eastAsia="zh-CN"/>
        </w:rPr>
        <w:t>、</w:t>
      </w:r>
      <w:r>
        <w:rPr>
          <w:rFonts w:hint="eastAsia" w:hAnsi="宋体" w:eastAsia="仿宋" w:cs="宋体"/>
          <w:color w:val="auto"/>
          <w:sz w:val="28"/>
          <w:szCs w:val="28"/>
          <w:highlight w:val="none"/>
          <w:lang w:val="en-US" w:eastAsia="zh-CN"/>
        </w:rPr>
        <w:t>章永兴</w:t>
      </w:r>
    </w:p>
    <w:p w14:paraId="3954E570">
      <w:pPr>
        <w:pStyle w:val="24"/>
        <w:adjustRightInd w:val="0"/>
        <w:snapToGrid w:val="0"/>
        <w:spacing w:line="360" w:lineRule="auto"/>
        <w:ind w:firstLine="660" w:firstLineChars="236"/>
        <w:rPr>
          <w:rFonts w:hint="eastAsia" w:hAnsi="宋体" w:eastAsia="仿宋"/>
          <w:color w:val="auto"/>
          <w:sz w:val="28"/>
          <w:szCs w:val="28"/>
          <w:highlight w:val="none"/>
          <w:u w:val="single"/>
        </w:rPr>
      </w:pPr>
      <w:r>
        <w:rPr>
          <w:rFonts w:hint="eastAsia" w:hAnsi="宋体" w:eastAsia="仿宋" w:cs="宋体"/>
          <w:color w:val="auto"/>
          <w:sz w:val="28"/>
          <w:szCs w:val="28"/>
          <w:highlight w:val="none"/>
        </w:rPr>
        <w:t>电　话：0551-66061348、0551-66061352、0551-66061355、15255522615</w:t>
      </w:r>
      <w:r>
        <w:rPr>
          <w:rFonts w:hint="eastAsia" w:hAnsi="宋体" w:eastAsia="仿宋"/>
          <w:color w:val="auto"/>
          <w:sz w:val="28"/>
          <w:szCs w:val="28"/>
          <w:highlight w:val="none"/>
        </w:rPr>
        <w:t>（无人接听可短信留言）</w:t>
      </w:r>
    </w:p>
    <w:p w14:paraId="57DC390B">
      <w:pPr>
        <w:widowControl/>
        <w:spacing w:line="360" w:lineRule="auto"/>
        <w:ind w:firstLine="420"/>
        <w:rPr>
          <w:rFonts w:hint="eastAsia" w:ascii="宋体" w:hAnsi="宋体" w:eastAsia="仿宋"/>
          <w:color w:val="auto"/>
          <w:sz w:val="28"/>
          <w:szCs w:val="28"/>
          <w:highlight w:val="none"/>
        </w:rPr>
      </w:pPr>
    </w:p>
    <w:p w14:paraId="28B0C25B">
      <w:pPr>
        <w:widowControl/>
        <w:adjustRightInd w:val="0"/>
        <w:snapToGrid w:val="0"/>
        <w:spacing w:line="360" w:lineRule="auto"/>
        <w:ind w:firstLine="660" w:firstLineChars="236"/>
        <w:jc w:val="left"/>
        <w:rPr>
          <w:rFonts w:ascii="楷体" w:hAnsi="楷体" w:eastAsia="仿宋"/>
          <w:i/>
          <w:color w:val="auto"/>
          <w:sz w:val="28"/>
          <w:szCs w:val="28"/>
          <w:highlight w:val="none"/>
        </w:rPr>
      </w:pPr>
      <w:r>
        <w:rPr>
          <w:rFonts w:hint="eastAsia" w:ascii="宋体" w:hAnsi="宋体" w:eastAsia="仿宋" w:cs="宋体"/>
          <w:color w:val="auto"/>
          <w:sz w:val="28"/>
          <w:szCs w:val="28"/>
          <w:highlight w:val="none"/>
        </w:rPr>
        <w:t>附件：</w:t>
      </w:r>
      <w:r>
        <w:rPr>
          <w:rFonts w:hint="eastAsia" w:ascii="宋体" w:hAnsi="宋体" w:eastAsia="仿宋"/>
          <w:color w:val="auto"/>
          <w:sz w:val="28"/>
          <w:szCs w:val="28"/>
          <w:highlight w:val="none"/>
        </w:rPr>
        <w:t>招标文件</w:t>
      </w:r>
    </w:p>
    <w:p w14:paraId="2445FDDC">
      <w:pPr>
        <w:pStyle w:val="2"/>
        <w:widowControl/>
        <w:spacing w:before="0" w:after="0" w:line="240" w:lineRule="auto"/>
        <w:jc w:val="center"/>
        <w:rPr>
          <w:rFonts w:ascii="宋体" w:hAnsi="宋体" w:eastAsia="仿宋"/>
          <w:color w:val="auto"/>
          <w:highlight w:val="none"/>
        </w:rPr>
      </w:pPr>
      <w:bookmarkStart w:id="34" w:name="_Toc241459614"/>
      <w:bookmarkStart w:id="35" w:name="_Toc445554685"/>
      <w:bookmarkStart w:id="36" w:name="_Toc466024497"/>
      <w:bookmarkStart w:id="37" w:name="_Toc333587477"/>
      <w:bookmarkStart w:id="38" w:name="_Toc342297617"/>
      <w:bookmarkStart w:id="39" w:name="_Toc342296160"/>
      <w:bookmarkStart w:id="40" w:name="_Toc371415919"/>
      <w:r>
        <w:rPr>
          <w:rFonts w:ascii="宋体" w:hAnsi="宋体" w:eastAsia="仿宋"/>
          <w:color w:val="auto"/>
          <w:sz w:val="24"/>
          <w:szCs w:val="24"/>
          <w:highlight w:val="none"/>
        </w:rPr>
        <w:br w:type="page"/>
      </w:r>
      <w:bookmarkStart w:id="41" w:name="_Toc26870"/>
      <w:r>
        <w:rPr>
          <w:rFonts w:hint="eastAsia" w:ascii="宋体" w:hAnsi="宋体" w:eastAsia="仿宋"/>
          <w:color w:val="auto"/>
          <w:highlight w:val="none"/>
        </w:rPr>
        <w:t>第二章</w:t>
      </w:r>
      <w:r>
        <w:rPr>
          <w:rFonts w:ascii="宋体" w:hAnsi="宋体" w:eastAsia="仿宋"/>
          <w:color w:val="auto"/>
          <w:highlight w:val="none"/>
        </w:rPr>
        <w:t xml:space="preserve"> </w:t>
      </w:r>
      <w:r>
        <w:rPr>
          <w:rFonts w:hint="eastAsia" w:ascii="宋体" w:hAnsi="宋体" w:eastAsia="仿宋"/>
          <w:color w:val="auto"/>
          <w:highlight w:val="none"/>
        </w:rPr>
        <w:t xml:space="preserve"> 投标人须知</w:t>
      </w:r>
      <w:bookmarkEnd w:id="34"/>
      <w:bookmarkEnd w:id="35"/>
      <w:bookmarkEnd w:id="36"/>
      <w:bookmarkEnd w:id="41"/>
    </w:p>
    <w:p w14:paraId="4C727FF6">
      <w:pPr>
        <w:pStyle w:val="3"/>
        <w:widowControl/>
        <w:spacing w:before="120" w:after="120" w:line="240" w:lineRule="auto"/>
        <w:jc w:val="center"/>
        <w:rPr>
          <w:rStyle w:val="103"/>
          <w:rFonts w:hint="eastAsia" w:ascii="仿宋" w:hAnsi="仿宋" w:eastAsia="仿宋" w:cs="仿宋"/>
          <w:b/>
          <w:bCs w:val="0"/>
          <w:color w:val="auto"/>
          <w:sz w:val="28"/>
          <w:szCs w:val="28"/>
          <w:highlight w:val="none"/>
        </w:rPr>
      </w:pPr>
      <w:bookmarkStart w:id="42" w:name="_Toc466024498"/>
      <w:bookmarkStart w:id="43" w:name="_Toc445554686"/>
      <w:r>
        <w:rPr>
          <w:rStyle w:val="103"/>
          <w:rFonts w:hint="eastAsia" w:ascii="仿宋" w:hAnsi="仿宋" w:eastAsia="仿宋" w:cs="仿宋"/>
          <w:b/>
          <w:bCs w:val="0"/>
          <w:color w:val="auto"/>
          <w:sz w:val="28"/>
          <w:szCs w:val="28"/>
          <w:highlight w:val="none"/>
        </w:rPr>
        <w:t>投标人须知前附表</w:t>
      </w:r>
      <w:bookmarkEnd w:id="42"/>
      <w:bookmarkEnd w:id="43"/>
    </w:p>
    <w:p w14:paraId="272F878C">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本《投标人须知前附表》是对本章《投标人须知》的具体补充和修改，如有不一致，以本《投标人须知前附表》为准。</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3928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blHeader/>
        </w:trPr>
        <w:tc>
          <w:tcPr>
            <w:tcW w:w="857" w:type="dxa"/>
            <w:noWrap w:val="0"/>
            <w:vAlign w:val="center"/>
          </w:tcPr>
          <w:p w14:paraId="694EF13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77B2D9A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02059BF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1A71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3F0666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28207772">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698EEDC4">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12CD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72D494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38A5FE2D">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248B8E5C">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37A8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16B561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4674F3D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28E17C4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15C0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8DE80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3E6FAF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5F6ADC0E">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仿宋" w:hAnsi="仿宋" w:eastAsia="仿宋" w:cs="仿宋"/>
                <w:iCs/>
                <w:color w:val="auto"/>
                <w:sz w:val="24"/>
                <w:highlight w:val="none"/>
              </w:rPr>
              <w:t>1个标包</w:t>
            </w:r>
          </w:p>
        </w:tc>
      </w:tr>
      <w:tr w14:paraId="0AC6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D2191F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6637AE4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0861B5A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7B31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A5CFD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16E9328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专门面向中小企业采购</w:t>
            </w:r>
          </w:p>
        </w:tc>
        <w:tc>
          <w:tcPr>
            <w:tcW w:w="7229" w:type="dxa"/>
            <w:noWrap w:val="0"/>
            <w:vAlign w:val="center"/>
          </w:tcPr>
          <w:p w14:paraId="487B7FB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5702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CA93BA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2075788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49D7F35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财政资金100%</w:t>
            </w:r>
          </w:p>
        </w:tc>
      </w:tr>
      <w:tr w14:paraId="592B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7DDB90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0A720D2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59D61D1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499E3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0B3FDC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34BA93A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154A96F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仿宋" w:hAnsi="仿宋" w:eastAsia="仿宋" w:cs="仿宋"/>
                <w:iCs/>
                <w:color w:val="auto"/>
                <w:sz w:val="24"/>
                <w:highlight w:val="none"/>
              </w:rPr>
              <w:t>/</w:t>
            </w:r>
          </w:p>
        </w:tc>
      </w:tr>
      <w:tr w14:paraId="52FF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7FF779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26D60429">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097CA32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3708E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1377F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6C72731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67C78494">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3935FC0E">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1C04FA65">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14F23CEF">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6929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F46C65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28A2C3C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753C9D5D">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4665428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79BC3233">
            <w:pPr>
              <w:keepNext w:val="0"/>
              <w:keepLines w:val="0"/>
              <w:widowControl/>
              <w:suppressLineNumbers w:val="0"/>
              <w:adjustRightInd w:val="0"/>
              <w:snapToGrid w:val="0"/>
              <w:spacing w:before="0" w:beforeAutospacing="0" w:after="0" w:afterAutospacing="0" w:line="288" w:lineRule="auto"/>
              <w:ind w:left="0" w:right="0" w:firstLine="960" w:firstLineChars="400"/>
              <w:rPr>
                <w:rFonts w:hint="eastAsia"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15715A1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2B9C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AAB8C5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69402F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0D5FCE39">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5857E128">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7BAC3EFD">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3F8618FC">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78B8DBB7">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1360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FDC29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13565B3C">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3AEC0442">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发出形式：在优质采云采购平台发布，投标人自行查看、下载，无需确认。其他方式发布的，投标人应书面确认。</w:t>
            </w:r>
          </w:p>
        </w:tc>
      </w:tr>
      <w:tr w14:paraId="6A16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696BA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29E703A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2948BBB5">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7373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09" w:hRule="atLeast"/>
        </w:trPr>
        <w:tc>
          <w:tcPr>
            <w:tcW w:w="857" w:type="dxa"/>
            <w:noWrap w:val="0"/>
            <w:vAlign w:val="center"/>
          </w:tcPr>
          <w:p w14:paraId="427F8AE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188B971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7ED2F2B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03BFF991">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4E5288C3">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□是，提交样品的具体要求：</w:t>
            </w:r>
          </w:p>
          <w:p w14:paraId="057BB282">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（1）</w:t>
            </w:r>
            <w:r>
              <w:rPr>
                <w:rFonts w:hint="eastAsia" w:ascii="仿宋" w:hAnsi="仿宋" w:eastAsia="仿宋" w:cs="仿宋"/>
                <w:snapToGrid w:val="0"/>
                <w:color w:val="auto"/>
                <w:kern w:val="28"/>
                <w:sz w:val="24"/>
                <w:highlight w:val="none"/>
                <w:lang w:bidi="ar"/>
              </w:rPr>
              <w:t>样品制作的标准和要求：详见第三章“</w:t>
            </w:r>
            <w:r>
              <w:rPr>
                <w:rFonts w:hint="eastAsia" w:ascii="仿宋" w:hAnsi="仿宋" w:eastAsia="仿宋" w:cs="仿宋"/>
                <w:color w:val="auto"/>
                <w:sz w:val="24"/>
                <w:highlight w:val="none"/>
                <w:lang w:bidi="ar"/>
              </w:rPr>
              <w:t>采购需求”</w:t>
            </w:r>
            <w:r>
              <w:rPr>
                <w:rFonts w:hint="eastAsia" w:ascii="仿宋" w:hAnsi="仿宋" w:eastAsia="仿宋" w:cs="仿宋"/>
                <w:color w:val="auto"/>
                <w:kern w:val="0"/>
                <w:sz w:val="24"/>
                <w:highlight w:val="none"/>
                <w:lang w:bidi="ar"/>
              </w:rPr>
              <w:t>；</w:t>
            </w:r>
          </w:p>
          <w:p w14:paraId="67F9B3E3">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（2）样品的评审方法以及评审标准</w:t>
            </w:r>
            <w:r>
              <w:rPr>
                <w:rFonts w:hint="eastAsia" w:ascii="仿宋" w:hAnsi="仿宋" w:eastAsia="仿宋" w:cs="仿宋"/>
                <w:snapToGrid w:val="0"/>
                <w:color w:val="auto"/>
                <w:kern w:val="28"/>
                <w:sz w:val="24"/>
                <w:highlight w:val="none"/>
                <w:lang w:bidi="ar"/>
              </w:rPr>
              <w:t>：详见第四章“资格审查和</w:t>
            </w:r>
            <w:r>
              <w:rPr>
                <w:rFonts w:hint="eastAsia" w:ascii="仿宋" w:hAnsi="仿宋" w:eastAsia="仿宋" w:cs="仿宋"/>
                <w:color w:val="auto"/>
                <w:sz w:val="24"/>
                <w:highlight w:val="none"/>
                <w:lang w:bidi="ar"/>
              </w:rPr>
              <w:t>评标办法”</w:t>
            </w:r>
            <w:r>
              <w:rPr>
                <w:rFonts w:hint="eastAsia" w:ascii="仿宋" w:hAnsi="仿宋" w:eastAsia="仿宋" w:cs="仿宋"/>
                <w:color w:val="auto"/>
                <w:kern w:val="0"/>
                <w:sz w:val="24"/>
                <w:highlight w:val="none"/>
                <w:lang w:bidi="ar"/>
              </w:rPr>
              <w:t>；</w:t>
            </w:r>
          </w:p>
          <w:p w14:paraId="0F47560E">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bidi="ar"/>
              </w:rPr>
              <w:t>（3）是否需要随样品提交检测报告：</w:t>
            </w:r>
            <w:r>
              <w:rPr>
                <w:rFonts w:hint="eastAsia" w:ascii="仿宋" w:hAnsi="仿宋" w:eastAsia="仿宋" w:cs="仿宋"/>
                <w:color w:val="auto"/>
                <w:kern w:val="0"/>
                <w:sz w:val="24"/>
                <w:highlight w:val="none"/>
                <w:lang w:bidi="ar"/>
              </w:rPr>
              <w:sym w:font="Wingdings" w:char="00FE"/>
            </w:r>
            <w:r>
              <w:rPr>
                <w:rFonts w:hint="eastAsia" w:ascii="仿宋" w:hAnsi="仿宋" w:eastAsia="仿宋" w:cs="仿宋"/>
                <w:color w:val="auto"/>
                <w:kern w:val="0"/>
                <w:sz w:val="24"/>
                <w:highlight w:val="none"/>
                <w:lang w:bidi="ar"/>
              </w:rPr>
              <w:t>否；☐是，检测机构的要求</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/；检测内容：/</w:t>
            </w:r>
            <w:r>
              <w:rPr>
                <w:rFonts w:hint="eastAsia" w:ascii="仿宋" w:hAnsi="仿宋" w:eastAsia="仿宋" w:cs="仿宋"/>
                <w:color w:val="auto"/>
                <w:kern w:val="0"/>
                <w:sz w:val="24"/>
                <w:highlight w:val="none"/>
                <w:lang w:bidi="ar"/>
              </w:rPr>
              <w:t>。</w:t>
            </w:r>
          </w:p>
          <w:p w14:paraId="75604678">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（4）提供样品的时间：</w:t>
            </w:r>
            <w:r>
              <w:rPr>
                <w:rFonts w:hint="eastAsia" w:ascii="楷体" w:hAnsi="楷体" w:eastAsia="仿宋" w:cs="Times New Roman"/>
                <w:color w:val="auto"/>
                <w:sz w:val="24"/>
                <w:highlight w:val="none"/>
              </w:rPr>
              <w:t>投标截止时间前</w:t>
            </w:r>
            <w:r>
              <w:rPr>
                <w:rFonts w:hint="eastAsia" w:ascii="仿宋" w:hAnsi="仿宋" w:eastAsia="仿宋" w:cs="仿宋"/>
                <w:color w:val="auto"/>
                <w:kern w:val="0"/>
                <w:sz w:val="24"/>
                <w:highlight w:val="none"/>
                <w:lang w:bidi="ar"/>
              </w:rPr>
              <w:t>；地点：</w:t>
            </w:r>
            <w:r>
              <w:rPr>
                <w:rFonts w:hint="eastAsia" w:ascii="楷体" w:hAnsi="楷体" w:eastAsia="仿宋" w:cs="Times New Roman"/>
                <w:color w:val="auto"/>
                <w:sz w:val="24"/>
                <w:highlight w:val="none"/>
              </w:rPr>
              <w:t>/</w:t>
            </w:r>
            <w:r>
              <w:rPr>
                <w:rFonts w:hint="eastAsia" w:ascii="仿宋" w:hAnsi="仿宋" w:eastAsia="仿宋" w:cs="仿宋"/>
                <w:color w:val="auto"/>
                <w:kern w:val="0"/>
                <w:sz w:val="24"/>
                <w:highlight w:val="none"/>
                <w:lang w:bidi="ar"/>
              </w:rPr>
              <w:t>；联系人</w:t>
            </w:r>
            <w:r>
              <w:rPr>
                <w:rFonts w:hint="eastAsia" w:ascii="仿宋" w:hAnsi="仿宋" w:eastAsia="仿宋" w:cs="仿宋"/>
                <w:color w:val="auto"/>
                <w:sz w:val="24"/>
                <w:highlight w:val="none"/>
                <w:lang w:bidi="ar"/>
              </w:rPr>
              <w:t>：</w:t>
            </w:r>
            <w:r>
              <w:rPr>
                <w:rFonts w:hint="eastAsia" w:ascii="楷体" w:hAnsi="楷体" w:eastAsia="仿宋" w:cs="Times New Roman"/>
                <w:color w:val="auto"/>
                <w:sz w:val="24"/>
                <w:highlight w:val="none"/>
              </w:rPr>
              <w:t>/</w:t>
            </w:r>
            <w:r>
              <w:rPr>
                <w:rFonts w:hint="eastAsia" w:ascii="仿宋" w:hAnsi="仿宋" w:eastAsia="仿宋" w:cs="仿宋"/>
                <w:color w:val="auto"/>
                <w:sz w:val="24"/>
                <w:highlight w:val="none"/>
                <w:lang w:bidi="ar"/>
              </w:rPr>
              <w:t>，</w:t>
            </w:r>
            <w:r>
              <w:rPr>
                <w:rFonts w:hint="eastAsia" w:ascii="仿宋" w:hAnsi="仿宋" w:eastAsia="仿宋" w:cs="仿宋"/>
                <w:color w:val="auto"/>
                <w:kern w:val="28"/>
                <w:sz w:val="24"/>
                <w:highlight w:val="none"/>
                <w:lang w:bidi="ar"/>
              </w:rPr>
              <w:t>联系电话：</w:t>
            </w:r>
            <w:r>
              <w:rPr>
                <w:rFonts w:hint="eastAsia" w:ascii="楷体" w:hAnsi="楷体" w:eastAsia="仿宋" w:cs="Times New Roman"/>
                <w:color w:val="auto"/>
                <w:sz w:val="24"/>
                <w:highlight w:val="none"/>
              </w:rPr>
              <w:t>/</w:t>
            </w:r>
            <w:r>
              <w:rPr>
                <w:rFonts w:hint="eastAsia" w:ascii="仿宋" w:hAnsi="仿宋" w:eastAsia="仿宋" w:cs="仿宋"/>
                <w:color w:val="auto"/>
                <w:sz w:val="24"/>
                <w:highlight w:val="none"/>
                <w:lang w:bidi="ar"/>
              </w:rPr>
              <w:t>。</w:t>
            </w:r>
          </w:p>
          <w:p w14:paraId="2CBF7EBE">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请投标人按上述时间规定提供样品。未按规定递交的，采购代理机构将不予接收。</w:t>
            </w:r>
          </w:p>
          <w:p w14:paraId="380A8A5C">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（5）</w:t>
            </w:r>
            <w:r>
              <w:rPr>
                <w:rFonts w:hint="eastAsia" w:ascii="仿宋" w:hAnsi="仿宋" w:eastAsia="仿宋" w:cs="仿宋"/>
                <w:color w:val="auto"/>
                <w:sz w:val="24"/>
                <w:highlight w:val="none"/>
              </w:rPr>
              <w:t>中标人样品的保管：</w:t>
            </w:r>
            <w:r>
              <w:rPr>
                <w:rFonts w:hint="eastAsia" w:ascii="楷体" w:hAnsi="楷体" w:eastAsia="仿宋" w:cs="Times New Roman"/>
                <w:color w:val="auto"/>
                <w:sz w:val="24"/>
                <w:highlight w:val="none"/>
              </w:rPr>
              <w:t>采购代理机构自中标结果公告发布之日起3个工作日内，将中标人样品移交采购人。由采购人进行保管、封存，并作为履约验收的参考。</w:t>
            </w:r>
          </w:p>
          <w:p w14:paraId="4D9DE9CB">
            <w:pPr>
              <w:keepNext w:val="0"/>
              <w:keepLines w:val="0"/>
              <w:suppressLineNumbers w:val="0"/>
              <w:adjustRightInd w:val="0"/>
              <w:spacing w:before="0" w:beforeAutospacing="0" w:after="0" w:afterAutospacing="0" w:line="288" w:lineRule="auto"/>
              <w:ind w:left="0" w:right="0"/>
              <w:rPr>
                <w:rFonts w:hint="default" w:ascii="仿宋" w:hAnsi="仿宋" w:eastAsia="仿宋" w:cs="仿宋"/>
                <w:color w:val="auto"/>
                <w:sz w:val="24"/>
                <w:highlight w:val="none"/>
                <w:lang w:bidi="ar"/>
              </w:rPr>
            </w:pPr>
            <w:r>
              <w:rPr>
                <w:rFonts w:hint="eastAsia" w:ascii="仿宋" w:hAnsi="仿宋" w:eastAsia="仿宋" w:cs="仿宋"/>
                <w:color w:val="auto"/>
                <w:sz w:val="24"/>
                <w:highlight w:val="none"/>
              </w:rPr>
              <w:t>（6）未中标人样品的退还：</w:t>
            </w:r>
            <w:r>
              <w:rPr>
                <w:rFonts w:hint="eastAsia" w:ascii="楷体" w:hAnsi="楷体" w:eastAsia="仿宋" w:cs="Times New Roman"/>
                <w:color w:val="auto"/>
                <w:sz w:val="24"/>
                <w:highlight w:val="none"/>
              </w:rPr>
              <w:t>自中标结果公告/终止公告发布之日起3个工作日内，投标人自行取回。逾期未取的，样品的损毁、灭失责任由投标人承担。</w:t>
            </w:r>
          </w:p>
        </w:tc>
      </w:tr>
      <w:tr w14:paraId="133B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3EA3CB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4197189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52D9398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包括货物从设计、采购、制造、交货（包括运输至采购人指定地点卸车就位）至验收和售后服务的一切费用（如设计费、采购费、制造费、包装费、运输费、运输保险费、装卸费</w:t>
            </w:r>
            <w:r>
              <w:rPr>
                <w:rFonts w:hint="eastAsia" w:ascii="楷体" w:hAnsi="楷体" w:eastAsia="仿宋" w:cs="Times New Roman"/>
                <w:color w:val="auto"/>
                <w:sz w:val="24"/>
                <w:highlight w:val="none"/>
              </w:rPr>
              <w:t>、</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w:t>
            </w:r>
            <w:r>
              <w:rPr>
                <w:rFonts w:hint="default" w:ascii="楷体" w:hAnsi="楷体" w:eastAsia="仿宋" w:cs="Times New Roman"/>
                <w:color w:val="auto"/>
                <w:sz w:val="24"/>
                <w:highlight w:val="none"/>
              </w:rPr>
              <w:t>合同中明示或暗示的所有责任、义务和风险。</w:t>
            </w:r>
          </w:p>
        </w:tc>
      </w:tr>
      <w:tr w14:paraId="3CDF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014BE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275FF01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61C4E2A2">
            <w:pPr>
              <w:pStyle w:val="174"/>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5E1CF6CF">
            <w:pPr>
              <w:pStyle w:val="174"/>
              <w:keepNext w:val="0"/>
              <w:keepLines w:val="0"/>
              <w:suppressLineNumbers w:val="0"/>
              <w:tabs>
                <w:tab w:val="left" w:pos="2149"/>
              </w:tabs>
              <w:snapToGrid w:val="0"/>
              <w:spacing w:before="0" w:beforeAutospacing="0" w:after="0" w:afterAutospacing="0" w:line="240" w:lineRule="auto"/>
              <w:ind w:left="0" w:right="0"/>
              <w:rPr>
                <w:rFonts w:hint="eastAsia" w:hAnsi="宋体" w:cs="Times New Roman"/>
                <w:bCs/>
                <w:color w:val="auto"/>
                <w:sz w:val="24"/>
                <w:szCs w:val="24"/>
                <w:highlight w:val="none"/>
              </w:rPr>
            </w:pPr>
            <w:r>
              <w:rPr>
                <w:rFonts w:hint="eastAsia" w:ascii="楷体" w:hAnsi="楷体" w:eastAsia="仿宋" w:cs="Times New Roman"/>
                <w:b w:val="0"/>
                <w:color w:val="auto"/>
                <w:sz w:val="24"/>
                <w:szCs w:val="24"/>
                <w:highlight w:val="none"/>
              </w:rPr>
              <w:t>□采购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”中所提供的各种货物的数量是计划采购数量，仅作为投标报价的依据，不作为最终结算与支付的依据。在合同实施期间，</w:t>
            </w:r>
            <w:r>
              <w:rPr>
                <w:rFonts w:hint="eastAsia" w:ascii="楷体" w:hAnsi="楷体" w:eastAsia="仿宋" w:cs="Times New Roman"/>
                <w:b w:val="0"/>
                <w:color w:val="auto"/>
                <w:sz w:val="24"/>
                <w:szCs w:val="24"/>
                <w:highlight w:val="none"/>
              </w:rPr>
              <w:t>采购人可以按照政府采购政策规定对</w:t>
            </w:r>
            <w:r>
              <w:rPr>
                <w:rFonts w:hint="default" w:ascii="楷体" w:hAnsi="楷体" w:eastAsia="仿宋" w:cs="Times New Roman"/>
                <w:b w:val="0"/>
                <w:color w:val="auto"/>
                <w:sz w:val="24"/>
                <w:szCs w:val="24"/>
                <w:highlight w:val="none"/>
              </w:rPr>
              <w:t>货物数量适当增减。投标人不得以货物的实际供货数量有变化为理由</w:t>
            </w:r>
            <w:r>
              <w:rPr>
                <w:rFonts w:hint="eastAsia" w:ascii="楷体" w:hAnsi="楷体" w:eastAsia="仿宋" w:cs="Times New Roman"/>
                <w:b w:val="0"/>
                <w:color w:val="auto"/>
                <w:sz w:val="24"/>
                <w:szCs w:val="24"/>
                <w:highlight w:val="none"/>
              </w:rPr>
              <w:t>要求</w:t>
            </w:r>
            <w:r>
              <w:rPr>
                <w:rFonts w:hint="default" w:ascii="楷体" w:hAnsi="楷体" w:eastAsia="仿宋" w:cs="Times New Roman"/>
                <w:b w:val="0"/>
                <w:color w:val="auto"/>
                <w:sz w:val="24"/>
                <w:szCs w:val="24"/>
                <w:highlight w:val="none"/>
              </w:rPr>
              <w:t>对各种货物的单价进行变更。</w:t>
            </w:r>
          </w:p>
        </w:tc>
      </w:tr>
      <w:tr w14:paraId="0F3DE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C9DD27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592AC59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5B9E135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49E81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C0F78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387F0B2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389F249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3819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EBFA7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0BCF80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0417E06D">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35701BBE">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1A25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B174FC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0B96CDC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6B232033">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449DE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8D6C68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12D3D3B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4539DD6A">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电子投标文件所附证书证件均应为投标人证书证件的原件扫描件或电子证照。</w:t>
            </w:r>
          </w:p>
        </w:tc>
      </w:tr>
      <w:tr w14:paraId="403C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5C56F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518E6F1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7B989196">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投标人应提交的投标文件：</w:t>
            </w:r>
          </w:p>
          <w:p w14:paraId="32757B2F">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优质采云采购平台</w:t>
            </w:r>
            <w:r>
              <w:rPr>
                <w:rFonts w:hint="eastAsia" w:ascii="楷体" w:hAnsi="楷体" w:eastAsia="仿宋" w:cs="Calibri"/>
                <w:color w:val="auto"/>
                <w:sz w:val="24"/>
                <w:highlight w:val="none"/>
              </w:rPr>
              <w:t>会员系统上传；</w:t>
            </w:r>
          </w:p>
          <w:p w14:paraId="34B6370E">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（2）未加密的电子投标文件：生成加密投标文件时同时生成的版本，提供1份（光盘或U盘介质，格式为bzc格式），可密封提交（投标人自行确定是否提交）。</w:t>
            </w:r>
          </w:p>
          <w:p w14:paraId="1B050AB5">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投标文件如不一致时，按以下顺序确定其投标文件效力：</w:t>
            </w:r>
          </w:p>
          <w:p w14:paraId="17F07356">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（1）加密的电子投标文件；</w:t>
            </w:r>
          </w:p>
          <w:p w14:paraId="5E381BE2">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（2）未加密的电子投标文件。</w:t>
            </w:r>
          </w:p>
        </w:tc>
      </w:tr>
      <w:tr w14:paraId="2257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BCA014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64DBDDB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117FEDE8">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02F35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D21195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25982D3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4811113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优质采云采购平台（网址：https://www.youzhicai.com/）</w:t>
            </w:r>
          </w:p>
          <w:p w14:paraId="6A56937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如未在招标文件规定的投标时间截止前网上上传加密的电子投标文件，而只递交了未加密的电子投标文件的，投标无效。</w:t>
            </w:r>
          </w:p>
        </w:tc>
      </w:tr>
      <w:tr w14:paraId="7090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DFFF36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06ECC61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4E5D89B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6D1360E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p>
        </w:tc>
      </w:tr>
      <w:tr w14:paraId="0169B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FA7CE9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5.2（4）</w:t>
            </w:r>
          </w:p>
        </w:tc>
        <w:tc>
          <w:tcPr>
            <w:tcW w:w="1581" w:type="dxa"/>
            <w:noWrap w:val="0"/>
            <w:vAlign w:val="center"/>
          </w:tcPr>
          <w:p w14:paraId="722A420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2ADA7BD3">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62973CC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7121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88969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218029A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04A1C26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68B6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3368ED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2E6C5E5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2E46563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0E94D78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4DD39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70BE50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5854A19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5527873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119D11A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50A7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60FA3D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0F18E5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招标代理</w:t>
            </w:r>
          </w:p>
          <w:p w14:paraId="038234A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服务费</w:t>
            </w:r>
          </w:p>
        </w:tc>
        <w:tc>
          <w:tcPr>
            <w:tcW w:w="7229" w:type="dxa"/>
            <w:noWrap w:val="0"/>
            <w:vAlign w:val="center"/>
          </w:tcPr>
          <w:p w14:paraId="649BCEC3">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参照国家发展改革委发改价格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2011</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534号文件、发改办价格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2003</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857号文件、计价格</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2002</w:t>
            </w:r>
            <w:r>
              <w:rPr>
                <w:rFonts w:hint="eastAsia" w:ascii="宋体" w:hAnsi="宋体" w:eastAsia="仿宋" w:cs="宋体"/>
                <w:color w:val="auto"/>
                <w:sz w:val="24"/>
                <w:highlight w:val="none"/>
              </w:rPr>
              <w:t>〕</w:t>
            </w:r>
            <w:r>
              <w:rPr>
                <w:rFonts w:hint="eastAsia" w:ascii="楷体" w:hAnsi="楷体" w:eastAsia="仿宋" w:cs="Calibri"/>
                <w:color w:val="auto"/>
                <w:sz w:val="24"/>
                <w:highlight w:val="none"/>
              </w:rPr>
              <w:t>1980号文件规定收费标准的30%（不含税）计取，由中标人在领取中标通知书时，向采购代理机构支付。</w:t>
            </w:r>
          </w:p>
        </w:tc>
      </w:tr>
      <w:tr w14:paraId="23AA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8DFE02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57D07EE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6A7432CE">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6FD69B34">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不要求。</w:t>
            </w:r>
          </w:p>
          <w:p w14:paraId="2FC4252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rPr>
              <w:t>保函（格式：见招标文件第五章附件）、转账/电汇、支票、汇票、本票、保险</w:t>
            </w:r>
          </w:p>
          <w:p w14:paraId="461804A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08F7A6FD">
            <w:pPr>
              <w:pStyle w:val="24"/>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w:t>
            </w:r>
          </w:p>
          <w:p w14:paraId="54FF079C">
            <w:pPr>
              <w:pStyle w:val="24"/>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履约完成后退还</w:t>
            </w:r>
          </w:p>
          <w:p w14:paraId="0C2E63F4">
            <w:pPr>
              <w:pStyle w:val="24"/>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6280FFEB">
            <w:pPr>
              <w:pStyle w:val="24"/>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p>
          <w:p w14:paraId="41F0EC7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74B3B774">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339DE26D">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1CC4261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5E28C2A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7747162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36BDCE9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7DA39AB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21399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407F0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7.4.1</w:t>
            </w:r>
          </w:p>
        </w:tc>
        <w:tc>
          <w:tcPr>
            <w:tcW w:w="1581" w:type="dxa"/>
            <w:noWrap w:val="0"/>
            <w:vAlign w:val="center"/>
          </w:tcPr>
          <w:p w14:paraId="060F76A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合同签订时间</w:t>
            </w:r>
          </w:p>
        </w:tc>
        <w:tc>
          <w:tcPr>
            <w:tcW w:w="7229" w:type="dxa"/>
            <w:noWrap w:val="0"/>
            <w:vAlign w:val="center"/>
          </w:tcPr>
          <w:p w14:paraId="413F1769">
            <w:pPr>
              <w:pStyle w:val="24"/>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auto"/>
                <w:sz w:val="24"/>
                <w:szCs w:val="24"/>
                <w:highlight w:val="none"/>
              </w:rPr>
            </w:pPr>
            <w:r>
              <w:rPr>
                <w:rFonts w:hint="eastAsia" w:ascii="楷体" w:hAnsi="楷体" w:eastAsia="仿宋" w:cs="楷体"/>
                <w:color w:val="auto"/>
                <w:sz w:val="24"/>
                <w:szCs w:val="24"/>
                <w:highlight w:val="none"/>
              </w:rPr>
              <w:t>中标结果公告发布（中标通知书发出）之日起7个工作日内</w:t>
            </w:r>
          </w:p>
        </w:tc>
      </w:tr>
      <w:tr w14:paraId="3B01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49882A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9.1.1</w:t>
            </w:r>
          </w:p>
        </w:tc>
        <w:tc>
          <w:tcPr>
            <w:tcW w:w="1581" w:type="dxa"/>
            <w:noWrap w:val="0"/>
            <w:vAlign w:val="center"/>
          </w:tcPr>
          <w:p w14:paraId="4DB22EC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default" w:ascii="Calibri" w:hAnsi="Calibri" w:eastAsia="仿宋" w:cs="Times New Roman"/>
                <w:color w:val="auto"/>
                <w:sz w:val="24"/>
                <w:highlight w:val="none"/>
              </w:rPr>
              <w:t>投标人</w:t>
            </w:r>
            <w:r>
              <w:rPr>
                <w:rFonts w:hint="eastAsia" w:ascii="Calibri" w:hAnsi="Calibri" w:eastAsia="仿宋" w:cs="Times New Roman"/>
                <w:color w:val="auto"/>
                <w:sz w:val="24"/>
                <w:highlight w:val="none"/>
              </w:rPr>
              <w:t>提出询问</w:t>
            </w:r>
            <w:r>
              <w:rPr>
                <w:rFonts w:hint="eastAsia" w:ascii="宋体" w:hAnsi="宋体" w:eastAsia="仿宋" w:cs="Calibri"/>
                <w:color w:val="auto"/>
                <w:sz w:val="24"/>
                <w:highlight w:val="none"/>
              </w:rPr>
              <w:t>的时间</w:t>
            </w:r>
          </w:p>
        </w:tc>
        <w:tc>
          <w:tcPr>
            <w:tcW w:w="7229" w:type="dxa"/>
            <w:noWrap w:val="0"/>
            <w:vAlign w:val="center"/>
          </w:tcPr>
          <w:p w14:paraId="21C3A39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default" w:ascii="楷体" w:hAnsi="楷体" w:eastAsia="仿宋" w:cs="Times New Roman"/>
                <w:color w:val="auto"/>
                <w:sz w:val="24"/>
                <w:highlight w:val="none"/>
              </w:rPr>
              <w:t>在</w:t>
            </w:r>
            <w:r>
              <w:rPr>
                <w:rFonts w:hint="eastAsia" w:ascii="楷体" w:hAnsi="楷体" w:eastAsia="仿宋" w:cs="Times New Roman"/>
                <w:color w:val="auto"/>
                <w:sz w:val="24"/>
                <w:highlight w:val="none"/>
              </w:rPr>
              <w:t>投标截止时间16日</w:t>
            </w:r>
            <w:r>
              <w:rPr>
                <w:rFonts w:hint="default" w:ascii="楷体" w:hAnsi="楷体" w:eastAsia="仿宋" w:cs="Times New Roman"/>
                <w:color w:val="auto"/>
                <w:sz w:val="24"/>
                <w:highlight w:val="none"/>
              </w:rPr>
              <w:t>前（以收到日期为准）</w:t>
            </w:r>
          </w:p>
          <w:p w14:paraId="27987CB2">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宋体" w:hAnsi="宋体" w:eastAsia="仿宋" w:cs="Times New Roman"/>
                <w:color w:val="auto"/>
                <w:sz w:val="24"/>
                <w:highlight w:val="none"/>
              </w:rPr>
              <w:t>询问函格式：见本章附件二</w:t>
            </w:r>
          </w:p>
        </w:tc>
      </w:tr>
      <w:tr w14:paraId="611A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672C0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9.2.1</w:t>
            </w:r>
          </w:p>
        </w:tc>
        <w:tc>
          <w:tcPr>
            <w:tcW w:w="1581" w:type="dxa"/>
            <w:noWrap w:val="0"/>
            <w:vAlign w:val="center"/>
          </w:tcPr>
          <w:p w14:paraId="4678144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投标人提出质疑的时间</w:t>
            </w:r>
          </w:p>
        </w:tc>
        <w:tc>
          <w:tcPr>
            <w:tcW w:w="7229" w:type="dxa"/>
            <w:noWrap w:val="0"/>
            <w:vAlign w:val="center"/>
          </w:tcPr>
          <w:p w14:paraId="5089BF7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u w:val="single"/>
              </w:rPr>
            </w:pPr>
            <w:r>
              <w:rPr>
                <w:rFonts w:hint="eastAsia" w:ascii="Calibri" w:hAnsi="Calibri" w:eastAsia="仿宋" w:cs="Times New Roman"/>
                <w:color w:val="auto"/>
                <w:sz w:val="24"/>
                <w:highlight w:val="none"/>
              </w:rPr>
              <w:t>提出</w:t>
            </w:r>
            <w:r>
              <w:rPr>
                <w:rFonts w:hint="eastAsia" w:ascii="宋体" w:hAnsi="宋体" w:eastAsia="仿宋" w:cs="Calibri"/>
                <w:color w:val="auto"/>
                <w:sz w:val="24"/>
                <w:highlight w:val="none"/>
              </w:rPr>
              <w:t>时间：</w:t>
            </w:r>
            <w:r>
              <w:rPr>
                <w:rFonts w:hint="eastAsia" w:ascii="楷体" w:hAnsi="楷体" w:eastAsia="仿宋" w:cs="Calibri"/>
                <w:color w:val="auto"/>
                <w:sz w:val="24"/>
                <w:highlight w:val="none"/>
              </w:rPr>
              <w:t>知道或者应知其权益受到损害之日起7个工作日内</w:t>
            </w:r>
          </w:p>
          <w:p w14:paraId="4183949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质疑函格式：见本章附件二</w:t>
            </w:r>
          </w:p>
        </w:tc>
      </w:tr>
      <w:tr w14:paraId="15842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E3290F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9.2.2</w:t>
            </w:r>
          </w:p>
        </w:tc>
        <w:tc>
          <w:tcPr>
            <w:tcW w:w="1581" w:type="dxa"/>
            <w:noWrap w:val="0"/>
            <w:vAlign w:val="center"/>
          </w:tcPr>
          <w:p w14:paraId="0FEBAB1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接收质疑的联系方式</w:t>
            </w:r>
          </w:p>
        </w:tc>
        <w:tc>
          <w:tcPr>
            <w:tcW w:w="7229" w:type="dxa"/>
            <w:noWrap w:val="0"/>
            <w:vAlign w:val="center"/>
          </w:tcPr>
          <w:p w14:paraId="1AEDB89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采购代理机构：安徽省招标集团股份有限公司</w:t>
            </w:r>
          </w:p>
          <w:p w14:paraId="562FC45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地址：安徽省合肥市包河区紫云路888号安徽省招标集团总部基地407室。（法务办公室）</w:t>
            </w:r>
          </w:p>
          <w:p w14:paraId="11CC8C8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联系电话：0551-62220155</w:t>
            </w:r>
          </w:p>
          <w:p w14:paraId="1A36520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联系人：张怀远</w:t>
            </w:r>
          </w:p>
        </w:tc>
      </w:tr>
      <w:tr w14:paraId="3815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98D12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11.1.1</w:t>
            </w:r>
          </w:p>
        </w:tc>
        <w:tc>
          <w:tcPr>
            <w:tcW w:w="1581" w:type="dxa"/>
            <w:noWrap w:val="0"/>
            <w:vAlign w:val="center"/>
          </w:tcPr>
          <w:p w14:paraId="66C9826E">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是否有强制采购的节能产品</w:t>
            </w:r>
          </w:p>
        </w:tc>
        <w:tc>
          <w:tcPr>
            <w:tcW w:w="7229" w:type="dxa"/>
            <w:noWrap w:val="0"/>
            <w:vAlign w:val="top"/>
          </w:tcPr>
          <w:p w14:paraId="1EFEC0F3">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☑没有</w:t>
            </w:r>
          </w:p>
          <w:p w14:paraId="0F9C0D5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u w:val="single"/>
              </w:rPr>
            </w:pPr>
            <w:r>
              <w:rPr>
                <w:rFonts w:hint="eastAsia" w:ascii="宋体" w:hAnsi="宋体" w:eastAsia="仿宋" w:cs="Times New Roman"/>
                <w:color w:val="auto"/>
                <w:sz w:val="24"/>
                <w:highlight w:val="none"/>
              </w:rPr>
              <w:t>□有，详见第三章“采购需求”。</w:t>
            </w:r>
          </w:p>
          <w:p w14:paraId="195BBB0D">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《关于印发节能产品政府采购品目清单的通知》（财库〔2019〕19号）、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市场监管总局2019年第16号</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，投标人提供拟投产品在规定认证机构范围内的节字标志认证证书，方予以认定其所投产品为节能产品。</w:t>
            </w:r>
          </w:p>
        </w:tc>
      </w:tr>
      <w:tr w14:paraId="525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D79E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11.1.2</w:t>
            </w:r>
          </w:p>
        </w:tc>
        <w:tc>
          <w:tcPr>
            <w:tcW w:w="1581" w:type="dxa"/>
            <w:noWrap w:val="0"/>
            <w:vAlign w:val="center"/>
          </w:tcPr>
          <w:p w14:paraId="1ECB9A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Calibri" w:hAnsi="Calibri" w:eastAsia="仿宋" w:cs="Times New Roman"/>
                <w:color w:val="auto"/>
                <w:sz w:val="24"/>
                <w:highlight w:val="none"/>
                <w:lang w:bidi="en-US"/>
              </w:rPr>
              <w:t>环境标志产品政府采购清单</w:t>
            </w:r>
          </w:p>
        </w:tc>
        <w:tc>
          <w:tcPr>
            <w:tcW w:w="7229" w:type="dxa"/>
            <w:noWrap w:val="0"/>
            <w:vAlign w:val="top"/>
          </w:tcPr>
          <w:p w14:paraId="6A1CC348">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default" w:ascii="宋体" w:hAnsi="宋体" w:eastAsia="仿宋" w:cs="Times New Roman"/>
                <w:color w:val="auto"/>
                <w:sz w:val="24"/>
                <w:highlight w:val="none"/>
              </w:rPr>
              <w:t>根据</w:t>
            </w:r>
            <w:r>
              <w:rPr>
                <w:rFonts w:hint="eastAsia" w:ascii="宋体" w:hAnsi="宋体" w:eastAsia="仿宋" w:cs="Times New Roman"/>
                <w:color w:val="auto"/>
                <w:sz w:val="24"/>
                <w:highlight w:val="none"/>
              </w:rPr>
              <w:t>《关于印发环境标志产品政府采购品目清单的通知》（财库〔2019〕18号）、</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关于发布参与实施政府采购节能产品、环境标志产品认证机构名录的公告</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rPr>
              <w:t>（市场监管总局</w:t>
            </w:r>
            <w:r>
              <w:rPr>
                <w:rFonts w:hint="default" w:ascii="宋体" w:hAnsi="宋体" w:eastAsia="仿宋" w:cs="Times New Roman"/>
                <w:color w:val="auto"/>
                <w:sz w:val="24"/>
                <w:highlight w:val="none"/>
              </w:rPr>
              <w:t>2019年第16号</w:t>
            </w:r>
            <w:r>
              <w:rPr>
                <w:rFonts w:hint="eastAsia" w:ascii="宋体" w:hAnsi="宋体" w:eastAsia="仿宋" w:cs="Times New Roman"/>
                <w:color w:val="auto"/>
                <w:sz w:val="24"/>
                <w:highlight w:val="none"/>
              </w:rPr>
              <w:t>），在规定的认证机构范围内，投标人提供拟投产品环境标志认证证书的，方予以认定其所投产品为环境标志产品。</w:t>
            </w:r>
          </w:p>
        </w:tc>
      </w:tr>
      <w:tr w14:paraId="453C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D09380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11.2.1</w:t>
            </w:r>
          </w:p>
        </w:tc>
        <w:tc>
          <w:tcPr>
            <w:tcW w:w="1581" w:type="dxa"/>
            <w:noWrap w:val="0"/>
            <w:vAlign w:val="center"/>
          </w:tcPr>
          <w:p w14:paraId="4FE66CE5">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中小企业认定标准</w:t>
            </w:r>
          </w:p>
        </w:tc>
        <w:tc>
          <w:tcPr>
            <w:tcW w:w="7229" w:type="dxa"/>
            <w:noWrap w:val="0"/>
            <w:vAlign w:val="top"/>
          </w:tcPr>
          <w:p w14:paraId="5320A689">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4C30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0175A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11.2.3</w:t>
            </w:r>
          </w:p>
        </w:tc>
        <w:tc>
          <w:tcPr>
            <w:tcW w:w="1581" w:type="dxa"/>
            <w:noWrap w:val="0"/>
            <w:vAlign w:val="center"/>
          </w:tcPr>
          <w:p w14:paraId="2923C92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价格扣除标准</w:t>
            </w:r>
          </w:p>
        </w:tc>
        <w:tc>
          <w:tcPr>
            <w:tcW w:w="7229" w:type="dxa"/>
            <w:noWrap w:val="0"/>
            <w:vAlign w:val="center"/>
          </w:tcPr>
          <w:p w14:paraId="3F0CCCB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未预留份额专门面向中小企业采购的采购项目，以及预留份额项目中的非预留部分采购包采购时，小微企业报价扣除比例：</w:t>
            </w:r>
          </w:p>
          <w:p w14:paraId="2EC5D73E">
            <w:pPr>
              <w:keepNext w:val="0"/>
              <w:keepLines w:val="0"/>
              <w:widowControl/>
              <w:suppressLineNumbers w:val="0"/>
              <w:snapToGrid w:val="0"/>
              <w:spacing w:before="0" w:beforeAutospacing="0" w:after="0" w:afterAutospacing="0" w:line="288" w:lineRule="auto"/>
              <w:ind w:left="0" w:right="0"/>
              <w:jc w:val="left"/>
              <w:rPr>
                <w:rFonts w:hint="eastAsia" w:ascii="Calibri" w:hAnsi="Calibri" w:eastAsia="仿宋" w:cs="Times New Roman"/>
                <w:color w:val="auto"/>
                <w:sz w:val="24"/>
                <w:highlight w:val="none"/>
                <w:lang w:bidi="en-US"/>
              </w:rPr>
            </w:pPr>
            <w:r>
              <w:rPr>
                <w:rFonts w:hint="eastAsia" w:ascii="Calibri" w:hAnsi="Calibri" w:eastAsia="仿宋" w:cs="Times New Roman"/>
                <w:color w:val="auto"/>
                <w:sz w:val="24"/>
                <w:highlight w:val="none"/>
                <w:lang w:bidi="en-US"/>
              </w:rPr>
              <w:t>（1）小型和微型企业：</w:t>
            </w:r>
            <w:r>
              <w:rPr>
                <w:rFonts w:hint="eastAsia" w:ascii="Calibri" w:hAnsi="Calibri" w:eastAsia="仿宋" w:cs="Times New Roman"/>
                <w:color w:val="auto"/>
                <w:sz w:val="24"/>
                <w:highlight w:val="none"/>
                <w:u w:val="single"/>
                <w:lang w:bidi="en-US"/>
              </w:rPr>
              <w:t xml:space="preserve"> 10  </w:t>
            </w:r>
            <w:r>
              <w:rPr>
                <w:rFonts w:hint="eastAsia" w:ascii="Calibri" w:hAnsi="Calibri" w:eastAsia="仿宋" w:cs="Times New Roman"/>
                <w:color w:val="auto"/>
                <w:sz w:val="24"/>
                <w:highlight w:val="none"/>
                <w:lang w:bidi="en-US"/>
              </w:rPr>
              <w:t>%</w:t>
            </w:r>
          </w:p>
          <w:p w14:paraId="10EECC51">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Calibri" w:hAnsi="Calibri" w:eastAsia="仿宋" w:cs="Times New Roman"/>
                <w:color w:val="auto"/>
                <w:sz w:val="24"/>
                <w:highlight w:val="none"/>
                <w:lang w:bidi="en-US"/>
              </w:rPr>
              <w:t>（2）</w:t>
            </w:r>
            <w:r>
              <w:rPr>
                <w:rFonts w:hint="eastAsia" w:ascii="宋体" w:hAnsi="宋体" w:eastAsia="仿宋" w:cs="Times New Roman"/>
                <w:color w:val="auto"/>
                <w:sz w:val="24"/>
                <w:highlight w:val="none"/>
              </w:rPr>
              <w:t>对于联合协议或者分包意向协议约定小微企业的合同份额占到合同总金额30%时，对联合体或者大中型企业的报价的扣除比例</w:t>
            </w:r>
            <w:r>
              <w:rPr>
                <w:rFonts w:hint="eastAsia" w:ascii="宋体" w:hAnsi="宋体" w:eastAsia="仿宋" w:cs="Times New Roman"/>
                <w:color w:val="auto"/>
                <w:sz w:val="24"/>
                <w:highlight w:val="none"/>
                <w:u w:val="single"/>
              </w:rPr>
              <w:t>/</w:t>
            </w:r>
            <w:r>
              <w:rPr>
                <w:rFonts w:hint="eastAsia" w:ascii="宋体" w:hAnsi="宋体" w:eastAsia="仿宋" w:cs="Times New Roman"/>
                <w:color w:val="auto"/>
                <w:sz w:val="24"/>
                <w:highlight w:val="none"/>
              </w:rPr>
              <w:t>%</w:t>
            </w:r>
          </w:p>
          <w:p w14:paraId="4AAFBBCD">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注：1.价格扣除举例说明：</w:t>
            </w:r>
            <w:r>
              <w:rPr>
                <w:rFonts w:hint="default" w:ascii="宋体" w:hAnsi="宋体" w:eastAsia="仿宋" w:cs="Times New Roman"/>
                <w:color w:val="auto"/>
                <w:sz w:val="24"/>
                <w:highlight w:val="none"/>
              </w:rPr>
              <w:t>某</w:t>
            </w:r>
            <w:r>
              <w:rPr>
                <w:rFonts w:hint="eastAsia" w:ascii="宋体" w:hAnsi="宋体" w:eastAsia="仿宋" w:cs="Times New Roman"/>
                <w:color w:val="auto"/>
                <w:sz w:val="24"/>
                <w:highlight w:val="none"/>
              </w:rPr>
              <w:t>残疾人福利单位符合财库〔2017〕141号规定的政策支持单位，属于小微企业，其投标报价为</w:t>
            </w:r>
            <w:r>
              <w:rPr>
                <w:rFonts w:hint="default" w:ascii="宋体" w:hAnsi="宋体" w:eastAsia="仿宋" w:cs="Times New Roman"/>
                <w:color w:val="auto"/>
                <w:sz w:val="24"/>
                <w:highlight w:val="none"/>
              </w:rPr>
              <w:t>100万元，“扣除后的价格”为：100万元-100万元×</w:t>
            </w:r>
            <w:r>
              <w:rPr>
                <w:rFonts w:hint="eastAsia" w:ascii="宋体" w:hAnsi="宋体" w:eastAsia="仿宋" w:cs="Times New Roman"/>
                <w:color w:val="auto"/>
                <w:sz w:val="24"/>
                <w:highlight w:val="none"/>
              </w:rPr>
              <w:t>扣除比例，用扣除后的价格参与评审。</w:t>
            </w:r>
          </w:p>
          <w:p w14:paraId="77521A03">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auto"/>
                <w:sz w:val="24"/>
                <w:highlight w:val="none"/>
                <w:lang w:bidi="en-US"/>
              </w:rPr>
            </w:pPr>
            <w:r>
              <w:rPr>
                <w:rFonts w:hint="eastAsia" w:ascii="宋体" w:hAnsi="宋体" w:eastAsia="仿宋" w:cs="Times New Roman"/>
                <w:b/>
                <w:color w:val="auto"/>
                <w:sz w:val="24"/>
                <w:highlight w:val="none"/>
              </w:rPr>
              <w:t>2.本项目将对中标人提供的《中小企业声明函》，随中标结果一并公布。如提供虚假材料，将取消中标资格并报相关部门按有关规定处理，并计入不良记录。</w:t>
            </w:r>
          </w:p>
        </w:tc>
      </w:tr>
      <w:tr w14:paraId="0C3DA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57" w:type="dxa"/>
            <w:noWrap w:val="0"/>
            <w:vAlign w:val="center"/>
          </w:tcPr>
          <w:p w14:paraId="0145F7B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11.3.2</w:t>
            </w:r>
          </w:p>
        </w:tc>
        <w:tc>
          <w:tcPr>
            <w:tcW w:w="1581" w:type="dxa"/>
            <w:noWrap w:val="0"/>
            <w:vAlign w:val="center"/>
          </w:tcPr>
          <w:p w14:paraId="5A614B3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进口产品采购</w:t>
            </w:r>
          </w:p>
        </w:tc>
        <w:tc>
          <w:tcPr>
            <w:tcW w:w="7229" w:type="dxa"/>
            <w:noWrap w:val="0"/>
            <w:vAlign w:val="center"/>
          </w:tcPr>
          <w:p w14:paraId="55B0E508">
            <w:pPr>
              <w:keepNext w:val="0"/>
              <w:keepLines w:val="0"/>
              <w:widowControl/>
              <w:suppressLineNumbers w:val="0"/>
              <w:spacing w:before="0" w:beforeAutospacing="0" w:after="0" w:afterAutospacing="0"/>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w:t>
            </w:r>
            <w:r>
              <w:rPr>
                <w:rFonts w:hint="eastAsia" w:ascii="楷体" w:hAnsi="楷体" w:eastAsia="仿宋" w:cs="Times New Roman"/>
                <w:bCs/>
                <w:color w:val="auto"/>
                <w:sz w:val="24"/>
                <w:highlight w:val="none"/>
              </w:rPr>
              <w:t>本项目</w:t>
            </w:r>
            <w:r>
              <w:rPr>
                <w:rFonts w:hint="eastAsia" w:ascii="楷体" w:hAnsi="楷体" w:eastAsia="仿宋" w:cs="Calibri"/>
                <w:color w:val="auto"/>
                <w:sz w:val="24"/>
                <w:highlight w:val="none"/>
              </w:rPr>
              <w:t>拒绝进口产品参加投标</w:t>
            </w:r>
          </w:p>
          <w:p w14:paraId="5AA85856">
            <w:pPr>
              <w:keepNext w:val="0"/>
              <w:keepLines w:val="0"/>
              <w:widowControl/>
              <w:suppressLineNumbers w:val="0"/>
              <w:spacing w:before="0" w:beforeAutospacing="0" w:after="0" w:afterAutospacing="0"/>
              <w:ind w:left="0" w:right="0"/>
              <w:rPr>
                <w:rFonts w:hint="eastAsia" w:ascii="宋体" w:hAnsi="宋体" w:cs="Calibri"/>
                <w:color w:val="auto"/>
                <w:sz w:val="24"/>
                <w:highlight w:val="none"/>
              </w:rPr>
            </w:pPr>
            <w:r>
              <w:rPr>
                <w:rFonts w:hint="eastAsia" w:ascii="楷体" w:hAnsi="楷体" w:eastAsia="仿宋" w:cs="Calibri"/>
                <w:color w:val="auto"/>
                <w:sz w:val="24"/>
                <w:highlight w:val="none"/>
              </w:rPr>
              <w:t>□本项目包含接受进口产品投标的品目，具体要求</w:t>
            </w:r>
            <w:r>
              <w:rPr>
                <w:rFonts w:hint="eastAsia" w:ascii="宋体" w:hAnsi="宋体" w:eastAsia="仿宋" w:cs="Calibri"/>
                <w:color w:val="auto"/>
                <w:sz w:val="24"/>
                <w:highlight w:val="none"/>
              </w:rPr>
              <w:t>详见第三章采购需求。</w:t>
            </w:r>
          </w:p>
        </w:tc>
      </w:tr>
      <w:tr w14:paraId="2BF4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FA509B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auto"/>
                <w:sz w:val="24"/>
                <w:highlight w:val="none"/>
              </w:rPr>
            </w:pPr>
            <w:r>
              <w:rPr>
                <w:rFonts w:hint="eastAsia" w:ascii="宋体" w:hAnsi="宋体" w:eastAsia="仿宋" w:cs="Calibri"/>
                <w:bCs/>
                <w:color w:val="auto"/>
                <w:sz w:val="24"/>
                <w:highlight w:val="none"/>
              </w:rPr>
              <w:t>11.4</w:t>
            </w:r>
          </w:p>
        </w:tc>
        <w:tc>
          <w:tcPr>
            <w:tcW w:w="1581" w:type="dxa"/>
            <w:noWrap w:val="0"/>
            <w:vAlign w:val="center"/>
          </w:tcPr>
          <w:p w14:paraId="0A48C86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lang w:bidi="en-US"/>
              </w:rPr>
              <w:t>其他政府采购政策</w:t>
            </w:r>
          </w:p>
        </w:tc>
        <w:tc>
          <w:tcPr>
            <w:tcW w:w="7229" w:type="dxa"/>
            <w:noWrap w:val="0"/>
            <w:vAlign w:val="center"/>
          </w:tcPr>
          <w:p w14:paraId="2FA8F828">
            <w:pPr>
              <w:keepNext w:val="0"/>
              <w:keepLines w:val="0"/>
              <w:widowControl/>
              <w:suppressLineNumbers w:val="0"/>
              <w:adjustRightInd w:val="0"/>
              <w:snapToGrid w:val="0"/>
              <w:spacing w:before="0" w:beforeAutospacing="0" w:after="0" w:afterAutospacing="0" w:line="288" w:lineRule="auto"/>
              <w:ind w:left="0" w:right="0"/>
              <w:jc w:val="left"/>
              <w:rPr>
                <w:rFonts w:hint="default" w:ascii="宋体" w:hAnsi="宋体" w:eastAsia="仿宋" w:cs="Calibri"/>
                <w:b/>
                <w:color w:val="auto"/>
                <w:sz w:val="24"/>
                <w:highlight w:val="none"/>
              </w:rPr>
            </w:pPr>
            <w:r>
              <w:rPr>
                <w:rFonts w:hint="eastAsia" w:ascii="宋体" w:hAnsi="宋体" w:eastAsia="仿宋" w:cs="Calibri"/>
                <w:b/>
                <w:color w:val="auto"/>
                <w:sz w:val="24"/>
                <w:highlight w:val="none"/>
              </w:rPr>
              <w:t>/</w:t>
            </w:r>
          </w:p>
        </w:tc>
      </w:tr>
      <w:tr w14:paraId="2F109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1E2B9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Calibri"/>
                <w:b/>
                <w:color w:val="auto"/>
                <w:sz w:val="24"/>
                <w:highlight w:val="none"/>
              </w:rPr>
              <w:t>12</w:t>
            </w:r>
          </w:p>
        </w:tc>
        <w:tc>
          <w:tcPr>
            <w:tcW w:w="1581" w:type="dxa"/>
            <w:noWrap w:val="0"/>
            <w:vAlign w:val="center"/>
          </w:tcPr>
          <w:p w14:paraId="3DE723C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auto"/>
                <w:sz w:val="24"/>
                <w:highlight w:val="none"/>
              </w:rPr>
            </w:pPr>
          </w:p>
        </w:tc>
        <w:tc>
          <w:tcPr>
            <w:tcW w:w="7229" w:type="dxa"/>
            <w:noWrap w:val="0"/>
            <w:vAlign w:val="center"/>
          </w:tcPr>
          <w:p w14:paraId="26A7FBB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auto"/>
                <w:sz w:val="24"/>
                <w:highlight w:val="none"/>
              </w:rPr>
            </w:pPr>
            <w:r>
              <w:rPr>
                <w:rFonts w:hint="eastAsia" w:ascii="宋体" w:hAnsi="宋体" w:eastAsia="仿宋" w:cs="Calibri"/>
                <w:b/>
                <w:color w:val="auto"/>
                <w:sz w:val="24"/>
                <w:highlight w:val="none"/>
              </w:rPr>
              <w:t>需要补充的其他内容</w:t>
            </w:r>
          </w:p>
        </w:tc>
      </w:tr>
      <w:tr w14:paraId="3D4BE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B60CB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12.1</w:t>
            </w:r>
          </w:p>
        </w:tc>
        <w:tc>
          <w:tcPr>
            <w:tcW w:w="1581" w:type="dxa"/>
            <w:noWrap w:val="0"/>
            <w:vAlign w:val="center"/>
          </w:tcPr>
          <w:p w14:paraId="020C7F8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电子招标投标</w:t>
            </w:r>
          </w:p>
        </w:tc>
        <w:tc>
          <w:tcPr>
            <w:tcW w:w="7229" w:type="dxa"/>
            <w:noWrap w:val="0"/>
            <w:vAlign w:val="top"/>
          </w:tcPr>
          <w:p w14:paraId="10B86C6E">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auto"/>
                <w:sz w:val="24"/>
                <w:highlight w:val="none"/>
              </w:rPr>
            </w:pPr>
            <w:r>
              <w:rPr>
                <w:rFonts w:hint="eastAsia" w:ascii="宋体" w:hAnsi="宋体" w:eastAsia="仿宋" w:cs="Times New Roman"/>
                <w:color w:val="auto"/>
                <w:sz w:val="24"/>
                <w:highlight w:val="none"/>
              </w:rPr>
              <w:t>采用电子招标投标，</w:t>
            </w:r>
            <w:r>
              <w:rPr>
                <w:rFonts w:hint="default" w:ascii="Calibri" w:hAnsi="Calibri" w:eastAsia="仿宋" w:cs="Times New Roman"/>
                <w:bCs/>
                <w:snapToGrid w:val="0"/>
                <w:color w:val="auto"/>
                <w:kern w:val="0"/>
                <w:sz w:val="24"/>
                <w:highlight w:val="none"/>
              </w:rPr>
              <w:t>除招标文件另有规定外，电子招标投标操作要求详见本章附件《</w:t>
            </w:r>
            <w:r>
              <w:rPr>
                <w:rFonts w:hint="eastAsia" w:ascii="Calibri" w:hAnsi="Calibri" w:eastAsia="仿宋" w:cs="Times New Roman"/>
                <w:bCs/>
                <w:snapToGrid w:val="0"/>
                <w:color w:val="auto"/>
                <w:kern w:val="0"/>
                <w:sz w:val="24"/>
                <w:highlight w:val="none"/>
              </w:rPr>
              <w:t>全流程电子招标采购具体要求</w:t>
            </w:r>
            <w:r>
              <w:rPr>
                <w:rFonts w:hint="default" w:ascii="Calibri" w:hAnsi="Calibri" w:eastAsia="仿宋" w:cs="Times New Roman"/>
                <w:bCs/>
                <w:snapToGrid w:val="0"/>
                <w:color w:val="auto"/>
                <w:kern w:val="0"/>
                <w:sz w:val="24"/>
                <w:highlight w:val="none"/>
              </w:rPr>
              <w:t>》</w:t>
            </w:r>
            <w:r>
              <w:rPr>
                <w:rFonts w:hint="eastAsia" w:ascii="Calibri" w:hAnsi="Calibri" w:eastAsia="仿宋" w:cs="Times New Roman"/>
                <w:bCs/>
                <w:snapToGrid w:val="0"/>
                <w:color w:val="auto"/>
                <w:kern w:val="0"/>
                <w:sz w:val="24"/>
                <w:highlight w:val="none"/>
              </w:rPr>
              <w:t>。</w:t>
            </w:r>
          </w:p>
        </w:tc>
      </w:tr>
      <w:tr w14:paraId="7D81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650287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12.2</w:t>
            </w:r>
          </w:p>
        </w:tc>
        <w:tc>
          <w:tcPr>
            <w:tcW w:w="1581" w:type="dxa"/>
            <w:noWrap w:val="0"/>
            <w:vAlign w:val="center"/>
          </w:tcPr>
          <w:p w14:paraId="00FF4C55">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原则规定与定义</w:t>
            </w:r>
          </w:p>
        </w:tc>
        <w:tc>
          <w:tcPr>
            <w:tcW w:w="7229" w:type="dxa"/>
            <w:noWrap w:val="0"/>
            <w:vAlign w:val="center"/>
          </w:tcPr>
          <w:p w14:paraId="7F36F20C">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（1）投标人</w:t>
            </w:r>
            <w:r>
              <w:rPr>
                <w:rFonts w:hint="default" w:ascii="宋体" w:hAnsi="宋体" w:eastAsia="仿宋" w:cs="Times New Roman"/>
                <w:color w:val="auto"/>
                <w:sz w:val="24"/>
                <w:highlight w:val="none"/>
              </w:rPr>
              <w:t>须知前附表是对</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须知正文部分对应条款的补充、细化，</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阅读时应与正文部分一并阅读，</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须知前附表与正文部分不一致处，应以</w:t>
            </w:r>
            <w:r>
              <w:rPr>
                <w:rFonts w:hint="eastAsia" w:ascii="宋体" w:hAnsi="宋体" w:eastAsia="仿宋" w:cs="Times New Roman"/>
                <w:color w:val="auto"/>
                <w:sz w:val="24"/>
                <w:highlight w:val="none"/>
              </w:rPr>
              <w:t>投标人</w:t>
            </w:r>
            <w:r>
              <w:rPr>
                <w:rFonts w:hint="default" w:ascii="宋体" w:hAnsi="宋体" w:eastAsia="仿宋" w:cs="Times New Roman"/>
                <w:color w:val="auto"/>
                <w:sz w:val="24"/>
                <w:highlight w:val="none"/>
              </w:rPr>
              <w:t>须知前附表为准。</w:t>
            </w:r>
          </w:p>
          <w:p w14:paraId="5246E16B">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w:t>
            </w:r>
            <w:r>
              <w:rPr>
                <w:rFonts w:hint="default" w:ascii="宋体" w:hAnsi="宋体" w:eastAsia="仿宋" w:cs="Times New Roman"/>
                <w:color w:val="auto"/>
                <w:sz w:val="24"/>
                <w:highlight w:val="none"/>
              </w:rPr>
              <w:t>“</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”符号表示本招标文件选定的内容；“</w:t>
            </w: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”符号表示本招标文件未选定的内容；空格中的“/”表示没有具体内容。投标人投标时请按“</w:t>
            </w:r>
            <w:r>
              <w:rPr>
                <w:rFonts w:hint="default" w:ascii="宋体" w:hAnsi="宋体" w:eastAsia="仿宋" w:cs="Times New Roman"/>
                <w:color w:val="auto"/>
                <w:sz w:val="24"/>
                <w:highlight w:val="none"/>
              </w:rPr>
              <w:sym w:font="Wingdings" w:char="F0FE"/>
            </w:r>
            <w:r>
              <w:rPr>
                <w:rFonts w:hint="default" w:ascii="宋体" w:hAnsi="宋体" w:eastAsia="仿宋" w:cs="Times New Roman"/>
                <w:color w:val="auto"/>
                <w:sz w:val="24"/>
                <w:highlight w:val="none"/>
              </w:rPr>
              <w:t>符号”选定的内容和要求参加投标。</w:t>
            </w:r>
          </w:p>
          <w:p w14:paraId="6AE485E8">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（3）与合同履行有关条款中注明的“甲方”、“买方”，在招标投标阶段按“采购人”理解；注明的“乙方”、“卖方”，按“投标人”理解。</w:t>
            </w:r>
          </w:p>
        </w:tc>
      </w:tr>
      <w:tr w14:paraId="0A83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099815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12.3</w:t>
            </w:r>
          </w:p>
        </w:tc>
        <w:tc>
          <w:tcPr>
            <w:tcW w:w="1581" w:type="dxa"/>
            <w:noWrap w:val="0"/>
            <w:vAlign w:val="center"/>
          </w:tcPr>
          <w:p w14:paraId="3DB9AD05">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知识产权</w:t>
            </w:r>
          </w:p>
        </w:tc>
        <w:tc>
          <w:tcPr>
            <w:tcW w:w="7229" w:type="dxa"/>
            <w:noWrap w:val="0"/>
            <w:vAlign w:val="top"/>
          </w:tcPr>
          <w:p w14:paraId="0E0CC5B2">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auto"/>
                <w:sz w:val="24"/>
                <w:highlight w:val="none"/>
              </w:rPr>
              <w:t>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p w14:paraId="055E10B8">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auto"/>
                <w:sz w:val="24"/>
                <w:highlight w:val="none"/>
              </w:rPr>
            </w:pPr>
            <w:r>
              <w:rPr>
                <w:rFonts w:hint="eastAsia" w:ascii="宋体" w:hAnsi="宋体" w:eastAsia="仿宋" w:cs="Times New Roman"/>
                <w:color w:val="auto"/>
                <w:sz w:val="24"/>
                <w:highlight w:val="none"/>
              </w:rPr>
              <w:t>（2）采购人</w:t>
            </w:r>
            <w:r>
              <w:rPr>
                <w:rFonts w:hint="default" w:ascii="宋体" w:hAnsi="宋体" w:eastAsia="仿宋" w:cs="Times New Roman"/>
                <w:color w:val="auto"/>
                <w:sz w:val="24"/>
                <w:highlight w:val="none"/>
              </w:rPr>
              <w:t>在中华人民共和国境内使用</w:t>
            </w:r>
            <w:r>
              <w:rPr>
                <w:rFonts w:hint="eastAsia" w:ascii="宋体" w:hAnsi="宋体" w:eastAsia="仿宋" w:cs="Times New Roman"/>
                <w:color w:val="auto"/>
                <w:sz w:val="24"/>
                <w:highlight w:val="none"/>
              </w:rPr>
              <w:t>中</w:t>
            </w:r>
            <w:r>
              <w:rPr>
                <w:rFonts w:hint="default" w:ascii="宋体" w:hAnsi="宋体" w:eastAsia="仿宋" w:cs="Times New Roman"/>
                <w:color w:val="auto"/>
                <w:sz w:val="24"/>
                <w:highlight w:val="none"/>
              </w:rPr>
              <w:t>标货物</w:t>
            </w:r>
            <w:r>
              <w:rPr>
                <w:rFonts w:hint="eastAsia" w:ascii="宋体" w:hAnsi="宋体" w:eastAsia="仿宋" w:cs="Times New Roman"/>
                <w:color w:val="auto"/>
                <w:sz w:val="24"/>
                <w:highlight w:val="none"/>
              </w:rPr>
              <w:t>（服务）</w:t>
            </w:r>
            <w:r>
              <w:rPr>
                <w:rFonts w:hint="default" w:ascii="宋体" w:hAnsi="宋体" w:eastAsia="仿宋" w:cs="Times New Roman"/>
                <w:color w:val="auto"/>
                <w:sz w:val="24"/>
                <w:highlight w:val="none"/>
              </w:rPr>
              <w:t>、资料、技术、服务或其任何一部分时</w:t>
            </w:r>
            <w:r>
              <w:rPr>
                <w:rFonts w:hint="eastAsia" w:ascii="宋体" w:hAnsi="宋体" w:eastAsia="仿宋" w:cs="Times New Roman"/>
                <w:color w:val="auto"/>
                <w:sz w:val="24"/>
                <w:highlight w:val="none"/>
              </w:rPr>
              <w:t>，履行合同义务后</w:t>
            </w:r>
            <w:r>
              <w:rPr>
                <w:rFonts w:hint="default" w:ascii="宋体" w:hAnsi="宋体" w:eastAsia="仿宋" w:cs="Times New Roman"/>
                <w:color w:val="auto"/>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auto"/>
                <w:sz w:val="24"/>
                <w:highlight w:val="none"/>
              </w:rPr>
              <w:t>采购人</w:t>
            </w:r>
            <w:r>
              <w:rPr>
                <w:rFonts w:hint="default" w:ascii="宋体" w:hAnsi="宋体" w:eastAsia="仿宋" w:cs="Times New Roman"/>
                <w:color w:val="auto"/>
                <w:sz w:val="24"/>
                <w:highlight w:val="none"/>
              </w:rPr>
              <w:t>损失的，投标人须承担全部赔偿责任。</w:t>
            </w:r>
          </w:p>
        </w:tc>
      </w:tr>
      <w:tr w14:paraId="5CFB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42EAC8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12.4</w:t>
            </w:r>
          </w:p>
        </w:tc>
        <w:tc>
          <w:tcPr>
            <w:tcW w:w="1581" w:type="dxa"/>
            <w:noWrap w:val="0"/>
            <w:vAlign w:val="center"/>
          </w:tcPr>
          <w:p w14:paraId="0B73F28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Times New Roman"/>
                <w:color w:val="auto"/>
                <w:sz w:val="24"/>
                <w:highlight w:val="none"/>
              </w:rPr>
              <w:t>投标专用章、业务专用章等效力规定</w:t>
            </w:r>
          </w:p>
        </w:tc>
        <w:tc>
          <w:tcPr>
            <w:tcW w:w="7229" w:type="dxa"/>
            <w:noWrap w:val="0"/>
            <w:vAlign w:val="center"/>
          </w:tcPr>
          <w:p w14:paraId="5C1C6ED4">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75F5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97557A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12.5</w:t>
            </w:r>
          </w:p>
        </w:tc>
        <w:tc>
          <w:tcPr>
            <w:tcW w:w="1581" w:type="dxa"/>
            <w:noWrap w:val="0"/>
            <w:vAlign w:val="center"/>
          </w:tcPr>
          <w:p w14:paraId="49ECD610">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auto"/>
                <w:sz w:val="24"/>
                <w:highlight w:val="none"/>
              </w:rPr>
            </w:pPr>
            <w:r>
              <w:rPr>
                <w:rFonts w:hint="eastAsia" w:ascii="宋体" w:hAnsi="宋体" w:eastAsia="仿宋" w:cs="Times New Roman"/>
                <w:color w:val="auto"/>
                <w:sz w:val="24"/>
                <w:highlight w:val="none"/>
              </w:rPr>
              <w:t>多包投标、多包中标的规定</w:t>
            </w:r>
          </w:p>
        </w:tc>
        <w:tc>
          <w:tcPr>
            <w:tcW w:w="7229" w:type="dxa"/>
            <w:noWrap w:val="0"/>
            <w:vAlign w:val="center"/>
          </w:tcPr>
          <w:p w14:paraId="754918DD">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w:t>
            </w:r>
            <w:r>
              <w:rPr>
                <w:rFonts w:hint="eastAsia" w:ascii="仿宋" w:hAnsi="仿宋" w:eastAsia="仿宋" w:cs="仿宋"/>
                <w:color w:val="auto"/>
                <w:kern w:val="0"/>
                <w:sz w:val="24"/>
                <w:highlight w:val="none"/>
                <w:lang w:bidi="ar"/>
              </w:rPr>
              <w:t>本项目不适用</w:t>
            </w:r>
          </w:p>
          <w:p w14:paraId="020929E1">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auto"/>
                <w:sz w:val="24"/>
                <w:highlight w:val="none"/>
              </w:rPr>
            </w:pPr>
            <w:r>
              <w:rPr>
                <w:rFonts w:hint="eastAsia" w:ascii="仿宋" w:hAnsi="仿宋" w:eastAsia="仿宋" w:cs="Calibri"/>
                <w:color w:val="auto"/>
                <w:sz w:val="24"/>
                <w:highlight w:val="none"/>
              </w:rPr>
              <w:t>□投标人可对本项目一个或多个包进行投标，也可中多个包。</w:t>
            </w:r>
          </w:p>
          <w:p w14:paraId="6C12ECA9">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auto"/>
                <w:sz w:val="24"/>
                <w:highlight w:val="none"/>
              </w:rPr>
            </w:pPr>
            <w:r>
              <w:rPr>
                <w:rFonts w:hint="eastAsia" w:ascii="仿宋" w:hAnsi="仿宋" w:eastAsia="仿宋" w:cs="Calibri"/>
                <w:color w:val="auto"/>
                <w:sz w:val="24"/>
                <w:highlight w:val="none"/>
              </w:rPr>
              <w:t>□</w:t>
            </w:r>
            <w:r>
              <w:rPr>
                <w:rFonts w:hint="eastAsia" w:ascii="仿宋" w:hAnsi="仿宋" w:eastAsia="仿宋" w:cs="Times New Roman"/>
                <w:color w:val="auto"/>
                <w:sz w:val="24"/>
                <w:highlight w:val="none"/>
              </w:rPr>
              <w:t>本项目评审时按“第1包→第2包→第3包”的包号递增顺序评审。</w:t>
            </w:r>
            <w:r>
              <w:rPr>
                <w:rFonts w:hint="eastAsia" w:ascii="仿宋" w:hAnsi="仿宋" w:eastAsia="仿宋" w:cs="Calibri"/>
                <w:color w:val="auto"/>
                <w:sz w:val="24"/>
                <w:highlight w:val="none"/>
              </w:rPr>
              <w:t>投标人可对本项目一个或多个包进行投标</w:t>
            </w:r>
            <w:r>
              <w:rPr>
                <w:rFonts w:hint="eastAsia" w:ascii="仿宋" w:hAnsi="仿宋" w:eastAsia="仿宋" w:cs="Times New Roman"/>
                <w:color w:val="auto"/>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172C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EB4432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12.6</w:t>
            </w:r>
          </w:p>
        </w:tc>
        <w:tc>
          <w:tcPr>
            <w:tcW w:w="1581" w:type="dxa"/>
            <w:noWrap w:val="0"/>
            <w:vAlign w:val="center"/>
          </w:tcPr>
          <w:p w14:paraId="6E1A8D1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相关提示</w:t>
            </w:r>
          </w:p>
        </w:tc>
        <w:tc>
          <w:tcPr>
            <w:tcW w:w="7229" w:type="dxa"/>
            <w:noWrap w:val="0"/>
            <w:vAlign w:val="center"/>
          </w:tcPr>
          <w:p w14:paraId="7F02784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（1）招标文件中所称时间均指北京时间，采用电子招标投标时，以交易平台时间为准。</w:t>
            </w:r>
          </w:p>
          <w:p w14:paraId="65F2E4FC">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59BF4EB0">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（3）本项目保证金账户采用虚拟账号，每个项目均不同，同一个项目不同标包也不同。投标标包应与保证金相匹配。如项目招标失败再次招标时，保证金账号也会发生变化。请投标人仔细核对账户信息。</w:t>
            </w:r>
          </w:p>
        </w:tc>
      </w:tr>
      <w:tr w14:paraId="3FB34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66F06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12.7</w:t>
            </w:r>
          </w:p>
        </w:tc>
        <w:tc>
          <w:tcPr>
            <w:tcW w:w="1581" w:type="dxa"/>
            <w:noWrap w:val="0"/>
            <w:vAlign w:val="center"/>
          </w:tcPr>
          <w:p w14:paraId="5E45606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招标文件的解释</w:t>
            </w:r>
          </w:p>
        </w:tc>
        <w:tc>
          <w:tcPr>
            <w:tcW w:w="7229" w:type="dxa"/>
            <w:noWrap w:val="0"/>
            <w:vAlign w:val="top"/>
          </w:tcPr>
          <w:p w14:paraId="1FA5B9D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auto"/>
                <w:sz w:val="24"/>
                <w:highlight w:val="none"/>
              </w:rPr>
              <w:t>由采购人和采购代理机构负责解释。</w:t>
            </w:r>
          </w:p>
        </w:tc>
      </w:tr>
      <w:tr w14:paraId="43E0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9B5E8E8">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12.8</w:t>
            </w:r>
          </w:p>
        </w:tc>
        <w:tc>
          <w:tcPr>
            <w:tcW w:w="1581" w:type="dxa"/>
            <w:noWrap w:val="0"/>
            <w:vAlign w:val="center"/>
          </w:tcPr>
          <w:p w14:paraId="76CF428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“政采贷”融资指引</w:t>
            </w:r>
          </w:p>
        </w:tc>
        <w:tc>
          <w:tcPr>
            <w:tcW w:w="7229" w:type="dxa"/>
            <w:noWrap w:val="0"/>
            <w:vAlign w:val="top"/>
          </w:tcPr>
          <w:p w14:paraId="4ACAACF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有融资需求的供应商在取得政府采购中标或成交通知书后，可访问安徽省政府采购网“融资/保函”栏目，查看和联系第三方平台或者金融机构，商洽融资事项，确定融资意向。</w:t>
            </w:r>
          </w:p>
          <w:p w14:paraId="23D419A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bl>
    <w:p w14:paraId="773EBB51">
      <w:pPr>
        <w:widowControl/>
        <w:spacing w:line="360" w:lineRule="auto"/>
        <w:rPr>
          <w:rFonts w:ascii="宋体" w:hAnsi="宋体" w:eastAsia="仿宋" w:cs="Calibri"/>
          <w:b/>
          <w:bCs/>
          <w:color w:val="auto"/>
          <w:sz w:val="24"/>
          <w:highlight w:val="none"/>
        </w:rPr>
      </w:pPr>
    </w:p>
    <w:p w14:paraId="505CC340">
      <w:pPr>
        <w:widowControl/>
        <w:rPr>
          <w:rStyle w:val="103"/>
          <w:rFonts w:ascii="宋体" w:hAnsi="宋体" w:eastAsia="仿宋"/>
          <w:bCs w:val="0"/>
          <w:color w:val="auto"/>
          <w:sz w:val="24"/>
          <w:szCs w:val="24"/>
          <w:highlight w:val="none"/>
        </w:rPr>
        <w:sectPr>
          <w:footerReference r:id="rId8" w:type="default"/>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pgNumType w:start="1"/>
          <w:cols w:space="720" w:num="1"/>
          <w:docGrid w:linePitch="312" w:charSpace="0"/>
        </w:sectPr>
      </w:pPr>
    </w:p>
    <w:bookmarkEnd w:id="37"/>
    <w:bookmarkEnd w:id="38"/>
    <w:bookmarkEnd w:id="39"/>
    <w:bookmarkEnd w:id="40"/>
    <w:p w14:paraId="5DE12E18">
      <w:pPr>
        <w:pStyle w:val="3"/>
        <w:rPr>
          <w:rStyle w:val="103"/>
          <w:rFonts w:ascii="宋体" w:hAnsi="宋体" w:eastAsia="仿宋"/>
          <w:b/>
          <w:bCs/>
          <w:color w:val="auto"/>
          <w:sz w:val="24"/>
          <w:szCs w:val="24"/>
          <w:highlight w:val="none"/>
        </w:rPr>
      </w:pPr>
      <w:bookmarkStart w:id="44" w:name="_Toc152045529"/>
      <w:bookmarkStart w:id="45" w:name="_Toc445554688"/>
      <w:bookmarkStart w:id="46" w:name="_Toc371415920"/>
      <w:bookmarkStart w:id="47" w:name="_Toc338943699"/>
      <w:bookmarkStart w:id="48" w:name="_Toc179632546"/>
      <w:bookmarkStart w:id="49" w:name="_Toc342297618"/>
      <w:bookmarkStart w:id="50" w:name="_Toc152042305"/>
      <w:bookmarkStart w:id="51" w:name="_Toc342294713"/>
      <w:bookmarkStart w:id="52" w:name="_Toc144974497"/>
      <w:bookmarkStart w:id="53" w:name="_Toc458504818"/>
      <w:bookmarkStart w:id="54" w:name="_Toc455587032"/>
      <w:bookmarkStart w:id="55" w:name="_Toc333599658"/>
      <w:bookmarkStart w:id="56" w:name="_Toc455587216"/>
      <w:bookmarkStart w:id="57" w:name="_Toc466024500"/>
      <w:bookmarkStart w:id="58" w:name="_Toc338944604"/>
      <w:bookmarkStart w:id="59" w:name="_Toc333600682"/>
      <w:bookmarkStart w:id="60" w:name="_Toc342296161"/>
      <w:r>
        <w:rPr>
          <w:rStyle w:val="103"/>
          <w:rFonts w:hint="eastAsia" w:ascii="宋体" w:hAnsi="宋体" w:eastAsia="仿宋"/>
          <w:b/>
          <w:bCs/>
          <w:color w:val="auto"/>
          <w:sz w:val="24"/>
          <w:szCs w:val="24"/>
          <w:highlight w:val="none"/>
        </w:rPr>
        <w:t>1. 总则</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A21BCEB">
      <w:pPr>
        <w:pStyle w:val="4"/>
        <w:adjustRightInd w:val="0"/>
        <w:ind w:firstLine="482" w:firstLineChars="200"/>
        <w:rPr>
          <w:rFonts w:eastAsia="仿宋"/>
          <w:color w:val="auto"/>
          <w:sz w:val="24"/>
          <w:highlight w:val="none"/>
          <w:lang w:eastAsia="zh-CN"/>
        </w:rPr>
      </w:pPr>
      <w:bookmarkStart w:id="61" w:name="_Toc466024501"/>
      <w:bookmarkStart w:id="62" w:name="_Toc152045530"/>
      <w:bookmarkStart w:id="63" w:name="_Toc455587033"/>
      <w:bookmarkStart w:id="64" w:name="_Toc342297619"/>
      <w:bookmarkStart w:id="65" w:name="_Toc333600683"/>
      <w:bookmarkStart w:id="66" w:name="_Toc338944605"/>
      <w:bookmarkStart w:id="67" w:name="_Toc144974498"/>
      <w:bookmarkStart w:id="68" w:name="_Toc371415921"/>
      <w:bookmarkStart w:id="69" w:name="_Toc179632547"/>
      <w:bookmarkStart w:id="70" w:name="_Toc333587853"/>
      <w:bookmarkStart w:id="71" w:name="_Toc455587217"/>
      <w:bookmarkStart w:id="72" w:name="_Toc333599659"/>
      <w:bookmarkStart w:id="73" w:name="_Toc342294714"/>
      <w:bookmarkStart w:id="74" w:name="_Toc342296162"/>
      <w:bookmarkStart w:id="75" w:name="_Toc445554689"/>
      <w:bookmarkStart w:id="76" w:name="_Toc338943700"/>
      <w:bookmarkStart w:id="77" w:name="_Toc458504819"/>
      <w:bookmarkStart w:id="78" w:name="_Toc152042306"/>
      <w:r>
        <w:rPr>
          <w:rFonts w:eastAsia="仿宋"/>
          <w:color w:val="auto"/>
          <w:sz w:val="24"/>
          <w:highlight w:val="none"/>
          <w:lang w:eastAsia="zh-CN"/>
        </w:rPr>
        <w:t>1</w:t>
      </w:r>
      <w:r>
        <w:rPr>
          <w:rFonts w:hint="eastAsia" w:eastAsia="仿宋"/>
          <w:color w:val="auto"/>
          <w:sz w:val="24"/>
          <w:highlight w:val="none"/>
          <w:lang w:eastAsia="zh-CN"/>
        </w:rPr>
        <w:t>.1 项目概况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05852EF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1894E14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 采购人：见投标人须知前附表。</w:t>
      </w:r>
    </w:p>
    <w:p w14:paraId="70F9D58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1.1.3 采购代理机构：见投标人须知前附表。</w:t>
      </w:r>
    </w:p>
    <w:p w14:paraId="2D07018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1.1.4 采购项目名称：见投标人须知前附表。</w:t>
      </w:r>
    </w:p>
    <w:p w14:paraId="293F856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1.1.5 采购包划分：见投标人须知前附表。</w:t>
      </w:r>
    </w:p>
    <w:p w14:paraId="645F714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1.1.6 采购预算：见投标人须知前附表。</w:t>
      </w:r>
    </w:p>
    <w:p w14:paraId="22A0513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1.1.7 专门面向中小企业采购：见投标人须知前附表。</w:t>
      </w:r>
    </w:p>
    <w:p w14:paraId="566EDEB7">
      <w:pPr>
        <w:pStyle w:val="4"/>
        <w:adjustRightInd w:val="0"/>
        <w:ind w:firstLine="482" w:firstLineChars="200"/>
        <w:rPr>
          <w:rFonts w:eastAsia="仿宋"/>
          <w:color w:val="auto"/>
          <w:sz w:val="24"/>
          <w:highlight w:val="none"/>
          <w:lang w:eastAsia="zh-CN"/>
        </w:rPr>
      </w:pPr>
      <w:bookmarkStart w:id="79" w:name="_Toc455587218"/>
      <w:bookmarkStart w:id="80" w:name="_Toc466024502"/>
      <w:bookmarkStart w:id="81" w:name="_Toc458504820"/>
      <w:bookmarkStart w:id="82" w:name="_Toc445554690"/>
      <w:bookmarkStart w:id="83" w:name="_Toc455587034"/>
      <w:r>
        <w:rPr>
          <w:rFonts w:hint="eastAsia" w:eastAsia="仿宋"/>
          <w:color w:val="auto"/>
          <w:sz w:val="24"/>
          <w:highlight w:val="none"/>
          <w:lang w:eastAsia="zh-CN"/>
        </w:rPr>
        <w:t>1.2 资金落实情况与核心产品</w:t>
      </w:r>
    </w:p>
    <w:p w14:paraId="2B282C24">
      <w:pPr>
        <w:widowControl/>
        <w:adjustRightInd w:val="0"/>
        <w:snapToGrid w:val="0"/>
        <w:spacing w:line="360" w:lineRule="auto"/>
        <w:ind w:firstLine="480" w:firstLineChars="200"/>
        <w:rPr>
          <w:rFonts w:hint="eastAsia" w:ascii="宋体" w:hAnsi="宋体" w:eastAsia="仿宋" w:cs="宋体"/>
          <w:color w:val="auto"/>
          <w:sz w:val="24"/>
          <w:highlight w:val="none"/>
        </w:rPr>
      </w:pPr>
      <w:r>
        <w:rPr>
          <w:rFonts w:hint="eastAsia" w:ascii="宋体" w:hAnsi="宋体" w:eastAsia="仿宋" w:cs="宋体"/>
          <w:color w:val="auto"/>
          <w:sz w:val="24"/>
          <w:highlight w:val="none"/>
          <w:lang w:bidi="ar"/>
        </w:rPr>
        <w:t xml:space="preserve">1.2.1 </w:t>
      </w:r>
      <w:r>
        <w:rPr>
          <w:rFonts w:hint="eastAsia" w:ascii="宋体" w:hAnsi="宋体" w:eastAsia="仿宋" w:cs="仿宋"/>
          <w:color w:val="auto"/>
          <w:sz w:val="24"/>
          <w:highlight w:val="none"/>
          <w:lang w:bidi="ar"/>
        </w:rPr>
        <w:t>资金来源及比例：见投标人须知前附表。</w:t>
      </w:r>
    </w:p>
    <w:p w14:paraId="3A85387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s="宋体"/>
          <w:color w:val="auto"/>
          <w:sz w:val="24"/>
          <w:highlight w:val="none"/>
          <w:lang w:bidi="ar"/>
        </w:rPr>
        <w:t>1.2.2</w:t>
      </w:r>
      <w:r>
        <w:rPr>
          <w:rFonts w:hint="eastAsia" w:ascii="宋体" w:hAnsi="宋体" w:eastAsia="仿宋"/>
          <w:color w:val="auto"/>
          <w:sz w:val="24"/>
          <w:highlight w:val="none"/>
        </w:rPr>
        <w:t xml:space="preserve"> 资金落实情况：本项目的采购人已获得足以支付本次招标后所签订的合同项下的资金。</w:t>
      </w:r>
    </w:p>
    <w:p w14:paraId="1A83AD9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79"/>
    <w:bookmarkEnd w:id="80"/>
    <w:bookmarkEnd w:id="81"/>
    <w:bookmarkEnd w:id="82"/>
    <w:bookmarkEnd w:id="83"/>
    <w:p w14:paraId="68220985">
      <w:pPr>
        <w:pStyle w:val="4"/>
        <w:adjustRightInd w:val="0"/>
        <w:ind w:firstLine="482" w:firstLineChars="200"/>
        <w:rPr>
          <w:rFonts w:eastAsia="仿宋"/>
          <w:color w:val="auto"/>
          <w:sz w:val="24"/>
          <w:highlight w:val="none"/>
          <w:lang w:eastAsia="zh-CN"/>
        </w:rPr>
      </w:pPr>
      <w:bookmarkStart w:id="84" w:name="_Toc455587219"/>
      <w:bookmarkStart w:id="85" w:name="_Toc445554692"/>
      <w:bookmarkStart w:id="86" w:name="_Toc342294718"/>
      <w:bookmarkStart w:id="87" w:name="_Toc152042310"/>
      <w:bookmarkStart w:id="88" w:name="_Toc333600687"/>
      <w:bookmarkStart w:id="89" w:name="_Toc152045534"/>
      <w:bookmarkStart w:id="90" w:name="_Toc466024503"/>
      <w:bookmarkStart w:id="91" w:name="_Toc333587857"/>
      <w:bookmarkStart w:id="92" w:name="_Toc179632551"/>
      <w:bookmarkStart w:id="93" w:name="_Toc338943704"/>
      <w:bookmarkStart w:id="94" w:name="_Toc144974502"/>
      <w:bookmarkStart w:id="95" w:name="_Toc342296166"/>
      <w:bookmarkStart w:id="96" w:name="_Toc342297623"/>
      <w:bookmarkStart w:id="97" w:name="_Toc455587035"/>
      <w:bookmarkStart w:id="98" w:name="_Toc338944609"/>
      <w:bookmarkStart w:id="99" w:name="_Toc458504821"/>
      <w:bookmarkStart w:id="100" w:name="_Toc333599663"/>
      <w:bookmarkStart w:id="101" w:name="_Toc371415924"/>
      <w:r>
        <w:rPr>
          <w:rFonts w:hint="eastAsia" w:eastAsia="仿宋"/>
          <w:color w:val="auto"/>
          <w:sz w:val="24"/>
          <w:highlight w:val="none"/>
          <w:lang w:eastAsia="zh-CN"/>
        </w:rPr>
        <w:t>1.3 资格要求</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2FAA41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1.3.1 投标人应具备承担本采购项目的资质条件、能力和信誉，具体资格要求见投标人须知前附表。</w:t>
      </w:r>
    </w:p>
    <w:p w14:paraId="4DB876A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1.3.2 接受联合体投标的，除应符合本章第1.3</w:t>
      </w:r>
      <w:r>
        <w:rPr>
          <w:rFonts w:ascii="宋体" w:hAnsi="宋体" w:eastAsia="仿宋"/>
          <w:color w:val="auto"/>
          <w:sz w:val="24"/>
          <w:highlight w:val="none"/>
        </w:rPr>
        <w:t>.1</w:t>
      </w:r>
      <w:r>
        <w:rPr>
          <w:rFonts w:hint="eastAsia" w:ascii="宋体" w:hAnsi="宋体" w:eastAsia="仿宋"/>
          <w:color w:val="auto"/>
          <w:sz w:val="24"/>
          <w:highlight w:val="none"/>
        </w:rPr>
        <w:t>项和投标人须知前附表的要求外，还应遵守以下规定：</w:t>
      </w:r>
    </w:p>
    <w:p w14:paraId="3BC023B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）联合体各方应按招标文件提供的格式签订联合体协议书，明确联合体牵头人和各方权利义务，并承诺就中标项目向采购人承担连带责任；</w:t>
      </w:r>
    </w:p>
    <w:p w14:paraId="4788221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（2）由同一专业的单位组成的联合体，按照资质等级较低的单位确定资质等级；</w:t>
      </w:r>
    </w:p>
    <w:p w14:paraId="02D7AA8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（3）联合体各方不得再以自己名义单独或参加其他联合体在本项目中投标，否则各相关投标均无效；</w:t>
      </w:r>
    </w:p>
    <w:p w14:paraId="2C8A2E5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auto"/>
          <w:sz w:val="24"/>
          <w:highlight w:val="none"/>
        </w:rPr>
        <w:t>采购</w:t>
      </w:r>
      <w:r>
        <w:rPr>
          <w:rFonts w:ascii="宋体" w:hAnsi="宋体" w:eastAsia="仿宋"/>
          <w:color w:val="auto"/>
          <w:sz w:val="24"/>
          <w:highlight w:val="none"/>
        </w:rPr>
        <w:t>人；联合体牵头人所提交的投标文件应认为已代表了联合体各成员的真实情况；</w:t>
      </w:r>
    </w:p>
    <w:p w14:paraId="6C7663D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5）尽管委任了联合体牵头人，但联合体各成员在投标、签订合同与履行合同过程中，仍负有连带的和各自的法律责任。</w:t>
      </w:r>
    </w:p>
    <w:p w14:paraId="471C7C2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1.3.3 投标人</w:t>
      </w:r>
      <w:r>
        <w:rPr>
          <w:rFonts w:hAnsi="宋体" w:eastAsia="仿宋"/>
          <w:color w:val="auto"/>
          <w:sz w:val="24"/>
          <w:highlight w:val="none"/>
        </w:rPr>
        <w:t>（包括联合体各成员）</w:t>
      </w:r>
      <w:r>
        <w:rPr>
          <w:rFonts w:hint="eastAsia" w:ascii="宋体" w:hAnsi="宋体" w:eastAsia="仿宋"/>
          <w:color w:val="auto"/>
          <w:sz w:val="24"/>
          <w:highlight w:val="none"/>
        </w:rPr>
        <w:t>不得存在下列情形之一：</w:t>
      </w:r>
    </w:p>
    <w:p w14:paraId="2989AF98">
      <w:pPr>
        <w:widowControl/>
        <w:adjustRightInd w:val="0"/>
        <w:snapToGrid w:val="0"/>
        <w:spacing w:line="360" w:lineRule="auto"/>
        <w:ind w:firstLine="480" w:firstLineChars="200"/>
        <w:rPr>
          <w:rFonts w:hint="eastAsia" w:ascii="宋体" w:hAnsi="宋体" w:eastAsia="仿宋"/>
          <w:color w:val="auto"/>
          <w:sz w:val="24"/>
          <w:highlight w:val="none"/>
        </w:rPr>
      </w:pPr>
      <w:bookmarkStart w:id="102" w:name="_Toc152045535"/>
      <w:bookmarkStart w:id="103" w:name="_Toc144974503"/>
      <w:bookmarkStart w:id="104" w:name="_Toc333600688"/>
      <w:bookmarkStart w:id="105" w:name="_Toc152042311"/>
      <w:bookmarkStart w:id="106" w:name="_Toc342294719"/>
      <w:bookmarkStart w:id="107" w:name="_Toc342297624"/>
      <w:bookmarkStart w:id="108" w:name="_Toc338944610"/>
      <w:bookmarkStart w:id="109" w:name="_Toc338943705"/>
      <w:bookmarkStart w:id="110" w:name="_Toc333599664"/>
      <w:bookmarkStart w:id="111" w:name="_Toc333587858"/>
      <w:bookmarkStart w:id="112" w:name="_Toc179632552"/>
      <w:bookmarkStart w:id="113" w:name="_Toc342296167"/>
      <w:r>
        <w:rPr>
          <w:rFonts w:hint="eastAsia" w:ascii="宋体" w:hAnsi="宋体" w:eastAsia="仿宋"/>
          <w:color w:val="auto"/>
          <w:sz w:val="24"/>
          <w:highlight w:val="none"/>
        </w:rPr>
        <w:t>（1）</w:t>
      </w:r>
      <w:r>
        <w:rPr>
          <w:rFonts w:ascii="宋体" w:hAnsi="宋体" w:eastAsia="仿宋"/>
          <w:color w:val="auto"/>
          <w:sz w:val="24"/>
          <w:highlight w:val="none"/>
        </w:rPr>
        <w:t>为本采购项目的采购代理机构；</w:t>
      </w:r>
    </w:p>
    <w:p w14:paraId="07F5A5B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w:t>
      </w:r>
      <w:r>
        <w:rPr>
          <w:rFonts w:ascii="宋体" w:hAnsi="宋体" w:eastAsia="仿宋"/>
          <w:color w:val="auto"/>
          <w:sz w:val="24"/>
          <w:highlight w:val="none"/>
        </w:rPr>
        <w:t>为采购人</w:t>
      </w:r>
      <w:r>
        <w:rPr>
          <w:rFonts w:hint="eastAsia" w:ascii="宋体" w:hAnsi="宋体" w:eastAsia="仿宋"/>
          <w:color w:val="auto"/>
          <w:sz w:val="24"/>
          <w:highlight w:val="none"/>
        </w:rPr>
        <w:t>不具有独立承担民事责任能力的</w:t>
      </w:r>
      <w:r>
        <w:rPr>
          <w:rFonts w:ascii="宋体" w:hAnsi="宋体" w:eastAsia="仿宋"/>
          <w:color w:val="auto"/>
          <w:sz w:val="24"/>
          <w:highlight w:val="none"/>
        </w:rPr>
        <w:t>附属机构</w:t>
      </w:r>
      <w:r>
        <w:rPr>
          <w:rFonts w:hint="eastAsia" w:ascii="宋体" w:hAnsi="宋体" w:eastAsia="仿宋"/>
          <w:color w:val="auto"/>
          <w:sz w:val="24"/>
          <w:highlight w:val="none"/>
        </w:rPr>
        <w:t>；</w:t>
      </w:r>
    </w:p>
    <w:p w14:paraId="69EA182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与采购人存在利害关系且可能影响采购公正性；</w:t>
      </w:r>
    </w:p>
    <w:p w14:paraId="5B4D7A6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由本</w:t>
      </w:r>
      <w:r>
        <w:rPr>
          <w:rFonts w:hint="eastAsia" w:ascii="宋体" w:hAnsi="宋体" w:eastAsia="仿宋"/>
          <w:color w:val="auto"/>
          <w:sz w:val="24"/>
          <w:highlight w:val="none"/>
        </w:rPr>
        <w:t>采购项目</w:t>
      </w:r>
      <w:r>
        <w:rPr>
          <w:rFonts w:ascii="宋体" w:hAnsi="宋体" w:eastAsia="仿宋"/>
          <w:color w:val="auto"/>
          <w:sz w:val="24"/>
          <w:highlight w:val="none"/>
        </w:rPr>
        <w:t>采购代理机构代理</w:t>
      </w:r>
      <w:r>
        <w:rPr>
          <w:rFonts w:hint="eastAsia" w:ascii="宋体" w:hAnsi="宋体" w:eastAsia="仿宋"/>
          <w:color w:val="auto"/>
          <w:sz w:val="24"/>
          <w:highlight w:val="none"/>
        </w:rPr>
        <w:t>投标</w:t>
      </w:r>
      <w:r>
        <w:rPr>
          <w:rFonts w:ascii="宋体" w:hAnsi="宋体" w:eastAsia="仿宋"/>
          <w:color w:val="auto"/>
          <w:sz w:val="24"/>
          <w:highlight w:val="none"/>
        </w:rPr>
        <w:t>，或者接受过本</w:t>
      </w:r>
      <w:r>
        <w:rPr>
          <w:rFonts w:hint="eastAsia" w:ascii="宋体" w:hAnsi="宋体" w:eastAsia="仿宋"/>
          <w:color w:val="auto"/>
          <w:sz w:val="24"/>
          <w:highlight w:val="none"/>
        </w:rPr>
        <w:t>采购项目</w:t>
      </w:r>
      <w:r>
        <w:rPr>
          <w:rFonts w:ascii="宋体" w:hAnsi="宋体" w:eastAsia="仿宋"/>
          <w:color w:val="auto"/>
          <w:sz w:val="24"/>
          <w:highlight w:val="none"/>
        </w:rPr>
        <w:t>的采购代理机构为本</w:t>
      </w:r>
      <w:r>
        <w:rPr>
          <w:rFonts w:hint="eastAsia" w:ascii="宋体" w:hAnsi="宋体" w:eastAsia="仿宋"/>
          <w:color w:val="auto"/>
          <w:sz w:val="24"/>
          <w:highlight w:val="none"/>
        </w:rPr>
        <w:t>采购项目</w:t>
      </w:r>
      <w:r>
        <w:rPr>
          <w:rFonts w:ascii="宋体" w:hAnsi="宋体" w:eastAsia="仿宋"/>
          <w:color w:val="auto"/>
          <w:sz w:val="24"/>
          <w:highlight w:val="none"/>
        </w:rPr>
        <w:t>提供咨询</w:t>
      </w:r>
      <w:r>
        <w:rPr>
          <w:rFonts w:hint="eastAsia" w:ascii="宋体" w:hAnsi="宋体" w:eastAsia="仿宋"/>
          <w:color w:val="auto"/>
          <w:sz w:val="24"/>
          <w:highlight w:val="none"/>
        </w:rPr>
        <w:t>；</w:t>
      </w:r>
    </w:p>
    <w:p w14:paraId="783CE1E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w:t>
      </w:r>
      <w:r>
        <w:rPr>
          <w:rFonts w:ascii="宋体" w:hAnsi="宋体" w:eastAsia="仿宋"/>
          <w:color w:val="auto"/>
          <w:sz w:val="24"/>
          <w:highlight w:val="none"/>
        </w:rPr>
        <w:t>被责令停产停业、暂扣或者吊销许可证、暂扣或者吊销执照；</w:t>
      </w:r>
    </w:p>
    <w:p w14:paraId="0696A1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进入清算程序，或被宣告破产，或其他丧失履约能力的情形；</w:t>
      </w:r>
    </w:p>
    <w:p w14:paraId="424592E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（7）与本项目其他投标人的</w:t>
      </w:r>
      <w:r>
        <w:rPr>
          <w:rFonts w:ascii="宋体" w:hAnsi="宋体" w:eastAsia="仿宋"/>
          <w:color w:val="auto"/>
          <w:sz w:val="24"/>
          <w:highlight w:val="none"/>
        </w:rPr>
        <w:t>单位负责人为同一人或者存在直接控股、管理关系的不同投标人</w:t>
      </w:r>
      <w:r>
        <w:rPr>
          <w:rFonts w:hint="eastAsia" w:ascii="宋体" w:hAnsi="宋体" w:eastAsia="仿宋"/>
          <w:color w:val="auto"/>
          <w:sz w:val="24"/>
          <w:highlight w:val="none"/>
        </w:rPr>
        <w:t>；</w:t>
      </w:r>
    </w:p>
    <w:p w14:paraId="152BC3E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（8）被依法禁止参加政府采购活动并在有效期内；</w:t>
      </w:r>
    </w:p>
    <w:p w14:paraId="7A90F52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（9）为采购项目提供整体设计、规范编制或者项目管理、监理、检测等服务的投标人，不得再参加该采购项目的其他采购活动，具体按财政部财办库〔2015〕295号文件规定；</w:t>
      </w:r>
    </w:p>
    <w:p w14:paraId="3952E4F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（10）截至投标截止时间，</w:t>
      </w:r>
      <w:r>
        <w:rPr>
          <w:rFonts w:ascii="宋体" w:hAnsi="宋体" w:eastAsia="仿宋"/>
          <w:color w:val="auto"/>
          <w:sz w:val="24"/>
          <w:highlight w:val="none"/>
        </w:rPr>
        <w:t>被人民法院列入失信被执行人名单</w:t>
      </w:r>
      <w:r>
        <w:rPr>
          <w:rFonts w:hint="eastAsia" w:ascii="宋体" w:hAnsi="宋体" w:eastAsia="仿宋"/>
          <w:color w:val="auto"/>
          <w:sz w:val="24"/>
          <w:highlight w:val="none"/>
        </w:rPr>
        <w:t>的（以信用中国</w:t>
      </w:r>
      <w:r>
        <w:rPr>
          <w:rFonts w:ascii="宋体" w:hAnsi="宋体" w:eastAsia="仿宋"/>
          <w:color w:val="auto"/>
          <w:sz w:val="24"/>
          <w:highlight w:val="none"/>
        </w:rPr>
        <w:t>www.creditchina.gov.cn</w:t>
      </w:r>
      <w:r>
        <w:rPr>
          <w:rFonts w:hint="eastAsia" w:ascii="宋体" w:hAnsi="宋体" w:eastAsia="仿宋"/>
          <w:color w:val="auto"/>
          <w:sz w:val="24"/>
          <w:highlight w:val="none"/>
        </w:rPr>
        <w:t>、中国执行信息公开网</w:t>
      </w:r>
      <w:r>
        <w:rPr>
          <w:rFonts w:ascii="宋体" w:hAnsi="宋体" w:eastAsia="仿宋"/>
          <w:color w:val="auto"/>
          <w:sz w:val="24"/>
          <w:highlight w:val="none"/>
        </w:rPr>
        <w:t>http://zxgk.court.gov.cn/</w:t>
      </w:r>
      <w:r>
        <w:rPr>
          <w:rFonts w:hint="eastAsia" w:ascii="宋体" w:hAnsi="宋体" w:eastAsia="仿宋"/>
          <w:color w:val="auto"/>
          <w:sz w:val="24"/>
          <w:highlight w:val="none"/>
        </w:rPr>
        <w:t>查询为准）</w:t>
      </w:r>
      <w:r>
        <w:rPr>
          <w:rFonts w:ascii="宋体" w:hAnsi="宋体" w:eastAsia="仿宋"/>
          <w:color w:val="auto"/>
          <w:sz w:val="24"/>
          <w:highlight w:val="none"/>
        </w:rPr>
        <w:t>；</w:t>
      </w:r>
    </w:p>
    <w:p w14:paraId="32919B1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（11）截至投标截止时间，被列入重大税收违法案件当事人（重大税收违法失信主体）名单的（以信用中国网站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查询为准）；</w:t>
      </w:r>
    </w:p>
    <w:p w14:paraId="5688F95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（12）截至投标截止时间，被列入政府采购严重违法失信名单的（以信用中国网站</w:t>
      </w:r>
      <w:r>
        <w:rPr>
          <w:rFonts w:ascii="宋体" w:hAnsi="宋体" w:eastAsia="仿宋"/>
          <w:color w:val="auto"/>
          <w:sz w:val="24"/>
          <w:highlight w:val="none"/>
        </w:rPr>
        <w:t>www.creditchina.gov.cn</w:t>
      </w:r>
      <w:r>
        <w:rPr>
          <w:rFonts w:hint="eastAsia" w:ascii="宋体" w:hAnsi="宋体" w:eastAsia="仿宋"/>
          <w:color w:val="auto"/>
          <w:sz w:val="24"/>
          <w:highlight w:val="none"/>
        </w:rPr>
        <w:t>、中国政府采购网</w:t>
      </w:r>
      <w:r>
        <w:rPr>
          <w:rFonts w:ascii="宋体" w:hAnsi="宋体" w:eastAsia="仿宋"/>
          <w:color w:val="auto"/>
          <w:sz w:val="24"/>
          <w:highlight w:val="none"/>
        </w:rPr>
        <w:t>http://www.ccgp.gov.cn/</w:t>
      </w:r>
      <w:r>
        <w:rPr>
          <w:rFonts w:hint="eastAsia" w:ascii="宋体" w:hAnsi="宋体" w:eastAsia="仿宋"/>
          <w:color w:val="auto"/>
          <w:sz w:val="24"/>
          <w:highlight w:val="none"/>
        </w:rPr>
        <w:t>查询为准）；</w:t>
      </w:r>
    </w:p>
    <w:p w14:paraId="2333D58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4786B6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w:t>
      </w:r>
      <w:r>
        <w:rPr>
          <w:rFonts w:ascii="宋体" w:hAnsi="宋体" w:eastAsia="仿宋"/>
          <w:color w:val="auto"/>
          <w:sz w:val="24"/>
          <w:highlight w:val="none"/>
        </w:rPr>
        <w:t>法律法规</w:t>
      </w:r>
      <w:r>
        <w:rPr>
          <w:rFonts w:hint="eastAsia" w:ascii="宋体" w:hAnsi="宋体" w:eastAsia="仿宋"/>
          <w:color w:val="auto"/>
          <w:sz w:val="24"/>
          <w:highlight w:val="none"/>
        </w:rPr>
        <w:t>规定的其他情形；</w:t>
      </w:r>
    </w:p>
    <w:p w14:paraId="176218C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w:t>
      </w:r>
      <w:r>
        <w:rPr>
          <w:rFonts w:ascii="宋体" w:hAnsi="宋体" w:eastAsia="仿宋"/>
          <w:color w:val="auto"/>
          <w:sz w:val="24"/>
          <w:highlight w:val="none"/>
        </w:rPr>
        <w:t>投标人须知前附表规定的其他情形。</w:t>
      </w:r>
    </w:p>
    <w:p w14:paraId="379843E9">
      <w:pPr>
        <w:pStyle w:val="4"/>
        <w:adjustRightInd w:val="0"/>
        <w:ind w:firstLine="482" w:firstLineChars="200"/>
        <w:rPr>
          <w:rFonts w:eastAsia="仿宋"/>
          <w:color w:val="auto"/>
          <w:sz w:val="24"/>
          <w:highlight w:val="none"/>
          <w:lang w:eastAsia="zh-CN"/>
        </w:rPr>
      </w:pPr>
      <w:bookmarkStart w:id="114" w:name="_Toc455587036"/>
      <w:bookmarkStart w:id="115" w:name="_Toc466024504"/>
      <w:bookmarkStart w:id="116" w:name="_Toc371415925"/>
      <w:bookmarkStart w:id="117" w:name="_Toc445554693"/>
      <w:bookmarkStart w:id="118" w:name="_Toc455587220"/>
      <w:bookmarkStart w:id="119" w:name="_Toc458504822"/>
      <w:r>
        <w:rPr>
          <w:rFonts w:hint="eastAsia" w:eastAsia="仿宋"/>
          <w:color w:val="auto"/>
          <w:sz w:val="24"/>
          <w:highlight w:val="none"/>
          <w:lang w:eastAsia="zh-CN"/>
        </w:rPr>
        <w:t>1.4 费用承担</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921086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投标人准备和参加投标活动发生的费用自理。</w:t>
      </w:r>
    </w:p>
    <w:p w14:paraId="28C0302B">
      <w:pPr>
        <w:pStyle w:val="4"/>
        <w:adjustRightInd w:val="0"/>
        <w:ind w:firstLine="482" w:firstLineChars="200"/>
        <w:rPr>
          <w:rFonts w:eastAsia="仿宋"/>
          <w:color w:val="auto"/>
          <w:sz w:val="24"/>
          <w:highlight w:val="none"/>
          <w:lang w:eastAsia="zh-CN"/>
        </w:rPr>
      </w:pPr>
      <w:bookmarkStart w:id="120" w:name="_Toc445554694"/>
      <w:bookmarkStart w:id="121" w:name="_Toc455587221"/>
      <w:bookmarkStart w:id="122" w:name="_Toc455587037"/>
      <w:bookmarkStart w:id="123" w:name="_Toc466024505"/>
      <w:bookmarkStart w:id="124" w:name="_Toc458504823"/>
      <w:bookmarkStart w:id="125" w:name="_Toc247527560"/>
      <w:bookmarkStart w:id="126" w:name="_Toc152045536"/>
      <w:bookmarkStart w:id="127" w:name="_Toc300834956"/>
      <w:bookmarkStart w:id="128" w:name="_Toc152042312"/>
      <w:bookmarkStart w:id="129" w:name="_Toc144974504"/>
      <w:bookmarkStart w:id="130" w:name="_Toc247513959"/>
      <w:r>
        <w:rPr>
          <w:rFonts w:hint="eastAsia" w:eastAsia="仿宋"/>
          <w:color w:val="auto"/>
          <w:sz w:val="24"/>
          <w:highlight w:val="none"/>
          <w:lang w:eastAsia="zh-CN"/>
        </w:rPr>
        <w:t>1.5 保密</w:t>
      </w:r>
      <w:bookmarkEnd w:id="120"/>
      <w:bookmarkEnd w:id="121"/>
      <w:bookmarkEnd w:id="122"/>
      <w:bookmarkEnd w:id="123"/>
      <w:bookmarkEnd w:id="124"/>
    </w:p>
    <w:p w14:paraId="6CC679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参与招标投标活动的各方应当对招标文件和投标文件中的商业和技术等秘密保密，否则应当承担相应的法律责任。</w:t>
      </w:r>
    </w:p>
    <w:p w14:paraId="3091EEE7">
      <w:pPr>
        <w:pStyle w:val="4"/>
        <w:adjustRightInd w:val="0"/>
        <w:ind w:firstLine="482" w:firstLineChars="200"/>
        <w:rPr>
          <w:rFonts w:eastAsia="仿宋"/>
          <w:color w:val="auto"/>
          <w:sz w:val="24"/>
          <w:highlight w:val="none"/>
          <w:lang w:eastAsia="zh-CN"/>
        </w:rPr>
      </w:pPr>
      <w:bookmarkStart w:id="131" w:name="_Toc458504824"/>
      <w:bookmarkStart w:id="132" w:name="_Toc455587038"/>
      <w:bookmarkStart w:id="133" w:name="_Toc445554695"/>
      <w:bookmarkStart w:id="134" w:name="_Toc455587222"/>
      <w:bookmarkStart w:id="135" w:name="_Toc466024506"/>
      <w:r>
        <w:rPr>
          <w:rFonts w:hint="eastAsia" w:eastAsia="仿宋"/>
          <w:color w:val="auto"/>
          <w:sz w:val="24"/>
          <w:highlight w:val="none"/>
          <w:lang w:eastAsia="zh-CN"/>
        </w:rPr>
        <w:t>1.6 语言文字</w:t>
      </w:r>
      <w:bookmarkEnd w:id="125"/>
      <w:bookmarkEnd w:id="126"/>
      <w:bookmarkEnd w:id="127"/>
      <w:bookmarkEnd w:id="128"/>
      <w:bookmarkEnd w:id="129"/>
      <w:bookmarkEnd w:id="130"/>
      <w:bookmarkEnd w:id="131"/>
      <w:bookmarkEnd w:id="132"/>
      <w:bookmarkEnd w:id="133"/>
      <w:bookmarkEnd w:id="134"/>
      <w:bookmarkEnd w:id="135"/>
    </w:p>
    <w:p w14:paraId="240F88D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除专用术语外，与招标投标有关的语言均应当使用中文。必要时专用术语应附有中文注释。</w:t>
      </w:r>
    </w:p>
    <w:p w14:paraId="2B634D82">
      <w:pPr>
        <w:pStyle w:val="4"/>
        <w:adjustRightInd w:val="0"/>
        <w:ind w:firstLine="482" w:firstLineChars="200"/>
        <w:rPr>
          <w:rFonts w:eastAsia="仿宋"/>
          <w:color w:val="auto"/>
          <w:sz w:val="24"/>
          <w:highlight w:val="none"/>
          <w:lang w:eastAsia="zh-CN"/>
        </w:rPr>
      </w:pPr>
      <w:bookmarkStart w:id="136" w:name="_Toc333587861"/>
      <w:bookmarkStart w:id="137" w:name="_Toc152042314"/>
      <w:bookmarkStart w:id="138" w:name="_Toc342297627"/>
      <w:bookmarkStart w:id="139" w:name="_Toc455587223"/>
      <w:bookmarkStart w:id="140" w:name="_Toc342296170"/>
      <w:bookmarkStart w:id="141" w:name="_Toc342294722"/>
      <w:bookmarkStart w:id="142" w:name="_Toc458504825"/>
      <w:bookmarkStart w:id="143" w:name="_Toc152045538"/>
      <w:bookmarkStart w:id="144" w:name="_Toc333600691"/>
      <w:bookmarkStart w:id="145" w:name="_Toc338943708"/>
      <w:bookmarkStart w:id="146" w:name="_Toc455587039"/>
      <w:bookmarkStart w:id="147" w:name="_Toc338944613"/>
      <w:bookmarkStart w:id="148" w:name="_Toc466024507"/>
      <w:bookmarkStart w:id="149" w:name="_Toc333599667"/>
      <w:bookmarkStart w:id="150" w:name="_Toc144974506"/>
      <w:bookmarkStart w:id="151" w:name="_Toc179632555"/>
      <w:bookmarkStart w:id="152" w:name="_Toc371415926"/>
      <w:bookmarkStart w:id="153" w:name="_Toc445554696"/>
      <w:r>
        <w:rPr>
          <w:rFonts w:hint="eastAsia" w:eastAsia="仿宋"/>
          <w:color w:val="auto"/>
          <w:sz w:val="24"/>
          <w:highlight w:val="none"/>
          <w:lang w:eastAsia="zh-CN"/>
        </w:rPr>
        <w:t>1.7 计量单位</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34B8BD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除招标文件另有规定外，所有计量均采用中华人民共和国法定计量单位。</w:t>
      </w:r>
    </w:p>
    <w:p w14:paraId="60B25520">
      <w:pPr>
        <w:pStyle w:val="4"/>
        <w:adjustRightInd w:val="0"/>
        <w:ind w:firstLine="482" w:firstLineChars="200"/>
        <w:rPr>
          <w:rFonts w:eastAsia="仿宋"/>
          <w:color w:val="auto"/>
          <w:sz w:val="24"/>
          <w:highlight w:val="none"/>
          <w:lang w:eastAsia="zh-CN"/>
        </w:rPr>
      </w:pPr>
      <w:bookmarkStart w:id="154" w:name="_Toc445554697"/>
      <w:bookmarkStart w:id="155" w:name="_Toc455587224"/>
      <w:bookmarkStart w:id="156" w:name="_Toc371415927"/>
      <w:bookmarkStart w:id="157" w:name="_Toc458504826"/>
      <w:bookmarkStart w:id="158" w:name="_Toc455587040"/>
      <w:bookmarkStart w:id="159" w:name="_Toc466024508"/>
      <w:bookmarkStart w:id="160" w:name="_Toc342294724"/>
      <w:bookmarkStart w:id="161" w:name="_Toc152042316"/>
      <w:bookmarkStart w:id="162" w:name="_Toc333587863"/>
      <w:bookmarkStart w:id="163" w:name="_Toc342297629"/>
      <w:bookmarkStart w:id="164" w:name="_Toc338944615"/>
      <w:bookmarkStart w:id="165" w:name="_Toc179632557"/>
      <w:bookmarkStart w:id="166" w:name="_Toc333600693"/>
      <w:bookmarkStart w:id="167" w:name="_Toc333599669"/>
      <w:bookmarkStart w:id="168" w:name="_Toc342296172"/>
      <w:bookmarkStart w:id="169" w:name="_Toc144974508"/>
      <w:bookmarkStart w:id="170" w:name="_Toc338943710"/>
      <w:bookmarkStart w:id="171" w:name="_Toc152045540"/>
      <w:r>
        <w:rPr>
          <w:rFonts w:hint="eastAsia" w:eastAsia="仿宋"/>
          <w:color w:val="auto"/>
          <w:sz w:val="24"/>
          <w:highlight w:val="none"/>
          <w:lang w:eastAsia="zh-CN"/>
        </w:rPr>
        <w:t>1.</w:t>
      </w:r>
      <w:bookmarkEnd w:id="154"/>
      <w:bookmarkEnd w:id="155"/>
      <w:bookmarkEnd w:id="156"/>
      <w:bookmarkEnd w:id="157"/>
      <w:bookmarkEnd w:id="158"/>
      <w:r>
        <w:rPr>
          <w:rFonts w:hint="eastAsia" w:eastAsia="仿宋"/>
          <w:color w:val="auto"/>
          <w:sz w:val="24"/>
          <w:highlight w:val="none"/>
          <w:lang w:eastAsia="zh-CN"/>
        </w:rPr>
        <w:t>8 现场考察</w:t>
      </w:r>
      <w:bookmarkEnd w:id="159"/>
    </w:p>
    <w:p w14:paraId="3BA9CEC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.1</w:t>
      </w:r>
      <w:r>
        <w:rPr>
          <w:rFonts w:hint="eastAsia" w:ascii="宋体" w:hAnsi="宋体" w:eastAsia="仿宋"/>
          <w:color w:val="auto"/>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6652E8E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2</w:t>
      </w:r>
      <w:r>
        <w:rPr>
          <w:rFonts w:hint="eastAsia" w:ascii="宋体" w:hAnsi="宋体" w:eastAsia="仿宋"/>
          <w:color w:val="auto"/>
          <w:sz w:val="24"/>
          <w:highlight w:val="none"/>
        </w:rPr>
        <w:t xml:space="preserve"> 投标人现场考察发生的费用自理。</w:t>
      </w:r>
    </w:p>
    <w:p w14:paraId="7DC7CC3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.3</w:t>
      </w:r>
      <w:r>
        <w:rPr>
          <w:rFonts w:hint="eastAsia" w:ascii="宋体" w:hAnsi="宋体" w:eastAsia="仿宋"/>
          <w:color w:val="auto"/>
          <w:sz w:val="24"/>
          <w:highlight w:val="none"/>
        </w:rPr>
        <w:t xml:space="preserve"> 除采购人的原因外，投标人自行负责在现场考察中所发生的人员伤亡和财产损失。</w:t>
      </w:r>
    </w:p>
    <w:p w14:paraId="35C399F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w:t>
      </w:r>
      <w:r>
        <w:rPr>
          <w:rFonts w:ascii="宋体" w:hAnsi="宋体" w:eastAsia="仿宋"/>
          <w:color w:val="auto"/>
          <w:sz w:val="24"/>
          <w:highlight w:val="none"/>
        </w:rPr>
        <w:t>.4</w:t>
      </w:r>
      <w:r>
        <w:rPr>
          <w:rFonts w:hint="eastAsia" w:ascii="宋体" w:hAnsi="宋体" w:eastAsia="仿宋"/>
          <w:color w:val="auto"/>
          <w:sz w:val="24"/>
          <w:highlight w:val="none"/>
        </w:rPr>
        <w:t xml:space="preserve"> 采购人在现场考察中介绍的现场情况和周边相关的环境情况，仅作为投标人在编制投标文件时参考，采购人不对投标人据此作出的判断和决策负责。</w:t>
      </w:r>
    </w:p>
    <w:p w14:paraId="712EC0E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1.8.5 除非有特殊要求，招标文件不单独提供供货使用地的自然环境、气候条件、公用设施等情况，投标人被视为熟悉上述与履行合同有关的一切情况。</w:t>
      </w:r>
    </w:p>
    <w:p w14:paraId="1DC16C7D">
      <w:pPr>
        <w:pStyle w:val="4"/>
        <w:adjustRightInd w:val="0"/>
        <w:ind w:firstLine="482" w:firstLineChars="200"/>
        <w:rPr>
          <w:rFonts w:eastAsia="仿宋"/>
          <w:color w:val="auto"/>
          <w:sz w:val="24"/>
          <w:highlight w:val="none"/>
          <w:lang w:eastAsia="zh-CN"/>
        </w:rPr>
      </w:pPr>
      <w:bookmarkStart w:id="172" w:name="_Toc455587041"/>
      <w:bookmarkStart w:id="173" w:name="_Toc455587225"/>
      <w:bookmarkStart w:id="174" w:name="_Toc445554698"/>
      <w:bookmarkStart w:id="175" w:name="_Toc458504827"/>
      <w:bookmarkStart w:id="176" w:name="_Toc466024509"/>
      <w:r>
        <w:rPr>
          <w:rFonts w:hint="eastAsia" w:eastAsia="仿宋"/>
          <w:color w:val="auto"/>
          <w:sz w:val="24"/>
          <w:highlight w:val="none"/>
          <w:lang w:eastAsia="zh-CN"/>
        </w:rPr>
        <w:t>1.</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hint="eastAsia" w:eastAsia="仿宋"/>
          <w:color w:val="auto"/>
          <w:sz w:val="24"/>
          <w:highlight w:val="none"/>
          <w:lang w:eastAsia="zh-CN"/>
        </w:rPr>
        <w:t>9 开标前答疑会</w:t>
      </w:r>
      <w:bookmarkEnd w:id="176"/>
    </w:p>
    <w:p w14:paraId="1FE894E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投标人须知前附表规定召开开标前答疑会（以下简称答疑会）的，采购人按照投标人须知前附表规定的时间和地点召开答疑会，澄清投标人提出的问题。</w:t>
      </w:r>
    </w:p>
    <w:p w14:paraId="6CD3CFC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1.10 分包</w:t>
      </w:r>
    </w:p>
    <w:p w14:paraId="19C6734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4C1AAFD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1.10.2 中标人不得向他人转让中标项目。中标人应当就分包项目向采购人负责，分包承担主体就分包项目承担连带责任。</w:t>
      </w:r>
    </w:p>
    <w:p w14:paraId="6AF691D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1.10.3 中标人享受政府采购扶持政策获得政府采购合同的，小微企业不得将合同分包给大中型企业，中型企业不得将合同分包给大型企业。</w:t>
      </w:r>
    </w:p>
    <w:p w14:paraId="2F479BBF">
      <w:pPr>
        <w:pStyle w:val="3"/>
        <w:rPr>
          <w:rStyle w:val="103"/>
          <w:rFonts w:ascii="宋体" w:hAnsi="宋体" w:eastAsia="仿宋"/>
          <w:b/>
          <w:bCs/>
          <w:color w:val="auto"/>
          <w:sz w:val="24"/>
          <w:szCs w:val="24"/>
          <w:highlight w:val="none"/>
        </w:rPr>
      </w:pPr>
      <w:bookmarkStart w:id="177" w:name="_Toc342296175"/>
      <w:bookmarkStart w:id="178" w:name="_Toc371415929"/>
      <w:bookmarkStart w:id="179" w:name="_Toc179632560"/>
      <w:bookmarkStart w:id="180" w:name="_Toc458504828"/>
      <w:bookmarkStart w:id="181" w:name="_Toc152045542"/>
      <w:bookmarkStart w:id="182" w:name="_Toc338944618"/>
      <w:bookmarkStart w:id="183" w:name="_Toc455587043"/>
      <w:bookmarkStart w:id="184" w:name="_Toc333599672"/>
      <w:bookmarkStart w:id="185" w:name="_Toc342297632"/>
      <w:bookmarkStart w:id="186" w:name="_Toc144974510"/>
      <w:bookmarkStart w:id="187" w:name="_Toc342294727"/>
      <w:bookmarkStart w:id="188" w:name="_Toc455587227"/>
      <w:bookmarkStart w:id="189" w:name="_Toc466024510"/>
      <w:bookmarkStart w:id="190" w:name="_Toc152042318"/>
      <w:bookmarkStart w:id="191" w:name="_Toc445554700"/>
      <w:bookmarkStart w:id="192" w:name="_Toc333600696"/>
      <w:bookmarkStart w:id="193" w:name="_Toc338943713"/>
      <w:r>
        <w:rPr>
          <w:rStyle w:val="103"/>
          <w:rFonts w:hint="eastAsia" w:ascii="宋体" w:hAnsi="宋体" w:eastAsia="仿宋"/>
          <w:b/>
          <w:bCs/>
          <w:color w:val="auto"/>
          <w:sz w:val="24"/>
          <w:szCs w:val="24"/>
          <w:highlight w:val="none"/>
        </w:rPr>
        <w:t>2. 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51888BD9">
      <w:pPr>
        <w:pStyle w:val="4"/>
        <w:adjustRightInd w:val="0"/>
        <w:ind w:firstLine="482" w:firstLineChars="200"/>
        <w:rPr>
          <w:rFonts w:eastAsia="仿宋"/>
          <w:color w:val="auto"/>
          <w:sz w:val="24"/>
          <w:highlight w:val="none"/>
          <w:lang w:eastAsia="zh-CN"/>
        </w:rPr>
      </w:pPr>
      <w:bookmarkStart w:id="194" w:name="_Toc338943714"/>
      <w:bookmarkStart w:id="195" w:name="_Toc333599673"/>
      <w:bookmarkStart w:id="196" w:name="_Toc333587867"/>
      <w:bookmarkStart w:id="197" w:name="_Toc152045543"/>
      <w:bookmarkStart w:id="198" w:name="_Toc371415930"/>
      <w:bookmarkStart w:id="199" w:name="_Toc333600697"/>
      <w:bookmarkStart w:id="200" w:name="_Toc342294728"/>
      <w:bookmarkStart w:id="201" w:name="_Toc466024511"/>
      <w:bookmarkStart w:id="202" w:name="_Toc144974511"/>
      <w:bookmarkStart w:id="203" w:name="_Toc445554701"/>
      <w:bookmarkStart w:id="204" w:name="_Toc458504829"/>
      <w:bookmarkStart w:id="205" w:name="_Toc455587044"/>
      <w:bookmarkStart w:id="206" w:name="_Toc455587228"/>
      <w:bookmarkStart w:id="207" w:name="_Toc342296176"/>
      <w:bookmarkStart w:id="208" w:name="_Toc338944619"/>
      <w:bookmarkStart w:id="209" w:name="_Toc342297633"/>
      <w:bookmarkStart w:id="210" w:name="_Toc152042319"/>
      <w:bookmarkStart w:id="211" w:name="_Toc179632561"/>
      <w:r>
        <w:rPr>
          <w:rFonts w:hint="eastAsia" w:eastAsia="仿宋"/>
          <w:color w:val="auto"/>
          <w:sz w:val="24"/>
          <w:highlight w:val="none"/>
          <w:lang w:eastAsia="zh-CN"/>
        </w:rPr>
        <w:t>2.1 招标文件的组成</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246A568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本招标文件包括：</w:t>
      </w:r>
    </w:p>
    <w:p w14:paraId="50599835">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）招标公告；</w:t>
      </w:r>
    </w:p>
    <w:p w14:paraId="1FEC8FC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）投标人须知；</w:t>
      </w:r>
    </w:p>
    <w:p w14:paraId="7136993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）采购需求；</w:t>
      </w:r>
    </w:p>
    <w:p w14:paraId="01E1B5F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4</w:t>
      </w:r>
      <w:r>
        <w:rPr>
          <w:rFonts w:hint="eastAsia" w:ascii="宋体" w:hAnsi="宋体" w:eastAsia="仿宋"/>
          <w:color w:val="auto"/>
          <w:sz w:val="24"/>
          <w:highlight w:val="none"/>
        </w:rPr>
        <w:t>）资格审查和评标办法；</w:t>
      </w:r>
    </w:p>
    <w:p w14:paraId="0BE777EE">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（5）合同条款及格式；</w:t>
      </w:r>
    </w:p>
    <w:p w14:paraId="5F0C25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（6）投标文件格式。</w:t>
      </w:r>
    </w:p>
    <w:p w14:paraId="3D387A9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对招标文件所作的澄清、修改、补充通知，构成招标文件的组成部分。当招标文件、招标文件的澄清或修改等在同一内容的</w:t>
      </w:r>
      <w:r>
        <w:rPr>
          <w:rFonts w:hint="eastAsia" w:eastAsia="仿宋"/>
          <w:color w:val="auto"/>
          <w:sz w:val="24"/>
          <w:highlight w:val="none"/>
        </w:rPr>
        <w:t>表述</w:t>
      </w:r>
      <w:r>
        <w:rPr>
          <w:rFonts w:hint="eastAsia" w:ascii="宋体" w:hAnsi="宋体" w:eastAsia="仿宋"/>
          <w:color w:val="auto"/>
          <w:sz w:val="24"/>
          <w:highlight w:val="none"/>
        </w:rPr>
        <w:t>上不一致时，以最后发出的书面文件为准。</w:t>
      </w:r>
    </w:p>
    <w:p w14:paraId="52D2CBAC">
      <w:pPr>
        <w:pStyle w:val="4"/>
        <w:adjustRightInd w:val="0"/>
        <w:ind w:firstLine="482" w:firstLineChars="200"/>
        <w:rPr>
          <w:rFonts w:eastAsia="仿宋"/>
          <w:color w:val="auto"/>
          <w:sz w:val="24"/>
          <w:highlight w:val="none"/>
          <w:lang w:eastAsia="zh-CN"/>
        </w:rPr>
      </w:pPr>
      <w:bookmarkStart w:id="212" w:name="_Toc458504830"/>
      <w:bookmarkStart w:id="213" w:name="_Toc152042320"/>
      <w:bookmarkStart w:id="214" w:name="_Toc152045544"/>
      <w:bookmarkStart w:id="215" w:name="_Toc371415931"/>
      <w:bookmarkStart w:id="216" w:name="_Toc455587045"/>
      <w:bookmarkStart w:id="217" w:name="_Toc466024512"/>
      <w:bookmarkStart w:id="218" w:name="_Toc445554702"/>
      <w:bookmarkStart w:id="219" w:name="_Toc144974512"/>
      <w:bookmarkStart w:id="220" w:name="_Toc247513968"/>
      <w:bookmarkStart w:id="221" w:name="_Toc300834965"/>
      <w:bookmarkStart w:id="222" w:name="_Toc455587229"/>
      <w:bookmarkStart w:id="223" w:name="_Toc247527569"/>
      <w:r>
        <w:rPr>
          <w:rFonts w:hint="eastAsia" w:eastAsia="仿宋"/>
          <w:color w:val="auto"/>
          <w:sz w:val="24"/>
          <w:highlight w:val="none"/>
          <w:lang w:eastAsia="zh-CN"/>
        </w:rPr>
        <w:t>2.2 招标文件的澄清</w:t>
      </w:r>
      <w:bookmarkEnd w:id="212"/>
      <w:bookmarkEnd w:id="213"/>
      <w:bookmarkEnd w:id="214"/>
      <w:bookmarkEnd w:id="215"/>
      <w:bookmarkEnd w:id="216"/>
      <w:bookmarkEnd w:id="217"/>
      <w:bookmarkEnd w:id="218"/>
      <w:bookmarkEnd w:id="219"/>
      <w:bookmarkEnd w:id="220"/>
      <w:bookmarkEnd w:id="221"/>
      <w:bookmarkEnd w:id="222"/>
      <w:bookmarkEnd w:id="223"/>
    </w:p>
    <w:p w14:paraId="219FE822">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eastAsia="仿宋"/>
          <w:color w:val="auto"/>
          <w:sz w:val="24"/>
          <w:highlight w:val="none"/>
        </w:rPr>
        <w:t>投标人应仔细阅读和检查招标文件的全部内容。如发现缺页或附件不全，应及时向</w:t>
      </w:r>
      <w:r>
        <w:rPr>
          <w:rFonts w:hint="eastAsia" w:eastAsia="仿宋"/>
          <w:color w:val="auto"/>
          <w:sz w:val="24"/>
          <w:highlight w:val="none"/>
        </w:rPr>
        <w:t>采购</w:t>
      </w:r>
      <w:r>
        <w:rPr>
          <w:rFonts w:eastAsia="仿宋"/>
          <w:color w:val="auto"/>
          <w:sz w:val="24"/>
          <w:highlight w:val="none"/>
        </w:rPr>
        <w:t>人提出，以便补齐。</w:t>
      </w:r>
      <w:r>
        <w:rPr>
          <w:rFonts w:hint="eastAsia" w:eastAsia="仿宋"/>
          <w:color w:val="auto"/>
          <w:sz w:val="24"/>
          <w:highlight w:val="none"/>
        </w:rPr>
        <w:t>投标人对</w:t>
      </w:r>
      <w:r>
        <w:rPr>
          <w:rFonts w:eastAsia="仿宋"/>
          <w:color w:val="auto"/>
          <w:sz w:val="24"/>
          <w:highlight w:val="none"/>
        </w:rPr>
        <w:t>招标文件</w:t>
      </w:r>
      <w:r>
        <w:rPr>
          <w:rFonts w:hint="eastAsia" w:eastAsia="仿宋"/>
          <w:color w:val="auto"/>
          <w:sz w:val="24"/>
          <w:highlight w:val="none"/>
        </w:rPr>
        <w:t>有疑问的，可依法按本章第9.1款提出询问</w:t>
      </w:r>
      <w:r>
        <w:rPr>
          <w:rFonts w:eastAsia="仿宋"/>
          <w:color w:val="auto"/>
          <w:sz w:val="24"/>
          <w:highlight w:val="none"/>
        </w:rPr>
        <w:t>。</w:t>
      </w:r>
    </w:p>
    <w:p w14:paraId="2665727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日的，并且澄清内容可能影响投标文件编制，将相应顺延投标截止时间。</w:t>
      </w:r>
    </w:p>
    <w:p w14:paraId="08BA557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2.2</w:t>
      </w:r>
      <w:r>
        <w:rPr>
          <w:rFonts w:ascii="宋体" w:hAnsi="宋体" w:eastAsia="仿宋"/>
          <w:color w:val="auto"/>
          <w:sz w:val="24"/>
          <w:highlight w:val="none"/>
        </w:rPr>
        <w:t>.3</w:t>
      </w:r>
      <w:r>
        <w:rPr>
          <w:rFonts w:hint="eastAsia" w:ascii="宋体" w:hAnsi="宋体" w:eastAsia="仿宋"/>
          <w:color w:val="auto"/>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75BC7DCE">
      <w:pPr>
        <w:pStyle w:val="4"/>
        <w:adjustRightInd w:val="0"/>
        <w:ind w:firstLine="482" w:firstLineChars="200"/>
        <w:rPr>
          <w:rFonts w:eastAsia="仿宋"/>
          <w:color w:val="auto"/>
          <w:sz w:val="24"/>
          <w:highlight w:val="none"/>
          <w:lang w:eastAsia="zh-CN"/>
        </w:rPr>
      </w:pPr>
      <w:bookmarkStart w:id="224" w:name="_Toc247513969"/>
      <w:bookmarkStart w:id="225" w:name="_Toc445554703"/>
      <w:bookmarkStart w:id="226" w:name="_Toc466024513"/>
      <w:bookmarkStart w:id="227" w:name="_Toc458504831"/>
      <w:bookmarkStart w:id="228" w:name="_Toc300834966"/>
      <w:bookmarkStart w:id="229" w:name="_Toc152042321"/>
      <w:bookmarkStart w:id="230" w:name="_Toc152045545"/>
      <w:bookmarkStart w:id="231" w:name="_Toc371415932"/>
      <w:bookmarkStart w:id="232" w:name="_Toc455587230"/>
      <w:bookmarkStart w:id="233" w:name="_Toc455587046"/>
      <w:bookmarkStart w:id="234" w:name="_Toc144974513"/>
      <w:bookmarkStart w:id="235" w:name="_Toc247527570"/>
      <w:r>
        <w:rPr>
          <w:rFonts w:hint="eastAsia" w:eastAsia="仿宋"/>
          <w:color w:val="auto"/>
          <w:sz w:val="24"/>
          <w:highlight w:val="none"/>
          <w:lang w:eastAsia="zh-CN"/>
        </w:rPr>
        <w:t>2.3 招标文件的修改</w:t>
      </w:r>
      <w:bookmarkEnd w:id="224"/>
      <w:bookmarkEnd w:id="225"/>
      <w:bookmarkEnd w:id="226"/>
      <w:bookmarkEnd w:id="227"/>
      <w:bookmarkEnd w:id="228"/>
      <w:bookmarkEnd w:id="229"/>
      <w:bookmarkEnd w:id="230"/>
      <w:bookmarkEnd w:id="231"/>
      <w:bookmarkEnd w:id="232"/>
      <w:bookmarkEnd w:id="233"/>
      <w:bookmarkEnd w:id="234"/>
      <w:bookmarkEnd w:id="235"/>
    </w:p>
    <w:p w14:paraId="31F0F864">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.1</w:t>
      </w:r>
      <w:r>
        <w:rPr>
          <w:rFonts w:hint="eastAsia" w:ascii="宋体" w:hAnsi="宋体" w:eastAsia="仿宋"/>
          <w:color w:val="auto"/>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auto"/>
          <w:sz w:val="24"/>
          <w:highlight w:val="none"/>
        </w:rPr>
        <w:t>15</w:t>
      </w:r>
      <w:r>
        <w:rPr>
          <w:rFonts w:hint="eastAsia" w:ascii="宋体" w:hAnsi="宋体" w:eastAsia="仿宋"/>
          <w:color w:val="auto"/>
          <w:sz w:val="24"/>
          <w:highlight w:val="none"/>
        </w:rPr>
        <w:t>日的，且修改内容影响投标文件编制，将相应顺延投标截止时间。</w:t>
      </w:r>
    </w:p>
    <w:p w14:paraId="04B6B0E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2.3</w:t>
      </w:r>
      <w:r>
        <w:rPr>
          <w:rFonts w:ascii="宋体" w:hAnsi="宋体" w:eastAsia="仿宋"/>
          <w:color w:val="auto"/>
          <w:sz w:val="24"/>
          <w:highlight w:val="none"/>
        </w:rPr>
        <w:t>.2</w:t>
      </w:r>
      <w:r>
        <w:rPr>
          <w:rFonts w:hint="eastAsia" w:ascii="宋体" w:hAnsi="宋体" w:eastAsia="仿宋"/>
          <w:color w:val="auto"/>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52B501E3">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2.4 招标文件的质疑</w:t>
      </w:r>
    </w:p>
    <w:p w14:paraId="51CF8208">
      <w:pPr>
        <w:widowControl/>
        <w:adjustRightInd w:val="0"/>
        <w:snapToGrid w:val="0"/>
        <w:spacing w:line="360" w:lineRule="auto"/>
        <w:ind w:firstLine="480" w:firstLineChars="200"/>
        <w:rPr>
          <w:rFonts w:hint="eastAsia" w:ascii="宋体" w:hAnsi="宋体" w:eastAsia="仿宋"/>
          <w:color w:val="auto"/>
          <w:sz w:val="24"/>
          <w:highlight w:val="none"/>
        </w:rPr>
      </w:pPr>
      <w:bookmarkStart w:id="236" w:name="_Toc333600700"/>
      <w:bookmarkStart w:id="237" w:name="_Toc342297636"/>
      <w:bookmarkStart w:id="238" w:name="_Toc152042322"/>
      <w:bookmarkStart w:id="239" w:name="_Toc455587048"/>
      <w:bookmarkStart w:id="240" w:name="_Toc371415933"/>
      <w:bookmarkStart w:id="241" w:name="_Toc445554705"/>
      <w:bookmarkStart w:id="242" w:name="_Toc338943717"/>
      <w:bookmarkStart w:id="243" w:name="_Toc455587232"/>
      <w:bookmarkStart w:id="244" w:name="_Toc458504832"/>
      <w:bookmarkStart w:id="245" w:name="_Toc179632564"/>
      <w:bookmarkStart w:id="246" w:name="_Toc144974514"/>
      <w:bookmarkStart w:id="247" w:name="_Toc152045546"/>
      <w:bookmarkStart w:id="248" w:name="_Toc466024514"/>
      <w:bookmarkStart w:id="249" w:name="_Toc342294731"/>
      <w:bookmarkStart w:id="250" w:name="_Toc333599676"/>
      <w:bookmarkStart w:id="251" w:name="_Toc342296179"/>
      <w:bookmarkStart w:id="252" w:name="_Toc338944622"/>
      <w:r>
        <w:rPr>
          <w:rFonts w:hint="eastAsia" w:ascii="宋体" w:hAnsi="宋体" w:eastAsia="仿宋"/>
          <w:color w:val="auto"/>
          <w:sz w:val="24"/>
          <w:highlight w:val="none"/>
        </w:rPr>
        <w:t>2.4.1 投标人对招标文件的质疑须符合本章第9.2款规定。</w:t>
      </w:r>
    </w:p>
    <w:p w14:paraId="51B3438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2.4.2 采购人对质疑的答复构成对招标文件澄清或者修改的，采购人将按照本章第2.2款、第2.3款规定办理。</w:t>
      </w:r>
    </w:p>
    <w:p w14:paraId="3146783A">
      <w:pPr>
        <w:pStyle w:val="3"/>
        <w:rPr>
          <w:rStyle w:val="103"/>
          <w:rFonts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3. 投标文件</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6227A820">
      <w:pPr>
        <w:pStyle w:val="4"/>
        <w:adjustRightInd w:val="0"/>
        <w:ind w:firstLine="482" w:firstLineChars="200"/>
        <w:rPr>
          <w:rFonts w:eastAsia="仿宋"/>
          <w:color w:val="auto"/>
          <w:sz w:val="24"/>
          <w:highlight w:val="none"/>
          <w:lang w:eastAsia="zh-CN"/>
        </w:rPr>
      </w:pPr>
      <w:bookmarkStart w:id="253" w:name="_Toc338943718"/>
      <w:bookmarkStart w:id="254" w:name="_Toc179632565"/>
      <w:bookmarkStart w:id="255" w:name="_Toc338944623"/>
      <w:bookmarkStart w:id="256" w:name="_Toc455587233"/>
      <w:bookmarkStart w:id="257" w:name="_Toc152045547"/>
      <w:bookmarkStart w:id="258" w:name="_Toc455587049"/>
      <w:bookmarkStart w:id="259" w:name="_Toc445554706"/>
      <w:bookmarkStart w:id="260" w:name="_Toc458504833"/>
      <w:bookmarkStart w:id="261" w:name="_Toc333587871"/>
      <w:bookmarkStart w:id="262" w:name="_Toc371415934"/>
      <w:bookmarkStart w:id="263" w:name="_Toc144974515"/>
      <w:bookmarkStart w:id="264" w:name="_Toc342296180"/>
      <w:bookmarkStart w:id="265" w:name="_Toc333599677"/>
      <w:bookmarkStart w:id="266" w:name="_Toc342297637"/>
      <w:bookmarkStart w:id="267" w:name="_Toc152042323"/>
      <w:bookmarkStart w:id="268" w:name="_Toc466024515"/>
      <w:bookmarkStart w:id="269" w:name="_Toc333600701"/>
      <w:bookmarkStart w:id="270" w:name="_Toc342294732"/>
      <w:r>
        <w:rPr>
          <w:rFonts w:hint="eastAsia" w:eastAsia="仿宋"/>
          <w:color w:val="auto"/>
          <w:sz w:val="24"/>
          <w:highlight w:val="none"/>
          <w:lang w:eastAsia="zh-CN"/>
        </w:rPr>
        <w:t>3.1 投标文件的组成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886B16E">
      <w:pPr>
        <w:widowControl/>
        <w:adjustRightInd w:val="0"/>
        <w:snapToGrid w:val="0"/>
        <w:spacing w:line="360" w:lineRule="auto"/>
        <w:ind w:firstLine="480" w:firstLineChars="200"/>
        <w:rPr>
          <w:rFonts w:hint="eastAsia" w:ascii="宋体" w:hAnsi="宋体" w:eastAsia="仿宋"/>
          <w:color w:val="auto"/>
          <w:sz w:val="24"/>
          <w:highlight w:val="none"/>
        </w:rPr>
      </w:pPr>
      <w:bookmarkStart w:id="271" w:name="_Toc152045548"/>
      <w:bookmarkStart w:id="272" w:name="_Toc333587872"/>
      <w:bookmarkStart w:id="273" w:name="_Toc342297638"/>
      <w:bookmarkStart w:id="274" w:name="_Toc144974516"/>
      <w:bookmarkStart w:id="275" w:name="_Toc342296181"/>
      <w:bookmarkStart w:id="276" w:name="_Toc338943719"/>
      <w:bookmarkStart w:id="277" w:name="_Toc152042324"/>
      <w:bookmarkStart w:id="278" w:name="_Toc338944624"/>
      <w:bookmarkStart w:id="279" w:name="_Toc333599678"/>
      <w:bookmarkStart w:id="280" w:name="_Toc342294733"/>
      <w:bookmarkStart w:id="281" w:name="_Toc179632566"/>
      <w:bookmarkStart w:id="282" w:name="_Toc333600702"/>
      <w:r>
        <w:rPr>
          <w:rFonts w:hint="eastAsia" w:ascii="宋体" w:hAnsi="宋体" w:eastAsia="仿宋"/>
          <w:color w:val="auto"/>
          <w:sz w:val="24"/>
          <w:highlight w:val="none"/>
        </w:rPr>
        <w:t>3.1</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投标文件应包括下列内容：</w:t>
      </w:r>
    </w:p>
    <w:p w14:paraId="0838444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（1）投标函；</w:t>
      </w:r>
    </w:p>
    <w:p w14:paraId="768B36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（2）开标一览表；</w:t>
      </w:r>
    </w:p>
    <w:p w14:paraId="0B2F00E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（3）分项报价表；</w:t>
      </w:r>
    </w:p>
    <w:p w14:paraId="375513B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（4）投标人综合情况简介；</w:t>
      </w:r>
    </w:p>
    <w:p w14:paraId="3498829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（5）中小企业声明函（货物）；</w:t>
      </w:r>
    </w:p>
    <w:p w14:paraId="610E15C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（6）法定代表人（单位负责人）身份证明或授权委托书；</w:t>
      </w:r>
    </w:p>
    <w:p w14:paraId="199023E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（7）联合体协议书（如有）；</w:t>
      </w:r>
    </w:p>
    <w:p w14:paraId="7A01E40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（8）分包意向协议书（如有）；</w:t>
      </w:r>
    </w:p>
    <w:p w14:paraId="23FB6F9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（9）资格审查材料；</w:t>
      </w:r>
    </w:p>
    <w:p w14:paraId="2DE3F02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（10）符合性审查与详细评审材料；</w:t>
      </w:r>
    </w:p>
    <w:p w14:paraId="23E339C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（11）主要标的承诺函；</w:t>
      </w:r>
    </w:p>
    <w:p w14:paraId="62013FE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（12）投标人认为应该提供的其他材料。</w:t>
      </w:r>
    </w:p>
    <w:p w14:paraId="4549DD5D">
      <w:pPr>
        <w:widowControl/>
        <w:adjustRightInd w:val="0"/>
        <w:snapToGrid w:val="0"/>
        <w:spacing w:line="360" w:lineRule="auto"/>
        <w:ind w:firstLine="480" w:firstLineChars="200"/>
        <w:rPr>
          <w:rFonts w:eastAsia="仿宋"/>
          <w:color w:val="auto"/>
          <w:sz w:val="24"/>
          <w:highlight w:val="none"/>
        </w:rPr>
      </w:pPr>
      <w:r>
        <w:rPr>
          <w:rFonts w:eastAsia="仿宋"/>
          <w:color w:val="auto"/>
          <w:sz w:val="24"/>
          <w:highlight w:val="none"/>
        </w:rPr>
        <w:t>投标人在评标过程中作出的符合法律法规和招标文件规定的澄清确认，构成投标文件的组成部分。</w:t>
      </w:r>
    </w:p>
    <w:p w14:paraId="66DCFEC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3.1.2 投标人须知前附表规定不接受联合体投标的，或投标人没有组成联合体的，投标文件不包括本章第3.1.1（7）目所指的联合体协议书。</w:t>
      </w:r>
    </w:p>
    <w:p w14:paraId="275DC9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3.1.3 投标人须知前附表规定不接受分包的，或投标人没有分包的，投标文件不包括本章第3.1.1（8）目所指的分包意向协议书。</w:t>
      </w:r>
    </w:p>
    <w:p w14:paraId="6FD411EC">
      <w:pPr>
        <w:adjustRightInd w:val="0"/>
        <w:spacing w:line="360" w:lineRule="auto"/>
        <w:ind w:firstLine="480" w:firstLineChars="200"/>
        <w:rPr>
          <w:rFonts w:hint="eastAsia" w:ascii="宋体" w:hAnsi="宋体" w:eastAsia="仿宋"/>
          <w:color w:val="auto"/>
          <w:sz w:val="24"/>
          <w:highlight w:val="none"/>
        </w:rPr>
      </w:pPr>
      <w:bookmarkStart w:id="283" w:name="_Toc466024516"/>
      <w:bookmarkStart w:id="284" w:name="_Toc445554707"/>
      <w:bookmarkStart w:id="285" w:name="_Toc458504834"/>
      <w:bookmarkStart w:id="286" w:name="_Toc455587050"/>
      <w:bookmarkStart w:id="287" w:name="_Toc455587234"/>
      <w:r>
        <w:rPr>
          <w:rFonts w:hint="eastAsia" w:ascii="宋体" w:hAnsi="宋体" w:eastAsia="仿宋"/>
          <w:color w:val="auto"/>
          <w:sz w:val="24"/>
          <w:highlight w:val="none"/>
        </w:rPr>
        <w:t>3.1.4 投标人须知前附表规定要求递交投标货物样品的，投标人应按照投标人须知前附表的规定提供投标货物样品。</w:t>
      </w:r>
    </w:p>
    <w:p w14:paraId="36629163">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3.2 投标报价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Start w:id="288" w:name="_Toc370199958"/>
    </w:p>
    <w:p w14:paraId="02D6340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w:t>
      </w:r>
      <w:r>
        <w:rPr>
          <w:rFonts w:ascii="宋体" w:hAnsi="宋体" w:eastAsia="仿宋"/>
          <w:color w:val="auto"/>
          <w:sz w:val="24"/>
          <w:highlight w:val="none"/>
        </w:rPr>
        <w:t>.1</w:t>
      </w:r>
      <w:r>
        <w:rPr>
          <w:rFonts w:hint="eastAsia" w:ascii="宋体" w:hAnsi="宋体" w:eastAsia="仿宋"/>
          <w:color w:val="auto"/>
          <w:sz w:val="24"/>
          <w:highlight w:val="none"/>
        </w:rPr>
        <w:t xml:space="preserve"> 投标报价应当包括的内容见投标人须知前附表规定。投标人应当按招标文件规定进行投标报价，并按给定格式填写投标报价表格。</w:t>
      </w:r>
      <w:bookmarkEnd w:id="288"/>
      <w:bookmarkStart w:id="289" w:name="_Toc370199959"/>
    </w:p>
    <w:p w14:paraId="12EC3BE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3.2.2 </w:t>
      </w:r>
      <w:r>
        <w:rPr>
          <w:rFonts w:ascii="宋体" w:hAnsi="宋体" w:eastAsia="仿宋"/>
          <w:color w:val="auto"/>
          <w:sz w:val="24"/>
          <w:highlight w:val="none"/>
        </w:rPr>
        <w:t>投标人应充分了解该项目的总体情况以及影响报价的其他要素。</w:t>
      </w:r>
    </w:p>
    <w:p w14:paraId="74D81A8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63034F2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3.2.4 投标报价的其他要求见投标人须知前附表。</w:t>
      </w:r>
    </w:p>
    <w:bookmarkEnd w:id="289"/>
    <w:p w14:paraId="5163FB02">
      <w:pPr>
        <w:pStyle w:val="4"/>
        <w:adjustRightInd w:val="0"/>
        <w:ind w:firstLine="482" w:firstLineChars="200"/>
        <w:rPr>
          <w:rFonts w:eastAsia="仿宋"/>
          <w:color w:val="auto"/>
          <w:sz w:val="24"/>
          <w:highlight w:val="none"/>
          <w:lang w:eastAsia="zh-CN"/>
        </w:rPr>
      </w:pPr>
      <w:bookmarkStart w:id="290" w:name="_Toc152042325"/>
      <w:bookmarkStart w:id="291" w:name="_Toc152045549"/>
      <w:bookmarkStart w:id="292" w:name="_Toc342297639"/>
      <w:bookmarkStart w:id="293" w:name="_Toc333600703"/>
      <w:bookmarkStart w:id="294" w:name="_Toc179632567"/>
      <w:bookmarkStart w:id="295" w:name="_Toc455587235"/>
      <w:bookmarkStart w:id="296" w:name="_Toc333599679"/>
      <w:bookmarkStart w:id="297" w:name="_Toc333587873"/>
      <w:bookmarkStart w:id="298" w:name="_Toc144974517"/>
      <w:bookmarkStart w:id="299" w:name="_Toc338943720"/>
      <w:bookmarkStart w:id="300" w:name="_Toc342294734"/>
      <w:bookmarkStart w:id="301" w:name="_Toc466024517"/>
      <w:bookmarkStart w:id="302" w:name="_Toc458504835"/>
      <w:bookmarkStart w:id="303" w:name="_Toc342296182"/>
      <w:bookmarkStart w:id="304" w:name="_Toc371415937"/>
      <w:bookmarkStart w:id="305" w:name="_Toc445554708"/>
      <w:bookmarkStart w:id="306" w:name="_Toc338944625"/>
      <w:bookmarkStart w:id="307" w:name="_Toc455587051"/>
      <w:r>
        <w:rPr>
          <w:rFonts w:hint="eastAsia" w:eastAsia="仿宋"/>
          <w:color w:val="auto"/>
          <w:sz w:val="24"/>
          <w:highlight w:val="none"/>
          <w:lang w:eastAsia="zh-CN"/>
        </w:rPr>
        <w:t>3.3 投标有效期</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11C2520A">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.1</w:t>
      </w:r>
      <w:r>
        <w:rPr>
          <w:rFonts w:hint="eastAsia" w:ascii="宋体" w:hAnsi="宋体" w:eastAsia="仿宋"/>
          <w:color w:val="auto"/>
          <w:sz w:val="24"/>
          <w:highlight w:val="none"/>
        </w:rPr>
        <w:t xml:space="preserve"> 在投标人须知前附表规定的投标有效期内，投标文件保持有效，投标人不得要求撤销或修改其投标文件，否则应承担招标文件和法律法规规定的责任。</w:t>
      </w:r>
    </w:p>
    <w:p w14:paraId="5C75BD9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3.3</w:t>
      </w:r>
      <w:r>
        <w:rPr>
          <w:rFonts w:ascii="宋体" w:hAnsi="宋体" w:eastAsia="仿宋"/>
          <w:color w:val="auto"/>
          <w:sz w:val="24"/>
          <w:highlight w:val="none"/>
        </w:rPr>
        <w:t>.2</w:t>
      </w:r>
      <w:r>
        <w:rPr>
          <w:rFonts w:hint="eastAsia" w:ascii="宋体" w:hAnsi="宋体" w:eastAsia="仿宋"/>
          <w:color w:val="auto"/>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auto"/>
          <w:sz w:val="24"/>
          <w:highlight w:val="none"/>
        </w:rPr>
        <w:t xml:space="preserve"> </w:t>
      </w:r>
    </w:p>
    <w:p w14:paraId="1ADE4CB8">
      <w:pPr>
        <w:pStyle w:val="4"/>
        <w:adjustRightInd w:val="0"/>
        <w:ind w:firstLine="482" w:firstLineChars="200"/>
        <w:rPr>
          <w:rFonts w:eastAsia="仿宋"/>
          <w:color w:val="auto"/>
          <w:sz w:val="24"/>
          <w:highlight w:val="none"/>
          <w:lang w:eastAsia="zh-CN"/>
        </w:rPr>
      </w:pPr>
      <w:bookmarkStart w:id="308" w:name="_Toc342296183"/>
      <w:bookmarkStart w:id="309" w:name="_Toc152045550"/>
      <w:bookmarkStart w:id="310" w:name="_Toc144974518"/>
      <w:bookmarkStart w:id="311" w:name="_Toc333600704"/>
      <w:bookmarkStart w:id="312" w:name="_Toc445554709"/>
      <w:bookmarkStart w:id="313" w:name="_Toc455587052"/>
      <w:bookmarkStart w:id="314" w:name="_Toc455587236"/>
      <w:bookmarkStart w:id="315" w:name="_Toc371415938"/>
      <w:bookmarkStart w:id="316" w:name="_Toc458504836"/>
      <w:bookmarkStart w:id="317" w:name="_Toc338944626"/>
      <w:bookmarkStart w:id="318" w:name="_Toc333587874"/>
      <w:bookmarkStart w:id="319" w:name="_Toc342297640"/>
      <w:bookmarkStart w:id="320" w:name="_Toc179632568"/>
      <w:bookmarkStart w:id="321" w:name="_Toc466024518"/>
      <w:bookmarkStart w:id="322" w:name="_Toc333599680"/>
      <w:bookmarkStart w:id="323" w:name="_Toc338943721"/>
      <w:bookmarkStart w:id="324" w:name="_Toc342294735"/>
      <w:bookmarkStart w:id="325" w:name="_Toc152042326"/>
      <w:r>
        <w:rPr>
          <w:rFonts w:hint="eastAsia" w:eastAsia="仿宋"/>
          <w:color w:val="auto"/>
          <w:sz w:val="24"/>
          <w:highlight w:val="none"/>
          <w:lang w:eastAsia="zh-CN"/>
        </w:rPr>
        <w:t>3.4 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5EEE594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对投标保证金的要求见投标人须知前附表。</w:t>
      </w:r>
    </w:p>
    <w:p w14:paraId="74EE9A89">
      <w:pPr>
        <w:pStyle w:val="4"/>
        <w:adjustRightInd w:val="0"/>
        <w:ind w:firstLine="482" w:firstLineChars="200"/>
        <w:rPr>
          <w:rFonts w:eastAsia="仿宋"/>
          <w:color w:val="auto"/>
          <w:sz w:val="24"/>
          <w:highlight w:val="none"/>
          <w:lang w:eastAsia="zh-CN"/>
        </w:rPr>
      </w:pPr>
      <w:bookmarkStart w:id="326" w:name="_Toc455587053"/>
      <w:bookmarkStart w:id="327" w:name="_Toc342294736"/>
      <w:bookmarkStart w:id="328" w:name="_Toc144974519"/>
      <w:bookmarkStart w:id="329" w:name="_Toc338944627"/>
      <w:bookmarkStart w:id="330" w:name="_Toc152045551"/>
      <w:bookmarkStart w:id="331" w:name="_Toc455587237"/>
      <w:bookmarkStart w:id="332" w:name="_Toc179632569"/>
      <w:bookmarkStart w:id="333" w:name="_Toc338943722"/>
      <w:bookmarkStart w:id="334" w:name="_Toc333600705"/>
      <w:bookmarkStart w:id="335" w:name="_Toc152042327"/>
      <w:bookmarkStart w:id="336" w:name="_Toc371415939"/>
      <w:bookmarkStart w:id="337" w:name="_Toc458504837"/>
      <w:bookmarkStart w:id="338" w:name="_Toc333587875"/>
      <w:bookmarkStart w:id="339" w:name="_Toc342296184"/>
      <w:bookmarkStart w:id="340" w:name="_Toc445554710"/>
      <w:bookmarkStart w:id="341" w:name="_Toc342297641"/>
      <w:bookmarkStart w:id="342" w:name="_Toc466024519"/>
      <w:bookmarkStart w:id="343" w:name="_Toc333599681"/>
      <w:r>
        <w:rPr>
          <w:rFonts w:hint="eastAsia" w:eastAsia="仿宋"/>
          <w:color w:val="auto"/>
          <w:sz w:val="24"/>
          <w:highlight w:val="none"/>
          <w:lang w:eastAsia="zh-CN"/>
        </w:rPr>
        <w:t>3.5 资格审查资料（适用于已进行资格预审的）</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3FDC2E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47F5E2A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投标人是代理商或经销商的，通过资格预审后如确定了拟投标货物（服务）的制造商（提供商）的，投标时不得更换，否则其投标将按无效处理。</w:t>
      </w:r>
    </w:p>
    <w:p w14:paraId="3A3DC37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如本招标文件“评标办法”中涉及对相关投标人资格进行评审的，投标人应在投标文件相应的“资格审查资料”中提供证明文件。</w:t>
      </w:r>
    </w:p>
    <w:p w14:paraId="07934AA5">
      <w:pPr>
        <w:pStyle w:val="4"/>
        <w:adjustRightInd w:val="0"/>
        <w:ind w:firstLine="482" w:firstLineChars="200"/>
        <w:rPr>
          <w:rFonts w:hint="eastAsia" w:eastAsia="仿宋"/>
          <w:color w:val="auto"/>
          <w:sz w:val="24"/>
          <w:highlight w:val="none"/>
          <w:lang w:eastAsia="zh-CN"/>
        </w:rPr>
      </w:pPr>
      <w:bookmarkStart w:id="344" w:name="_Toc455587238"/>
      <w:bookmarkStart w:id="345" w:name="_Toc466024520"/>
      <w:bookmarkStart w:id="346" w:name="_Toc333587876"/>
      <w:bookmarkStart w:id="347" w:name="_Toc342294737"/>
      <w:bookmarkStart w:id="348" w:name="_Toc338943723"/>
      <w:bookmarkStart w:id="349" w:name="_Toc333599682"/>
      <w:bookmarkStart w:id="350" w:name="_Toc342297642"/>
      <w:bookmarkStart w:id="351" w:name="_Toc152042328"/>
      <w:bookmarkStart w:id="352" w:name="_Toc458504838"/>
      <w:bookmarkStart w:id="353" w:name="_Toc144974520"/>
      <w:bookmarkStart w:id="354" w:name="_Toc342296185"/>
      <w:bookmarkStart w:id="355" w:name="_Toc338944628"/>
      <w:bookmarkStart w:id="356" w:name="_Toc455587054"/>
      <w:bookmarkStart w:id="357" w:name="_Toc445554711"/>
      <w:bookmarkStart w:id="358" w:name="_Toc371415940"/>
      <w:bookmarkStart w:id="359" w:name="_Toc179632570"/>
      <w:bookmarkStart w:id="360" w:name="_Toc333600706"/>
      <w:bookmarkStart w:id="361" w:name="_Toc152045552"/>
      <w:r>
        <w:rPr>
          <w:rFonts w:hint="eastAsia" w:eastAsia="仿宋"/>
          <w:color w:val="auto"/>
          <w:sz w:val="24"/>
          <w:highlight w:val="none"/>
          <w:lang w:eastAsia="zh-CN"/>
        </w:rPr>
        <w:t>3.5 资格审查资料（适用于未进行资格预审的）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0D8F306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3.5.1 资格审查办法见第四章第一节 资格审查。</w:t>
      </w:r>
    </w:p>
    <w:p w14:paraId="7549BC8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3.5.2 “资格审查材料”应按规定格式填写，并提供符合要求的相关证明材料的扫描件或电子证照。</w:t>
      </w:r>
    </w:p>
    <w:p w14:paraId="5DF4B8FF">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3.5.3 投标人须知前附表规定接受联合体投标的，本章第3.5.1项至第3.5.2项规定的表格和资料包括联合体各方成员相关情况。</w:t>
      </w:r>
    </w:p>
    <w:p w14:paraId="70D51B48">
      <w:pPr>
        <w:pStyle w:val="4"/>
        <w:adjustRightInd w:val="0"/>
        <w:ind w:firstLine="482" w:firstLineChars="200"/>
        <w:rPr>
          <w:rFonts w:eastAsia="仿宋"/>
          <w:color w:val="auto"/>
          <w:sz w:val="24"/>
          <w:highlight w:val="none"/>
          <w:lang w:eastAsia="zh-CN"/>
        </w:rPr>
      </w:pPr>
      <w:bookmarkStart w:id="362" w:name="_Toc342297643"/>
      <w:bookmarkStart w:id="363" w:name="_Toc333600707"/>
      <w:bookmarkStart w:id="364" w:name="_Toc333587877"/>
      <w:bookmarkStart w:id="365" w:name="_Toc338944629"/>
      <w:bookmarkStart w:id="366" w:name="_Toc466024522"/>
      <w:bookmarkStart w:id="367" w:name="_Toc152042329"/>
      <w:bookmarkStart w:id="368" w:name="_Toc458504840"/>
      <w:bookmarkStart w:id="369" w:name="_Toc144974521"/>
      <w:bookmarkStart w:id="370" w:name="_Toc371415941"/>
      <w:bookmarkStart w:id="371" w:name="_Toc455587056"/>
      <w:bookmarkStart w:id="372" w:name="_Toc342296186"/>
      <w:bookmarkStart w:id="373" w:name="_Toc152045553"/>
      <w:bookmarkStart w:id="374" w:name="_Toc455587240"/>
      <w:bookmarkStart w:id="375" w:name="_Toc342294738"/>
      <w:bookmarkStart w:id="376" w:name="_Toc338943724"/>
      <w:bookmarkStart w:id="377" w:name="_Toc333599683"/>
      <w:bookmarkStart w:id="378" w:name="_Toc445554713"/>
      <w:bookmarkStart w:id="379" w:name="_Toc179632571"/>
      <w:r>
        <w:rPr>
          <w:rFonts w:hint="eastAsia" w:eastAsia="仿宋"/>
          <w:color w:val="auto"/>
          <w:sz w:val="24"/>
          <w:highlight w:val="none"/>
          <w:lang w:eastAsia="zh-CN"/>
        </w:rPr>
        <w:t>3.6 备选投标方案</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1A35B64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3.6.1 除投标人须知前附表另有规定外，投标人不得递交备选投标方案，</w:t>
      </w:r>
      <w:r>
        <w:rPr>
          <w:rFonts w:eastAsia="仿宋"/>
          <w:color w:val="auto"/>
          <w:sz w:val="24"/>
          <w:highlight w:val="none"/>
        </w:rPr>
        <w:t>否则其投标将</w:t>
      </w:r>
      <w:r>
        <w:rPr>
          <w:rFonts w:hint="eastAsia" w:eastAsia="仿宋"/>
          <w:color w:val="auto"/>
          <w:sz w:val="24"/>
          <w:highlight w:val="none"/>
        </w:rPr>
        <w:t>按无效处理</w:t>
      </w:r>
      <w:r>
        <w:rPr>
          <w:rFonts w:hint="eastAsia" w:ascii="宋体" w:hAnsi="宋体" w:eastAsia="仿宋"/>
          <w:color w:val="auto"/>
          <w:sz w:val="24"/>
          <w:highlight w:val="none"/>
        </w:rPr>
        <w:t>。</w:t>
      </w:r>
    </w:p>
    <w:p w14:paraId="038D135B">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3.6.2 </w:t>
      </w:r>
      <w:r>
        <w:rPr>
          <w:rFonts w:eastAsia="仿宋"/>
          <w:color w:val="auto"/>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auto"/>
          <w:sz w:val="24"/>
          <w:highlight w:val="none"/>
        </w:rPr>
        <w:t>采购</w:t>
      </w:r>
      <w:r>
        <w:rPr>
          <w:rFonts w:eastAsia="仿宋"/>
          <w:color w:val="auto"/>
          <w:sz w:val="24"/>
          <w:highlight w:val="none"/>
        </w:rPr>
        <w:t>人可以接受该备选投标方案。</w:t>
      </w:r>
    </w:p>
    <w:p w14:paraId="138059A0">
      <w:pPr>
        <w:widowControl/>
        <w:adjustRightInd w:val="0"/>
        <w:snapToGrid w:val="0"/>
        <w:spacing w:line="360" w:lineRule="auto"/>
        <w:ind w:firstLine="480" w:firstLineChars="200"/>
        <w:rPr>
          <w:rFonts w:eastAsia="仿宋"/>
          <w:color w:val="auto"/>
          <w:sz w:val="24"/>
          <w:highlight w:val="none"/>
        </w:rPr>
      </w:pPr>
      <w:r>
        <w:rPr>
          <w:rFonts w:ascii="宋体" w:hAnsi="宋体" w:eastAsia="仿宋"/>
          <w:color w:val="auto"/>
          <w:sz w:val="24"/>
          <w:highlight w:val="none"/>
        </w:rPr>
        <w:t>3.6.3 投标人提供两个或两个以上投标报价，或者在投标文件中提供一个报价，但同时提供两个或两</w:t>
      </w:r>
      <w:r>
        <w:rPr>
          <w:rFonts w:eastAsia="仿宋"/>
          <w:color w:val="auto"/>
          <w:sz w:val="24"/>
          <w:highlight w:val="none"/>
        </w:rPr>
        <w:t>个以上</w:t>
      </w:r>
      <w:bookmarkStart w:id="380" w:name="_Toc300834971"/>
      <w:bookmarkStart w:id="381" w:name="_Toc29902"/>
      <w:bookmarkStart w:id="382" w:name="_Toc352691495"/>
      <w:bookmarkStart w:id="383" w:name="_Toc247513974"/>
      <w:bookmarkStart w:id="384" w:name="_Toc369531538"/>
      <w:bookmarkStart w:id="385" w:name="_Toc384308232"/>
      <w:bookmarkStart w:id="386" w:name="_Toc247527575"/>
      <w:bookmarkStart w:id="387" w:name="_Toc361508607"/>
      <w:r>
        <w:rPr>
          <w:rFonts w:hint="eastAsia" w:eastAsia="仿宋"/>
          <w:color w:val="auto"/>
          <w:sz w:val="24"/>
          <w:highlight w:val="none"/>
        </w:rPr>
        <w:t>供货方案</w:t>
      </w:r>
      <w:r>
        <w:rPr>
          <w:rFonts w:eastAsia="仿宋"/>
          <w:color w:val="auto"/>
          <w:sz w:val="24"/>
          <w:highlight w:val="none"/>
        </w:rPr>
        <w:t>的</w:t>
      </w:r>
      <w:bookmarkEnd w:id="380"/>
      <w:bookmarkEnd w:id="381"/>
      <w:bookmarkEnd w:id="382"/>
      <w:bookmarkEnd w:id="383"/>
      <w:bookmarkEnd w:id="384"/>
      <w:bookmarkEnd w:id="385"/>
      <w:bookmarkEnd w:id="386"/>
      <w:bookmarkEnd w:id="387"/>
      <w:r>
        <w:rPr>
          <w:rFonts w:eastAsia="仿宋"/>
          <w:color w:val="auto"/>
          <w:sz w:val="24"/>
          <w:highlight w:val="none"/>
        </w:rPr>
        <w:t>，视为提供备选方案。</w:t>
      </w:r>
    </w:p>
    <w:p w14:paraId="34E91F29">
      <w:pPr>
        <w:pStyle w:val="4"/>
        <w:adjustRightInd w:val="0"/>
        <w:ind w:firstLine="482" w:firstLineChars="200"/>
        <w:rPr>
          <w:rFonts w:eastAsia="仿宋"/>
          <w:color w:val="auto"/>
          <w:sz w:val="24"/>
          <w:highlight w:val="none"/>
          <w:lang w:eastAsia="zh-CN"/>
        </w:rPr>
      </w:pPr>
      <w:bookmarkStart w:id="388" w:name="_Toc455587057"/>
      <w:bookmarkStart w:id="389" w:name="_Toc466024523"/>
      <w:bookmarkStart w:id="390" w:name="_Toc458504841"/>
      <w:bookmarkStart w:id="391" w:name="_Toc445554714"/>
      <w:bookmarkStart w:id="392" w:name="_Toc371415942"/>
      <w:bookmarkStart w:id="393" w:name="_Toc455587241"/>
      <w:r>
        <w:rPr>
          <w:rFonts w:hint="eastAsia" w:eastAsia="仿宋"/>
          <w:color w:val="auto"/>
          <w:sz w:val="24"/>
          <w:highlight w:val="none"/>
          <w:lang w:eastAsia="zh-CN"/>
        </w:rPr>
        <w:t>3.7 投标文件的编制</w:t>
      </w:r>
      <w:bookmarkEnd w:id="388"/>
      <w:bookmarkEnd w:id="389"/>
      <w:bookmarkEnd w:id="390"/>
      <w:bookmarkEnd w:id="391"/>
      <w:bookmarkEnd w:id="392"/>
      <w:bookmarkEnd w:id="393"/>
    </w:p>
    <w:p w14:paraId="1D4EFCC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.1</w:t>
      </w:r>
      <w:r>
        <w:rPr>
          <w:rFonts w:hint="eastAsia" w:ascii="宋体" w:hAnsi="宋体" w:eastAsia="仿宋"/>
          <w:color w:val="auto"/>
          <w:sz w:val="24"/>
          <w:highlight w:val="none"/>
        </w:rPr>
        <w:t xml:space="preserve"> 投标文件应按</w:t>
      </w:r>
      <w:r>
        <w:rPr>
          <w:rFonts w:hint="eastAsia" w:eastAsia="仿宋"/>
          <w:color w:val="auto"/>
          <w:sz w:val="24"/>
          <w:highlight w:val="none"/>
        </w:rPr>
        <w:t>招标文件</w:t>
      </w:r>
      <w:r>
        <w:rPr>
          <w:rFonts w:hint="eastAsia" w:ascii="宋体" w:hAnsi="宋体" w:eastAsia="仿宋"/>
          <w:color w:val="auto"/>
          <w:sz w:val="24"/>
          <w:highlight w:val="none"/>
        </w:rPr>
        <w:t>规定格式进行编写，如有必要，可以增加附页、扩展表格，作为投标文件的组成部分。</w:t>
      </w:r>
    </w:p>
    <w:p w14:paraId="4D34BE9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w:t>
      </w:r>
      <w:r>
        <w:rPr>
          <w:rFonts w:ascii="宋体" w:hAnsi="宋体" w:eastAsia="仿宋"/>
          <w:color w:val="auto"/>
          <w:sz w:val="24"/>
          <w:highlight w:val="none"/>
        </w:rPr>
        <w:t>.2</w:t>
      </w:r>
      <w:r>
        <w:rPr>
          <w:rFonts w:hint="eastAsia" w:ascii="宋体" w:hAnsi="宋体" w:eastAsia="仿宋"/>
          <w:color w:val="auto"/>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auto"/>
          <w:sz w:val="24"/>
          <w:highlight w:val="none"/>
        </w:rPr>
        <w:t>内容</w:t>
      </w:r>
      <w:r>
        <w:rPr>
          <w:rFonts w:hint="eastAsia" w:ascii="宋体" w:hAnsi="宋体" w:eastAsia="仿宋"/>
          <w:color w:val="auto"/>
          <w:sz w:val="24"/>
          <w:highlight w:val="none"/>
        </w:rPr>
        <w:t>作出响应。投标文件在满足招标文件实质性要求的基础上，可以提出比招标文件要求更有利于采购人的承诺。</w:t>
      </w:r>
    </w:p>
    <w:p w14:paraId="40006F6D">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3.7.3 投标人必须对其提交的资料的真实性负责，并接受采购人对其中任何资料进一步审查的要求。</w:t>
      </w:r>
    </w:p>
    <w:p w14:paraId="6CD10EE1">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4 投标文件的制作应满足以下规定：</w:t>
      </w:r>
    </w:p>
    <w:p w14:paraId="18487BC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）投标文件由投标人使用</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自带的</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制作生成，详见投标人须知前附表规定。</w:t>
      </w:r>
    </w:p>
    <w:p w14:paraId="37DC610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）投标人在编制投标文件时应建立分级目录，并按照标签提示导入相关内容。</w:t>
      </w:r>
    </w:p>
    <w:p w14:paraId="28F9C64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（3）除投标人须知前附表另有规定外，</w:t>
      </w:r>
      <w:r>
        <w:rPr>
          <w:rFonts w:ascii="宋体" w:hAnsi="宋体" w:eastAsia="仿宋"/>
          <w:color w:val="auto"/>
          <w:sz w:val="24"/>
          <w:highlight w:val="none"/>
        </w:rPr>
        <w:t>投标文件</w:t>
      </w:r>
      <w:r>
        <w:rPr>
          <w:rFonts w:hint="eastAsia" w:ascii="宋体" w:hAnsi="宋体" w:eastAsia="仿宋"/>
          <w:color w:val="auto"/>
          <w:sz w:val="24"/>
          <w:highlight w:val="none"/>
        </w:rPr>
        <w:t>中证明资料的</w:t>
      </w:r>
      <w:r>
        <w:rPr>
          <w:rFonts w:ascii="宋体" w:hAnsi="宋体" w:eastAsia="仿宋"/>
          <w:color w:val="auto"/>
          <w:sz w:val="24"/>
          <w:highlight w:val="none"/>
        </w:rPr>
        <w:t>“</w:t>
      </w:r>
      <w:r>
        <w:rPr>
          <w:rFonts w:hint="eastAsia" w:ascii="宋体" w:hAnsi="宋体" w:eastAsia="仿宋"/>
          <w:color w:val="auto"/>
          <w:sz w:val="24"/>
          <w:highlight w:val="none"/>
        </w:rPr>
        <w:t>复印件</w:t>
      </w:r>
      <w:r>
        <w:rPr>
          <w:rFonts w:ascii="宋体" w:hAnsi="宋体" w:eastAsia="仿宋"/>
          <w:color w:val="auto"/>
          <w:sz w:val="24"/>
          <w:highlight w:val="none"/>
        </w:rPr>
        <w:t>”均为原件扫描件。</w:t>
      </w:r>
    </w:p>
    <w:p w14:paraId="5274621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投标文件格式</w:t>
      </w:r>
      <w:r>
        <w:rPr>
          <w:rFonts w:ascii="宋体" w:hAnsi="宋体" w:eastAsia="仿宋"/>
          <w:color w:val="auto"/>
          <w:sz w:val="24"/>
          <w:highlight w:val="none"/>
        </w:rPr>
        <w:t>”</w:t>
      </w:r>
      <w:r>
        <w:rPr>
          <w:rFonts w:hint="eastAsia" w:ascii="宋体" w:hAnsi="宋体" w:eastAsia="仿宋"/>
          <w:color w:val="auto"/>
          <w:sz w:val="24"/>
          <w:highlight w:val="none"/>
        </w:rPr>
        <w:t>中要求盖单位章和（或）签字的地方，投标人均应使用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356C71C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（5）投标文件制作完成后，投标人应使用</w:t>
      </w:r>
      <w:r>
        <w:rPr>
          <w:rFonts w:ascii="宋体" w:hAnsi="宋体" w:eastAsia="仿宋"/>
          <w:color w:val="auto"/>
          <w:sz w:val="24"/>
          <w:highlight w:val="none"/>
        </w:rPr>
        <w:t xml:space="preserve">CA </w:t>
      </w:r>
      <w:r>
        <w:rPr>
          <w:rFonts w:hint="eastAsia" w:ascii="宋体" w:hAnsi="宋体" w:eastAsia="仿宋"/>
          <w:color w:val="auto"/>
          <w:sz w:val="24"/>
          <w:highlight w:val="none"/>
        </w:rPr>
        <w:t>数字证书对投标文件进行文件加密，形成加密的投标文件、非加密的投标文件，非加密的投标文件提交形式见投标人须知前附表规定。</w:t>
      </w:r>
    </w:p>
    <w:p w14:paraId="0130B3B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（6）投标文件制作的具体方法详见</w:t>
      </w:r>
      <w:r>
        <w:rPr>
          <w:rFonts w:ascii="宋体" w:hAnsi="宋体" w:eastAsia="仿宋"/>
          <w:color w:val="auto"/>
          <w:sz w:val="24"/>
          <w:highlight w:val="none"/>
        </w:rPr>
        <w:t>“</w:t>
      </w:r>
      <w:r>
        <w:rPr>
          <w:rFonts w:hint="eastAsia" w:ascii="宋体" w:hAnsi="宋体" w:eastAsia="仿宋"/>
          <w:color w:val="auto"/>
          <w:sz w:val="24"/>
          <w:highlight w:val="none"/>
        </w:rPr>
        <w:t>投标文件制作工具</w:t>
      </w:r>
      <w:r>
        <w:rPr>
          <w:rFonts w:ascii="宋体" w:hAnsi="宋体" w:eastAsia="仿宋"/>
          <w:color w:val="auto"/>
          <w:sz w:val="24"/>
          <w:highlight w:val="none"/>
        </w:rPr>
        <w:t>”</w:t>
      </w:r>
      <w:r>
        <w:rPr>
          <w:rFonts w:hint="eastAsia" w:ascii="宋体" w:hAnsi="宋体" w:eastAsia="仿宋"/>
          <w:color w:val="auto"/>
          <w:sz w:val="24"/>
          <w:highlight w:val="none"/>
        </w:rPr>
        <w:t>中的帮助文档。</w:t>
      </w:r>
    </w:p>
    <w:p w14:paraId="0FE59257">
      <w:pPr>
        <w:widowControl/>
        <w:adjustRightInd w:val="0"/>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3.7.</w:t>
      </w:r>
      <w:r>
        <w:rPr>
          <w:rFonts w:hint="eastAsia" w:ascii="宋体" w:hAnsi="宋体" w:eastAsia="仿宋"/>
          <w:color w:val="auto"/>
          <w:sz w:val="24"/>
          <w:highlight w:val="none"/>
        </w:rPr>
        <w:t>5</w:t>
      </w:r>
      <w:r>
        <w:rPr>
          <w:rFonts w:ascii="宋体" w:hAnsi="宋体" w:eastAsia="仿宋"/>
          <w:color w:val="auto"/>
          <w:sz w:val="24"/>
          <w:highlight w:val="none"/>
        </w:rPr>
        <w:t xml:space="preserve"> </w:t>
      </w:r>
      <w:r>
        <w:rPr>
          <w:rFonts w:hint="eastAsia" w:ascii="宋体" w:hAnsi="宋体" w:eastAsia="仿宋"/>
          <w:color w:val="auto"/>
          <w:sz w:val="24"/>
          <w:highlight w:val="none"/>
        </w:rPr>
        <w:t>因投标人自身原因而导致投标文件无法导入</w:t>
      </w:r>
      <w:r>
        <w:rPr>
          <w:rFonts w:ascii="宋体" w:hAnsi="宋体" w:eastAsia="仿宋"/>
          <w:color w:val="auto"/>
          <w:sz w:val="24"/>
          <w:highlight w:val="none"/>
        </w:rPr>
        <w:t>“</w:t>
      </w:r>
      <w:r>
        <w:rPr>
          <w:rFonts w:hint="eastAsia" w:ascii="宋体" w:hAnsi="宋体" w:eastAsia="仿宋"/>
          <w:color w:val="auto"/>
          <w:sz w:val="24"/>
          <w:highlight w:val="none"/>
        </w:rPr>
        <w:t>电子交易平台</w:t>
      </w:r>
      <w:r>
        <w:rPr>
          <w:rFonts w:ascii="宋体" w:hAnsi="宋体" w:eastAsia="仿宋"/>
          <w:color w:val="auto"/>
          <w:sz w:val="24"/>
          <w:highlight w:val="none"/>
        </w:rPr>
        <w:t>”</w:t>
      </w:r>
      <w:r>
        <w:rPr>
          <w:rFonts w:hint="eastAsia" w:ascii="宋体" w:hAnsi="宋体" w:eastAsia="仿宋"/>
          <w:color w:val="auto"/>
          <w:sz w:val="24"/>
          <w:highlight w:val="none"/>
        </w:rPr>
        <w:t>电子开标、评标系统，该投标视为无效投标，投标人自行承担由此导致的全部责任。</w:t>
      </w:r>
    </w:p>
    <w:p w14:paraId="36AC3EAA">
      <w:pPr>
        <w:pStyle w:val="3"/>
        <w:rPr>
          <w:rStyle w:val="103"/>
          <w:rFonts w:ascii="宋体" w:hAnsi="宋体" w:eastAsia="仿宋"/>
          <w:b/>
          <w:bCs/>
          <w:color w:val="auto"/>
          <w:sz w:val="24"/>
          <w:szCs w:val="24"/>
          <w:highlight w:val="none"/>
        </w:rPr>
      </w:pPr>
      <w:bookmarkStart w:id="394" w:name="_Toc179632573"/>
      <w:bookmarkStart w:id="395" w:name="_Toc338943726"/>
      <w:bookmarkStart w:id="396" w:name="_Toc342297645"/>
      <w:bookmarkStart w:id="397" w:name="_Toc342294740"/>
      <w:bookmarkStart w:id="398" w:name="_Toc144974523"/>
      <w:bookmarkStart w:id="399" w:name="_Toc342296188"/>
      <w:bookmarkStart w:id="400" w:name="_Toc455587058"/>
      <w:bookmarkStart w:id="401" w:name="_Toc333600709"/>
      <w:bookmarkStart w:id="402" w:name="_Toc152042331"/>
      <w:bookmarkStart w:id="403" w:name="_Toc333599685"/>
      <w:bookmarkStart w:id="404" w:name="_Toc371415943"/>
      <w:bookmarkStart w:id="405" w:name="_Toc445554715"/>
      <w:bookmarkStart w:id="406" w:name="_Toc455587242"/>
      <w:bookmarkStart w:id="407" w:name="_Toc152045555"/>
      <w:bookmarkStart w:id="408" w:name="_Toc458504842"/>
      <w:bookmarkStart w:id="409" w:name="_Toc466024524"/>
      <w:bookmarkStart w:id="410" w:name="_Toc338944631"/>
      <w:r>
        <w:rPr>
          <w:rStyle w:val="103"/>
          <w:rFonts w:hint="eastAsia" w:ascii="宋体" w:hAnsi="宋体" w:eastAsia="仿宋"/>
          <w:b/>
          <w:bCs/>
          <w:color w:val="auto"/>
          <w:sz w:val="24"/>
          <w:szCs w:val="24"/>
          <w:highlight w:val="none"/>
        </w:rPr>
        <w:t>4. 投标</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7533E30F">
      <w:pPr>
        <w:pStyle w:val="4"/>
        <w:adjustRightInd w:val="0"/>
        <w:ind w:firstLine="482" w:firstLineChars="200"/>
        <w:rPr>
          <w:rFonts w:eastAsia="仿宋"/>
          <w:color w:val="auto"/>
          <w:sz w:val="24"/>
          <w:highlight w:val="none"/>
          <w:lang w:eastAsia="zh-CN"/>
        </w:rPr>
      </w:pPr>
      <w:bookmarkStart w:id="411" w:name="_Toc338943727"/>
      <w:bookmarkStart w:id="412" w:name="_Toc152045556"/>
      <w:bookmarkStart w:id="413" w:name="_Toc455587059"/>
      <w:bookmarkStart w:id="414" w:name="_Toc342297646"/>
      <w:bookmarkStart w:id="415" w:name="_Toc371415944"/>
      <w:bookmarkStart w:id="416" w:name="_Toc466024525"/>
      <w:bookmarkStart w:id="417" w:name="_Toc179632574"/>
      <w:bookmarkStart w:id="418" w:name="_Toc333599686"/>
      <w:bookmarkStart w:id="419" w:name="_Toc342294741"/>
      <w:bookmarkStart w:id="420" w:name="_Toc152042332"/>
      <w:bookmarkStart w:id="421" w:name="_Toc455587243"/>
      <w:bookmarkStart w:id="422" w:name="_Toc342296189"/>
      <w:bookmarkStart w:id="423" w:name="_Toc458504843"/>
      <w:bookmarkStart w:id="424" w:name="_Toc144974524"/>
      <w:bookmarkStart w:id="425" w:name="_Toc338944632"/>
      <w:bookmarkStart w:id="426" w:name="_Toc333587880"/>
      <w:bookmarkStart w:id="427" w:name="_Toc333600710"/>
      <w:bookmarkStart w:id="428" w:name="_Toc445554716"/>
      <w:r>
        <w:rPr>
          <w:rFonts w:hint="eastAsia" w:eastAsia="仿宋"/>
          <w:color w:val="auto"/>
          <w:sz w:val="24"/>
          <w:highlight w:val="none"/>
          <w:lang w:eastAsia="zh-CN"/>
        </w:rPr>
        <w:t>4.1 投标文件的加密</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74112F76">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4.1.1</w:t>
      </w:r>
      <w:r>
        <w:rPr>
          <w:rFonts w:hint="eastAsia" w:ascii="宋体" w:hAnsi="宋体" w:eastAsia="仿宋"/>
          <w:color w:val="auto"/>
          <w:sz w:val="24"/>
          <w:highlight w:val="none"/>
        </w:rPr>
        <w:t xml:space="preserve"> </w:t>
      </w:r>
      <w:r>
        <w:rPr>
          <w:rFonts w:ascii="宋体" w:hAnsi="宋体" w:eastAsia="仿宋"/>
          <w:color w:val="auto"/>
          <w:sz w:val="24"/>
          <w:highlight w:val="none"/>
        </w:rPr>
        <w:t>投标人应当按照招标文件和电子交易平台的要求加密投标文件，具体要求见投标人须知前附表。</w:t>
      </w:r>
    </w:p>
    <w:p w14:paraId="7E741AF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4.1.2 未按照上述要求加密的投标文件，电子交易平台将予以拒收。</w:t>
      </w:r>
    </w:p>
    <w:p w14:paraId="26C3D8EC">
      <w:pPr>
        <w:pStyle w:val="4"/>
        <w:adjustRightInd w:val="0"/>
        <w:ind w:firstLine="482" w:firstLineChars="200"/>
        <w:rPr>
          <w:rFonts w:eastAsia="仿宋"/>
          <w:color w:val="auto"/>
          <w:sz w:val="24"/>
          <w:highlight w:val="none"/>
          <w:lang w:eastAsia="zh-CN"/>
        </w:rPr>
      </w:pPr>
      <w:bookmarkStart w:id="429" w:name="_Toc445554717"/>
      <w:bookmarkStart w:id="430" w:name="_Toc455587060"/>
      <w:bookmarkStart w:id="431" w:name="_Toc458504844"/>
      <w:bookmarkStart w:id="432" w:name="_Toc455587244"/>
      <w:bookmarkStart w:id="433" w:name="_Toc371415945"/>
      <w:bookmarkStart w:id="434" w:name="_Toc466024526"/>
      <w:r>
        <w:rPr>
          <w:rFonts w:hint="eastAsia" w:eastAsia="仿宋"/>
          <w:color w:val="auto"/>
          <w:sz w:val="24"/>
          <w:highlight w:val="none"/>
          <w:lang w:eastAsia="zh-CN"/>
        </w:rPr>
        <w:t>4.2 投标文件的递交</w:t>
      </w:r>
      <w:bookmarkEnd w:id="429"/>
      <w:bookmarkEnd w:id="430"/>
      <w:bookmarkEnd w:id="431"/>
      <w:bookmarkEnd w:id="432"/>
      <w:bookmarkEnd w:id="433"/>
      <w:bookmarkEnd w:id="434"/>
    </w:p>
    <w:p w14:paraId="41563D6A">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 xml:space="preserve">4.2.1 </w:t>
      </w:r>
      <w:r>
        <w:rPr>
          <w:rFonts w:eastAsia="仿宋"/>
          <w:color w:val="auto"/>
          <w:sz w:val="24"/>
          <w:highlight w:val="none"/>
        </w:rPr>
        <w:t>投标人应在</w:t>
      </w:r>
      <w:r>
        <w:rPr>
          <w:rFonts w:hint="eastAsia" w:eastAsia="仿宋"/>
          <w:color w:val="auto"/>
          <w:sz w:val="24"/>
          <w:highlight w:val="none"/>
        </w:rPr>
        <w:t>招标公告规定的</w:t>
      </w:r>
      <w:r>
        <w:rPr>
          <w:rFonts w:eastAsia="仿宋"/>
          <w:color w:val="auto"/>
          <w:sz w:val="24"/>
          <w:highlight w:val="none"/>
        </w:rPr>
        <w:t>投标截止时间前递交投标文件。</w:t>
      </w:r>
    </w:p>
    <w:p w14:paraId="137679BA">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4.2.2</w:t>
      </w:r>
      <w:r>
        <w:rPr>
          <w:rFonts w:hint="eastAsia" w:eastAsia="仿宋"/>
          <w:color w:val="auto"/>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auto"/>
          <w:sz w:val="24"/>
          <w:highlight w:val="none"/>
        </w:rPr>
        <w:t>“</w:t>
      </w:r>
      <w:r>
        <w:rPr>
          <w:rFonts w:hint="eastAsia" w:eastAsia="仿宋"/>
          <w:color w:val="auto"/>
          <w:sz w:val="24"/>
          <w:highlight w:val="none"/>
        </w:rPr>
        <w:t>电子交易平台</w:t>
      </w:r>
      <w:r>
        <w:rPr>
          <w:rFonts w:eastAsia="仿宋"/>
          <w:color w:val="auto"/>
          <w:sz w:val="24"/>
          <w:highlight w:val="none"/>
        </w:rPr>
        <w:t>”</w:t>
      </w:r>
      <w:r>
        <w:rPr>
          <w:rFonts w:hint="eastAsia" w:eastAsia="仿宋"/>
          <w:color w:val="auto"/>
          <w:sz w:val="24"/>
          <w:highlight w:val="none"/>
        </w:rPr>
        <w:t>）将拒绝接收。详见投标人须知前附表规定。</w:t>
      </w:r>
    </w:p>
    <w:p w14:paraId="58F73D34">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4.2.3</w:t>
      </w:r>
      <w:r>
        <w:rPr>
          <w:rFonts w:hint="eastAsia" w:eastAsia="仿宋"/>
          <w:color w:val="auto"/>
          <w:sz w:val="24"/>
          <w:highlight w:val="none"/>
        </w:rPr>
        <w:t xml:space="preserve"> 除投标人须知前附表另有规定外，投标人所递交的投标文件不予退还。</w:t>
      </w:r>
    </w:p>
    <w:p w14:paraId="5446DB05">
      <w:pPr>
        <w:pStyle w:val="4"/>
        <w:adjustRightInd w:val="0"/>
        <w:ind w:firstLine="482" w:firstLineChars="200"/>
        <w:rPr>
          <w:rFonts w:eastAsia="仿宋"/>
          <w:color w:val="auto"/>
          <w:sz w:val="24"/>
          <w:highlight w:val="none"/>
          <w:lang w:eastAsia="zh-CN"/>
        </w:rPr>
      </w:pPr>
      <w:bookmarkStart w:id="435" w:name="_Toc371415946"/>
      <w:bookmarkStart w:id="436" w:name="_Toc333587882"/>
      <w:bookmarkStart w:id="437" w:name="_Toc445554718"/>
      <w:bookmarkStart w:id="438" w:name="_Toc342294743"/>
      <w:bookmarkStart w:id="439" w:name="_Toc458504845"/>
      <w:bookmarkStart w:id="440" w:name="_Toc466024527"/>
      <w:bookmarkStart w:id="441" w:name="_Toc342296191"/>
      <w:bookmarkStart w:id="442" w:name="_Toc455587245"/>
      <w:bookmarkStart w:id="443" w:name="_Toc342297648"/>
      <w:bookmarkStart w:id="444" w:name="_Toc144974526"/>
      <w:bookmarkStart w:id="445" w:name="_Toc179632576"/>
      <w:bookmarkStart w:id="446" w:name="_Toc333599688"/>
      <w:bookmarkStart w:id="447" w:name="_Toc338944634"/>
      <w:bookmarkStart w:id="448" w:name="_Toc333600712"/>
      <w:bookmarkStart w:id="449" w:name="_Toc455587061"/>
      <w:bookmarkStart w:id="450" w:name="_Toc152042334"/>
      <w:bookmarkStart w:id="451" w:name="_Toc338943729"/>
      <w:bookmarkStart w:id="452" w:name="_Toc152045558"/>
      <w:r>
        <w:rPr>
          <w:rFonts w:hint="eastAsia" w:eastAsia="仿宋"/>
          <w:color w:val="auto"/>
          <w:sz w:val="24"/>
          <w:highlight w:val="none"/>
          <w:lang w:eastAsia="zh-CN"/>
        </w:rPr>
        <w:t>4.3 投标文件的修改与撤回</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BBDD5C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4.3</w:t>
      </w:r>
      <w:r>
        <w:rPr>
          <w:rFonts w:ascii="宋体" w:hAnsi="宋体" w:eastAsia="仿宋"/>
          <w:color w:val="auto"/>
          <w:sz w:val="24"/>
          <w:highlight w:val="none"/>
        </w:rPr>
        <w:t>.1</w:t>
      </w:r>
      <w:r>
        <w:rPr>
          <w:rFonts w:hint="eastAsia" w:ascii="宋体" w:hAnsi="宋体" w:eastAsia="仿宋"/>
          <w:color w:val="auto"/>
          <w:sz w:val="24"/>
          <w:highlight w:val="none"/>
        </w:rPr>
        <w:t xml:space="preserve"> 在规定的投标截止时间前，投标人可以补充、修改或撤回已递交的投标文件，但应以书面形式通知采购人。</w:t>
      </w:r>
    </w:p>
    <w:p w14:paraId="2A37C6E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4.3.2 投标人修改或撤回已递交投标文件的通知，应按照本章第3.7.4项的要求加盖电子印章。电子交易平台收到通知后，即时向投标人发出确认回执通知。</w:t>
      </w:r>
    </w:p>
    <w:p w14:paraId="145FB76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4.3.3 投标人撤回投标文件的，</w:t>
      </w:r>
      <w:r>
        <w:rPr>
          <w:rFonts w:hint="eastAsia" w:eastAsia="仿宋"/>
          <w:color w:val="auto"/>
          <w:sz w:val="24"/>
          <w:highlight w:val="none"/>
        </w:rPr>
        <w:t>采购</w:t>
      </w:r>
      <w:r>
        <w:rPr>
          <w:rFonts w:hint="eastAsia" w:ascii="宋体" w:hAnsi="宋体" w:eastAsia="仿宋"/>
          <w:color w:val="auto"/>
          <w:sz w:val="24"/>
          <w:highlight w:val="none"/>
        </w:rPr>
        <w:t>人自收到投标人书面撤回通知之日起5日内退还已收取的投标保证金。</w:t>
      </w:r>
    </w:p>
    <w:p w14:paraId="7259D55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4.3.4 补充、修改的内容为投标文件的组成部分，只需提供一份。补充、修改的投标文件应按照本章第3条、第4条的规定进行编制、加密、标记和递交，并标明“补充”或“修改”字样。</w:t>
      </w:r>
    </w:p>
    <w:p w14:paraId="111494D7">
      <w:pPr>
        <w:pStyle w:val="3"/>
        <w:rPr>
          <w:rStyle w:val="103"/>
          <w:rFonts w:hint="eastAsia" w:ascii="宋体" w:hAnsi="宋体" w:eastAsia="仿宋"/>
          <w:b/>
          <w:bCs/>
          <w:color w:val="auto"/>
          <w:sz w:val="24"/>
          <w:szCs w:val="24"/>
          <w:highlight w:val="none"/>
        </w:rPr>
      </w:pPr>
      <w:bookmarkStart w:id="453" w:name="_Toc342294744"/>
      <w:bookmarkStart w:id="454" w:name="_Toc333599689"/>
      <w:bookmarkStart w:id="455" w:name="_Toc371415947"/>
      <w:bookmarkStart w:id="456" w:name="_Toc455587246"/>
      <w:bookmarkStart w:id="457" w:name="_Toc333600713"/>
      <w:bookmarkStart w:id="458" w:name="_Toc458504846"/>
      <w:bookmarkStart w:id="459" w:name="_Toc466024528"/>
      <w:bookmarkStart w:id="460" w:name="_Toc338943730"/>
      <w:bookmarkStart w:id="461" w:name="_Toc152042335"/>
      <w:bookmarkStart w:id="462" w:name="_Toc144974527"/>
      <w:bookmarkStart w:id="463" w:name="_Toc342297649"/>
      <w:bookmarkStart w:id="464" w:name="_Toc455587062"/>
      <w:bookmarkStart w:id="465" w:name="_Toc445554719"/>
      <w:bookmarkStart w:id="466" w:name="_Toc338944635"/>
      <w:bookmarkStart w:id="467" w:name="_Toc342296192"/>
      <w:bookmarkStart w:id="468" w:name="_Toc152045559"/>
      <w:bookmarkStart w:id="469" w:name="_Toc179632577"/>
      <w:r>
        <w:rPr>
          <w:rStyle w:val="103"/>
          <w:rFonts w:hint="eastAsia" w:ascii="宋体" w:hAnsi="宋体" w:eastAsia="仿宋"/>
          <w:b/>
          <w:bCs/>
          <w:color w:val="auto"/>
          <w:sz w:val="24"/>
          <w:szCs w:val="24"/>
          <w:highlight w:val="none"/>
        </w:rPr>
        <w:t>5. 开标</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749D1E5A">
      <w:pPr>
        <w:pStyle w:val="4"/>
        <w:adjustRightInd w:val="0"/>
        <w:ind w:firstLine="482" w:firstLineChars="200"/>
        <w:rPr>
          <w:rFonts w:eastAsia="仿宋"/>
          <w:color w:val="auto"/>
          <w:sz w:val="24"/>
          <w:highlight w:val="none"/>
          <w:lang w:eastAsia="zh-CN"/>
        </w:rPr>
      </w:pPr>
      <w:bookmarkStart w:id="470" w:name="_Toc333599690"/>
      <w:bookmarkStart w:id="471" w:name="_Toc342297650"/>
      <w:bookmarkStart w:id="472" w:name="_Toc342294745"/>
      <w:bookmarkStart w:id="473" w:name="_Toc338943731"/>
      <w:bookmarkStart w:id="474" w:name="_Toc445554720"/>
      <w:bookmarkStart w:id="475" w:name="_Toc342296193"/>
      <w:bookmarkStart w:id="476" w:name="_Toc466024529"/>
      <w:bookmarkStart w:id="477" w:name="_Toc371415948"/>
      <w:bookmarkStart w:id="478" w:name="_Toc152042336"/>
      <w:bookmarkStart w:id="479" w:name="_Toc455587063"/>
      <w:bookmarkStart w:id="480" w:name="_Toc333600714"/>
      <w:bookmarkStart w:id="481" w:name="_Toc338944636"/>
      <w:bookmarkStart w:id="482" w:name="_Toc455587247"/>
      <w:bookmarkStart w:id="483" w:name="_Toc333587884"/>
      <w:bookmarkStart w:id="484" w:name="_Toc152045560"/>
      <w:bookmarkStart w:id="485" w:name="_Toc179632578"/>
      <w:bookmarkStart w:id="486" w:name="_Toc144974528"/>
      <w:bookmarkStart w:id="487" w:name="_Toc458504847"/>
      <w:r>
        <w:rPr>
          <w:rFonts w:hint="eastAsia" w:eastAsia="仿宋"/>
          <w:color w:val="auto"/>
          <w:sz w:val="24"/>
          <w:highlight w:val="none"/>
          <w:lang w:eastAsia="zh-CN"/>
        </w:rPr>
        <w:t xml:space="preserve">5.1 </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Pr>
          <w:rFonts w:hint="eastAsia" w:eastAsia="仿宋"/>
          <w:color w:val="auto"/>
          <w:sz w:val="24"/>
          <w:highlight w:val="none"/>
          <w:lang w:eastAsia="zh-CN"/>
        </w:rPr>
        <w:t>开标时间和地点</w:t>
      </w:r>
    </w:p>
    <w:p w14:paraId="39DE6509">
      <w:pPr>
        <w:widowControl/>
        <w:adjustRightInd w:val="0"/>
        <w:snapToGrid w:val="0"/>
        <w:spacing w:line="360" w:lineRule="auto"/>
        <w:ind w:firstLine="480" w:firstLineChars="200"/>
        <w:rPr>
          <w:rFonts w:eastAsia="仿宋"/>
          <w:color w:val="auto"/>
          <w:sz w:val="24"/>
          <w:highlight w:val="none"/>
        </w:rPr>
      </w:pPr>
      <w:r>
        <w:rPr>
          <w:rFonts w:hint="eastAsia" w:eastAsia="仿宋"/>
          <w:color w:val="auto"/>
          <w:sz w:val="24"/>
          <w:highlight w:val="none"/>
        </w:rPr>
        <w:t>采购</w:t>
      </w:r>
      <w:r>
        <w:rPr>
          <w:rFonts w:eastAsia="仿宋"/>
          <w:color w:val="auto"/>
          <w:sz w:val="24"/>
          <w:highlight w:val="none"/>
        </w:rPr>
        <w:t>人在</w:t>
      </w:r>
      <w:r>
        <w:rPr>
          <w:rFonts w:hint="eastAsia" w:eastAsia="仿宋"/>
          <w:color w:val="auto"/>
          <w:sz w:val="24"/>
          <w:highlight w:val="none"/>
        </w:rPr>
        <w:t>招标公告规定的</w:t>
      </w:r>
      <w:r>
        <w:rPr>
          <w:rFonts w:eastAsia="仿宋"/>
          <w:color w:val="auto"/>
          <w:sz w:val="24"/>
          <w:highlight w:val="none"/>
        </w:rPr>
        <w:t>开标时间</w:t>
      </w:r>
      <w:r>
        <w:rPr>
          <w:rFonts w:hint="eastAsia" w:eastAsia="仿宋"/>
          <w:color w:val="auto"/>
          <w:sz w:val="24"/>
          <w:highlight w:val="none"/>
        </w:rPr>
        <w:t>和开标地点，</w:t>
      </w:r>
      <w:r>
        <w:rPr>
          <w:rFonts w:eastAsia="仿宋"/>
          <w:color w:val="auto"/>
          <w:sz w:val="24"/>
          <w:highlight w:val="none"/>
        </w:rPr>
        <w:t>通过电子招标投标交易平台公开开标，所有投标人的法定代表人</w:t>
      </w:r>
      <w:r>
        <w:rPr>
          <w:rFonts w:hint="eastAsia" w:eastAsia="仿宋"/>
          <w:color w:val="auto"/>
          <w:sz w:val="24"/>
          <w:highlight w:val="none"/>
        </w:rPr>
        <w:t>（单位负责人）</w:t>
      </w:r>
      <w:r>
        <w:rPr>
          <w:rFonts w:eastAsia="仿宋"/>
          <w:color w:val="auto"/>
          <w:sz w:val="24"/>
          <w:highlight w:val="none"/>
        </w:rPr>
        <w:t>或其委托代理人应当准时参加。</w:t>
      </w:r>
    </w:p>
    <w:p w14:paraId="538AD0FD">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5.2 开标程序</w:t>
      </w:r>
    </w:p>
    <w:p w14:paraId="0003B86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主持人按下列程序进行开标：</w:t>
      </w:r>
    </w:p>
    <w:p w14:paraId="0C2D43F6">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1</w:t>
      </w:r>
      <w:r>
        <w:rPr>
          <w:rFonts w:hint="eastAsia" w:ascii="宋体" w:hAnsi="宋体" w:eastAsia="仿宋"/>
          <w:color w:val="auto"/>
          <w:sz w:val="24"/>
          <w:highlight w:val="none"/>
        </w:rPr>
        <w:t>）宣布开标纪律；</w:t>
      </w:r>
    </w:p>
    <w:p w14:paraId="1DAE4FB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2</w:t>
      </w:r>
      <w:r>
        <w:rPr>
          <w:rFonts w:hint="eastAsia" w:ascii="宋体" w:hAnsi="宋体" w:eastAsia="仿宋"/>
          <w:color w:val="auto"/>
          <w:sz w:val="24"/>
          <w:highlight w:val="none"/>
        </w:rPr>
        <w:t>）公布在投标截止时间前递交投标文件的投标人名称；</w:t>
      </w:r>
    </w:p>
    <w:p w14:paraId="22A6206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w:t>
      </w:r>
      <w:r>
        <w:rPr>
          <w:rFonts w:ascii="宋体" w:hAnsi="宋体" w:eastAsia="仿宋"/>
          <w:color w:val="auto"/>
          <w:sz w:val="24"/>
          <w:highlight w:val="none"/>
        </w:rPr>
        <w:t>3</w:t>
      </w:r>
      <w:r>
        <w:rPr>
          <w:rFonts w:hint="eastAsia" w:ascii="宋体" w:hAnsi="宋体" w:eastAsia="仿宋"/>
          <w:color w:val="auto"/>
          <w:sz w:val="24"/>
          <w:highlight w:val="none"/>
        </w:rPr>
        <w:t>）宣布开标人、唱标人、记录人等有关人员姓名；</w:t>
      </w:r>
    </w:p>
    <w:p w14:paraId="2647A79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（4）按投标人须知前附表规定通过电子招标投标交易平台对已递交的电子投标文件进行解密，公布招标项目名称、投标人名称、投标报价及其他内容，并记录在案；</w:t>
      </w:r>
    </w:p>
    <w:p w14:paraId="0541984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（5）开标结束。</w:t>
      </w:r>
    </w:p>
    <w:p w14:paraId="1075979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5.3 开标疑义</w:t>
      </w:r>
    </w:p>
    <w:p w14:paraId="70F7AB6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8DD06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投标人未参加开标的，视同认可开标结果。</w:t>
      </w:r>
    </w:p>
    <w:p w14:paraId="42235320">
      <w:pPr>
        <w:pStyle w:val="3"/>
        <w:rPr>
          <w:rStyle w:val="103"/>
          <w:rFonts w:hint="eastAsia" w:ascii="宋体" w:hAnsi="宋体" w:eastAsia="仿宋"/>
          <w:b/>
          <w:bCs/>
          <w:color w:val="auto"/>
          <w:sz w:val="24"/>
          <w:szCs w:val="24"/>
          <w:highlight w:val="none"/>
        </w:rPr>
      </w:pPr>
      <w:bookmarkStart w:id="488" w:name="_Toc458504849"/>
      <w:bookmarkStart w:id="489" w:name="_Toc342294747"/>
      <w:bookmarkStart w:id="490" w:name="_Toc144974530"/>
      <w:bookmarkStart w:id="491" w:name="_Toc466024531"/>
      <w:bookmarkStart w:id="492" w:name="_Toc455587066"/>
      <w:bookmarkStart w:id="493" w:name="_Toc152042338"/>
      <w:bookmarkStart w:id="494" w:name="_Toc455587250"/>
      <w:bookmarkStart w:id="495" w:name="_Toc333599692"/>
      <w:bookmarkStart w:id="496" w:name="_Toc338943733"/>
      <w:bookmarkStart w:id="497" w:name="_Toc342297652"/>
      <w:bookmarkStart w:id="498" w:name="_Toc371415950"/>
      <w:bookmarkStart w:id="499" w:name="_Toc152045562"/>
      <w:bookmarkStart w:id="500" w:name="_Toc179632580"/>
      <w:bookmarkStart w:id="501" w:name="_Toc445554723"/>
      <w:bookmarkStart w:id="502" w:name="_Toc342296195"/>
      <w:bookmarkStart w:id="503" w:name="_Toc338944638"/>
      <w:bookmarkStart w:id="504" w:name="_Toc333600716"/>
      <w:r>
        <w:rPr>
          <w:rStyle w:val="103"/>
          <w:rFonts w:hint="eastAsia" w:ascii="宋体" w:hAnsi="宋体" w:eastAsia="仿宋"/>
          <w:b/>
          <w:bCs/>
          <w:color w:val="auto"/>
          <w:sz w:val="24"/>
          <w:szCs w:val="24"/>
          <w:highlight w:val="none"/>
        </w:rPr>
        <w:t>6. 评标</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6B8D3682">
      <w:pPr>
        <w:pStyle w:val="4"/>
        <w:adjustRightInd w:val="0"/>
        <w:ind w:firstLine="482" w:firstLineChars="200"/>
        <w:rPr>
          <w:rFonts w:eastAsia="仿宋"/>
          <w:color w:val="auto"/>
          <w:sz w:val="24"/>
          <w:highlight w:val="none"/>
          <w:lang w:eastAsia="zh-CN"/>
        </w:rPr>
      </w:pPr>
      <w:bookmarkStart w:id="505" w:name="_Toc455587067"/>
      <w:bookmarkStart w:id="506" w:name="_Toc179632581"/>
      <w:bookmarkStart w:id="507" w:name="_Toc144974531"/>
      <w:bookmarkStart w:id="508" w:name="_Toc342294748"/>
      <w:bookmarkStart w:id="509" w:name="_Toc152045563"/>
      <w:bookmarkStart w:id="510" w:name="_Toc333587887"/>
      <w:bookmarkStart w:id="511" w:name="_Toc445554724"/>
      <w:bookmarkStart w:id="512" w:name="_Toc342297653"/>
      <w:bookmarkStart w:id="513" w:name="_Toc333600717"/>
      <w:bookmarkStart w:id="514" w:name="_Toc371415951"/>
      <w:bookmarkStart w:id="515" w:name="_Toc152042339"/>
      <w:bookmarkStart w:id="516" w:name="_Toc458504850"/>
      <w:bookmarkStart w:id="517" w:name="_Toc466024532"/>
      <w:bookmarkStart w:id="518" w:name="_Toc333599693"/>
      <w:bookmarkStart w:id="519" w:name="_Toc338943734"/>
      <w:bookmarkStart w:id="520" w:name="_Toc342296196"/>
      <w:bookmarkStart w:id="521" w:name="_Toc455587251"/>
      <w:bookmarkStart w:id="522" w:name="_Toc338944639"/>
      <w:r>
        <w:rPr>
          <w:rFonts w:hint="eastAsia" w:eastAsia="仿宋"/>
          <w:color w:val="auto"/>
          <w:sz w:val="24"/>
          <w:highlight w:val="none"/>
          <w:lang w:eastAsia="zh-CN"/>
        </w:rPr>
        <w:t>6.1 评标委员会</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686F98E7">
      <w:pPr>
        <w:widowControl/>
        <w:adjustRightInd w:val="0"/>
        <w:snapToGrid w:val="0"/>
        <w:spacing w:line="360" w:lineRule="auto"/>
        <w:ind w:firstLine="480" w:firstLineChars="200"/>
        <w:rPr>
          <w:rFonts w:hint="eastAsia" w:ascii="楷体" w:hAnsi="楷体" w:eastAsia="楷体" w:cs="楷体"/>
          <w:i/>
          <w:iCs/>
          <w:color w:val="auto"/>
          <w:sz w:val="24"/>
          <w:highlight w:val="none"/>
          <w:u w:val="single"/>
          <w:lang w:bidi="ar"/>
        </w:rPr>
      </w:pPr>
      <w:r>
        <w:rPr>
          <w:rFonts w:hint="eastAsia" w:ascii="宋体" w:hAnsi="宋体" w:eastAsia="仿宋"/>
          <w:color w:val="auto"/>
          <w:sz w:val="24"/>
          <w:highlight w:val="none"/>
        </w:rPr>
        <w:t>6.1</w:t>
      </w:r>
      <w:r>
        <w:rPr>
          <w:rFonts w:ascii="宋体" w:hAnsi="宋体" w:eastAsia="仿宋"/>
          <w:color w:val="auto"/>
          <w:sz w:val="24"/>
          <w:highlight w:val="none"/>
        </w:rPr>
        <w:t>.1</w:t>
      </w:r>
      <w:r>
        <w:rPr>
          <w:rFonts w:hint="eastAsia" w:ascii="宋体" w:hAnsi="宋体" w:eastAsia="仿宋"/>
          <w:color w:val="auto"/>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auto"/>
          <w:sz w:val="24"/>
          <w:highlight w:val="none"/>
          <w:lang w:bidi="ar"/>
        </w:rPr>
        <w:t>评标委员会</w:t>
      </w:r>
      <w:r>
        <w:rPr>
          <w:rFonts w:hint="eastAsia" w:ascii="宋体" w:hAnsi="宋体" w:eastAsia="仿宋"/>
          <w:color w:val="auto"/>
          <w:sz w:val="24"/>
          <w:highlight w:val="none"/>
        </w:rPr>
        <w:t>成员人数应当为5人以上单数，</w:t>
      </w:r>
      <w:r>
        <w:rPr>
          <w:rFonts w:hint="eastAsia" w:ascii="宋体" w:hAnsi="宋体" w:eastAsia="仿宋"/>
          <w:color w:val="auto"/>
          <w:sz w:val="24"/>
          <w:highlight w:val="none"/>
          <w:lang w:bidi="ar"/>
        </w:rPr>
        <w:t>其中采购预算金额在1000万元以上或者技术复杂或者社会影响较大的项目，评标委员会成员人数应当为7人以上单数。</w:t>
      </w:r>
    </w:p>
    <w:p w14:paraId="3AAC081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6.1</w:t>
      </w:r>
      <w:r>
        <w:rPr>
          <w:rFonts w:ascii="宋体" w:hAnsi="宋体" w:eastAsia="仿宋"/>
          <w:color w:val="auto"/>
          <w:sz w:val="24"/>
          <w:highlight w:val="none"/>
        </w:rPr>
        <w:t>.2</w:t>
      </w:r>
      <w:r>
        <w:rPr>
          <w:rFonts w:hint="eastAsia" w:ascii="宋体" w:hAnsi="宋体" w:eastAsia="仿宋"/>
          <w:color w:val="auto"/>
          <w:sz w:val="24"/>
          <w:highlight w:val="none"/>
        </w:rPr>
        <w:t xml:space="preserve"> 评标委员会成员有下列情形之一的，应当回避：</w:t>
      </w:r>
    </w:p>
    <w:p w14:paraId="5AC1CDB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（1）参加采购活动前三年内，与投标人存在劳动关系，或者担任过投标人的董事、监事，或者是投标人的控股股东或实际控制人；</w:t>
      </w:r>
    </w:p>
    <w:p w14:paraId="53C814A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（2）与投标人的法定代表人或者负责人有夫妻、直系血亲、三代以内旁系血亲或者近姻亲关系；</w:t>
      </w:r>
    </w:p>
    <w:p w14:paraId="2C59E82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（3）参与本项目进口产品论证的专家；</w:t>
      </w:r>
    </w:p>
    <w:p w14:paraId="627829A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（4）与投标人有其他可能影响政府采购活动公平、公正进行的关系。</w:t>
      </w:r>
    </w:p>
    <w:p w14:paraId="57FA16B4">
      <w:pPr>
        <w:widowControl/>
        <w:topLinePunct/>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7EC12C62">
      <w:pPr>
        <w:pStyle w:val="4"/>
        <w:adjustRightInd w:val="0"/>
        <w:ind w:firstLine="482" w:firstLineChars="200"/>
        <w:rPr>
          <w:rFonts w:hint="eastAsia" w:eastAsia="楷体_GB2312"/>
          <w:i/>
          <w:color w:val="auto"/>
          <w:sz w:val="24"/>
          <w:highlight w:val="none"/>
          <w:lang w:eastAsia="zh-CN"/>
        </w:rPr>
      </w:pPr>
      <w:bookmarkStart w:id="523" w:name="_Toc152042340"/>
      <w:bookmarkStart w:id="524" w:name="_Toc179632582"/>
      <w:bookmarkStart w:id="525" w:name="_Toc445554725"/>
      <w:bookmarkStart w:id="526" w:name="_Toc144974532"/>
      <w:bookmarkStart w:id="527" w:name="_Toc455587068"/>
      <w:bookmarkStart w:id="528" w:name="_Toc458504851"/>
      <w:bookmarkStart w:id="529" w:name="_Toc342296197"/>
      <w:bookmarkStart w:id="530" w:name="_Toc371415952"/>
      <w:bookmarkStart w:id="531" w:name="_Toc152045564"/>
      <w:bookmarkStart w:id="532" w:name="_Toc333587888"/>
      <w:bookmarkStart w:id="533" w:name="_Toc342294749"/>
      <w:bookmarkStart w:id="534" w:name="_Toc333599694"/>
      <w:bookmarkStart w:id="535" w:name="_Toc455587252"/>
      <w:bookmarkStart w:id="536" w:name="_Toc466024533"/>
      <w:bookmarkStart w:id="537" w:name="_Toc338943735"/>
      <w:bookmarkStart w:id="538" w:name="_Toc333600718"/>
      <w:bookmarkStart w:id="539" w:name="_Toc342297654"/>
      <w:bookmarkStart w:id="540" w:name="_Toc338944640"/>
      <w:r>
        <w:rPr>
          <w:rFonts w:hint="eastAsia" w:eastAsia="仿宋"/>
          <w:color w:val="auto"/>
          <w:sz w:val="24"/>
          <w:highlight w:val="none"/>
          <w:lang w:eastAsia="zh-CN"/>
        </w:rPr>
        <w:t>6.2 评标原则</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14:paraId="69AC986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评标委员会应该按照客观、公正、审慎的原则，根据招标文件规定的评审程序、评审方法和评审标准进行独立评审。</w:t>
      </w:r>
    </w:p>
    <w:p w14:paraId="3F5DFBF7">
      <w:pPr>
        <w:pStyle w:val="4"/>
        <w:adjustRightInd w:val="0"/>
        <w:ind w:firstLine="482" w:firstLineChars="200"/>
        <w:rPr>
          <w:rFonts w:eastAsia="仿宋"/>
          <w:color w:val="auto"/>
          <w:sz w:val="24"/>
          <w:highlight w:val="none"/>
          <w:lang w:eastAsia="zh-CN"/>
        </w:rPr>
      </w:pPr>
      <w:bookmarkStart w:id="541" w:name="_Toc179632583"/>
      <w:bookmarkStart w:id="542" w:name="_Toc152042341"/>
      <w:bookmarkStart w:id="543" w:name="_Toc458504852"/>
      <w:bookmarkStart w:id="544" w:name="_Toc333599695"/>
      <w:bookmarkStart w:id="545" w:name="_Toc342296198"/>
      <w:bookmarkStart w:id="546" w:name="_Toc455587069"/>
      <w:bookmarkStart w:id="547" w:name="_Toc371415953"/>
      <w:bookmarkStart w:id="548" w:name="_Toc445554726"/>
      <w:bookmarkStart w:id="549" w:name="_Toc342294750"/>
      <w:bookmarkStart w:id="550" w:name="_Toc466024534"/>
      <w:bookmarkStart w:id="551" w:name="_Toc144974533"/>
      <w:bookmarkStart w:id="552" w:name="_Toc338944641"/>
      <w:bookmarkStart w:id="553" w:name="_Toc152045565"/>
      <w:bookmarkStart w:id="554" w:name="_Toc455587253"/>
      <w:bookmarkStart w:id="555" w:name="_Toc342297655"/>
      <w:bookmarkStart w:id="556" w:name="_Toc338943736"/>
      <w:bookmarkStart w:id="557" w:name="_Toc333600719"/>
      <w:bookmarkStart w:id="558" w:name="_Toc333587889"/>
      <w:r>
        <w:rPr>
          <w:rFonts w:hint="eastAsia" w:eastAsia="仿宋"/>
          <w:color w:val="auto"/>
          <w:sz w:val="24"/>
          <w:highlight w:val="none"/>
          <w:lang w:eastAsia="zh-CN"/>
        </w:rPr>
        <w:t>6.3 评标</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591AB87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59" w:name="_Toc179632584"/>
      <w:bookmarkStart w:id="560" w:name="_Toc342294751"/>
      <w:bookmarkStart w:id="561" w:name="_Toc338944642"/>
      <w:bookmarkStart w:id="562" w:name="_Toc152042342"/>
      <w:bookmarkStart w:id="563" w:name="_Toc338943737"/>
      <w:bookmarkStart w:id="564" w:name="_Toc152045566"/>
      <w:bookmarkStart w:id="565" w:name="_Toc333599696"/>
      <w:bookmarkStart w:id="566" w:name="_Toc333600720"/>
      <w:bookmarkStart w:id="567" w:name="_Toc342297656"/>
      <w:bookmarkStart w:id="568" w:name="_Toc144974534"/>
      <w:bookmarkStart w:id="569" w:name="_Toc342296199"/>
    </w:p>
    <w:p w14:paraId="7858FA1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 xml:space="preserve">6.3.2 </w:t>
      </w:r>
      <w:r>
        <w:rPr>
          <w:rFonts w:ascii="宋体" w:hAnsi="宋体" w:eastAsia="仿宋"/>
          <w:color w:val="auto"/>
          <w:sz w:val="24"/>
          <w:highlight w:val="none"/>
        </w:rPr>
        <w:t>评标完成后，评标委员会应当向</w:t>
      </w:r>
      <w:r>
        <w:rPr>
          <w:rFonts w:hint="eastAsia" w:eastAsia="仿宋"/>
          <w:color w:val="auto"/>
          <w:sz w:val="24"/>
          <w:highlight w:val="none"/>
        </w:rPr>
        <w:t>采购</w:t>
      </w:r>
      <w:r>
        <w:rPr>
          <w:rFonts w:ascii="宋体" w:hAnsi="宋体" w:eastAsia="仿宋"/>
          <w:color w:val="auto"/>
          <w:sz w:val="24"/>
          <w:highlight w:val="none"/>
        </w:rPr>
        <w:t>人提交书面评标报告和中标候选人名单。评标委员会推荐中标</w:t>
      </w:r>
      <w:bookmarkStart w:id="570" w:name="_Toc369531546"/>
      <w:bookmarkStart w:id="571" w:name="_Toc352691502"/>
      <w:bookmarkStart w:id="572" w:name="_Toc247527583"/>
      <w:bookmarkStart w:id="573" w:name="_Toc361508615"/>
      <w:bookmarkStart w:id="574" w:name="_Toc384308240"/>
      <w:bookmarkStart w:id="575" w:name="_Toc12259"/>
      <w:bookmarkStart w:id="576" w:name="_Toc300834979"/>
      <w:bookmarkStart w:id="577" w:name="_Toc247513982"/>
      <w:r>
        <w:rPr>
          <w:rFonts w:ascii="宋体" w:hAnsi="宋体" w:eastAsia="仿宋"/>
          <w:color w:val="auto"/>
          <w:sz w:val="24"/>
          <w:highlight w:val="none"/>
        </w:rPr>
        <w:t>候选人的人数见投标人须知前附</w:t>
      </w:r>
      <w:bookmarkEnd w:id="570"/>
      <w:bookmarkEnd w:id="571"/>
      <w:bookmarkEnd w:id="572"/>
      <w:bookmarkEnd w:id="573"/>
      <w:bookmarkEnd w:id="574"/>
      <w:bookmarkEnd w:id="575"/>
      <w:bookmarkEnd w:id="576"/>
      <w:bookmarkEnd w:id="577"/>
      <w:r>
        <w:rPr>
          <w:rFonts w:ascii="宋体" w:hAnsi="宋体" w:eastAsia="仿宋"/>
          <w:color w:val="auto"/>
          <w:sz w:val="24"/>
          <w:highlight w:val="none"/>
        </w:rPr>
        <w:t>表。</w:t>
      </w:r>
    </w:p>
    <w:p w14:paraId="5DA5EE36">
      <w:pPr>
        <w:pStyle w:val="3"/>
        <w:rPr>
          <w:rStyle w:val="103"/>
          <w:rFonts w:hint="eastAsia" w:ascii="宋体" w:hAnsi="宋体" w:eastAsia="仿宋"/>
          <w:b/>
          <w:bCs/>
          <w:color w:val="auto"/>
          <w:sz w:val="24"/>
          <w:szCs w:val="24"/>
          <w:highlight w:val="none"/>
        </w:rPr>
      </w:pPr>
      <w:bookmarkStart w:id="578" w:name="_Toc458504853"/>
      <w:bookmarkStart w:id="579" w:name="_Toc371415954"/>
      <w:bookmarkStart w:id="580" w:name="_Toc455587254"/>
      <w:bookmarkStart w:id="581" w:name="_Toc455587070"/>
      <w:bookmarkStart w:id="582" w:name="_Toc466024535"/>
      <w:bookmarkStart w:id="583" w:name="_Toc445554727"/>
      <w:r>
        <w:rPr>
          <w:rStyle w:val="103"/>
          <w:rFonts w:hint="eastAsia" w:ascii="宋体" w:hAnsi="宋体" w:eastAsia="仿宋"/>
          <w:b/>
          <w:bCs/>
          <w:color w:val="auto"/>
          <w:sz w:val="24"/>
          <w:szCs w:val="24"/>
          <w:highlight w:val="none"/>
        </w:rPr>
        <w:t>7. 合同授予</w:t>
      </w:r>
      <w:bookmarkEnd w:id="559"/>
      <w:bookmarkEnd w:id="560"/>
      <w:bookmarkEnd w:id="561"/>
      <w:bookmarkEnd w:id="562"/>
      <w:bookmarkEnd w:id="563"/>
      <w:bookmarkEnd w:id="564"/>
      <w:bookmarkEnd w:id="565"/>
      <w:bookmarkEnd w:id="566"/>
      <w:bookmarkEnd w:id="567"/>
      <w:bookmarkEnd w:id="568"/>
      <w:bookmarkEnd w:id="569"/>
      <w:bookmarkEnd w:id="578"/>
      <w:bookmarkEnd w:id="579"/>
      <w:bookmarkEnd w:id="580"/>
      <w:bookmarkEnd w:id="581"/>
      <w:bookmarkEnd w:id="582"/>
      <w:bookmarkEnd w:id="583"/>
    </w:p>
    <w:p w14:paraId="03B35B91">
      <w:pPr>
        <w:pStyle w:val="4"/>
        <w:adjustRightInd w:val="0"/>
        <w:ind w:firstLine="482" w:firstLineChars="200"/>
        <w:rPr>
          <w:rFonts w:eastAsia="仿宋"/>
          <w:color w:val="auto"/>
          <w:sz w:val="24"/>
          <w:highlight w:val="none"/>
          <w:lang w:eastAsia="zh-CN"/>
        </w:rPr>
      </w:pPr>
      <w:bookmarkStart w:id="584" w:name="_Toc349730879"/>
      <w:bookmarkStart w:id="585" w:name="_Toc362252685"/>
      <w:bookmarkStart w:id="586" w:name="_Toc455587255"/>
      <w:bookmarkStart w:id="587" w:name="_Toc455587071"/>
      <w:bookmarkStart w:id="588" w:name="_Toc371415955"/>
      <w:bookmarkStart w:id="589" w:name="_Toc466024536"/>
      <w:bookmarkStart w:id="590" w:name="_Toc445554728"/>
      <w:bookmarkStart w:id="591" w:name="_Toc458504854"/>
      <w:bookmarkStart w:id="592" w:name="_Toc152042343"/>
      <w:bookmarkStart w:id="593" w:name="_Toc342294752"/>
      <w:bookmarkStart w:id="594" w:name="_Toc342297657"/>
      <w:bookmarkStart w:id="595" w:name="_Toc152045567"/>
      <w:bookmarkStart w:id="596" w:name="_Toc333600721"/>
      <w:bookmarkStart w:id="597" w:name="_Toc144974535"/>
      <w:bookmarkStart w:id="598" w:name="_Toc338943738"/>
      <w:bookmarkStart w:id="599" w:name="_Toc179632585"/>
      <w:bookmarkStart w:id="600" w:name="_Toc342296200"/>
      <w:bookmarkStart w:id="601" w:name="_Toc338944643"/>
      <w:bookmarkStart w:id="602" w:name="_Toc333599697"/>
      <w:bookmarkStart w:id="603" w:name="_Toc333587891"/>
      <w:r>
        <w:rPr>
          <w:rFonts w:hint="eastAsia" w:eastAsia="仿宋"/>
          <w:color w:val="auto"/>
          <w:sz w:val="24"/>
          <w:highlight w:val="none"/>
          <w:lang w:eastAsia="zh-CN"/>
        </w:rPr>
        <w:t>7.1</w:t>
      </w:r>
      <w:bookmarkEnd w:id="584"/>
      <w:bookmarkEnd w:id="585"/>
      <w:bookmarkEnd w:id="586"/>
      <w:bookmarkEnd w:id="587"/>
      <w:bookmarkEnd w:id="588"/>
      <w:bookmarkEnd w:id="589"/>
      <w:bookmarkEnd w:id="590"/>
      <w:bookmarkEnd w:id="591"/>
      <w:r>
        <w:rPr>
          <w:rFonts w:hint="eastAsia" w:eastAsia="仿宋"/>
          <w:color w:val="auto"/>
          <w:sz w:val="24"/>
          <w:highlight w:val="none"/>
          <w:lang w:eastAsia="zh-CN"/>
        </w:rPr>
        <w:t xml:space="preserve"> 确定中标人</w:t>
      </w:r>
    </w:p>
    <w:p w14:paraId="5F30C8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7.1.1 按照投标人须知前附表规定，采购人或采购人授权评标委员会</w:t>
      </w:r>
      <w:r>
        <w:rPr>
          <w:rFonts w:hint="eastAsia" w:ascii="宋体" w:hAnsi="宋体" w:eastAsia="仿宋" w:cs="宋体"/>
          <w:color w:val="auto"/>
          <w:kern w:val="0"/>
          <w:sz w:val="24"/>
          <w:highlight w:val="none"/>
        </w:rPr>
        <w:t>在评标报告确定的中标候选人名单中按顺序确定中标人。</w:t>
      </w:r>
    </w:p>
    <w:p w14:paraId="11DB0D4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7.1.2 采购人确定中标人后，按投标人须知前附表规定的方式与内容公告中标结果。</w:t>
      </w:r>
    </w:p>
    <w:p w14:paraId="4C8D2291">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7.2</w:t>
      </w:r>
      <w:bookmarkStart w:id="604" w:name="_Toc349730880"/>
      <w:bookmarkStart w:id="605" w:name="_Toc371415957"/>
      <w:bookmarkStart w:id="606" w:name="_Toc445554730"/>
      <w:bookmarkStart w:id="607" w:name="_Toc362252686"/>
      <w:bookmarkStart w:id="608" w:name="_Toc455587256"/>
      <w:bookmarkStart w:id="609" w:name="_Toc458504855"/>
      <w:bookmarkStart w:id="610" w:name="_Toc455587072"/>
      <w:bookmarkStart w:id="611" w:name="_Toc466024537"/>
      <w:r>
        <w:rPr>
          <w:rFonts w:hint="eastAsia" w:eastAsia="仿宋"/>
          <w:color w:val="auto"/>
          <w:sz w:val="24"/>
          <w:highlight w:val="none"/>
          <w:lang w:eastAsia="zh-CN"/>
        </w:rPr>
        <w:t xml:space="preserve"> 中标通知</w:t>
      </w:r>
      <w:bookmarkEnd w:id="604"/>
      <w:bookmarkEnd w:id="605"/>
      <w:bookmarkEnd w:id="606"/>
      <w:bookmarkEnd w:id="607"/>
      <w:bookmarkEnd w:id="608"/>
      <w:bookmarkEnd w:id="609"/>
      <w:bookmarkEnd w:id="610"/>
      <w:bookmarkEnd w:id="611"/>
    </w:p>
    <w:p w14:paraId="36ABC96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7.2.1 中标结果确定后，采购人以书面形式向中标人发出中标通知书。</w:t>
      </w:r>
    </w:p>
    <w:p w14:paraId="6574CA6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7.2.2 中标人须按投标人须知前附表规定向采购代理机构支付招标代理服务费，其计取标准见投标人须知前附表。</w:t>
      </w:r>
    </w:p>
    <w:p w14:paraId="37330E5C">
      <w:pPr>
        <w:pStyle w:val="4"/>
        <w:adjustRightInd w:val="0"/>
        <w:ind w:firstLine="482" w:firstLineChars="200"/>
        <w:rPr>
          <w:rFonts w:eastAsia="仿宋"/>
          <w:color w:val="auto"/>
          <w:sz w:val="24"/>
          <w:highlight w:val="none"/>
          <w:lang w:eastAsia="zh-CN"/>
        </w:rPr>
      </w:pPr>
      <w:bookmarkStart w:id="612" w:name="_Toc455587257"/>
      <w:bookmarkStart w:id="613" w:name="_Toc445554731"/>
      <w:bookmarkStart w:id="614" w:name="_Toc455587073"/>
      <w:bookmarkStart w:id="615" w:name="_Toc349730881"/>
      <w:bookmarkStart w:id="616" w:name="_Toc371415958"/>
      <w:bookmarkStart w:id="617" w:name="_Toc362252687"/>
      <w:bookmarkStart w:id="618" w:name="_Toc458504856"/>
      <w:bookmarkStart w:id="619" w:name="_Toc466024538"/>
      <w:r>
        <w:rPr>
          <w:rFonts w:hint="eastAsia" w:eastAsia="仿宋"/>
          <w:color w:val="auto"/>
          <w:sz w:val="24"/>
          <w:highlight w:val="none"/>
          <w:lang w:eastAsia="zh-CN"/>
        </w:rPr>
        <w:t>7.3 履约</w:t>
      </w:r>
      <w:bookmarkEnd w:id="612"/>
      <w:bookmarkEnd w:id="613"/>
      <w:bookmarkEnd w:id="614"/>
      <w:bookmarkEnd w:id="615"/>
      <w:bookmarkEnd w:id="616"/>
      <w:bookmarkEnd w:id="617"/>
      <w:bookmarkEnd w:id="618"/>
      <w:bookmarkEnd w:id="619"/>
      <w:r>
        <w:rPr>
          <w:rFonts w:hint="eastAsia" w:eastAsia="仿宋"/>
          <w:color w:val="auto"/>
          <w:sz w:val="24"/>
          <w:highlight w:val="none"/>
          <w:lang w:eastAsia="zh-CN"/>
        </w:rPr>
        <w:t>保证金</w:t>
      </w:r>
    </w:p>
    <w:p w14:paraId="6E2E548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.1</w:t>
      </w:r>
      <w:r>
        <w:rPr>
          <w:rFonts w:hint="eastAsia" w:ascii="宋体" w:hAnsi="宋体" w:eastAsia="仿宋"/>
          <w:color w:val="auto"/>
          <w:sz w:val="24"/>
          <w:highlight w:val="none"/>
        </w:rPr>
        <w:t xml:space="preserve"> 在签订合同前，中标人应按投标人须知前附表规定的金额、形式向采购人提交履约保证金。</w:t>
      </w:r>
      <w:r>
        <w:rPr>
          <w:rFonts w:eastAsia="仿宋"/>
          <w:color w:val="auto"/>
          <w:sz w:val="24"/>
          <w:highlight w:val="none"/>
        </w:rPr>
        <w:t>除投标人须知前附表另有规定外，履约保证金为中标合同金额的</w:t>
      </w:r>
      <w:r>
        <w:rPr>
          <w:rFonts w:hint="eastAsia" w:eastAsia="仿宋"/>
          <w:color w:val="auto"/>
          <w:sz w:val="24"/>
          <w:highlight w:val="none"/>
        </w:rPr>
        <w:t>2.5</w:t>
      </w:r>
      <w:r>
        <w:rPr>
          <w:rFonts w:eastAsia="仿宋"/>
          <w:color w:val="auto"/>
          <w:sz w:val="24"/>
          <w:highlight w:val="none"/>
        </w:rPr>
        <w:t>%。联合体中标的，其履约保证金以联合体各方或者联合体中牵头人的名义提交。</w:t>
      </w:r>
    </w:p>
    <w:p w14:paraId="639C41F3">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7.3</w:t>
      </w:r>
      <w:r>
        <w:rPr>
          <w:rFonts w:ascii="宋体" w:hAnsi="宋体" w:eastAsia="仿宋"/>
          <w:color w:val="auto"/>
          <w:sz w:val="24"/>
          <w:highlight w:val="none"/>
        </w:rPr>
        <w:t>.2</w:t>
      </w:r>
      <w:r>
        <w:rPr>
          <w:rFonts w:hint="eastAsia" w:ascii="宋体" w:hAnsi="宋体" w:eastAsia="仿宋"/>
          <w:color w:val="auto"/>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2CF3B8DC">
      <w:pPr>
        <w:pStyle w:val="4"/>
        <w:adjustRightInd w:val="0"/>
        <w:ind w:firstLine="482" w:firstLineChars="200"/>
        <w:rPr>
          <w:rFonts w:eastAsia="仿宋"/>
          <w:color w:val="auto"/>
          <w:sz w:val="24"/>
          <w:highlight w:val="none"/>
          <w:lang w:eastAsia="zh-CN"/>
        </w:rPr>
      </w:pPr>
      <w:bookmarkStart w:id="620" w:name="_Toc455587258"/>
      <w:bookmarkStart w:id="621" w:name="_Toc333599700"/>
      <w:bookmarkStart w:id="622" w:name="_Toc338943741"/>
      <w:bookmarkStart w:id="623" w:name="_Toc371415959"/>
      <w:bookmarkStart w:id="624" w:name="_Toc455587074"/>
      <w:bookmarkStart w:id="625" w:name="_Toc458504857"/>
      <w:bookmarkStart w:id="626" w:name="_Toc333600724"/>
      <w:bookmarkStart w:id="627" w:name="_Toc362252688"/>
      <w:bookmarkStart w:id="628" w:name="_Toc445554732"/>
      <w:bookmarkStart w:id="629" w:name="_Toc349730882"/>
      <w:bookmarkStart w:id="630" w:name="_Toc179632588"/>
      <w:bookmarkStart w:id="631" w:name="_Toc342294755"/>
      <w:bookmarkStart w:id="632" w:name="_Toc333587894"/>
      <w:bookmarkStart w:id="633" w:name="_Toc466024539"/>
      <w:bookmarkStart w:id="634" w:name="_Toc338944646"/>
      <w:bookmarkStart w:id="635" w:name="_Toc342296203"/>
      <w:r>
        <w:rPr>
          <w:rFonts w:hint="eastAsia" w:eastAsia="仿宋"/>
          <w:color w:val="auto"/>
          <w:sz w:val="24"/>
          <w:highlight w:val="none"/>
          <w:lang w:eastAsia="zh-CN"/>
        </w:rPr>
        <w:t>7.4 签订合同</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38F3469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.1</w:t>
      </w:r>
      <w:r>
        <w:rPr>
          <w:rFonts w:hint="eastAsia" w:ascii="宋体" w:hAnsi="宋体" w:eastAsia="仿宋"/>
          <w:color w:val="auto"/>
          <w:sz w:val="24"/>
          <w:highlight w:val="none"/>
        </w:rPr>
        <w:t xml:space="preserve"> 除投标人须知前附表另有规定外，</w:t>
      </w:r>
      <w:r>
        <w:rPr>
          <w:rFonts w:eastAsia="仿宋"/>
          <w:color w:val="auto"/>
          <w:sz w:val="24"/>
          <w:highlight w:val="none"/>
        </w:rPr>
        <w:t>采购人和中标人应当在中标通知书发出之日起</w:t>
      </w:r>
      <w:r>
        <w:rPr>
          <w:rFonts w:hint="eastAsia" w:eastAsia="仿宋"/>
          <w:color w:val="auto"/>
          <w:sz w:val="24"/>
          <w:highlight w:val="none"/>
        </w:rPr>
        <w:t>三十日内</w:t>
      </w:r>
      <w:r>
        <w:rPr>
          <w:rFonts w:eastAsia="仿宋"/>
          <w:color w:val="auto"/>
          <w:sz w:val="24"/>
          <w:highlight w:val="none"/>
        </w:rPr>
        <w:t>，根据招标文件和中标人的投标文件订立书面合同</w:t>
      </w:r>
      <w:r>
        <w:rPr>
          <w:rFonts w:hint="eastAsia" w:eastAsia="仿宋"/>
          <w:color w:val="auto"/>
          <w:sz w:val="24"/>
          <w:highlight w:val="none"/>
        </w:rPr>
        <w:t>，所签订的合同不得对招标文件确定的事项和中标人投标文件作实质性修改。</w:t>
      </w:r>
      <w:r>
        <w:rPr>
          <w:rFonts w:eastAsia="仿宋"/>
          <w:color w:val="auto"/>
          <w:sz w:val="24"/>
          <w:highlight w:val="none"/>
        </w:rPr>
        <w:t>中标人无正当理由</w:t>
      </w:r>
      <w:r>
        <w:rPr>
          <w:rFonts w:hint="eastAsia" w:eastAsia="仿宋"/>
          <w:color w:val="auto"/>
          <w:sz w:val="24"/>
          <w:highlight w:val="none"/>
        </w:rPr>
        <w:t>拒签</w:t>
      </w:r>
      <w:r>
        <w:rPr>
          <w:rFonts w:eastAsia="仿宋"/>
          <w:color w:val="auto"/>
          <w:sz w:val="24"/>
          <w:highlight w:val="none"/>
        </w:rPr>
        <w:t>合同，</w:t>
      </w:r>
      <w:r>
        <w:rPr>
          <w:rFonts w:hint="eastAsia" w:eastAsia="仿宋"/>
          <w:color w:val="auto"/>
          <w:sz w:val="24"/>
          <w:highlight w:val="none"/>
        </w:rPr>
        <w:t>包括但不限于</w:t>
      </w:r>
      <w:r>
        <w:rPr>
          <w:rFonts w:eastAsia="仿宋"/>
          <w:color w:val="auto"/>
          <w:sz w:val="24"/>
          <w:highlight w:val="none"/>
        </w:rPr>
        <w:t>在签订合同时向采购人提出</w:t>
      </w:r>
      <w:r>
        <w:rPr>
          <w:rFonts w:hint="eastAsia" w:eastAsia="仿宋"/>
          <w:color w:val="auto"/>
          <w:sz w:val="24"/>
          <w:highlight w:val="none"/>
        </w:rPr>
        <w:t>非法的附加条件</w:t>
      </w:r>
      <w:r>
        <w:rPr>
          <w:rFonts w:eastAsia="仿宋"/>
          <w:color w:val="auto"/>
          <w:sz w:val="24"/>
          <w:highlight w:val="none"/>
        </w:rPr>
        <w:t>，其投标保证金不予退还；给采购人造成的损失超过投标保证金数额的，中标人还应当对超过部分予以赔偿。</w:t>
      </w:r>
    </w:p>
    <w:p w14:paraId="0E081D7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7.4</w:t>
      </w:r>
      <w:r>
        <w:rPr>
          <w:rFonts w:ascii="宋体" w:hAnsi="宋体" w:eastAsia="仿宋"/>
          <w:color w:val="auto"/>
          <w:sz w:val="24"/>
          <w:highlight w:val="none"/>
        </w:rPr>
        <w:t>.2</w:t>
      </w:r>
      <w:r>
        <w:rPr>
          <w:rFonts w:hint="eastAsia" w:ascii="宋体" w:hAnsi="宋体" w:eastAsia="仿宋"/>
          <w:color w:val="auto"/>
          <w:sz w:val="24"/>
          <w:highlight w:val="none"/>
        </w:rPr>
        <w:t xml:space="preserve"> 因中标人原因未签订合同的，采购人可以按照评审报告推荐的中标候选人名单排序，确定下一候选人为中标人，也可以重新开展政府采购活动。</w:t>
      </w:r>
    </w:p>
    <w:p w14:paraId="4E7A00C9">
      <w:pPr>
        <w:widowControl/>
        <w:adjustRightInd w:val="0"/>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7.</w:t>
      </w:r>
      <w:r>
        <w:rPr>
          <w:rFonts w:hint="eastAsia" w:ascii="宋体" w:hAnsi="宋体" w:eastAsia="仿宋"/>
          <w:color w:val="auto"/>
          <w:sz w:val="24"/>
          <w:highlight w:val="none"/>
        </w:rPr>
        <w:t>4</w:t>
      </w:r>
      <w:r>
        <w:rPr>
          <w:rFonts w:ascii="宋体" w:hAnsi="宋体" w:eastAsia="仿宋"/>
          <w:color w:val="auto"/>
          <w:sz w:val="24"/>
          <w:highlight w:val="none"/>
        </w:rPr>
        <w:t>.</w:t>
      </w:r>
      <w:r>
        <w:rPr>
          <w:rFonts w:hint="eastAsia" w:ascii="宋体" w:hAnsi="宋体" w:eastAsia="仿宋"/>
          <w:color w:val="auto"/>
          <w:sz w:val="24"/>
          <w:highlight w:val="none"/>
        </w:rPr>
        <w:t xml:space="preserve">3 </w:t>
      </w:r>
      <w:r>
        <w:rPr>
          <w:rFonts w:ascii="宋体" w:hAnsi="宋体" w:eastAsia="仿宋"/>
          <w:color w:val="auto"/>
          <w:sz w:val="24"/>
          <w:highlight w:val="none"/>
        </w:rPr>
        <w:t>联合体中标的，联合体各方应当共同与采购人签订合同，就中标项目向采购人承担连带责任。</w:t>
      </w:r>
    </w:p>
    <w:bookmarkEnd w:id="592"/>
    <w:bookmarkEnd w:id="593"/>
    <w:bookmarkEnd w:id="594"/>
    <w:bookmarkEnd w:id="595"/>
    <w:bookmarkEnd w:id="596"/>
    <w:bookmarkEnd w:id="597"/>
    <w:bookmarkEnd w:id="598"/>
    <w:bookmarkEnd w:id="599"/>
    <w:bookmarkEnd w:id="600"/>
    <w:bookmarkEnd w:id="601"/>
    <w:bookmarkEnd w:id="602"/>
    <w:bookmarkEnd w:id="603"/>
    <w:p w14:paraId="07C3A226">
      <w:pPr>
        <w:pStyle w:val="3"/>
        <w:rPr>
          <w:rStyle w:val="103"/>
          <w:rFonts w:hint="eastAsia" w:ascii="宋体" w:hAnsi="宋体" w:eastAsia="仿宋"/>
          <w:b/>
          <w:bCs/>
          <w:color w:val="auto"/>
          <w:sz w:val="24"/>
          <w:szCs w:val="24"/>
          <w:highlight w:val="none"/>
        </w:rPr>
      </w:pPr>
      <w:bookmarkStart w:id="636" w:name="_Toc458504860"/>
      <w:bookmarkStart w:id="637" w:name="_Toc455587259"/>
      <w:bookmarkStart w:id="638" w:name="_Toc455587075"/>
      <w:bookmarkStart w:id="639" w:name="_Toc466024542"/>
      <w:r>
        <w:rPr>
          <w:rStyle w:val="103"/>
          <w:rFonts w:hint="eastAsia" w:ascii="宋体" w:hAnsi="宋体" w:eastAsia="仿宋"/>
          <w:b/>
          <w:bCs/>
          <w:color w:val="auto"/>
          <w:sz w:val="24"/>
          <w:szCs w:val="24"/>
          <w:highlight w:val="none"/>
        </w:rPr>
        <w:t>8. 废标</w:t>
      </w:r>
      <w:bookmarkEnd w:id="636"/>
      <w:bookmarkEnd w:id="637"/>
      <w:bookmarkEnd w:id="638"/>
      <w:r>
        <w:rPr>
          <w:rStyle w:val="103"/>
          <w:rFonts w:hint="eastAsia" w:ascii="宋体" w:hAnsi="宋体" w:eastAsia="仿宋"/>
          <w:b/>
          <w:bCs/>
          <w:color w:val="auto"/>
          <w:sz w:val="24"/>
          <w:szCs w:val="24"/>
          <w:highlight w:val="none"/>
        </w:rPr>
        <w:t>、变更采购方式与终止招标</w:t>
      </w:r>
      <w:bookmarkEnd w:id="639"/>
    </w:p>
    <w:p w14:paraId="7786C4FD">
      <w:pPr>
        <w:pStyle w:val="4"/>
        <w:adjustRightInd w:val="0"/>
        <w:ind w:firstLine="482" w:firstLineChars="200"/>
        <w:rPr>
          <w:rFonts w:hint="eastAsia" w:eastAsia="仿宋"/>
          <w:color w:val="auto"/>
          <w:sz w:val="24"/>
          <w:highlight w:val="none"/>
          <w:lang w:eastAsia="zh-CN"/>
        </w:rPr>
      </w:pPr>
      <w:bookmarkStart w:id="640" w:name="_Toc455587076"/>
      <w:bookmarkStart w:id="641" w:name="_Toc466024543"/>
      <w:bookmarkStart w:id="642" w:name="_Toc458504861"/>
      <w:bookmarkStart w:id="643" w:name="_Toc455587260"/>
      <w:bookmarkStart w:id="644" w:name="_Toc342294757"/>
      <w:bookmarkStart w:id="645" w:name="_Toc179632590"/>
      <w:bookmarkStart w:id="646" w:name="_Toc333599702"/>
      <w:bookmarkStart w:id="647" w:name="_Toc338943743"/>
      <w:bookmarkStart w:id="648" w:name="_Toc371415961"/>
      <w:bookmarkStart w:id="649" w:name="_Toc144974540"/>
      <w:bookmarkStart w:id="650" w:name="_Toc445554734"/>
      <w:bookmarkStart w:id="651" w:name="_Toc338944648"/>
      <w:bookmarkStart w:id="652" w:name="_Toc152042348"/>
      <w:bookmarkStart w:id="653" w:name="_Toc333587896"/>
      <w:bookmarkStart w:id="654" w:name="_Toc333600726"/>
      <w:bookmarkStart w:id="655" w:name="_Toc152045572"/>
      <w:bookmarkStart w:id="656" w:name="_Toc342296205"/>
      <w:bookmarkStart w:id="657" w:name="_Toc342297662"/>
      <w:r>
        <w:rPr>
          <w:rFonts w:hint="eastAsia" w:eastAsia="仿宋"/>
          <w:color w:val="auto"/>
          <w:sz w:val="24"/>
          <w:highlight w:val="none"/>
          <w:lang w:eastAsia="zh-CN"/>
        </w:rPr>
        <w:t>8.1 废标</w:t>
      </w:r>
      <w:bookmarkEnd w:id="640"/>
      <w:bookmarkEnd w:id="641"/>
      <w:bookmarkEnd w:id="642"/>
      <w:bookmarkEnd w:id="643"/>
    </w:p>
    <w:p w14:paraId="58CE44E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8.1.1 出现下列情形之一的，应予废标：</w:t>
      </w:r>
    </w:p>
    <w:p w14:paraId="329C952B">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（1）符合专业条件的投标人或者对招标文件作实质响应的投标人不足3家的；</w:t>
      </w:r>
    </w:p>
    <w:p w14:paraId="64FE0C8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（2）出现影响采购公正的违法、违规行为的；</w:t>
      </w:r>
    </w:p>
    <w:p w14:paraId="4C41FF4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（3）投标人的报价均超过了采购预算或最高限价，采购人不能支付的；</w:t>
      </w:r>
    </w:p>
    <w:p w14:paraId="6550A09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（4）因重大变故，采购任务取消的。</w:t>
      </w:r>
    </w:p>
    <w:p w14:paraId="3B8049D0">
      <w:pPr>
        <w:pStyle w:val="4"/>
        <w:adjustRightInd w:val="0"/>
        <w:ind w:firstLine="482" w:firstLineChars="200"/>
        <w:rPr>
          <w:rFonts w:eastAsia="仿宋"/>
          <w:color w:val="auto"/>
          <w:sz w:val="24"/>
          <w:highlight w:val="none"/>
          <w:lang w:eastAsia="zh-CN"/>
        </w:rPr>
      </w:pPr>
      <w:bookmarkStart w:id="658" w:name="_Toc455587077"/>
      <w:bookmarkStart w:id="659" w:name="_Toc455587261"/>
      <w:bookmarkStart w:id="660" w:name="_Toc466024544"/>
      <w:bookmarkStart w:id="661" w:name="_Toc458504862"/>
      <w:r>
        <w:rPr>
          <w:rFonts w:hint="eastAsia" w:eastAsia="仿宋"/>
          <w:color w:val="auto"/>
          <w:sz w:val="24"/>
          <w:highlight w:val="none"/>
          <w:lang w:eastAsia="zh-CN"/>
        </w:rPr>
        <w:t>8.2</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eastAsia="仿宋"/>
          <w:color w:val="auto"/>
          <w:sz w:val="24"/>
          <w:highlight w:val="none"/>
          <w:lang w:eastAsia="zh-CN"/>
        </w:rPr>
        <w:t xml:space="preserve"> 重新招标与变更采购方式</w:t>
      </w:r>
      <w:bookmarkEnd w:id="660"/>
      <w:bookmarkEnd w:id="661"/>
    </w:p>
    <w:p w14:paraId="307A7A4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8.2.1 公开招标数额标准以上的采购项目，投标截止后投标人不足3家或者通过资格审查或符合性审查的投标人不足3家的，除采购任务取消情形外，按照以下方式处理：</w:t>
      </w:r>
    </w:p>
    <w:p w14:paraId="51D162B8">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（1）招标文件存在不合理条款或者招标程序不符合规定的，采购人、采购代理机构改正后依法重新招标；</w:t>
      </w:r>
    </w:p>
    <w:p w14:paraId="64E95D59">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（2）招标文件没有不合理条款、招标程序符合规定，需要采用其他采购方式采购的，采购人应当依法报财政部门批准。</w:t>
      </w:r>
    </w:p>
    <w:p w14:paraId="3B0564E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02A18DD3">
      <w:pPr>
        <w:pStyle w:val="4"/>
        <w:adjustRightInd w:val="0"/>
        <w:ind w:firstLine="482" w:firstLineChars="200"/>
        <w:rPr>
          <w:rFonts w:hint="eastAsia" w:eastAsia="仿宋"/>
          <w:color w:val="auto"/>
          <w:sz w:val="24"/>
          <w:highlight w:val="none"/>
          <w:lang w:eastAsia="zh-CN"/>
        </w:rPr>
      </w:pPr>
      <w:bookmarkStart w:id="662" w:name="_Toc445554736"/>
      <w:bookmarkStart w:id="663" w:name="_Toc458504863"/>
      <w:bookmarkStart w:id="664" w:name="_Toc455587262"/>
      <w:bookmarkStart w:id="665" w:name="_Toc455587078"/>
      <w:bookmarkStart w:id="666" w:name="_Toc466024545"/>
      <w:bookmarkStart w:id="667" w:name="_Toc342294759"/>
      <w:bookmarkStart w:id="668" w:name="_Toc342296207"/>
      <w:bookmarkStart w:id="669" w:name="_Toc342297664"/>
      <w:bookmarkStart w:id="670" w:name="_Toc338944650"/>
      <w:bookmarkStart w:id="671" w:name="_Toc144974542"/>
      <w:bookmarkStart w:id="672" w:name="_Toc152042350"/>
      <w:bookmarkStart w:id="673" w:name="_Toc333599704"/>
      <w:bookmarkStart w:id="674" w:name="_Toc152045574"/>
      <w:bookmarkStart w:id="675" w:name="_Toc333600728"/>
      <w:bookmarkStart w:id="676" w:name="_Toc338943745"/>
      <w:bookmarkStart w:id="677" w:name="_Toc179632592"/>
      <w:r>
        <w:rPr>
          <w:rFonts w:hint="eastAsia" w:eastAsia="仿宋"/>
          <w:color w:val="auto"/>
          <w:sz w:val="24"/>
          <w:highlight w:val="none"/>
          <w:lang w:eastAsia="zh-CN"/>
        </w:rPr>
        <w:t>8.3 终止招标</w:t>
      </w:r>
      <w:bookmarkEnd w:id="662"/>
      <w:bookmarkEnd w:id="663"/>
      <w:bookmarkEnd w:id="664"/>
      <w:bookmarkEnd w:id="665"/>
      <w:bookmarkEnd w:id="666"/>
    </w:p>
    <w:p w14:paraId="3CC5E41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因不可抗力等原因，采购人终止招标的，将及时发布公告，或者以书面形式通知被邀请的或者已经获取招标文件的潜在投标人。</w:t>
      </w:r>
    </w:p>
    <w:bookmarkEnd w:id="667"/>
    <w:bookmarkEnd w:id="668"/>
    <w:bookmarkEnd w:id="669"/>
    <w:bookmarkEnd w:id="670"/>
    <w:bookmarkEnd w:id="671"/>
    <w:bookmarkEnd w:id="672"/>
    <w:bookmarkEnd w:id="673"/>
    <w:bookmarkEnd w:id="674"/>
    <w:bookmarkEnd w:id="675"/>
    <w:bookmarkEnd w:id="676"/>
    <w:bookmarkEnd w:id="677"/>
    <w:p w14:paraId="7150EA9F">
      <w:pPr>
        <w:pStyle w:val="3"/>
        <w:rPr>
          <w:rStyle w:val="103"/>
          <w:rFonts w:hint="eastAsia" w:ascii="宋体" w:hAnsi="宋体" w:eastAsia="仿宋"/>
          <w:b/>
          <w:bCs/>
          <w:color w:val="auto"/>
          <w:sz w:val="24"/>
          <w:szCs w:val="24"/>
          <w:highlight w:val="none"/>
        </w:rPr>
      </w:pPr>
      <w:bookmarkStart w:id="678" w:name="_Toc455587079"/>
      <w:bookmarkStart w:id="679" w:name="_Toc445554737"/>
      <w:bookmarkStart w:id="680" w:name="_Toc458504864"/>
      <w:bookmarkStart w:id="681" w:name="_Toc466024546"/>
      <w:bookmarkStart w:id="682" w:name="_Toc455587263"/>
      <w:r>
        <w:rPr>
          <w:rStyle w:val="103"/>
          <w:rFonts w:hint="eastAsia" w:ascii="宋体" w:hAnsi="宋体" w:eastAsia="仿宋"/>
          <w:b/>
          <w:bCs/>
          <w:color w:val="auto"/>
          <w:sz w:val="24"/>
          <w:szCs w:val="24"/>
          <w:highlight w:val="none"/>
        </w:rPr>
        <w:t>9. 询问与质疑</w:t>
      </w:r>
    </w:p>
    <w:p w14:paraId="53566F37">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9.1 询问</w:t>
      </w:r>
    </w:p>
    <w:p w14:paraId="4C8F7F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9.1.1 投标人对政府采购活动事项有疑问的，可依法按投标人须知前附表载明的时间提出询问。</w:t>
      </w:r>
    </w:p>
    <w:p w14:paraId="0A08C90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9.1.2 采购人或采购代理机构对供应商依法提出的询问，在3个工作日内作出答复，但答复的内容不得涉及商业秘密。</w:t>
      </w:r>
    </w:p>
    <w:p w14:paraId="6662787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9.1.3 除非采购人认为确有必要答复，否则，采购人有权拒绝回复投标人在本章第9.1.1项规定的时间后的询问。</w:t>
      </w:r>
    </w:p>
    <w:p w14:paraId="64310D83">
      <w:pPr>
        <w:pStyle w:val="4"/>
        <w:adjustRightInd w:val="0"/>
        <w:ind w:firstLine="482" w:firstLineChars="200"/>
        <w:rPr>
          <w:rFonts w:eastAsia="仿宋"/>
          <w:color w:val="auto"/>
          <w:sz w:val="24"/>
          <w:highlight w:val="none"/>
          <w:lang w:eastAsia="zh-CN"/>
        </w:rPr>
      </w:pPr>
      <w:r>
        <w:rPr>
          <w:rFonts w:hint="eastAsia" w:eastAsia="仿宋"/>
          <w:color w:val="auto"/>
          <w:sz w:val="24"/>
          <w:highlight w:val="none"/>
          <w:lang w:eastAsia="zh-CN"/>
        </w:rPr>
        <w:t>9.2 质疑</w:t>
      </w:r>
    </w:p>
    <w:p w14:paraId="5264EA1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62B7E27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7FDD80A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9.2.2 接收质疑的联系方式见投标人须知前附表，采购人、采购代理机构在收到质疑函后7个工作日内作出答复。</w:t>
      </w:r>
    </w:p>
    <w:p w14:paraId="186AB63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1D963826">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94BEA3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4C5617B3">
      <w:pPr>
        <w:widowControl/>
        <w:adjustRightInd w:val="0"/>
        <w:snapToGrid w:val="0"/>
        <w:spacing w:line="360" w:lineRule="auto"/>
        <w:ind w:firstLine="480" w:firstLineChars="200"/>
        <w:rPr>
          <w:rFonts w:eastAsia="仿宋"/>
          <w:color w:val="auto"/>
          <w:sz w:val="24"/>
          <w:highlight w:val="none"/>
        </w:rPr>
      </w:pPr>
      <w:r>
        <w:rPr>
          <w:rFonts w:hint="eastAsia" w:ascii="宋体" w:hAnsi="宋体" w:eastAsia="仿宋"/>
          <w:color w:val="auto"/>
          <w:sz w:val="24"/>
          <w:highlight w:val="none"/>
        </w:rPr>
        <w:t xml:space="preserve">9.2.6 </w:t>
      </w:r>
      <w:r>
        <w:rPr>
          <w:rFonts w:eastAsia="仿宋"/>
          <w:color w:val="auto"/>
          <w:sz w:val="24"/>
          <w:highlight w:val="none"/>
        </w:rPr>
        <w:t>提出质疑的</w:t>
      </w:r>
      <w:r>
        <w:rPr>
          <w:rFonts w:hint="eastAsia" w:eastAsia="仿宋"/>
          <w:color w:val="auto"/>
          <w:sz w:val="24"/>
          <w:highlight w:val="none"/>
        </w:rPr>
        <w:t>投标人</w:t>
      </w:r>
      <w:r>
        <w:rPr>
          <w:rFonts w:eastAsia="仿宋"/>
          <w:color w:val="auto"/>
          <w:sz w:val="24"/>
          <w:highlight w:val="none"/>
        </w:rPr>
        <w:t>应当是参与所质疑项目采购活动的</w:t>
      </w:r>
      <w:r>
        <w:rPr>
          <w:rFonts w:hint="eastAsia" w:eastAsia="仿宋"/>
          <w:color w:val="auto"/>
          <w:sz w:val="24"/>
          <w:highlight w:val="none"/>
        </w:rPr>
        <w:t>投标人</w:t>
      </w:r>
      <w:r>
        <w:rPr>
          <w:rFonts w:eastAsia="仿宋"/>
          <w:color w:val="auto"/>
          <w:sz w:val="24"/>
          <w:highlight w:val="none"/>
        </w:rPr>
        <w:t>。潜在</w:t>
      </w:r>
      <w:r>
        <w:rPr>
          <w:rFonts w:hint="eastAsia" w:eastAsia="仿宋"/>
          <w:color w:val="auto"/>
          <w:sz w:val="24"/>
          <w:highlight w:val="none"/>
        </w:rPr>
        <w:t>投标人</w:t>
      </w:r>
      <w:r>
        <w:rPr>
          <w:rFonts w:eastAsia="仿宋"/>
          <w:color w:val="auto"/>
          <w:sz w:val="24"/>
          <w:highlight w:val="none"/>
        </w:rPr>
        <w:t>已依法获取其可质疑的</w:t>
      </w:r>
      <w:r>
        <w:rPr>
          <w:rFonts w:hint="eastAsia" w:eastAsia="仿宋"/>
          <w:color w:val="auto"/>
          <w:sz w:val="24"/>
          <w:highlight w:val="none"/>
        </w:rPr>
        <w:t>招标</w:t>
      </w:r>
      <w:r>
        <w:rPr>
          <w:rFonts w:eastAsia="仿宋"/>
          <w:color w:val="auto"/>
          <w:sz w:val="24"/>
          <w:highlight w:val="none"/>
        </w:rPr>
        <w:t>文件的，可以对</w:t>
      </w:r>
      <w:r>
        <w:rPr>
          <w:rFonts w:hint="eastAsia" w:eastAsia="仿宋"/>
          <w:color w:val="auto"/>
          <w:sz w:val="24"/>
          <w:highlight w:val="none"/>
        </w:rPr>
        <w:t>招标</w:t>
      </w:r>
      <w:r>
        <w:rPr>
          <w:rFonts w:eastAsia="仿宋"/>
          <w:color w:val="auto"/>
          <w:sz w:val="24"/>
          <w:highlight w:val="none"/>
        </w:rPr>
        <w:t>文件提出</w:t>
      </w:r>
      <w:r>
        <w:rPr>
          <w:rFonts w:hint="eastAsia" w:eastAsia="仿宋"/>
          <w:color w:val="auto"/>
          <w:sz w:val="24"/>
          <w:highlight w:val="none"/>
        </w:rPr>
        <w:t>质疑</w:t>
      </w:r>
      <w:r>
        <w:rPr>
          <w:rFonts w:eastAsia="仿宋"/>
          <w:color w:val="auto"/>
          <w:sz w:val="24"/>
          <w:highlight w:val="none"/>
        </w:rPr>
        <w:t>。</w:t>
      </w:r>
    </w:p>
    <w:p w14:paraId="576DE504">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9.2.7 质疑材料存在以下情形的，采购人、采购代理机构不予受理。</w:t>
      </w:r>
    </w:p>
    <w:p w14:paraId="15FF94C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（1）提起质疑的主体不是参与该政府采购项目活动的供应商；</w:t>
      </w:r>
    </w:p>
    <w:p w14:paraId="0ECA183E">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（2）提起质疑的时间超过规定时限的；</w:t>
      </w:r>
    </w:p>
    <w:p w14:paraId="7F9DAF0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（3）质疑材料不完整的；</w:t>
      </w:r>
    </w:p>
    <w:p w14:paraId="76F2FFE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（4）质疑事项含有主观猜测等内容且未提供充分有效线索、难以查证的；</w:t>
      </w:r>
    </w:p>
    <w:p w14:paraId="057301B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（5）质疑</w:t>
      </w:r>
      <w:r>
        <w:rPr>
          <w:rFonts w:ascii="宋体" w:hAnsi="宋体" w:eastAsia="仿宋"/>
          <w:color w:val="auto"/>
          <w:sz w:val="24"/>
          <w:highlight w:val="none"/>
        </w:rPr>
        <w:t>事项缺乏事实依据，</w:t>
      </w:r>
      <w:r>
        <w:rPr>
          <w:rFonts w:hint="eastAsia" w:ascii="宋体" w:hAnsi="宋体" w:eastAsia="仿宋"/>
          <w:color w:val="auto"/>
          <w:sz w:val="24"/>
          <w:highlight w:val="none"/>
        </w:rPr>
        <w:t>质疑</w:t>
      </w:r>
      <w:r>
        <w:rPr>
          <w:rFonts w:ascii="宋体" w:hAnsi="宋体" w:eastAsia="仿宋"/>
          <w:color w:val="auto"/>
          <w:sz w:val="24"/>
          <w:highlight w:val="none"/>
        </w:rPr>
        <w:t>事项不成立</w:t>
      </w:r>
      <w:r>
        <w:rPr>
          <w:rFonts w:hint="eastAsia" w:ascii="宋体" w:hAnsi="宋体" w:eastAsia="仿宋"/>
          <w:color w:val="auto"/>
          <w:sz w:val="24"/>
          <w:highlight w:val="none"/>
        </w:rPr>
        <w:t>的；</w:t>
      </w:r>
    </w:p>
    <w:p w14:paraId="388EDC9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（6）</w:t>
      </w:r>
      <w:r>
        <w:rPr>
          <w:rFonts w:ascii="宋体" w:hAnsi="宋体" w:eastAsia="仿宋"/>
          <w:color w:val="auto"/>
          <w:sz w:val="24"/>
          <w:highlight w:val="none"/>
        </w:rPr>
        <w:t>捏造事实或者提供虚假材料；</w:t>
      </w:r>
    </w:p>
    <w:p w14:paraId="36E7D0A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（7）</w:t>
      </w:r>
      <w:r>
        <w:rPr>
          <w:rFonts w:ascii="宋体" w:hAnsi="宋体" w:eastAsia="仿宋"/>
          <w:color w:val="auto"/>
          <w:sz w:val="24"/>
          <w:highlight w:val="none"/>
        </w:rPr>
        <w:t>以非法手段取得证明材料。</w:t>
      </w:r>
      <w:r>
        <w:rPr>
          <w:rFonts w:hint="eastAsia" w:ascii="宋体" w:hAnsi="宋体" w:eastAsia="仿宋"/>
          <w:color w:val="auto"/>
          <w:sz w:val="24"/>
          <w:highlight w:val="none"/>
        </w:rPr>
        <w:t>证明材料</w:t>
      </w:r>
      <w:r>
        <w:rPr>
          <w:rFonts w:ascii="宋体" w:hAnsi="宋体" w:eastAsia="仿宋"/>
          <w:color w:val="auto"/>
          <w:sz w:val="24"/>
          <w:highlight w:val="none"/>
        </w:rPr>
        <w:t>来源的合法性存在明显疑问，</w:t>
      </w:r>
      <w:r>
        <w:rPr>
          <w:rFonts w:hint="eastAsia" w:ascii="宋体" w:hAnsi="宋体" w:eastAsia="仿宋"/>
          <w:color w:val="auto"/>
          <w:sz w:val="24"/>
          <w:highlight w:val="none"/>
        </w:rPr>
        <w:t>质疑</w:t>
      </w:r>
      <w:r>
        <w:rPr>
          <w:rFonts w:ascii="宋体" w:hAnsi="宋体" w:eastAsia="仿宋"/>
          <w:color w:val="auto"/>
          <w:sz w:val="24"/>
          <w:highlight w:val="none"/>
        </w:rPr>
        <w:t>人无法证明其取得方式合法的，视为以非法手段取得证明材料</w:t>
      </w:r>
      <w:r>
        <w:rPr>
          <w:rFonts w:hint="eastAsia" w:ascii="宋体" w:hAnsi="宋体" w:eastAsia="仿宋"/>
          <w:color w:val="auto"/>
          <w:sz w:val="24"/>
          <w:highlight w:val="none"/>
        </w:rPr>
        <w:t>；</w:t>
      </w:r>
    </w:p>
    <w:p w14:paraId="7E375F79">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（8）对其他投标人的投标文件详细内容质疑，无法提供合法来源渠道的。</w:t>
      </w:r>
    </w:p>
    <w:p w14:paraId="266DDB7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9.2.8 质疑人在答复期满前撤回质疑的，应由法定代表人或授权代表人签字确认。质疑人不得以同一理由再次提出质疑。</w:t>
      </w:r>
    </w:p>
    <w:p w14:paraId="3AECFE00">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9.2.9 因处理质疑发生的检验、检测、鉴定等费用，</w:t>
      </w:r>
      <w:r>
        <w:rPr>
          <w:rFonts w:ascii="宋体" w:hAnsi="宋体" w:eastAsia="仿宋"/>
          <w:color w:val="auto"/>
          <w:sz w:val="24"/>
          <w:highlight w:val="none"/>
        </w:rPr>
        <w:t>由提出申请的</w:t>
      </w:r>
      <w:r>
        <w:rPr>
          <w:rFonts w:hint="eastAsia" w:ascii="宋体" w:hAnsi="宋体" w:eastAsia="仿宋"/>
          <w:color w:val="auto"/>
          <w:sz w:val="24"/>
          <w:highlight w:val="none"/>
        </w:rPr>
        <w:t>投标人</w:t>
      </w:r>
      <w:r>
        <w:rPr>
          <w:rFonts w:ascii="宋体" w:hAnsi="宋体" w:eastAsia="仿宋"/>
          <w:color w:val="auto"/>
          <w:sz w:val="24"/>
          <w:highlight w:val="none"/>
        </w:rPr>
        <w:t>先行垫付。</w:t>
      </w:r>
      <w:r>
        <w:rPr>
          <w:rFonts w:hint="eastAsia" w:ascii="宋体" w:hAnsi="宋体" w:eastAsia="仿宋"/>
          <w:color w:val="auto"/>
          <w:sz w:val="24"/>
          <w:highlight w:val="none"/>
        </w:rPr>
        <w:t>质疑处理决定各方无异议</w:t>
      </w:r>
      <w:r>
        <w:rPr>
          <w:rFonts w:ascii="宋体" w:hAnsi="宋体" w:eastAsia="仿宋"/>
          <w:color w:val="auto"/>
          <w:sz w:val="24"/>
          <w:highlight w:val="none"/>
        </w:rPr>
        <w:t>后，按照</w:t>
      </w:r>
      <w:r>
        <w:rPr>
          <w:rFonts w:hint="eastAsia" w:ascii="宋体" w:hAnsi="宋体" w:eastAsia="仿宋"/>
          <w:color w:val="auto"/>
          <w:sz w:val="24"/>
          <w:highlight w:val="none"/>
        </w:rPr>
        <w:t>“</w:t>
      </w:r>
      <w:r>
        <w:rPr>
          <w:rFonts w:ascii="宋体" w:hAnsi="宋体" w:eastAsia="仿宋"/>
          <w:color w:val="auto"/>
          <w:sz w:val="24"/>
          <w:highlight w:val="none"/>
        </w:rPr>
        <w:t>谁过错谁负担</w:t>
      </w:r>
      <w:r>
        <w:rPr>
          <w:rFonts w:hint="eastAsia" w:ascii="宋体" w:hAnsi="宋体" w:eastAsia="仿宋"/>
          <w:color w:val="auto"/>
          <w:sz w:val="24"/>
          <w:highlight w:val="none"/>
        </w:rPr>
        <w:t>”</w:t>
      </w:r>
      <w:r>
        <w:rPr>
          <w:rFonts w:ascii="宋体" w:hAnsi="宋体" w:eastAsia="仿宋"/>
          <w:color w:val="auto"/>
          <w:sz w:val="24"/>
          <w:highlight w:val="none"/>
        </w:rPr>
        <w:t>的原则由承担责任的一方负担；双方都有责任的，由双方合理分担。</w:t>
      </w:r>
    </w:p>
    <w:p w14:paraId="5FE0C60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192AC7FA">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（1）一年内三次以上质疑均查无实据的；</w:t>
      </w:r>
    </w:p>
    <w:p w14:paraId="5B64102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（2）捏造事实或者提供虚假质疑材料的；</w:t>
      </w:r>
    </w:p>
    <w:p w14:paraId="444336BD">
      <w:pPr>
        <w:widowControl/>
        <w:adjustRightInd w:val="0"/>
        <w:snapToGrid w:val="0"/>
        <w:spacing w:line="360" w:lineRule="auto"/>
        <w:ind w:firstLine="480" w:firstLineChars="200"/>
        <w:rPr>
          <w:rFonts w:hint="eastAsia"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以非法手段取</w:t>
      </w:r>
      <w:r>
        <w:rPr>
          <w:rFonts w:eastAsia="仿宋"/>
          <w:color w:val="auto"/>
          <w:sz w:val="24"/>
          <w:highlight w:val="none"/>
        </w:rPr>
        <w:t>得证明材料。</w:t>
      </w:r>
      <w:r>
        <w:rPr>
          <w:rFonts w:hint="eastAsia" w:eastAsia="仿宋"/>
          <w:color w:val="auto"/>
          <w:sz w:val="24"/>
          <w:highlight w:val="none"/>
        </w:rPr>
        <w:t>证明材料</w:t>
      </w:r>
      <w:r>
        <w:rPr>
          <w:rFonts w:eastAsia="仿宋"/>
          <w:color w:val="auto"/>
          <w:sz w:val="24"/>
          <w:highlight w:val="none"/>
        </w:rPr>
        <w:t>来源的合法性存在明显疑问，</w:t>
      </w:r>
      <w:r>
        <w:rPr>
          <w:rFonts w:hint="eastAsia" w:eastAsia="仿宋"/>
          <w:color w:val="auto"/>
          <w:sz w:val="24"/>
          <w:highlight w:val="none"/>
        </w:rPr>
        <w:t>质疑</w:t>
      </w:r>
      <w:r>
        <w:rPr>
          <w:rFonts w:eastAsia="仿宋"/>
          <w:color w:val="auto"/>
          <w:sz w:val="24"/>
          <w:highlight w:val="none"/>
        </w:rPr>
        <w:t>人无法证明其取得方式</w:t>
      </w:r>
      <w:r>
        <w:rPr>
          <w:rFonts w:ascii="宋体" w:hAnsi="宋体" w:eastAsia="仿宋"/>
          <w:color w:val="auto"/>
          <w:sz w:val="24"/>
          <w:highlight w:val="none"/>
        </w:rPr>
        <w:t>合法的，视为以非法手段取得证明材料</w:t>
      </w:r>
      <w:r>
        <w:rPr>
          <w:rFonts w:hint="eastAsia" w:ascii="宋体" w:hAnsi="宋体" w:eastAsia="仿宋"/>
          <w:color w:val="auto"/>
          <w:sz w:val="24"/>
          <w:highlight w:val="none"/>
        </w:rPr>
        <w:t>。</w:t>
      </w:r>
    </w:p>
    <w:p w14:paraId="1BB0BEF1">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10. 纪律和监督</w:t>
      </w:r>
      <w:bookmarkEnd w:id="678"/>
      <w:bookmarkEnd w:id="679"/>
      <w:bookmarkEnd w:id="680"/>
      <w:bookmarkEnd w:id="681"/>
      <w:bookmarkEnd w:id="682"/>
    </w:p>
    <w:p w14:paraId="33495252">
      <w:pPr>
        <w:pStyle w:val="4"/>
        <w:adjustRightInd w:val="0"/>
        <w:ind w:firstLine="482" w:firstLineChars="200"/>
        <w:rPr>
          <w:rFonts w:eastAsia="仿宋"/>
          <w:color w:val="auto"/>
          <w:sz w:val="24"/>
          <w:highlight w:val="none"/>
          <w:lang w:eastAsia="zh-CN"/>
        </w:rPr>
      </w:pPr>
      <w:bookmarkStart w:id="683" w:name="_Toc458504865"/>
      <w:bookmarkStart w:id="684" w:name="_Toc333600729"/>
      <w:bookmarkStart w:id="685" w:name="_Toc466024547"/>
      <w:bookmarkStart w:id="686" w:name="_Toc152045575"/>
      <w:bookmarkStart w:id="687" w:name="_Toc342296208"/>
      <w:bookmarkStart w:id="688" w:name="_Toc342294760"/>
      <w:bookmarkStart w:id="689" w:name="_Toc371415965"/>
      <w:bookmarkStart w:id="690" w:name="_Toc333599705"/>
      <w:bookmarkStart w:id="691" w:name="_Toc445554738"/>
      <w:bookmarkStart w:id="692" w:name="_Toc338944651"/>
      <w:bookmarkStart w:id="693" w:name="_Toc144974543"/>
      <w:bookmarkStart w:id="694" w:name="_Toc179632593"/>
      <w:bookmarkStart w:id="695" w:name="_Toc152042351"/>
      <w:bookmarkStart w:id="696" w:name="_Toc338943746"/>
      <w:bookmarkStart w:id="697" w:name="_Toc333587899"/>
      <w:bookmarkStart w:id="698" w:name="_Toc455587080"/>
      <w:bookmarkStart w:id="699" w:name="_Toc342297665"/>
      <w:bookmarkStart w:id="700" w:name="_Toc455587264"/>
      <w:r>
        <w:rPr>
          <w:rFonts w:hint="eastAsia" w:eastAsia="仿宋"/>
          <w:color w:val="auto"/>
          <w:sz w:val="24"/>
          <w:highlight w:val="none"/>
          <w:lang w:eastAsia="zh-CN"/>
        </w:rPr>
        <w:t>10.1 对采购人的纪律要求</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01B651A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采购人不得泄露招标投标活动中应当保密的情况和资料，不得与投标人串通损害国家利益、社会公共利益或者他人合法权益。</w:t>
      </w:r>
    </w:p>
    <w:p w14:paraId="08E1F33E">
      <w:pPr>
        <w:pStyle w:val="4"/>
        <w:adjustRightInd w:val="0"/>
        <w:ind w:firstLine="482" w:firstLineChars="200"/>
        <w:rPr>
          <w:rFonts w:eastAsia="仿宋"/>
          <w:color w:val="auto"/>
          <w:sz w:val="24"/>
          <w:highlight w:val="none"/>
          <w:lang w:eastAsia="zh-CN"/>
        </w:rPr>
      </w:pPr>
      <w:bookmarkStart w:id="701" w:name="_Toc342296209"/>
      <w:bookmarkStart w:id="702" w:name="_Toc371415966"/>
      <w:bookmarkStart w:id="703" w:name="_Toc458504866"/>
      <w:bookmarkStart w:id="704" w:name="_Toc445554739"/>
      <w:bookmarkStart w:id="705" w:name="_Toc466024548"/>
      <w:bookmarkStart w:id="706" w:name="_Toc338943747"/>
      <w:bookmarkStart w:id="707" w:name="_Toc152045576"/>
      <w:bookmarkStart w:id="708" w:name="_Toc455587265"/>
      <w:bookmarkStart w:id="709" w:name="_Toc152042352"/>
      <w:bookmarkStart w:id="710" w:name="_Toc144974544"/>
      <w:bookmarkStart w:id="711" w:name="_Toc333599706"/>
      <w:bookmarkStart w:id="712" w:name="_Toc333600730"/>
      <w:bookmarkStart w:id="713" w:name="_Toc342297666"/>
      <w:bookmarkStart w:id="714" w:name="_Toc333587900"/>
      <w:bookmarkStart w:id="715" w:name="_Toc342294761"/>
      <w:bookmarkStart w:id="716" w:name="_Toc338944652"/>
      <w:bookmarkStart w:id="717" w:name="_Toc179632594"/>
      <w:bookmarkStart w:id="718" w:name="_Toc455587081"/>
      <w:r>
        <w:rPr>
          <w:rFonts w:hint="eastAsia" w:eastAsia="仿宋"/>
          <w:color w:val="auto"/>
          <w:sz w:val="24"/>
          <w:highlight w:val="none"/>
          <w:lang w:eastAsia="zh-CN"/>
        </w:rPr>
        <w:t>10.2 对投标人的纪律要求</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5714CE5F">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3CEECCEA">
      <w:pPr>
        <w:pStyle w:val="3"/>
        <w:rPr>
          <w:rStyle w:val="103"/>
          <w:rFonts w:hint="eastAsia" w:ascii="宋体" w:hAnsi="宋体" w:eastAsia="仿宋"/>
          <w:b/>
          <w:bCs/>
          <w:color w:val="auto"/>
          <w:sz w:val="24"/>
          <w:szCs w:val="24"/>
          <w:highlight w:val="none"/>
        </w:rPr>
      </w:pPr>
      <w:bookmarkStart w:id="719" w:name="_Toc144974547"/>
      <w:bookmarkStart w:id="720" w:name="_Toc333600734"/>
      <w:bookmarkStart w:id="721" w:name="_Toc466024552"/>
      <w:bookmarkStart w:id="722" w:name="_Toc338943751"/>
      <w:bookmarkStart w:id="723" w:name="_Toc458504870"/>
      <w:bookmarkStart w:id="724" w:name="_Toc333599710"/>
      <w:bookmarkStart w:id="725" w:name="_Toc152042357"/>
      <w:bookmarkStart w:id="726" w:name="_Toc445554743"/>
      <w:bookmarkStart w:id="727" w:name="_Toc455587269"/>
      <w:bookmarkStart w:id="728" w:name="_Toc338944656"/>
      <w:bookmarkStart w:id="729" w:name="_Toc152045580"/>
      <w:bookmarkStart w:id="730" w:name="_Toc342297670"/>
      <w:bookmarkStart w:id="731" w:name="_Toc179632598"/>
      <w:bookmarkStart w:id="732" w:name="_Toc455587085"/>
      <w:bookmarkStart w:id="733" w:name="_Toc342294765"/>
      <w:bookmarkStart w:id="734" w:name="_Toc342296213"/>
      <w:bookmarkStart w:id="735" w:name="_Toc371415963"/>
      <w:r>
        <w:rPr>
          <w:rStyle w:val="103"/>
          <w:rFonts w:hint="eastAsia" w:ascii="宋体" w:hAnsi="宋体" w:eastAsia="仿宋"/>
          <w:b/>
          <w:bCs/>
          <w:color w:val="auto"/>
          <w:sz w:val="24"/>
          <w:szCs w:val="24"/>
          <w:highlight w:val="none"/>
        </w:rPr>
        <w:t>11. 政府采购政策</w:t>
      </w:r>
    </w:p>
    <w:p w14:paraId="10B92114">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11.1 节能与环保</w:t>
      </w:r>
    </w:p>
    <w:p w14:paraId="4E5BDB44">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61480FDA">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706B271D">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11.2 促进中小企业发展</w:t>
      </w:r>
    </w:p>
    <w:p w14:paraId="41ACE6D0">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11.2.1根据《政府采购促进中小企业发展管理办法》（财库〔2020〕46号）规定，投标人提供的货物、工程或者服务符合下列情形的，享受本条规定的中小企业扶持政策：</w:t>
      </w:r>
    </w:p>
    <w:p w14:paraId="58A7BA27">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（1）在货物采购项目中，货物由中小企业制造，即货物由中小企业生产且使用该中小企业商号或者注册商标；</w:t>
      </w:r>
    </w:p>
    <w:p w14:paraId="43BFE511">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（2）在工程采购项目中，工程由中小企业承建，即工程施工单位为中小企业；</w:t>
      </w:r>
    </w:p>
    <w:p w14:paraId="6CF59EBB">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（3）在服务采购项目中，服务由中小企业承接，即提供服务的人员为中小企业依照《中华人民共和国劳动合同法》订立劳动合同的从业人员。</w:t>
      </w:r>
    </w:p>
    <w:p w14:paraId="3D8B9BBC">
      <w:pPr>
        <w:widowControl/>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在货物采购项目中，供应商提供的货物既有中小企业制造货物，也有大型企业制造货物的，不享受本条规定的中小企业扶持政策。</w:t>
      </w:r>
    </w:p>
    <w:p w14:paraId="41125145">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以联合体形式参加政府采购活动（如接受联合体投标时），联合体各方均为中小企业的，联合体视同中小企业。其中，联合体各方均为小微企业的，联合体视同小微企业。</w:t>
      </w:r>
    </w:p>
    <w:p w14:paraId="1FD5E7F6">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中小企业应当在投标文件中提供招标文件规定格式的《中小企业声明函》，并对其真实性负责。</w:t>
      </w:r>
    </w:p>
    <w:p w14:paraId="4A782205">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中小企业划型标准见工信部联企业〔2011〕300号文件。</w:t>
      </w:r>
    </w:p>
    <w:p w14:paraId="5FC225BD">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11.2.2投标人须知前附表第1.1.7项规定本项目属于专门面向中小企业（含中型、小型、微型企业，下同）采购的，投标人应符合本章第11.2.1项规定外，还应符合本项目的资格要求。</w:t>
      </w:r>
    </w:p>
    <w:p w14:paraId="67F6171F">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11.2.3</w:t>
      </w:r>
      <w:r>
        <w:rPr>
          <w:rFonts w:hint="eastAsia" w:ascii="宋体" w:hAnsi="宋体" w:eastAsia="仿宋"/>
          <w:color w:val="auto"/>
          <w:sz w:val="24"/>
          <w:highlight w:val="none"/>
        </w:rPr>
        <w:t>投标人须知前附表第1.1.7项规定</w:t>
      </w:r>
      <w:r>
        <w:rPr>
          <w:rFonts w:hint="eastAsia" w:ascii="宋体" w:hAnsi="宋体" w:eastAsia="仿宋"/>
          <w:color w:val="auto"/>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auto"/>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7EF9523C">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7CA30AF3">
      <w:pPr>
        <w:widowControl/>
        <w:adjustRightInd w:val="0"/>
        <w:snapToGrid w:val="0"/>
        <w:spacing w:line="360" w:lineRule="auto"/>
        <w:ind w:firstLine="480" w:firstLineChars="200"/>
        <w:rPr>
          <w:rFonts w:hint="eastAsia" w:ascii="宋体" w:hAnsi="宋体" w:eastAsia="仿宋"/>
          <w:color w:val="auto"/>
          <w:sz w:val="24"/>
          <w:highlight w:val="none"/>
          <w:lang w:bidi="en-US"/>
        </w:rPr>
      </w:pPr>
      <w:r>
        <w:rPr>
          <w:rFonts w:hint="eastAsia" w:ascii="宋体" w:hAnsi="宋体" w:eastAsia="仿宋"/>
          <w:color w:val="auto"/>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auto"/>
          <w:sz w:val="24"/>
          <w:highlight w:val="none"/>
        </w:rPr>
        <w:t>政府</w:t>
      </w:r>
      <w:r>
        <w:rPr>
          <w:rFonts w:hint="eastAsia" w:ascii="宋体" w:hAnsi="宋体" w:eastAsia="仿宋"/>
          <w:color w:val="auto"/>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22E1CA49">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11.2.6 监狱企业、残疾人福利性单位属于小微企业的，不重复享受中小企业价格评审优惠政策。</w:t>
      </w:r>
    </w:p>
    <w:p w14:paraId="527C418A">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11.3 采购本国货物、工程和服务</w:t>
      </w:r>
    </w:p>
    <w:p w14:paraId="7CE5E7D6">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.1 政府采购应当采购本国货物、工程和服务。但有《中华人民共和国政府采购法》第十条规定情形的除外。</w:t>
      </w:r>
    </w:p>
    <w:p w14:paraId="56594DEB">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auto"/>
          <w:sz w:val="24"/>
          <w:highlight w:val="none"/>
          <w:lang w:bidi="en-US"/>
        </w:rPr>
        <w:t>三</w:t>
      </w:r>
      <w:r>
        <w:rPr>
          <w:rFonts w:ascii="宋体" w:hAnsi="宋体" w:eastAsia="仿宋"/>
          <w:color w:val="auto"/>
          <w:sz w:val="24"/>
          <w:highlight w:val="none"/>
          <w:lang w:bidi="en-US"/>
        </w:rPr>
        <w:t>章《采购需求》。</w:t>
      </w:r>
    </w:p>
    <w:p w14:paraId="706F4334">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11</w:t>
      </w:r>
      <w:r>
        <w:rPr>
          <w:rFonts w:ascii="宋体" w:hAnsi="宋体" w:eastAsia="仿宋"/>
          <w:color w:val="auto"/>
          <w:sz w:val="24"/>
          <w:highlight w:val="none"/>
          <w:lang w:bidi="en-US"/>
        </w:rPr>
        <w:t>.</w:t>
      </w:r>
      <w:r>
        <w:rPr>
          <w:rFonts w:hint="eastAsia" w:ascii="宋体" w:hAnsi="宋体" w:eastAsia="仿宋"/>
          <w:color w:val="auto"/>
          <w:sz w:val="24"/>
          <w:highlight w:val="none"/>
          <w:lang w:bidi="en-US"/>
        </w:rPr>
        <w:t>3</w:t>
      </w:r>
      <w:r>
        <w:rPr>
          <w:rFonts w:ascii="宋体" w:hAnsi="宋体" w:eastAsia="仿宋"/>
          <w:color w:val="auto"/>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D7C6782">
      <w:pPr>
        <w:widowControl/>
        <w:adjustRightInd w:val="0"/>
        <w:snapToGrid w:val="0"/>
        <w:spacing w:line="360" w:lineRule="auto"/>
        <w:ind w:firstLine="482" w:firstLineChars="200"/>
        <w:outlineLvl w:val="2"/>
        <w:rPr>
          <w:rFonts w:hint="eastAsia" w:ascii="宋体" w:hAnsi="宋体" w:eastAsia="仿宋"/>
          <w:b/>
          <w:bCs/>
          <w:color w:val="auto"/>
          <w:kern w:val="0"/>
          <w:sz w:val="24"/>
          <w:highlight w:val="none"/>
          <w:lang w:bidi="en-US"/>
        </w:rPr>
      </w:pPr>
      <w:r>
        <w:rPr>
          <w:rFonts w:hint="eastAsia" w:ascii="宋体" w:hAnsi="宋体" w:eastAsia="仿宋"/>
          <w:b/>
          <w:bCs/>
          <w:color w:val="auto"/>
          <w:kern w:val="0"/>
          <w:sz w:val="24"/>
          <w:highlight w:val="none"/>
          <w:lang w:bidi="en-US"/>
        </w:rPr>
        <w:t>11.4 需要执行的其他政府采购政策</w:t>
      </w:r>
    </w:p>
    <w:p w14:paraId="2C09F22E">
      <w:pPr>
        <w:widowControl/>
        <w:adjustRightInd w:val="0"/>
        <w:snapToGrid w:val="0"/>
        <w:spacing w:line="360" w:lineRule="auto"/>
        <w:ind w:firstLine="480" w:firstLineChars="200"/>
        <w:rPr>
          <w:rFonts w:ascii="宋体" w:hAnsi="宋体" w:eastAsia="仿宋"/>
          <w:color w:val="auto"/>
          <w:sz w:val="24"/>
          <w:highlight w:val="none"/>
          <w:lang w:bidi="en-US"/>
        </w:rPr>
      </w:pPr>
      <w:r>
        <w:rPr>
          <w:rFonts w:hint="eastAsia" w:ascii="宋体" w:hAnsi="宋体" w:eastAsia="仿宋"/>
          <w:color w:val="auto"/>
          <w:sz w:val="24"/>
          <w:highlight w:val="none"/>
          <w:lang w:bidi="en-US"/>
        </w:rPr>
        <w:t>需要执行的其他政府采购政策：见投标人须知前附表。</w:t>
      </w:r>
    </w:p>
    <w:p w14:paraId="6D557203">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12. 需要补充的其他内容</w:t>
      </w:r>
    </w:p>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0D114897">
      <w:pPr>
        <w:widowControl/>
        <w:adjustRightInd w:val="0"/>
        <w:snapToGrid w:val="0"/>
        <w:spacing w:line="360" w:lineRule="auto"/>
        <w:ind w:firstLine="480" w:firstLineChars="200"/>
        <w:rPr>
          <w:rFonts w:hint="eastAsia" w:eastAsia="仿宋"/>
          <w:color w:val="auto"/>
          <w:sz w:val="24"/>
          <w:highlight w:val="none"/>
          <w:lang w:bidi="en-US"/>
        </w:rPr>
      </w:pPr>
      <w:bookmarkStart w:id="736" w:name="_Toc455587271"/>
      <w:bookmarkStart w:id="737" w:name="_Toc445554745"/>
      <w:bookmarkStart w:id="738" w:name="_Toc455587087"/>
      <w:bookmarkStart w:id="739" w:name="_Toc458504872"/>
      <w:bookmarkStart w:id="740" w:name="_Toc466024554"/>
      <w:r>
        <w:rPr>
          <w:rFonts w:hint="eastAsia" w:eastAsia="仿宋"/>
          <w:color w:val="auto"/>
          <w:sz w:val="24"/>
          <w:highlight w:val="none"/>
          <w:lang w:bidi="en-US"/>
        </w:rPr>
        <w:t>需要补充的其他内容</w:t>
      </w:r>
      <w:bookmarkEnd w:id="736"/>
      <w:bookmarkEnd w:id="737"/>
      <w:bookmarkEnd w:id="738"/>
      <w:bookmarkEnd w:id="739"/>
      <w:bookmarkEnd w:id="740"/>
      <w:r>
        <w:rPr>
          <w:rFonts w:hint="eastAsia" w:eastAsia="仿宋"/>
          <w:color w:val="auto"/>
          <w:sz w:val="24"/>
          <w:highlight w:val="none"/>
          <w:lang w:bidi="en-US"/>
        </w:rPr>
        <w:t>：见投标人须知前附表。</w:t>
      </w:r>
    </w:p>
    <w:p w14:paraId="48A5B927">
      <w:pPr>
        <w:pStyle w:val="3"/>
        <w:jc w:val="center"/>
        <w:rPr>
          <w:rFonts w:eastAsia="黑体"/>
          <w:color w:val="auto"/>
          <w:highlight w:val="none"/>
        </w:rPr>
      </w:pPr>
      <w:r>
        <w:rPr>
          <w:rFonts w:ascii="宋体" w:hAnsi="宋体" w:eastAsia="仿宋"/>
          <w:color w:val="auto"/>
          <w:szCs w:val="21"/>
          <w:highlight w:val="none"/>
        </w:rPr>
        <w:br w:type="page"/>
      </w:r>
      <w:bookmarkStart w:id="741" w:name="_Toc24418"/>
      <w:bookmarkStart w:id="742" w:name="_Hlk44246314"/>
      <w:r>
        <w:rPr>
          <w:rFonts w:eastAsia="黑体"/>
          <w:color w:val="auto"/>
          <w:highlight w:val="none"/>
        </w:rPr>
        <w:t>附件</w:t>
      </w:r>
      <w:r>
        <w:rPr>
          <w:rFonts w:hint="eastAsia" w:eastAsia="黑体"/>
          <w:color w:val="auto"/>
          <w:highlight w:val="none"/>
        </w:rPr>
        <w:t>一</w:t>
      </w:r>
      <w:r>
        <w:rPr>
          <w:rFonts w:eastAsia="黑体"/>
          <w:color w:val="auto"/>
          <w:highlight w:val="none"/>
        </w:rPr>
        <w:t>：</w:t>
      </w:r>
      <w:r>
        <w:rPr>
          <w:rFonts w:hint="eastAsia" w:eastAsia="黑体"/>
          <w:color w:val="auto"/>
          <w:highlight w:val="none"/>
        </w:rPr>
        <w:t>全流程电子招标采购</w:t>
      </w:r>
      <w:r>
        <w:rPr>
          <w:rFonts w:eastAsia="黑体"/>
          <w:color w:val="auto"/>
          <w:highlight w:val="none"/>
        </w:rPr>
        <w:t>具体要求</w:t>
      </w:r>
      <w:bookmarkEnd w:id="741"/>
    </w:p>
    <w:bookmarkEnd w:id="742"/>
    <w:p w14:paraId="4C253498">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auto"/>
          <w:highlight w:val="none"/>
        </w:rPr>
        <w:t>评标委员会</w:t>
      </w:r>
      <w:r>
        <w:rPr>
          <w:rFonts w:hint="eastAsia" w:ascii="黑体" w:hAnsi="黑体" w:eastAsia="黑体"/>
          <w:color w:val="auto"/>
          <w:highlight w:val="none"/>
        </w:rPr>
        <w:t>”按“评审小组”理解，“投标无效”按“响应文件无效”理解。</w:t>
      </w:r>
    </w:p>
    <w:p w14:paraId="41A2FA18">
      <w:pPr>
        <w:spacing w:line="400" w:lineRule="exact"/>
        <w:ind w:firstLine="420" w:firstLineChars="200"/>
        <w:rPr>
          <w:rFonts w:ascii="黑体" w:hAnsi="黑体" w:eastAsia="黑体"/>
          <w:color w:val="auto"/>
          <w:highlight w:val="none"/>
        </w:rPr>
      </w:pPr>
    </w:p>
    <w:p w14:paraId="2DC23DAE">
      <w:pPr>
        <w:spacing w:line="400" w:lineRule="exact"/>
        <w:ind w:firstLine="420" w:firstLineChars="200"/>
        <w:rPr>
          <w:rFonts w:hint="eastAsia" w:ascii="黑体" w:hAnsi="黑体" w:eastAsia="黑体"/>
          <w:color w:val="auto"/>
          <w:highlight w:val="none"/>
        </w:rPr>
      </w:pPr>
      <w:r>
        <w:rPr>
          <w:rFonts w:hint="eastAsia" w:ascii="黑体" w:hAnsi="黑体" w:eastAsia="黑体"/>
          <w:color w:val="auto"/>
          <w:highlight w:val="none"/>
        </w:rPr>
        <w:t>一</w:t>
      </w:r>
      <w:r>
        <w:rPr>
          <w:rFonts w:ascii="黑体" w:hAnsi="黑体" w:eastAsia="黑体"/>
          <w:color w:val="auto"/>
          <w:highlight w:val="none"/>
        </w:rPr>
        <w:t>、</w:t>
      </w:r>
      <w:r>
        <w:rPr>
          <w:rFonts w:hint="eastAsia"/>
          <w:color w:val="auto"/>
          <w:highlight w:val="none"/>
        </w:rPr>
        <w:t>CA</w:t>
      </w:r>
      <w:r>
        <w:rPr>
          <w:rFonts w:hint="eastAsia" w:ascii="黑体" w:hAnsi="黑体" w:eastAsia="黑体"/>
          <w:color w:val="auto"/>
          <w:highlight w:val="none"/>
        </w:rPr>
        <w:t>证书办理和</w:t>
      </w:r>
      <w:r>
        <w:rPr>
          <w:rFonts w:ascii="黑体" w:hAnsi="黑体" w:eastAsia="黑体"/>
          <w:color w:val="auto"/>
          <w:highlight w:val="none"/>
        </w:rPr>
        <w:t>注意事项</w:t>
      </w:r>
    </w:p>
    <w:p w14:paraId="76A785A3">
      <w:pPr>
        <w:spacing w:line="400" w:lineRule="exact"/>
        <w:ind w:firstLine="420" w:firstLineChars="200"/>
        <w:rPr>
          <w:color w:val="auto"/>
          <w:highlight w:val="none"/>
        </w:rPr>
      </w:pPr>
      <w:r>
        <w:rPr>
          <w:rFonts w:ascii="宋体" w:hAnsi="宋体"/>
          <w:color w:val="auto"/>
          <w:highlight w:val="none"/>
        </w:rPr>
        <w:t>1.</w:t>
      </w:r>
      <w:r>
        <w:rPr>
          <w:rFonts w:hint="eastAsia" w:ascii="宋体" w:hAnsi="宋体"/>
          <w:color w:val="auto"/>
          <w:highlight w:val="none"/>
        </w:rPr>
        <w:t>本项目采用全流程电子招标采购方式，</w:t>
      </w:r>
      <w:r>
        <w:rPr>
          <w:rFonts w:hint="eastAsia"/>
          <w:color w:val="auto"/>
          <w:highlight w:val="none"/>
        </w:rPr>
        <w:t>潜在投标人应及时办理CA证书，用于对投标文件进行电子签章及加、解密。</w:t>
      </w:r>
    </w:p>
    <w:p w14:paraId="54C81390">
      <w:pPr>
        <w:spacing w:line="400" w:lineRule="exact"/>
        <w:ind w:firstLine="420" w:firstLineChars="200"/>
        <w:rPr>
          <w:bCs/>
          <w:color w:val="auto"/>
          <w:highlight w:val="none"/>
        </w:rPr>
      </w:pPr>
      <w:r>
        <w:rPr>
          <w:rFonts w:ascii="宋体" w:hAnsi="宋体"/>
          <w:color w:val="auto"/>
          <w:highlight w:val="none"/>
        </w:rPr>
        <w:t>2.</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办理详见</w:t>
      </w:r>
      <w:r>
        <w:rPr>
          <w:rFonts w:hint="eastAsia"/>
          <w:bCs/>
          <w:color w:val="auto"/>
          <w:highlight w:val="none"/>
        </w:rPr>
        <w:t>《优质采平台CA数字证书办理说明》：</w:t>
      </w:r>
    </w:p>
    <w:p w14:paraId="6B558AC8">
      <w:pPr>
        <w:spacing w:line="400" w:lineRule="exact"/>
        <w:rPr>
          <w:rFonts w:hint="eastAsia"/>
          <w:b/>
          <w:bCs/>
          <w:color w:val="auto"/>
          <w:highlight w:val="none"/>
        </w:rPr>
      </w:pPr>
      <w:r>
        <w:rPr>
          <w:bCs/>
          <w:color w:val="auto"/>
          <w:highlight w:val="none"/>
          <w:u w:val="single"/>
        </w:rPr>
        <w:fldChar w:fldCharType="begin"/>
      </w:r>
      <w:r>
        <w:rPr>
          <w:bCs/>
          <w:color w:val="auto"/>
          <w:highlight w:val="none"/>
          <w:u w:val="single"/>
        </w:rPr>
        <w:instrText xml:space="preserve"> HYPERLINK "http://www.youzhicai.com/ActivityTopic/AdviceDetail/8f80a7ec-911f-4c4d-a123-f8849880f045" </w:instrText>
      </w:r>
      <w:r>
        <w:rPr>
          <w:bCs/>
          <w:color w:val="auto"/>
          <w:highlight w:val="none"/>
          <w:u w:val="single"/>
        </w:rPr>
        <w:fldChar w:fldCharType="separate"/>
      </w:r>
      <w:r>
        <w:rPr>
          <w:rStyle w:val="55"/>
          <w:bCs/>
          <w:color w:val="auto"/>
          <w:highlight w:val="none"/>
        </w:rPr>
        <w:t>http://www.youzhicai.com/ActivityTopic/AdviceDetail/8f80a7ec-911f-4c4d-a123-f</w:t>
      </w:r>
      <w:bookmarkStart w:id="743" w:name="_Hlt105085548"/>
      <w:bookmarkStart w:id="744" w:name="_Hlt105085547"/>
      <w:r>
        <w:rPr>
          <w:rStyle w:val="55"/>
          <w:bCs/>
          <w:color w:val="auto"/>
          <w:highlight w:val="none"/>
        </w:rPr>
        <w:t>8</w:t>
      </w:r>
      <w:bookmarkEnd w:id="743"/>
      <w:bookmarkEnd w:id="744"/>
      <w:r>
        <w:rPr>
          <w:rStyle w:val="55"/>
          <w:bCs/>
          <w:color w:val="auto"/>
          <w:highlight w:val="none"/>
        </w:rPr>
        <w:t>849880f045</w:t>
      </w:r>
      <w:r>
        <w:rPr>
          <w:bCs/>
          <w:color w:val="auto"/>
          <w:highlight w:val="none"/>
          <w:u w:val="single"/>
        </w:rPr>
        <w:fldChar w:fldCharType="end"/>
      </w:r>
      <w:r>
        <w:rPr>
          <w:bCs/>
          <w:color w:val="auto"/>
          <w:highlight w:val="none"/>
        </w:rPr>
        <w:t>。</w:t>
      </w:r>
    </w:p>
    <w:p w14:paraId="10D374F6">
      <w:pPr>
        <w:spacing w:line="400" w:lineRule="exact"/>
        <w:ind w:firstLine="420" w:firstLineChars="200"/>
        <w:rPr>
          <w:color w:val="auto"/>
          <w:highlight w:val="none"/>
        </w:rPr>
      </w:pPr>
      <w:r>
        <w:rPr>
          <w:rFonts w:ascii="宋体" w:hAnsi="宋体"/>
          <w:color w:val="auto"/>
          <w:highlight w:val="none"/>
        </w:rPr>
        <w:t>3.</w:t>
      </w:r>
      <w:r>
        <w:rPr>
          <w:rFonts w:hint="eastAsia" w:ascii="宋体" w:hAnsi="宋体"/>
          <w:color w:val="auto"/>
          <w:highlight w:val="none"/>
        </w:rPr>
        <w:t>CA</w:t>
      </w:r>
      <w:r>
        <w:rPr>
          <w:rFonts w:hint="eastAsia"/>
          <w:color w:val="auto"/>
          <w:highlight w:val="none"/>
        </w:rPr>
        <w:t>证书</w:t>
      </w:r>
      <w:r>
        <w:rPr>
          <w:rFonts w:hint="eastAsia" w:ascii="宋体" w:hAnsi="宋体"/>
          <w:color w:val="auto"/>
          <w:highlight w:val="none"/>
        </w:rPr>
        <w:t>到期或即将到期，须在递交投标文件前办理续期。</w:t>
      </w:r>
    </w:p>
    <w:p w14:paraId="52B6D904">
      <w:pPr>
        <w:spacing w:line="400" w:lineRule="exact"/>
        <w:ind w:firstLine="420"/>
        <w:rPr>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CA锁</w:t>
      </w:r>
      <w:r>
        <w:rPr>
          <w:rFonts w:hint="eastAsia"/>
          <w:color w:val="auto"/>
          <w:highlight w:val="none"/>
        </w:rPr>
        <w:t>遗失、损坏等无法使用，须在递交投标文件前补办CA锁。</w:t>
      </w:r>
    </w:p>
    <w:p w14:paraId="1CFBF48C">
      <w:pPr>
        <w:spacing w:line="400" w:lineRule="exact"/>
        <w:ind w:firstLine="420"/>
        <w:rPr>
          <w:color w:val="auto"/>
          <w:highlight w:val="none"/>
        </w:rPr>
      </w:pPr>
      <w:r>
        <w:rPr>
          <w:rFonts w:ascii="宋体" w:hAnsi="宋体"/>
          <w:color w:val="auto"/>
          <w:highlight w:val="none"/>
        </w:rPr>
        <w:t>5.</w:t>
      </w:r>
      <w:r>
        <w:rPr>
          <w:rFonts w:hint="eastAsia" w:ascii="宋体" w:hAnsi="宋体"/>
          <w:color w:val="auto"/>
          <w:highlight w:val="none"/>
        </w:rPr>
        <w:t>企业</w:t>
      </w:r>
      <w:r>
        <w:rPr>
          <w:rFonts w:hint="eastAsia"/>
          <w:color w:val="auto"/>
          <w:highlight w:val="none"/>
        </w:rPr>
        <w:t>信息（包括但不限于企业名称和法定代表人信息）发生变更的，须在递交投标文件前变更CA证书。</w:t>
      </w:r>
    </w:p>
    <w:p w14:paraId="6D68DE29">
      <w:pPr>
        <w:spacing w:line="400" w:lineRule="exact"/>
        <w:rPr>
          <w:rFonts w:ascii="宋体" w:hAnsi="宋体"/>
          <w:color w:val="auto"/>
          <w:highlight w:val="none"/>
        </w:rPr>
      </w:pPr>
      <w:r>
        <w:rPr>
          <w:rFonts w:ascii="宋体" w:hAnsi="宋体"/>
          <w:color w:val="auto"/>
          <w:highlight w:val="none"/>
        </w:rPr>
        <w:tab/>
      </w:r>
      <w:r>
        <w:rPr>
          <w:rFonts w:ascii="宋体" w:hAnsi="宋体"/>
          <w:color w:val="auto"/>
          <w:highlight w:val="none"/>
        </w:rPr>
        <w:t>6.</w:t>
      </w:r>
      <w:r>
        <w:rPr>
          <w:rFonts w:hint="eastAsia" w:ascii="宋体" w:hAnsi="宋体"/>
          <w:color w:val="auto"/>
          <w:highlight w:val="none"/>
        </w:rPr>
        <w:t>投标人由于</w:t>
      </w:r>
      <w:r>
        <w:rPr>
          <w:rFonts w:hint="eastAsia"/>
          <w:color w:val="auto"/>
          <w:highlight w:val="none"/>
        </w:rPr>
        <w:t>CA证书</w:t>
      </w:r>
      <w:r>
        <w:rPr>
          <w:rFonts w:hint="eastAsia" w:ascii="宋体" w:hAnsi="宋体"/>
          <w:color w:val="auto"/>
          <w:highlight w:val="none"/>
        </w:rPr>
        <w:t>遗失、损坏、更换、续期、企业信息变更等情况导致投标文件无法解密的，由投标人自行承担责任；</w:t>
      </w:r>
    </w:p>
    <w:p w14:paraId="1CA96C3C">
      <w:pPr>
        <w:spacing w:line="400" w:lineRule="exact"/>
        <w:ind w:firstLine="420" w:firstLineChars="200"/>
        <w:rPr>
          <w:rFonts w:ascii="宋体" w:hAnsi="宋体"/>
          <w:color w:val="auto"/>
          <w:highlight w:val="none"/>
        </w:rPr>
      </w:pPr>
      <w:r>
        <w:rPr>
          <w:rFonts w:ascii="宋体" w:hAnsi="宋体"/>
          <w:color w:val="auto"/>
          <w:highlight w:val="none"/>
        </w:rPr>
        <w:t>7.</w:t>
      </w:r>
      <w:r>
        <w:rPr>
          <w:rFonts w:hint="eastAsia" w:ascii="宋体" w:hAnsi="宋体"/>
          <w:color w:val="auto"/>
          <w:highlight w:val="none"/>
        </w:rPr>
        <w:t>加密和解密投标文件</w:t>
      </w:r>
      <w:r>
        <w:rPr>
          <w:rFonts w:hint="eastAsia"/>
          <w:color w:val="auto"/>
          <w:highlight w:val="none"/>
        </w:rPr>
        <w:t>必须使用同一个CA证书</w:t>
      </w:r>
      <w:r>
        <w:rPr>
          <w:rFonts w:hint="eastAsia" w:ascii="宋体" w:hAnsi="宋体"/>
          <w:color w:val="auto"/>
          <w:highlight w:val="none"/>
        </w:rPr>
        <w:t>。</w:t>
      </w:r>
    </w:p>
    <w:p w14:paraId="6D06E968">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二</w:t>
      </w:r>
      <w:r>
        <w:rPr>
          <w:rFonts w:ascii="黑体" w:hAnsi="黑体" w:eastAsia="黑体"/>
          <w:color w:val="auto"/>
          <w:highlight w:val="none"/>
        </w:rPr>
        <w:t>、制作、签章、加密、上传电子投标文件</w:t>
      </w:r>
    </w:p>
    <w:p w14:paraId="4C1A838C">
      <w:pPr>
        <w:spacing w:line="400" w:lineRule="exact"/>
        <w:ind w:firstLine="420" w:firstLineChars="200"/>
        <w:rPr>
          <w:rStyle w:val="55"/>
          <w:color w:val="auto"/>
          <w:highlight w:val="none"/>
        </w:rPr>
      </w:pPr>
      <w:r>
        <w:rPr>
          <w:rFonts w:ascii="宋体" w:hAnsi="宋体"/>
          <w:color w:val="auto"/>
          <w:highlight w:val="none"/>
        </w:rPr>
        <w:t>8.</w:t>
      </w:r>
      <w:r>
        <w:rPr>
          <w:rFonts w:hint="eastAsia" w:ascii="宋体" w:hAnsi="宋体"/>
          <w:color w:val="auto"/>
          <w:highlight w:val="none"/>
        </w:rPr>
        <w:t>本项目采用全流程电子化招标采购方式，潜在</w:t>
      </w:r>
      <w:r>
        <w:rPr>
          <w:rFonts w:hint="eastAsia"/>
          <w:color w:val="auto"/>
          <w:highlight w:val="none"/>
        </w:rPr>
        <w:t>投标人需使用</w:t>
      </w:r>
      <w:r>
        <w:rPr>
          <w:rFonts w:hint="eastAsia" w:ascii="宋体" w:hAnsi="宋体"/>
          <w:color w:val="auto"/>
          <w:highlight w:val="none"/>
        </w:rPr>
        <w:t>“</w:t>
      </w:r>
      <w:r>
        <w:rPr>
          <w:rFonts w:ascii="宋体" w:hAnsi="宋体"/>
          <w:color w:val="auto"/>
          <w:highlight w:val="none"/>
        </w:rPr>
        <w:t>优质采投标工具</w:t>
      </w:r>
      <w:r>
        <w:rPr>
          <w:rFonts w:hint="eastAsia" w:ascii="宋体" w:hAnsi="宋体"/>
          <w:color w:val="auto"/>
          <w:highlight w:val="none"/>
        </w:rPr>
        <w:t>客户端”（以下简称“投标工具”）制作</w:t>
      </w:r>
      <w:r>
        <w:rPr>
          <w:color w:val="auto"/>
          <w:highlight w:val="none"/>
        </w:rPr>
        <w:t>电子投标文件</w:t>
      </w:r>
      <w:r>
        <w:rPr>
          <w:rFonts w:hint="eastAsia"/>
          <w:color w:val="auto"/>
          <w:highlight w:val="none"/>
        </w:rPr>
        <w:t>，</w:t>
      </w:r>
      <w:r>
        <w:rPr>
          <w:rFonts w:hint="eastAsia" w:ascii="宋体" w:hAnsi="宋体"/>
          <w:color w:val="auto"/>
          <w:highlight w:val="none"/>
        </w:rPr>
        <w:t>投标工具及操作说明下载地址：</w:t>
      </w:r>
      <w:r>
        <w:rPr>
          <w:rStyle w:val="55"/>
          <w:rFonts w:hint="eastAsia"/>
          <w:color w:val="auto"/>
          <w:highlight w:val="none"/>
        </w:rPr>
        <w:fldChar w:fldCharType="begin"/>
      </w:r>
      <w:r>
        <w:rPr>
          <w:rStyle w:val="55"/>
          <w:rFonts w:hint="eastAsia"/>
          <w:color w:val="auto"/>
          <w:highlight w:val="none"/>
        </w:rPr>
        <w:instrText xml:space="preserve"> HYPERLINK "https://toolcdn.youzhicai.com/tools/BidderTools.zip" </w:instrText>
      </w:r>
      <w:r>
        <w:rPr>
          <w:rStyle w:val="55"/>
          <w:rFonts w:hint="eastAsia"/>
          <w:color w:val="auto"/>
          <w:highlight w:val="none"/>
        </w:rPr>
        <w:fldChar w:fldCharType="separate"/>
      </w:r>
      <w:r>
        <w:rPr>
          <w:rStyle w:val="55"/>
          <w:rFonts w:hint="eastAsia"/>
          <w:color w:val="auto"/>
          <w:highlight w:val="none"/>
        </w:rPr>
        <w:t>https://toolcdn.youzhicai.com/tools/BidderTools.zip</w:t>
      </w:r>
      <w:r>
        <w:rPr>
          <w:rStyle w:val="55"/>
          <w:rFonts w:hint="eastAsia"/>
          <w:color w:val="auto"/>
          <w:highlight w:val="none"/>
        </w:rPr>
        <w:fldChar w:fldCharType="end"/>
      </w:r>
      <w:r>
        <w:rPr>
          <w:rStyle w:val="55"/>
          <w:rFonts w:hint="eastAsia"/>
          <w:color w:val="auto"/>
          <w:highlight w:val="none"/>
        </w:rPr>
        <w:t>。</w:t>
      </w:r>
    </w:p>
    <w:p w14:paraId="6AA488A4">
      <w:pPr>
        <w:spacing w:line="400" w:lineRule="exact"/>
        <w:ind w:firstLine="420" w:firstLineChars="200"/>
        <w:rPr>
          <w:rStyle w:val="55"/>
          <w:color w:val="auto"/>
          <w:highlight w:val="none"/>
        </w:rPr>
      </w:pPr>
      <w:r>
        <w:rPr>
          <w:rStyle w:val="55"/>
          <w:color w:val="auto"/>
          <w:highlight w:val="none"/>
        </w:rPr>
        <w:tab/>
      </w:r>
      <w:r>
        <w:rPr>
          <w:rStyle w:val="55"/>
          <w:color w:val="auto"/>
          <w:highlight w:val="none"/>
        </w:rPr>
        <w:t>8.1.投标工具建议在window7或windows10操作系统下使用；</w:t>
      </w:r>
    </w:p>
    <w:p w14:paraId="7D58420C">
      <w:pPr>
        <w:spacing w:line="400" w:lineRule="exact"/>
        <w:ind w:firstLine="420" w:firstLineChars="200"/>
        <w:rPr>
          <w:rFonts w:hint="eastAsia"/>
          <w:bCs/>
          <w:color w:val="auto"/>
          <w:sz w:val="18"/>
          <w:highlight w:val="none"/>
        </w:rPr>
      </w:pPr>
      <w:r>
        <w:rPr>
          <w:rStyle w:val="55"/>
          <w:color w:val="auto"/>
          <w:highlight w:val="none"/>
        </w:rPr>
        <w:tab/>
      </w:r>
      <w:r>
        <w:rPr>
          <w:rStyle w:val="55"/>
          <w:color w:val="auto"/>
          <w:highlight w:val="none"/>
        </w:rPr>
        <w:t>8.2.电子投标文件编制建议使用</w:t>
      </w:r>
      <w:r>
        <w:rPr>
          <w:color w:val="auto"/>
          <w:highlight w:val="none"/>
        </w:rPr>
        <w:t>office2010版本。</w:t>
      </w:r>
    </w:p>
    <w:p w14:paraId="0457056C">
      <w:pPr>
        <w:wordWrap w:val="0"/>
        <w:spacing w:line="400" w:lineRule="exact"/>
        <w:rPr>
          <w:bCs/>
          <w:color w:val="auto"/>
          <w:highlight w:val="none"/>
          <w:u w:val="single"/>
        </w:rPr>
      </w:pPr>
      <w:r>
        <w:rPr>
          <w:rFonts w:ascii="宋体" w:hAnsi="宋体"/>
          <w:color w:val="auto"/>
          <w:highlight w:val="none"/>
        </w:rPr>
        <w:tab/>
      </w:r>
      <w:r>
        <w:rPr>
          <w:rFonts w:hint="eastAsia" w:ascii="宋体" w:hAnsi="宋体"/>
          <w:color w:val="auto"/>
          <w:highlight w:val="none"/>
        </w:rPr>
        <w:t>9</w:t>
      </w:r>
      <w:r>
        <w:rPr>
          <w:rFonts w:ascii="宋体" w:hAnsi="宋体"/>
          <w:color w:val="auto"/>
          <w:highlight w:val="none"/>
        </w:rPr>
        <w:t>.</w:t>
      </w:r>
      <w:r>
        <w:rPr>
          <w:rFonts w:hint="eastAsia"/>
          <w:color w:val="auto"/>
          <w:highlight w:val="none"/>
        </w:rPr>
        <w:t>潜在投标人制作电子投标文件后，需在</w:t>
      </w:r>
      <w:r>
        <w:rPr>
          <w:rFonts w:hint="eastAsia" w:ascii="宋体" w:hAnsi="宋体"/>
          <w:color w:val="auto"/>
          <w:highlight w:val="none"/>
        </w:rPr>
        <w:t>投标工具</w:t>
      </w:r>
      <w:r>
        <w:rPr>
          <w:rFonts w:hint="eastAsia"/>
          <w:color w:val="auto"/>
          <w:highlight w:val="none"/>
        </w:rPr>
        <w:t>对</w:t>
      </w:r>
      <w:r>
        <w:rPr>
          <w:color w:val="auto"/>
          <w:highlight w:val="none"/>
        </w:rPr>
        <w:t>电子</w:t>
      </w:r>
      <w:r>
        <w:rPr>
          <w:rFonts w:hint="eastAsia"/>
          <w:color w:val="auto"/>
          <w:highlight w:val="none"/>
        </w:rPr>
        <w:t>投标文件进行电子签章（项目有特殊说明的除外），并使用CA</w:t>
      </w:r>
      <w:r>
        <w:rPr>
          <w:rFonts w:hint="eastAsia" w:ascii="宋体" w:hAnsi="宋体"/>
          <w:color w:val="auto"/>
          <w:highlight w:val="none"/>
        </w:rPr>
        <w:t>证书进行</w:t>
      </w:r>
      <w:r>
        <w:rPr>
          <w:rFonts w:hint="eastAsia"/>
          <w:color w:val="auto"/>
          <w:highlight w:val="none"/>
        </w:rPr>
        <w:t>加密。在</w:t>
      </w:r>
      <w:r>
        <w:rPr>
          <w:rFonts w:hint="eastAsia" w:ascii="宋体" w:hAnsi="宋体"/>
          <w:color w:val="auto"/>
          <w:highlight w:val="none"/>
        </w:rPr>
        <w:t>投标工具使用</w:t>
      </w:r>
      <w:r>
        <w:rPr>
          <w:rFonts w:ascii="宋体" w:hAnsi="宋体"/>
          <w:color w:val="auto"/>
          <w:highlight w:val="none"/>
        </w:rPr>
        <w:t>CA证书</w:t>
      </w:r>
      <w:r>
        <w:rPr>
          <w:rFonts w:hint="eastAsia"/>
          <w:color w:val="auto"/>
          <w:highlight w:val="none"/>
        </w:rPr>
        <w:t>时需安装“优质采数字证书助手”</w:t>
      </w:r>
      <w:r>
        <w:rPr>
          <w:rFonts w:hint="eastAsia" w:ascii="宋体" w:hAnsi="宋体"/>
          <w:color w:val="auto"/>
          <w:highlight w:val="none"/>
        </w:rPr>
        <w:t xml:space="preserve"> （即数字证书驱动）</w:t>
      </w:r>
      <w:r>
        <w:rPr>
          <w:rFonts w:hint="eastAsia"/>
          <w:color w:val="auto"/>
          <w:highlight w:val="none"/>
        </w:rPr>
        <w:t>，下载地址：</w:t>
      </w:r>
      <w:r>
        <w:rPr>
          <w:rStyle w:val="55"/>
          <w:rFonts w:hint="eastAsia"/>
          <w:color w:val="auto"/>
          <w:highlight w:val="none"/>
        </w:rPr>
        <w:fldChar w:fldCharType="begin"/>
      </w:r>
      <w:r>
        <w:rPr>
          <w:rStyle w:val="55"/>
          <w:rFonts w:hint="eastAsia"/>
          <w:color w:val="auto"/>
          <w:highlight w:val="none"/>
        </w:rPr>
        <w:instrText xml:space="preserve"> HYPERLINK "https://toolcdn.youzhicai.com/ca.zip" </w:instrText>
      </w:r>
      <w:r>
        <w:rPr>
          <w:rStyle w:val="55"/>
          <w:rFonts w:hint="eastAsia"/>
          <w:color w:val="auto"/>
          <w:highlight w:val="none"/>
        </w:rPr>
        <w:fldChar w:fldCharType="separate"/>
      </w:r>
      <w:r>
        <w:rPr>
          <w:rStyle w:val="55"/>
          <w:rFonts w:hint="eastAsia"/>
          <w:color w:val="auto"/>
          <w:highlight w:val="none"/>
        </w:rPr>
        <w:t>https://toolcdn.youzhicai.com/ca.zip</w:t>
      </w:r>
      <w:r>
        <w:rPr>
          <w:rStyle w:val="55"/>
          <w:rFonts w:hint="eastAsia"/>
          <w:color w:val="auto"/>
          <w:highlight w:val="none"/>
        </w:rPr>
        <w:fldChar w:fldCharType="end"/>
      </w:r>
      <w:r>
        <w:rPr>
          <w:rStyle w:val="55"/>
          <w:rFonts w:hint="eastAsia"/>
          <w:color w:val="auto"/>
          <w:highlight w:val="none"/>
        </w:rPr>
        <w:t>。</w:t>
      </w:r>
    </w:p>
    <w:p w14:paraId="58CA644F">
      <w:pPr>
        <w:wordWrap w:val="0"/>
        <w:spacing w:line="400" w:lineRule="exact"/>
        <w:rPr>
          <w:rFonts w:ascii="宋体" w:hAnsi="宋体"/>
          <w:color w:val="auto"/>
          <w:highlight w:val="none"/>
        </w:rPr>
      </w:pPr>
      <w:r>
        <w:rPr>
          <w:color w:val="auto"/>
          <w:highlight w:val="none"/>
        </w:rPr>
        <w:tab/>
      </w:r>
      <w:r>
        <w:rPr>
          <w:rFonts w:ascii="宋体" w:hAnsi="宋体"/>
          <w:color w:val="auto"/>
          <w:highlight w:val="none"/>
        </w:rPr>
        <w:t>10.</w:t>
      </w:r>
      <w:r>
        <w:rPr>
          <w:rFonts w:hint="eastAsia" w:ascii="宋体" w:hAnsi="宋体"/>
          <w:color w:val="auto"/>
          <w:highlight w:val="none"/>
        </w:rPr>
        <w:t>潜在投标人完成制作、签章、加密投标文件后，需在</w:t>
      </w:r>
      <w:r>
        <w:rPr>
          <w:rFonts w:hint="eastAsia"/>
          <w:color w:val="auto"/>
          <w:highlight w:val="none"/>
        </w:rPr>
        <w:t>招标文件规定的投标截止时间前在</w:t>
      </w:r>
      <w:r>
        <w:rPr>
          <w:rFonts w:hint="eastAsia" w:ascii="宋体" w:hAnsi="宋体"/>
          <w:color w:val="auto"/>
          <w:highlight w:val="none"/>
        </w:rPr>
        <w:t>投标工具</w:t>
      </w:r>
      <w:r>
        <w:rPr>
          <w:rFonts w:hint="eastAsia"/>
          <w:color w:val="auto"/>
          <w:highlight w:val="none"/>
        </w:rPr>
        <w:t>完成上传。</w:t>
      </w:r>
      <w:r>
        <w:rPr>
          <w:rFonts w:hint="eastAsia" w:ascii="宋体" w:hAnsi="宋体"/>
          <w:color w:val="auto"/>
          <w:highlight w:val="none"/>
        </w:rPr>
        <w:t>投标截止时间以优质采云采购平台（</w:t>
      </w:r>
      <w:r>
        <w:rPr>
          <w:rFonts w:ascii="宋体" w:hAnsi="宋体"/>
          <w:color w:val="auto"/>
          <w:highlight w:val="none"/>
        </w:rPr>
        <w:t>www.youzhicai.com</w:t>
      </w:r>
      <w:r>
        <w:rPr>
          <w:rFonts w:hint="eastAsia" w:ascii="宋体" w:hAnsi="宋体"/>
          <w:color w:val="auto"/>
          <w:highlight w:val="none"/>
        </w:rPr>
        <w:t>）系统的时间为准，如未在投标截止时间前完成电子投标文件上传，系统将自动关闭上传通道。潜在投标人未完成电子投标文件上传的，视为没有递交投标文件。</w:t>
      </w:r>
    </w:p>
    <w:p w14:paraId="4DD08199">
      <w:pPr>
        <w:wordWrap w:val="0"/>
        <w:spacing w:line="400" w:lineRule="exact"/>
        <w:ind w:firstLine="420"/>
        <w:rPr>
          <w:rFonts w:ascii="宋体" w:hAnsi="宋体"/>
          <w:color w:val="auto"/>
          <w:highlight w:val="none"/>
        </w:rPr>
      </w:pPr>
      <w:r>
        <w:rPr>
          <w:rFonts w:hint="eastAsia" w:ascii="宋体" w:hAnsi="宋体"/>
          <w:color w:val="auto"/>
          <w:highlight w:val="none"/>
        </w:rPr>
        <w:t>1</w:t>
      </w:r>
      <w:r>
        <w:rPr>
          <w:rFonts w:ascii="宋体" w:hAnsi="宋体"/>
          <w:color w:val="auto"/>
          <w:highlight w:val="none"/>
        </w:rPr>
        <w:t>1.</w:t>
      </w:r>
      <w:r>
        <w:rPr>
          <w:rFonts w:hint="eastAsia" w:ascii="宋体" w:hAnsi="宋体"/>
          <w:color w:val="auto"/>
          <w:highlight w:val="none"/>
        </w:rPr>
        <w:t>潜在投标人在投标文件递交截止时间前，可以对其所递交的电子投标文件进行撤回，修改后重新上传。</w:t>
      </w:r>
    </w:p>
    <w:p w14:paraId="5F763BB8">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2.</w:t>
      </w:r>
      <w:r>
        <w:rPr>
          <w:rFonts w:hint="eastAsia" w:ascii="宋体" w:hAnsi="宋体"/>
          <w:color w:val="auto"/>
          <w:highlight w:val="none"/>
        </w:rPr>
        <w:t>潜在投标人在制作、签章、加密、上传电子投标文件过程中，若存在技术操作问题，请及时联系优质采云采购平台客服人员，客服电话：</w:t>
      </w:r>
      <w:r>
        <w:rPr>
          <w:rFonts w:ascii="宋体" w:hAnsi="宋体"/>
          <w:color w:val="auto"/>
          <w:highlight w:val="none"/>
        </w:rPr>
        <w:t>400-0099-555</w:t>
      </w:r>
      <w:r>
        <w:rPr>
          <w:rFonts w:hint="eastAsia" w:ascii="宋体" w:hAnsi="宋体"/>
          <w:color w:val="auto"/>
          <w:highlight w:val="none"/>
        </w:rPr>
        <w:t>，</w:t>
      </w:r>
      <w:r>
        <w:rPr>
          <w:rFonts w:ascii="宋体" w:hAnsi="宋体"/>
          <w:color w:val="auto"/>
          <w:highlight w:val="none"/>
        </w:rPr>
        <w:t>0551-62220164</w:t>
      </w:r>
      <w:r>
        <w:rPr>
          <w:rFonts w:hint="eastAsia" w:ascii="宋体" w:hAnsi="宋体"/>
          <w:color w:val="auto"/>
          <w:highlight w:val="none"/>
        </w:rPr>
        <w:t>。</w:t>
      </w:r>
    </w:p>
    <w:p w14:paraId="56C3BF1A">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三</w:t>
      </w:r>
      <w:r>
        <w:rPr>
          <w:rFonts w:ascii="黑体" w:hAnsi="黑体" w:eastAsia="黑体"/>
          <w:color w:val="auto"/>
          <w:highlight w:val="none"/>
        </w:rPr>
        <w:t>、</w:t>
      </w:r>
      <w:r>
        <w:rPr>
          <w:rFonts w:hint="eastAsia" w:ascii="黑体" w:hAnsi="黑体" w:eastAsia="黑体"/>
          <w:color w:val="auto"/>
          <w:highlight w:val="none"/>
        </w:rPr>
        <w:t>开标</w:t>
      </w:r>
      <w:r>
        <w:rPr>
          <w:rFonts w:ascii="黑体" w:hAnsi="黑体" w:eastAsia="黑体"/>
          <w:color w:val="auto"/>
          <w:highlight w:val="none"/>
        </w:rPr>
        <w:t>和解密</w:t>
      </w:r>
    </w:p>
    <w:p w14:paraId="3ECD5DA3">
      <w:pPr>
        <w:spacing w:line="400" w:lineRule="exact"/>
        <w:ind w:firstLine="420" w:firstLineChars="200"/>
        <w:rPr>
          <w:rFonts w:ascii="宋体" w:hAnsi="宋体"/>
          <w:color w:val="auto"/>
          <w:highlight w:val="none"/>
        </w:rPr>
      </w:pPr>
      <w:r>
        <w:rPr>
          <w:rFonts w:ascii="宋体" w:hAnsi="宋体"/>
          <w:color w:val="auto"/>
          <w:highlight w:val="none"/>
        </w:rPr>
        <w:t>13.</w:t>
      </w:r>
      <w:r>
        <w:rPr>
          <w:rFonts w:hint="eastAsia" w:ascii="宋体" w:hAnsi="宋体"/>
          <w:color w:val="auto"/>
          <w:highlight w:val="none"/>
        </w:rPr>
        <w:t>招标人或招标代理机构工作人员（以下简称工作人员）根据有关规定登录系统组织开标。投标文件递交截止时间后由投标人使用</w:t>
      </w:r>
      <w:r>
        <w:rPr>
          <w:rFonts w:hint="eastAsia"/>
          <w:color w:val="auto"/>
          <w:highlight w:val="none"/>
        </w:rPr>
        <w:t>CA证书</w:t>
      </w:r>
      <w:r>
        <w:rPr>
          <w:rFonts w:hint="eastAsia" w:ascii="宋体" w:hAnsi="宋体"/>
          <w:color w:val="auto"/>
          <w:highlight w:val="none"/>
        </w:rPr>
        <w:t>解密投标文件，工作人员导入已解密投标文件并公布开标结果。</w:t>
      </w:r>
    </w:p>
    <w:p w14:paraId="6F5882FA">
      <w:pPr>
        <w:spacing w:line="400" w:lineRule="exact"/>
        <w:ind w:firstLine="420" w:firstLineChars="200"/>
        <w:rPr>
          <w:rFonts w:ascii="宋体" w:hAnsi="宋体"/>
          <w:color w:val="auto"/>
          <w:highlight w:val="none"/>
        </w:rPr>
      </w:pPr>
      <w:r>
        <w:rPr>
          <w:rFonts w:ascii="宋体" w:hAnsi="宋体"/>
          <w:color w:val="auto"/>
          <w:highlight w:val="none"/>
        </w:rPr>
        <w:t>14.</w:t>
      </w:r>
      <w:r>
        <w:rPr>
          <w:rFonts w:hint="eastAsia" w:ascii="宋体" w:hAnsi="宋体"/>
          <w:color w:val="auto"/>
          <w:highlight w:val="none"/>
        </w:rPr>
        <w:t>投标文件可远程解密，投标人无需到达开标现场。招标文件“投标人须知”中另有规定的，从其规定。</w:t>
      </w:r>
    </w:p>
    <w:p w14:paraId="6D2AD3DD">
      <w:pPr>
        <w:spacing w:line="400" w:lineRule="exact"/>
        <w:ind w:firstLine="420" w:firstLineChars="200"/>
        <w:rPr>
          <w:rFonts w:ascii="宋体" w:hAnsi="宋体"/>
          <w:color w:val="auto"/>
          <w:highlight w:val="none"/>
        </w:rPr>
      </w:pPr>
      <w:r>
        <w:rPr>
          <w:rFonts w:ascii="宋体" w:hAnsi="宋体"/>
          <w:color w:val="auto"/>
          <w:highlight w:val="none"/>
        </w:rPr>
        <w:t>15.</w:t>
      </w:r>
      <w:r>
        <w:rPr>
          <w:rFonts w:hint="eastAsia" w:ascii="宋体" w:hAnsi="宋体"/>
          <w:color w:val="auto"/>
          <w:highlight w:val="none"/>
        </w:rPr>
        <w:t>潜在投标人须按照招标文件的要求在投标文件递交截止时间前登录投标工具并保持在线，关注开标互动大厅消息直到项目评审结束。</w:t>
      </w:r>
    </w:p>
    <w:p w14:paraId="76B79A93">
      <w:pPr>
        <w:spacing w:line="400" w:lineRule="exact"/>
        <w:ind w:firstLine="420" w:firstLineChars="200"/>
        <w:rPr>
          <w:rFonts w:ascii="宋体" w:hAnsi="宋体"/>
          <w:color w:val="auto"/>
          <w:highlight w:val="none"/>
        </w:rPr>
      </w:pPr>
      <w:r>
        <w:rPr>
          <w:rFonts w:ascii="宋体" w:hAnsi="宋体"/>
          <w:color w:val="auto"/>
          <w:highlight w:val="none"/>
        </w:rPr>
        <w:t>16.</w:t>
      </w:r>
      <w:r>
        <w:rPr>
          <w:rFonts w:hint="eastAsia" w:ascii="宋体" w:hAnsi="宋体"/>
          <w:color w:val="auto"/>
          <w:highlight w:val="none"/>
        </w:rPr>
        <w:t>投标文件解密时限为投标文件递交截止时间后</w:t>
      </w:r>
      <w:r>
        <w:rPr>
          <w:rFonts w:ascii="宋体" w:hAnsi="宋体"/>
          <w:color w:val="auto"/>
          <w:highlight w:val="none"/>
        </w:rPr>
        <w:t>30</w:t>
      </w:r>
      <w:r>
        <w:rPr>
          <w:rFonts w:hint="eastAsia" w:ascii="宋体" w:hAnsi="宋体"/>
          <w:color w:val="auto"/>
          <w:highlight w:val="none"/>
        </w:rPr>
        <w:t>分钟（招标文件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中另有规定的，从其规定）。潜在投标人须在投标文件解密时限内完成投标文件解密，未能成功解密的视为放弃投标。招标文件</w:t>
      </w:r>
      <w:r>
        <w:rPr>
          <w:rFonts w:ascii="宋体" w:hAnsi="宋体"/>
          <w:color w:val="auto"/>
          <w:highlight w:val="none"/>
        </w:rPr>
        <w:t>“</w:t>
      </w:r>
      <w:r>
        <w:rPr>
          <w:rFonts w:hint="eastAsia" w:ascii="宋体" w:hAnsi="宋体"/>
          <w:color w:val="auto"/>
          <w:highlight w:val="none"/>
        </w:rPr>
        <w:t>投标人须知</w:t>
      </w:r>
      <w:r>
        <w:rPr>
          <w:rFonts w:ascii="宋体" w:hAnsi="宋体"/>
          <w:color w:val="auto"/>
          <w:highlight w:val="none"/>
        </w:rPr>
        <w:t>”</w:t>
      </w:r>
      <w:r>
        <w:rPr>
          <w:rFonts w:hint="eastAsia" w:ascii="宋体" w:hAnsi="宋体"/>
          <w:color w:val="auto"/>
          <w:highlight w:val="none"/>
        </w:rPr>
        <w:t>中对投标文件解密设有线下补救方案的，执行该补救方案。</w:t>
      </w:r>
    </w:p>
    <w:p w14:paraId="6CFDBCAD">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四</w:t>
      </w:r>
      <w:r>
        <w:rPr>
          <w:rFonts w:ascii="黑体" w:hAnsi="黑体" w:eastAsia="黑体"/>
          <w:color w:val="auto"/>
          <w:highlight w:val="none"/>
        </w:rPr>
        <w:t>、</w:t>
      </w:r>
      <w:r>
        <w:rPr>
          <w:rFonts w:hint="eastAsia" w:ascii="黑体" w:hAnsi="黑体" w:eastAsia="黑体"/>
          <w:color w:val="auto"/>
          <w:highlight w:val="none"/>
        </w:rPr>
        <w:t>评标</w:t>
      </w:r>
      <w:r>
        <w:rPr>
          <w:rFonts w:ascii="黑体" w:hAnsi="黑体" w:eastAsia="黑体"/>
          <w:color w:val="auto"/>
          <w:highlight w:val="none"/>
        </w:rPr>
        <w:t>和询标</w:t>
      </w:r>
    </w:p>
    <w:p w14:paraId="3F0DE6AD">
      <w:pPr>
        <w:spacing w:line="400" w:lineRule="exact"/>
        <w:ind w:firstLine="420" w:firstLineChars="200"/>
        <w:rPr>
          <w:rFonts w:ascii="宋体" w:hAnsi="宋体"/>
          <w:color w:val="auto"/>
          <w:highlight w:val="none"/>
        </w:rPr>
      </w:pPr>
      <w:r>
        <w:rPr>
          <w:rFonts w:ascii="宋体" w:hAnsi="宋体"/>
          <w:color w:val="auto"/>
          <w:highlight w:val="none"/>
        </w:rPr>
        <w:t>17.</w:t>
      </w:r>
      <w:r>
        <w:rPr>
          <w:rFonts w:hint="eastAsia" w:ascii="宋体" w:hAnsi="宋体"/>
          <w:color w:val="auto"/>
          <w:highlight w:val="none"/>
        </w:rPr>
        <w:t>评标委员会通过优质采电子评标工具将需要澄清、说明或补正的内容以询标函的形式发送给投标人，投标人</w:t>
      </w:r>
      <w:r>
        <w:rPr>
          <w:rFonts w:ascii="宋体" w:hAnsi="宋体"/>
          <w:color w:val="auto"/>
          <w:highlight w:val="none"/>
        </w:rPr>
        <w:t>/</w:t>
      </w:r>
      <w:r>
        <w:rPr>
          <w:rFonts w:hint="eastAsia" w:ascii="宋体" w:hAnsi="宋体"/>
          <w:color w:val="auto"/>
          <w:highlight w:val="none"/>
        </w:rPr>
        <w:t>供应商应登录投标工具并保持在线状态，以便及时接收评标委员会可能发出的询标函，并在询标函载明的时间内回复，若投标人未及时回复，视为放弃澄清。</w:t>
      </w:r>
    </w:p>
    <w:p w14:paraId="6A59C62A">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五、异常情形</w:t>
      </w:r>
    </w:p>
    <w:p w14:paraId="552CF234">
      <w:pPr>
        <w:spacing w:line="400" w:lineRule="exact"/>
        <w:ind w:firstLine="420" w:firstLineChars="200"/>
        <w:rPr>
          <w:rFonts w:ascii="宋体" w:hAnsi="宋体"/>
          <w:color w:val="auto"/>
          <w:highlight w:val="none"/>
        </w:rPr>
      </w:pPr>
      <w:r>
        <w:rPr>
          <w:rFonts w:hint="eastAsia" w:ascii="宋体" w:hAnsi="宋体"/>
          <w:color w:val="auto"/>
          <w:highlight w:val="none"/>
        </w:rPr>
        <w:t>1</w:t>
      </w:r>
      <w:r>
        <w:rPr>
          <w:rFonts w:ascii="宋体" w:hAnsi="宋体"/>
          <w:color w:val="auto"/>
          <w:highlight w:val="none"/>
        </w:rPr>
        <w:t>8</w:t>
      </w:r>
      <w:r>
        <w:rPr>
          <w:rFonts w:hint="eastAsia" w:ascii="宋体" w:hAnsi="宋体"/>
          <w:color w:val="auto"/>
          <w:highlight w:val="none"/>
        </w:rPr>
        <w:t>.出现下列情形导致电子交易系统无法正常运行，影响招投标过程的公平、公正和信息安全，经第三方机构认定后，各方当事人免责：</w:t>
      </w:r>
    </w:p>
    <w:p w14:paraId="7BB7581F">
      <w:pPr>
        <w:spacing w:line="400" w:lineRule="exact"/>
        <w:ind w:firstLine="420" w:firstLineChars="200"/>
        <w:rPr>
          <w:rFonts w:ascii="宋体" w:hAnsi="宋体"/>
          <w:color w:val="auto"/>
          <w:highlight w:val="none"/>
        </w:rPr>
      </w:pPr>
      <w:r>
        <w:rPr>
          <w:rFonts w:hint="eastAsia" w:ascii="宋体" w:hAnsi="宋体"/>
          <w:color w:val="auto"/>
          <w:highlight w:val="none"/>
        </w:rPr>
        <w:t>(1)网络、服务器、数据库发生故障造成无法访问或使用的；</w:t>
      </w:r>
    </w:p>
    <w:p w14:paraId="0D5C402F">
      <w:pPr>
        <w:spacing w:line="400" w:lineRule="exact"/>
        <w:ind w:firstLine="420" w:firstLineChars="200"/>
        <w:rPr>
          <w:rFonts w:ascii="宋体" w:hAnsi="宋体"/>
          <w:color w:val="auto"/>
          <w:highlight w:val="none"/>
        </w:rPr>
      </w:pPr>
      <w:r>
        <w:rPr>
          <w:rFonts w:hint="eastAsia" w:ascii="宋体" w:hAnsi="宋体"/>
          <w:color w:val="auto"/>
          <w:highlight w:val="none"/>
        </w:rPr>
        <w:t>(2)电力系统发生故障导致电子服务系统或电子交易系统无法运行；</w:t>
      </w:r>
    </w:p>
    <w:p w14:paraId="7623BEAE">
      <w:pPr>
        <w:spacing w:line="400" w:lineRule="exact"/>
        <w:ind w:firstLine="420" w:firstLineChars="200"/>
        <w:rPr>
          <w:rFonts w:ascii="宋体" w:hAnsi="宋体"/>
          <w:color w:val="auto"/>
          <w:highlight w:val="none"/>
        </w:rPr>
      </w:pPr>
      <w:r>
        <w:rPr>
          <w:rFonts w:hint="eastAsia" w:ascii="宋体" w:hAnsi="宋体"/>
          <w:color w:val="auto"/>
          <w:highlight w:val="none"/>
        </w:rPr>
        <w:t>(3)出现网络攻击、病毒入侵以及电子服务系统或电子交易系统安全漏洞导致无法正常提供服务的；</w:t>
      </w:r>
    </w:p>
    <w:p w14:paraId="0A4A83C1">
      <w:pPr>
        <w:spacing w:line="400" w:lineRule="exact"/>
        <w:ind w:firstLine="420" w:firstLineChars="200"/>
        <w:rPr>
          <w:rFonts w:ascii="宋体" w:hAnsi="宋体"/>
          <w:color w:val="auto"/>
          <w:highlight w:val="none"/>
        </w:rPr>
      </w:pPr>
      <w:r>
        <w:rPr>
          <w:rFonts w:hint="eastAsia" w:ascii="宋体" w:hAnsi="宋体"/>
          <w:color w:val="auto"/>
          <w:highlight w:val="none"/>
        </w:rPr>
        <w:t>(4)其他无法保证招投标过程公平、公正和信息安全的情形。</w:t>
      </w:r>
    </w:p>
    <w:p w14:paraId="2E364D30">
      <w:pPr>
        <w:spacing w:line="400" w:lineRule="exact"/>
        <w:ind w:firstLine="420" w:firstLineChars="200"/>
        <w:rPr>
          <w:rFonts w:ascii="黑体" w:hAnsi="黑体" w:eastAsia="黑体"/>
          <w:color w:val="auto"/>
          <w:highlight w:val="none"/>
        </w:rPr>
      </w:pPr>
      <w:r>
        <w:rPr>
          <w:rFonts w:hint="eastAsia" w:ascii="黑体" w:hAnsi="黑体" w:eastAsia="黑体"/>
          <w:color w:val="auto"/>
          <w:highlight w:val="none"/>
        </w:rPr>
        <w:t>六、异常情形处理</w:t>
      </w:r>
    </w:p>
    <w:p w14:paraId="2704E39B">
      <w:pPr>
        <w:spacing w:line="400" w:lineRule="exact"/>
        <w:ind w:firstLine="420" w:firstLineChars="200"/>
        <w:rPr>
          <w:color w:val="auto"/>
          <w:highlight w:val="none"/>
        </w:rPr>
      </w:pPr>
      <w:r>
        <w:rPr>
          <w:rFonts w:hint="eastAsia"/>
          <w:color w:val="auto"/>
          <w:highlight w:val="none"/>
        </w:rPr>
        <w:t>1</w:t>
      </w:r>
      <w:r>
        <w:rPr>
          <w:color w:val="auto"/>
          <w:highlight w:val="none"/>
        </w:rPr>
        <w:t>9</w:t>
      </w:r>
      <w:r>
        <w:rPr>
          <w:rFonts w:hint="eastAsia"/>
          <w:color w:val="auto"/>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1EC5F10A">
      <w:pPr>
        <w:spacing w:line="400" w:lineRule="exact"/>
        <w:ind w:firstLine="420" w:firstLineChars="200"/>
        <w:rPr>
          <w:color w:val="auto"/>
          <w:highlight w:val="none"/>
        </w:rPr>
      </w:pPr>
      <w:r>
        <w:rPr>
          <w:rFonts w:hint="eastAsia"/>
          <w:color w:val="auto"/>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6F73A91A">
      <w:pPr>
        <w:spacing w:line="400" w:lineRule="exact"/>
        <w:ind w:firstLine="420" w:firstLineChars="200"/>
        <w:rPr>
          <w:color w:val="auto"/>
          <w:highlight w:val="none"/>
        </w:rPr>
      </w:pPr>
      <w:r>
        <w:rPr>
          <w:rFonts w:hint="eastAsia"/>
          <w:color w:val="auto"/>
          <w:highlight w:val="none"/>
        </w:rPr>
        <w:t>（2）项目恢复，导致项目中止的情形消除后，招标人或代理机构应当尽快恢复招投标程序，向投标人发出恢复交易通知，并发布公布；已发出延长中止期限通知的，按通知执行。</w:t>
      </w:r>
    </w:p>
    <w:p w14:paraId="0E830205">
      <w:pPr>
        <w:widowControl/>
        <w:adjustRightInd w:val="0"/>
        <w:snapToGrid w:val="0"/>
        <w:spacing w:line="360" w:lineRule="auto"/>
        <w:ind w:firstLine="420" w:firstLineChars="200"/>
        <w:rPr>
          <w:rFonts w:hint="eastAsia" w:ascii="宋体" w:hAnsi="宋体" w:eastAsia="仿宋"/>
          <w:color w:val="auto"/>
          <w:szCs w:val="21"/>
          <w:highlight w:val="none"/>
        </w:rPr>
      </w:pPr>
    </w:p>
    <w:p w14:paraId="2A0BAEE9">
      <w:pPr>
        <w:spacing w:line="360" w:lineRule="auto"/>
        <w:jc w:val="center"/>
        <w:outlineLvl w:val="1"/>
        <w:rPr>
          <w:rFonts w:hint="eastAsia" w:ascii="Cambria" w:hAnsi="Cambria" w:eastAsia="黑体"/>
          <w:b/>
          <w:bCs/>
          <w:color w:val="auto"/>
          <w:sz w:val="32"/>
          <w:szCs w:val="32"/>
          <w:highlight w:val="none"/>
        </w:rPr>
      </w:pPr>
      <w:r>
        <w:rPr>
          <w:rFonts w:hint="eastAsia" w:ascii="宋体" w:hAnsi="宋体" w:eastAsia="仿宋"/>
          <w:color w:val="auto"/>
          <w:szCs w:val="21"/>
          <w:highlight w:val="none"/>
        </w:rPr>
        <w:br w:type="page"/>
      </w:r>
      <w:r>
        <w:rPr>
          <w:rFonts w:ascii="Cambria" w:hAnsi="Cambria" w:eastAsia="黑体"/>
          <w:b/>
          <w:bCs/>
          <w:color w:val="auto"/>
          <w:sz w:val="32"/>
          <w:szCs w:val="32"/>
          <w:highlight w:val="none"/>
        </w:rPr>
        <w:t>附件</w:t>
      </w:r>
      <w:r>
        <w:rPr>
          <w:rFonts w:hint="eastAsia" w:ascii="Cambria" w:hAnsi="Cambria" w:eastAsia="黑体"/>
          <w:b/>
          <w:bCs/>
          <w:color w:val="auto"/>
          <w:sz w:val="32"/>
          <w:szCs w:val="32"/>
          <w:highlight w:val="none"/>
        </w:rPr>
        <w:t>二</w:t>
      </w:r>
      <w:r>
        <w:rPr>
          <w:rFonts w:ascii="Cambria" w:hAnsi="Cambria" w:eastAsia="黑体"/>
          <w:b/>
          <w:bCs/>
          <w:color w:val="auto"/>
          <w:sz w:val="32"/>
          <w:szCs w:val="32"/>
          <w:highlight w:val="none"/>
        </w:rPr>
        <w:t>：</w:t>
      </w:r>
      <w:r>
        <w:rPr>
          <w:rFonts w:hint="eastAsia" w:ascii="Cambria" w:hAnsi="Cambria" w:eastAsia="黑体"/>
          <w:b/>
          <w:bCs/>
          <w:color w:val="auto"/>
          <w:sz w:val="32"/>
          <w:szCs w:val="32"/>
          <w:highlight w:val="none"/>
        </w:rPr>
        <w:t>政府采购供应商询问函和质疑函范本</w:t>
      </w:r>
    </w:p>
    <w:p w14:paraId="299E2E51">
      <w:pPr>
        <w:spacing w:line="360" w:lineRule="auto"/>
        <w:jc w:val="cente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询问函范本</w:t>
      </w:r>
    </w:p>
    <w:p w14:paraId="112873D3">
      <w:pPr>
        <w:adjustRightInd w:val="0"/>
        <w:snapToGrid w:val="0"/>
        <w:spacing w:line="360" w:lineRule="auto"/>
        <w:ind w:firstLine="480" w:firstLineChars="200"/>
        <w:jc w:val="center"/>
        <w:rPr>
          <w:rFonts w:hint="eastAsia" w:ascii="仿宋" w:hAnsi="仿宋" w:eastAsia="仿宋" w:cs="仿宋"/>
          <w:b/>
          <w:bCs/>
          <w:color w:val="auto"/>
          <w:sz w:val="32"/>
          <w:szCs w:val="44"/>
          <w:highlight w:val="none"/>
        </w:rPr>
      </w:pPr>
      <w:r>
        <w:rPr>
          <w:rFonts w:hint="eastAsia" w:ascii="宋体" w:hAnsi="宋体" w:cs="仿宋"/>
          <w:i/>
          <w:iCs/>
          <w:color w:val="auto"/>
          <w:sz w:val="24"/>
          <w:highlight w:val="none"/>
        </w:rPr>
        <w:t>（如为对采购文件或采购程序的询问或疑问，请按询问函范本或电子交易系统中网上询问格式附件进行提交）</w:t>
      </w:r>
    </w:p>
    <w:p w14:paraId="0ABD3B30">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某采购单位、某代理机构：</w:t>
      </w:r>
    </w:p>
    <w:p w14:paraId="7FBCCB4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我单位拟参与某项目(某编号)的采购活动，现有以下内容(或条款)存在疑问(或无法理解)，特提出询问。</w:t>
      </w:r>
    </w:p>
    <w:p w14:paraId="2771AD07">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一、(事项一)</w:t>
      </w:r>
    </w:p>
    <w:p w14:paraId="0C13C5F2">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1、(内容或条款)</w:t>
      </w:r>
    </w:p>
    <w:p w14:paraId="2757FC65">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2、(说明疑问或无法理解原因)</w:t>
      </w:r>
    </w:p>
    <w:p w14:paraId="5D81732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3、(建议)</w:t>
      </w:r>
    </w:p>
    <w:p w14:paraId="2B20930A">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二、(事项二)</w:t>
      </w:r>
    </w:p>
    <w:p w14:paraId="4CE3B333">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403B04EB">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随附相关证明材料如下： </w:t>
      </w:r>
    </w:p>
    <w:p w14:paraId="7D8192D4">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 系 人：</w:t>
      </w:r>
      <w:r>
        <w:rPr>
          <w:rFonts w:hint="eastAsia" w:ascii="仿宋" w:hAnsi="仿宋" w:eastAsia="仿宋" w:cs="仿宋"/>
          <w:color w:val="auto"/>
          <w:sz w:val="24"/>
          <w:highlight w:val="none"/>
          <w:u w:val="single"/>
        </w:rPr>
        <w:t xml:space="preserve">              </w:t>
      </w:r>
    </w:p>
    <w:p w14:paraId="4EF06258">
      <w:pPr>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 xml:space="preserve">              </w:t>
      </w:r>
    </w:p>
    <w:p w14:paraId="65A484FB">
      <w:pPr>
        <w:tabs>
          <w:tab w:val="left" w:pos="630"/>
        </w:tabs>
        <w:spacing w:line="360" w:lineRule="auto"/>
        <w:ind w:firstLine="4228" w:firstLineChars="1762"/>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p>
    <w:p w14:paraId="5823F5A6">
      <w:pPr>
        <w:rPr>
          <w:rFonts w:ascii="宋体" w:hAnsi="宋体"/>
          <w:b/>
          <w:color w:val="auto"/>
          <w:sz w:val="52"/>
          <w:highlight w:val="none"/>
        </w:rPr>
      </w:pPr>
      <w:r>
        <w:rPr>
          <w:rFonts w:hint="eastAsia" w:ascii="仿宋" w:hAnsi="仿宋" w:eastAsia="仿宋" w:cs="仿宋"/>
          <w:b/>
          <w:bCs/>
          <w:color w:val="auto"/>
          <w:sz w:val="32"/>
          <w:szCs w:val="44"/>
          <w:highlight w:val="none"/>
        </w:rPr>
        <w:br w:type="page"/>
      </w:r>
    </w:p>
    <w:p w14:paraId="4005DD26">
      <w:pPr>
        <w:jc w:val="cente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t>质疑函范本</w:t>
      </w:r>
    </w:p>
    <w:p w14:paraId="22D480E2">
      <w:pPr>
        <w:adjustRightInd w:val="0"/>
        <w:snapToGrid w:val="0"/>
        <w:spacing w:before="240" w:beforeLines="100"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一、质疑供应商基本信息</w:t>
      </w:r>
    </w:p>
    <w:p w14:paraId="6CE31395">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4263148E">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D27178A">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559B2D22">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9C502C9">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5988FFA">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F85261B">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二、质疑项目基本情况</w:t>
      </w:r>
    </w:p>
    <w:p w14:paraId="5D5D3B1C">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40FA78E">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1EA9DB3A">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266BC85">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59E657CB">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三、质疑事项具体内容</w:t>
      </w:r>
    </w:p>
    <w:p w14:paraId="318E2EF0">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2A188687">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FEBA01C">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788A6E6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0E515631">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0B69241B">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2023A161">
      <w:pPr>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D000159">
      <w:pPr>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四、与质疑事项相关的质疑请求</w:t>
      </w:r>
    </w:p>
    <w:p w14:paraId="4B1D7438">
      <w:pPr>
        <w:adjustRightInd w:val="0"/>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24647AD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328E1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1D8208A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5EE98B02">
      <w:pPr>
        <w:rPr>
          <w:rFonts w:hint="eastAsia" w:ascii="仿宋" w:hAnsi="仿宋" w:eastAsia="仿宋" w:cs="仿宋"/>
          <w:b/>
          <w:color w:val="auto"/>
          <w:sz w:val="28"/>
          <w:szCs w:val="32"/>
          <w:highlight w:val="none"/>
        </w:rPr>
      </w:pPr>
      <w:bookmarkStart w:id="745" w:name="_Toc11441"/>
      <w:r>
        <w:rPr>
          <w:rFonts w:hint="eastAsia" w:ascii="仿宋" w:hAnsi="仿宋" w:eastAsia="仿宋" w:cs="仿宋"/>
          <w:b/>
          <w:color w:val="auto"/>
          <w:sz w:val="28"/>
          <w:szCs w:val="32"/>
          <w:highlight w:val="none"/>
        </w:rPr>
        <w:t>质疑函制作说明：</w:t>
      </w:r>
      <w:bookmarkEnd w:id="745"/>
    </w:p>
    <w:p w14:paraId="7DD1E297">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1FBC4149">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0E3DCD4A">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3.质疑供应商若对项目的某一采购包进行质疑，质疑函中应列明具体包号。</w:t>
      </w:r>
    </w:p>
    <w:p w14:paraId="4608EC34">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134FFA23">
      <w:pPr>
        <w:spacing w:line="360" w:lineRule="auto"/>
        <w:ind w:firstLine="435"/>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710E019">
      <w:pPr>
        <w:spacing w:line="360" w:lineRule="auto"/>
        <w:ind w:firstLine="435"/>
        <w:rPr>
          <w:rFonts w:hint="eastAsia" w:ascii="宋体" w:hAnsi="宋体" w:cs="宋体"/>
          <w:color w:val="auto"/>
          <w:szCs w:val="28"/>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6.质疑供应商为自然人的，质疑函应由本人签字；质疑供应商为法人或者其他组织的，质疑函应由法定代表人/主要负责人/其授权代表签字或者盖签字章，并加盖公章。</w:t>
      </w:r>
    </w:p>
    <w:p w14:paraId="634E4B46">
      <w:pPr>
        <w:widowControl/>
        <w:adjustRightInd w:val="0"/>
        <w:snapToGrid w:val="0"/>
        <w:spacing w:line="360" w:lineRule="auto"/>
        <w:ind w:firstLine="420" w:firstLineChars="200"/>
        <w:rPr>
          <w:rFonts w:hint="eastAsia" w:ascii="宋体" w:hAnsi="宋体" w:eastAsia="仿宋"/>
          <w:color w:val="auto"/>
          <w:szCs w:val="21"/>
          <w:highlight w:val="none"/>
        </w:rPr>
      </w:pPr>
    </w:p>
    <w:p w14:paraId="10CB2C1A">
      <w:pPr>
        <w:widowControl/>
        <w:adjustRightInd w:val="0"/>
        <w:snapToGrid w:val="0"/>
        <w:spacing w:line="360" w:lineRule="auto"/>
        <w:ind w:firstLine="420" w:firstLineChars="200"/>
        <w:rPr>
          <w:rFonts w:hint="eastAsia" w:ascii="宋体" w:hAnsi="宋体" w:eastAsia="仿宋"/>
          <w:color w:val="auto"/>
          <w:szCs w:val="21"/>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279B2410">
      <w:pPr>
        <w:pStyle w:val="2"/>
        <w:widowControl/>
        <w:snapToGrid w:val="0"/>
        <w:spacing w:before="0" w:after="0" w:line="360" w:lineRule="auto"/>
        <w:jc w:val="center"/>
        <w:rPr>
          <w:rFonts w:hint="eastAsia" w:ascii="宋体" w:hAnsi="宋体" w:eastAsia="仿宋"/>
          <w:color w:val="auto"/>
          <w:highlight w:val="none"/>
        </w:rPr>
      </w:pPr>
      <w:bookmarkStart w:id="746" w:name="_Toc466024555"/>
      <w:bookmarkStart w:id="747" w:name="_Toc24366"/>
      <w:bookmarkStart w:id="748" w:name="_Toc445554746"/>
      <w:bookmarkStart w:id="749" w:name="_Toc342296244"/>
      <w:bookmarkStart w:id="750" w:name="_Toc179632616"/>
      <w:bookmarkStart w:id="751" w:name="_Toc152042375"/>
      <w:bookmarkStart w:id="752" w:name="_Toc241459648"/>
      <w:bookmarkStart w:id="753" w:name="_Toc342297699"/>
      <w:bookmarkStart w:id="754" w:name="_Toc342296242"/>
      <w:bookmarkStart w:id="755" w:name="_Toc144974565"/>
      <w:bookmarkStart w:id="756" w:name="_Toc152045598"/>
      <w:bookmarkStart w:id="757" w:name="_Toc342297701"/>
      <w:r>
        <w:rPr>
          <w:rFonts w:hint="eastAsia" w:ascii="宋体" w:hAnsi="宋体" w:eastAsia="仿宋"/>
          <w:color w:val="auto"/>
          <w:highlight w:val="none"/>
        </w:rPr>
        <w:t>第三章  采购需求</w:t>
      </w:r>
      <w:bookmarkEnd w:id="746"/>
      <w:bookmarkEnd w:id="747"/>
      <w:bookmarkEnd w:id="748"/>
    </w:p>
    <w:p w14:paraId="70BCB75C">
      <w:pPr>
        <w:pStyle w:val="3"/>
        <w:rPr>
          <w:rStyle w:val="103"/>
          <w:rFonts w:ascii="宋体" w:hAnsi="宋体" w:eastAsia="仿宋"/>
          <w:b/>
          <w:bCs/>
          <w:color w:val="auto"/>
          <w:sz w:val="24"/>
          <w:szCs w:val="24"/>
          <w:highlight w:val="none"/>
        </w:rPr>
      </w:pPr>
      <w:bookmarkStart w:id="758" w:name="_Toc455587273"/>
      <w:bookmarkStart w:id="759" w:name="_Toc466024556"/>
      <w:bookmarkStart w:id="760" w:name="_Toc455587089"/>
      <w:bookmarkStart w:id="761" w:name="_Toc445554747"/>
      <w:r>
        <w:rPr>
          <w:rStyle w:val="103"/>
          <w:rFonts w:hint="eastAsia" w:ascii="宋体" w:hAnsi="宋体" w:eastAsia="仿宋"/>
          <w:b/>
          <w:bCs/>
          <w:color w:val="auto"/>
          <w:sz w:val="24"/>
          <w:szCs w:val="24"/>
          <w:highlight w:val="none"/>
        </w:rPr>
        <w:t xml:space="preserve">1. </w:t>
      </w:r>
      <w:bookmarkEnd w:id="758"/>
      <w:bookmarkEnd w:id="759"/>
      <w:bookmarkEnd w:id="760"/>
      <w:r>
        <w:rPr>
          <w:rStyle w:val="103"/>
          <w:rFonts w:hint="eastAsia" w:ascii="宋体" w:hAnsi="宋体" w:eastAsia="仿宋"/>
          <w:b/>
          <w:bCs/>
          <w:color w:val="auto"/>
          <w:sz w:val="24"/>
          <w:szCs w:val="24"/>
          <w:highlight w:val="none"/>
        </w:rPr>
        <w:t>总体说明</w:t>
      </w:r>
    </w:p>
    <w:p w14:paraId="1FDCAD46">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1E68281A">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6B2BE798">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6822A477">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20EDF65A">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15843764">
      <w:pPr>
        <w:pStyle w:val="3"/>
        <w:rPr>
          <w:rStyle w:val="103"/>
          <w:rFonts w:hint="eastAsia" w:ascii="宋体" w:hAnsi="宋体" w:eastAsia="仿宋"/>
          <w:b/>
          <w:bCs/>
          <w:color w:val="auto"/>
          <w:sz w:val="24"/>
          <w:szCs w:val="24"/>
          <w:highlight w:val="none"/>
        </w:rPr>
      </w:pPr>
      <w:bookmarkStart w:id="762" w:name="_Toc466024557"/>
      <w:bookmarkStart w:id="763" w:name="_Toc455587274"/>
      <w:bookmarkStart w:id="764" w:name="_Toc455587090"/>
      <w:r>
        <w:rPr>
          <w:rStyle w:val="103"/>
          <w:rFonts w:hint="eastAsia" w:ascii="宋体" w:hAnsi="宋体" w:eastAsia="仿宋"/>
          <w:b/>
          <w:bCs/>
          <w:color w:val="auto"/>
          <w:sz w:val="24"/>
          <w:szCs w:val="24"/>
          <w:highlight w:val="none"/>
        </w:rPr>
        <w:t>2. 采购内容及范围</w:t>
      </w:r>
      <w:bookmarkEnd w:id="762"/>
      <w:bookmarkEnd w:id="763"/>
      <w:bookmarkEnd w:id="764"/>
    </w:p>
    <w:p w14:paraId="0468BAC2">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46"/>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412"/>
        <w:gridCol w:w="1630"/>
        <w:gridCol w:w="1540"/>
        <w:gridCol w:w="1310"/>
      </w:tblGrid>
      <w:tr w14:paraId="26FA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064EF5C7">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FB4044F">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ADD5D6E">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4D1C180">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180EE052">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总预算（万元）</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531D7FC1">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最高投标限价（万元）</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486BBFF8">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Calibri" w:hAnsi="宋体" w:eastAsia="仿宋" w:cs="Times New Roman"/>
                <w:color w:val="auto"/>
                <w:sz w:val="24"/>
                <w:highlight w:val="none"/>
              </w:rPr>
              <w:t>所属行业</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6AD5BE0">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7DC6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restart"/>
            <w:tcBorders>
              <w:top w:val="single" w:color="auto" w:sz="4" w:space="0"/>
              <w:left w:val="single" w:color="auto" w:sz="4" w:space="0"/>
              <w:right w:val="single" w:color="auto" w:sz="4" w:space="0"/>
            </w:tcBorders>
            <w:noWrap w:val="0"/>
            <w:vAlign w:val="center"/>
          </w:tcPr>
          <w:p w14:paraId="414FE463">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0B815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337F4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彩色多普勒超声诊断仪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A8270D5">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06D6A709">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199</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5DCBCF8">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185</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49272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6499AD1">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r w14:paraId="71D1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continue"/>
            <w:tcBorders>
              <w:left w:val="single" w:color="auto" w:sz="4" w:space="0"/>
              <w:right w:val="single" w:color="auto" w:sz="4" w:space="0"/>
            </w:tcBorders>
            <w:noWrap w:val="0"/>
            <w:vAlign w:val="center"/>
          </w:tcPr>
          <w:p w14:paraId="2B636DF7">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546FE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562A5E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eastAsia="zh-CN" w:bidi="ar"/>
              </w:rPr>
              <w:t>彩色多普勒超声诊断仪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B266C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7D37FCE0">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70</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0B874C1">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val="en-US" w:eastAsia="zh-CN" w:bidi="ar"/>
              </w:rPr>
              <w:t>70</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93297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bidi="ar"/>
              </w:rPr>
              <w:t>工业</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43F9C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bidi="ar"/>
              </w:rPr>
              <w:t>医疗器械</w:t>
            </w:r>
          </w:p>
        </w:tc>
      </w:tr>
    </w:tbl>
    <w:p w14:paraId="523F66C9">
      <w:pPr>
        <w:widowControl/>
        <w:tabs>
          <w:tab w:val="left" w:pos="1406"/>
        </w:tabs>
        <w:snapToGrid w:val="0"/>
        <w:spacing w:line="360" w:lineRule="auto"/>
        <w:rPr>
          <w:rFonts w:hint="eastAsia" w:ascii="宋体" w:hAnsi="宋体" w:eastAsia="仿宋"/>
          <w:b/>
          <w:color w:val="auto"/>
          <w:sz w:val="24"/>
          <w:highlight w:val="none"/>
        </w:rPr>
      </w:pPr>
    </w:p>
    <w:p w14:paraId="15DDD2C3">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6727EF60">
      <w:pPr>
        <w:pStyle w:val="2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地点）</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安装（包括提供医院配电箱与所购设备之间所需的电缆、控制柜等各种安装所需的电气设备及材料）、</w:t>
      </w:r>
      <w:r>
        <w:rPr>
          <w:rFonts w:hint="eastAsia" w:ascii="仿宋" w:hAnsi="仿宋" w:eastAsia="仿宋" w:cs="仿宋"/>
          <w:color w:val="auto"/>
          <w:sz w:val="24"/>
          <w:szCs w:val="24"/>
          <w:highlight w:val="none"/>
        </w:rPr>
        <w:t>调试、技术服务、培训、售后服务等所有内容。</w:t>
      </w:r>
    </w:p>
    <w:p w14:paraId="297892F0">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5440EE82">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5C932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5393BACB">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2595516D">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4A295FB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1A83DD7">
            <w:pPr>
              <w:pStyle w:val="89"/>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6F522C19">
            <w:pPr>
              <w:pStyle w:val="89"/>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68C5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1444C346">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top"/>
          </w:tcPr>
          <w:p w14:paraId="239206FB">
            <w:pPr>
              <w:pStyle w:val="89"/>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蚌埠医科大学第一附属医院</w:t>
            </w:r>
            <w:r>
              <w:rPr>
                <w:rFonts w:hint="eastAsia" w:ascii="宋体" w:hAnsi="宋体" w:eastAsia="仿宋" w:cs="Times New Roman"/>
                <w:color w:val="auto"/>
                <w:sz w:val="24"/>
                <w:highlight w:val="none"/>
                <w:lang w:val="en-US" w:eastAsia="zh-CN"/>
              </w:rPr>
              <w:t>内</w:t>
            </w:r>
            <w:r>
              <w:rPr>
                <w:rFonts w:hint="eastAsia" w:ascii="宋体" w:hAnsi="宋体" w:eastAsia="仿宋" w:cs="Times New Roman"/>
                <w:color w:val="auto"/>
                <w:sz w:val="24"/>
                <w:highlight w:val="none"/>
              </w:rPr>
              <w:t>，招标人指定地点</w:t>
            </w:r>
          </w:p>
        </w:tc>
      </w:tr>
      <w:tr w14:paraId="2FB9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A871F71">
            <w:pPr>
              <w:pStyle w:val="89"/>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3C44F13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0EB91ED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1.如所投产品为中小企业生产的，合同生效后，预付合同款的40%(中标人向采购人提交等额的预付款保函或其他担保措施，见索即付，期限至设备到达采购人指定地点时);</w:t>
            </w:r>
          </w:p>
          <w:p w14:paraId="032401A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2.如所投产品为非中小企业生产的，合同生效后，预付合同款的20%(中标人向采购人提交等额的预付款保函或其他担保措施，见索即付，期限至设备到达采购人指定地点时)。</w:t>
            </w:r>
          </w:p>
          <w:p w14:paraId="5F5DF47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486BCFB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564378F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5C3A93A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5689A31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27025C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023048B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3957F4E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p w14:paraId="4E69FA7E">
            <w:pPr>
              <w:keepNext w:val="0"/>
              <w:keepLines w:val="0"/>
              <w:suppressLineNumbers w:val="0"/>
              <w:spacing w:before="0" w:beforeAutospacing="0" w:after="0" w:afterAutospacing="0"/>
              <w:ind w:left="0" w:right="0"/>
              <w:rPr>
                <w:rFonts w:hint="default" w:ascii="Calibri" w:hAnsi="Calibri" w:cs="Times New Roman"/>
                <w:b w:val="0"/>
                <w:bCs w:val="0"/>
                <w:color w:val="auto"/>
                <w:highlight w:val="none"/>
              </w:rPr>
            </w:pPr>
            <w:r>
              <w:rPr>
                <w:rFonts w:hint="eastAsia" w:ascii="宋体" w:hAnsi="宋体" w:eastAsia="仿宋" w:cs="Calibri"/>
                <w:b w:val="0"/>
                <w:bCs w:val="0"/>
                <w:color w:val="auto"/>
                <w:sz w:val="24"/>
                <w:highlight w:val="none"/>
              </w:rPr>
              <w:t>设备完成安装并验收合格后开具全额发票后七个工作日内支付至合同总价的100%。</w:t>
            </w:r>
          </w:p>
          <w:p w14:paraId="353A1C3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0D9FFC51">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18D7E788">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p>
        </w:tc>
      </w:tr>
      <w:tr w14:paraId="76BB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6B6BBF9">
            <w:pPr>
              <w:pStyle w:val="89"/>
              <w:keepNext w:val="0"/>
              <w:keepLines w:val="0"/>
              <w:suppressLineNumbers w:val="0"/>
              <w:spacing w:before="0" w:beforeAutospacing="0" w:after="0" w:afterAutospacing="0"/>
              <w:ind w:left="0" w:right="0" w:firstLine="0" w:firstLineChars="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免费质保期</w:t>
            </w:r>
          </w:p>
        </w:tc>
        <w:tc>
          <w:tcPr>
            <w:tcW w:w="7479" w:type="dxa"/>
            <w:noWrap w:val="0"/>
            <w:vAlign w:val="top"/>
          </w:tcPr>
          <w:p w14:paraId="11BFB1A5">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iCs/>
                <w:color w:val="auto"/>
                <w:sz w:val="24"/>
                <w:highlight w:val="none"/>
              </w:rPr>
            </w:pPr>
            <w:r>
              <w:rPr>
                <w:rFonts w:hint="eastAsia" w:ascii="宋体" w:hAnsi="宋体" w:eastAsia="仿宋" w:cs="Times New Roman"/>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宋体" w:hAnsi="宋体" w:eastAsia="仿宋" w:cs="Calibri"/>
                <w:color w:val="auto"/>
                <w:sz w:val="24"/>
                <w:highlight w:val="none"/>
                <w:lang w:val="en-US" w:eastAsia="zh-CN"/>
              </w:rPr>
              <w:t>2</w:t>
            </w:r>
            <w:r>
              <w:rPr>
                <w:rFonts w:hint="eastAsia" w:ascii="仿宋" w:hAnsi="仿宋" w:eastAsia="仿宋" w:cs="仿宋"/>
                <w:iCs/>
                <w:color w:val="auto"/>
                <w:sz w:val="24"/>
                <w:highlight w:val="none"/>
              </w:rPr>
              <w:t>年</w:t>
            </w:r>
          </w:p>
          <w:p w14:paraId="1E21D68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703809A">
            <w:pPr>
              <w:pStyle w:val="89"/>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EBE2C11">
            <w:pPr>
              <w:pStyle w:val="89"/>
              <w:keepNext w:val="0"/>
              <w:keepLines w:val="0"/>
              <w:suppressLineNumbers w:val="0"/>
              <w:spacing w:before="0" w:beforeAutospacing="0" w:after="0" w:afterAutospacing="0"/>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4FD721DC">
      <w:pPr>
        <w:pStyle w:val="89"/>
        <w:ind w:firstLine="480"/>
        <w:rPr>
          <w:rFonts w:ascii="宋体" w:hAnsi="宋体" w:eastAsia="仿宋"/>
          <w:color w:val="auto"/>
          <w:sz w:val="24"/>
          <w:highlight w:val="none"/>
        </w:rPr>
      </w:pPr>
    </w:p>
    <w:bookmarkEnd w:id="761"/>
    <w:p w14:paraId="357C21FF">
      <w:pPr>
        <w:pStyle w:val="24"/>
        <w:widowControl/>
        <w:snapToGrid w:val="0"/>
        <w:spacing w:line="360" w:lineRule="auto"/>
        <w:outlineLvl w:val="1"/>
        <w:rPr>
          <w:rStyle w:val="103"/>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65" w:name="_Toc445554749"/>
      <w:bookmarkStart w:id="766" w:name="_Toc455587275"/>
      <w:bookmarkStart w:id="767" w:name="_Toc466024558"/>
      <w:bookmarkStart w:id="768" w:name="_Toc455587091"/>
      <w:r>
        <w:rPr>
          <w:rStyle w:val="103"/>
          <w:rFonts w:hint="eastAsia" w:ascii="宋体" w:hAnsi="宋体" w:eastAsia="仿宋"/>
          <w:color w:val="auto"/>
          <w:sz w:val="24"/>
          <w:szCs w:val="24"/>
          <w:highlight w:val="none"/>
        </w:rPr>
        <w:t>4. 技术要求</w:t>
      </w:r>
      <w:bookmarkEnd w:id="765"/>
      <w:bookmarkEnd w:id="766"/>
      <w:bookmarkEnd w:id="767"/>
      <w:bookmarkEnd w:id="768"/>
    </w:p>
    <w:p w14:paraId="4A9B25BC">
      <w:pPr>
        <w:pStyle w:val="2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46"/>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9"/>
        <w:gridCol w:w="1530"/>
        <w:gridCol w:w="6185"/>
      </w:tblGrid>
      <w:tr w14:paraId="6CC90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pct"/>
            <w:noWrap w:val="0"/>
            <w:vAlign w:val="center"/>
          </w:tcPr>
          <w:p w14:paraId="0BB48A3B">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503AC83D">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74B6BAD8">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47BD7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64B555EA">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65CAC5A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3AC7A3AB">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4D54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2FB4DBA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1D00BEF7">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52CBF79E">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1ADC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6D64A31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7390C170">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71A242E0">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6361F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01ED292F">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3EFF6AD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3934A3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613CA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32642C6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0CE284FA">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302C3173">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仿宋" w:hAnsi="仿宋" w:eastAsia="仿宋" w:cs="仿宋"/>
                <w:color w:val="auto"/>
                <w:sz w:val="24"/>
                <w:highlight w:val="none"/>
              </w:rPr>
              <w:t>评分项</w:t>
            </w:r>
          </w:p>
        </w:tc>
      </w:tr>
      <w:tr w14:paraId="7198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1B9FC217">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4A1BFC37">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5824DC96">
            <w:pPr>
              <w:keepNext w:val="0"/>
              <w:keepLines w:val="0"/>
              <w:suppressLineNumbers w:val="0"/>
              <w:spacing w:before="0" w:beforeAutospacing="0" w:after="0" w:afterAutospacing="0"/>
              <w:ind w:left="0" w:right="0"/>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49BF0478">
      <w:pPr>
        <w:pStyle w:val="24"/>
        <w:widowControl/>
        <w:snapToGrid w:val="0"/>
        <w:spacing w:line="360" w:lineRule="auto"/>
        <w:ind w:firstLine="480" w:firstLineChars="200"/>
        <w:rPr>
          <w:rFonts w:hint="eastAsia" w:hAnsi="宋体" w:eastAsia="仿宋"/>
          <w:color w:val="auto"/>
          <w:sz w:val="24"/>
          <w:szCs w:val="24"/>
          <w:highlight w:val="none"/>
        </w:rPr>
      </w:pPr>
    </w:p>
    <w:p w14:paraId="6F79BF50">
      <w:pPr>
        <w:pStyle w:val="2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46"/>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3"/>
        <w:gridCol w:w="7986"/>
      </w:tblGrid>
      <w:tr w14:paraId="7C2E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3DA42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bookmarkStart w:id="769" w:name="_Toc9357"/>
            <w:bookmarkStart w:id="770" w:name="_Toc466024564"/>
            <w:bookmarkStart w:id="771" w:name="_Toc445554765"/>
            <w:r>
              <w:rPr>
                <w:rFonts w:hint="eastAsia" w:ascii="仿宋" w:hAnsi="仿宋" w:eastAsia="仿宋" w:cs="仿宋"/>
                <w:b/>
                <w:bCs/>
                <w:i w:val="0"/>
                <w:iCs w:val="0"/>
                <w:color w:val="000000"/>
                <w:kern w:val="0"/>
                <w:sz w:val="24"/>
                <w:szCs w:val="24"/>
                <w:u w:val="none"/>
                <w:lang w:val="en-US" w:eastAsia="zh-CN" w:bidi="ar"/>
              </w:rPr>
              <w:t>序号</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D76B52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r>
      <w:tr w14:paraId="0E0A3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01ABCE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配置一：</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6E47B7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color w:val="auto"/>
                <w:sz w:val="24"/>
                <w:highlight w:val="none"/>
              </w:rPr>
              <w:t>▲彩色多普勒超声诊断仪</w:t>
            </w:r>
          </w:p>
        </w:tc>
      </w:tr>
      <w:tr w14:paraId="7DA61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8BA27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924B14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r>
      <w:tr w14:paraId="17CB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C46AA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1462CA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用途：主要用于腹部、泌尿、血管、小器官、 骨骼肌肉、神经、术中，造影、介入等方面的临床诊断和科研教学工作。</w:t>
            </w:r>
          </w:p>
        </w:tc>
      </w:tr>
      <w:tr w14:paraId="47936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A328C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DFAFF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投标设备必须为最高端档次型号全身机</w:t>
            </w:r>
          </w:p>
        </w:tc>
      </w:tr>
      <w:tr w14:paraId="074F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0080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1CC633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主要技术规格及配置要求</w:t>
            </w:r>
          </w:p>
        </w:tc>
      </w:tr>
      <w:tr w14:paraId="5B3E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D067D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66736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系统技术参数要求</w:t>
            </w:r>
          </w:p>
        </w:tc>
      </w:tr>
      <w:tr w14:paraId="00C4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0304C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0514C3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≥23英寸高分辨率彩色显示器，可实现上下左右前后任意方位调节。</w:t>
            </w:r>
          </w:p>
        </w:tc>
      </w:tr>
      <w:tr w14:paraId="4A345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4B924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AB708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≥12英寸彩色触摸屏，支持界面编辑及滑动翻页功能；</w:t>
            </w:r>
          </w:p>
        </w:tc>
      </w:tr>
      <w:tr w14:paraId="07AE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5B4D6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0A7DBE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探头接口：≥4个（4个无针式探头接口，全部激活相互通用）</w:t>
            </w:r>
          </w:p>
        </w:tc>
      </w:tr>
      <w:tr w14:paraId="11457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144E9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72E2BC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中央刹车功能：通过脚踩踏板一键控制四轮锁止和解锁，不接受四个轮子分开控制的结构。（提供图片证明）</w:t>
            </w:r>
          </w:p>
        </w:tc>
      </w:tr>
      <w:tr w14:paraId="127C2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AE597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06ECC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二维灰阶模式</w:t>
            </w:r>
          </w:p>
        </w:tc>
      </w:tr>
      <w:tr w14:paraId="2AA91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BD5CE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AA5B60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M型模式</w:t>
            </w:r>
          </w:p>
        </w:tc>
      </w:tr>
      <w:tr w14:paraId="25315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A03CD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390CF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彩色M型模式</w:t>
            </w:r>
          </w:p>
        </w:tc>
      </w:tr>
      <w:tr w14:paraId="2DC3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59125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566ED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彩色多普勒成像</w:t>
            </w:r>
          </w:p>
        </w:tc>
      </w:tr>
      <w:tr w14:paraId="08C9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F6B5E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3A30B3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频谱多普勒成像</w:t>
            </w:r>
          </w:p>
        </w:tc>
      </w:tr>
      <w:tr w14:paraId="0B30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E4F98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8513A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宽景成像技术</w:t>
            </w:r>
          </w:p>
        </w:tc>
      </w:tr>
      <w:tr w14:paraId="0DA4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2D86F3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0141F1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空间复合成像技术</w:t>
            </w:r>
          </w:p>
        </w:tc>
      </w:tr>
      <w:tr w14:paraId="4DCF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F579E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B84083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扩展成像功能</w:t>
            </w:r>
          </w:p>
        </w:tc>
      </w:tr>
      <w:tr w14:paraId="7427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B6EFF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7EAA5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全屏放大、局部放大功能</w:t>
            </w:r>
          </w:p>
        </w:tc>
      </w:tr>
      <w:tr w14:paraId="48F3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958BFA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5DE431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机器内置微细（低速）血流成像技术：定量检测与分析血管指数VI、血流指数FI、血流血管指数VFI等指标（此条款须提供软件界面照片证明）</w:t>
            </w:r>
          </w:p>
        </w:tc>
      </w:tr>
      <w:tr w14:paraId="3294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A1628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47CA55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立体血流技术，呈现血流三维关系（此条款须提供软件界面照片证明）</w:t>
            </w:r>
          </w:p>
        </w:tc>
      </w:tr>
      <w:tr w14:paraId="7BE87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65D0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BEE86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弹性成像：提供应变式弹性成像（须支持线阵探头）、剪切波定量弹性成像功能（须支持凸阵、线阵探头、腔内探头）。</w:t>
            </w:r>
          </w:p>
        </w:tc>
      </w:tr>
      <w:tr w14:paraId="4E1C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6503D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2A084F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提供造影成像及定量分析功能,至少支持腹部探头、浅表探头支持低机械指数造影，投标人详细列出所支持的探头种类。（定量分析功能须提供软件界面照片证明，其他部分按招标文件要求提供证明材料）</w:t>
            </w:r>
          </w:p>
        </w:tc>
      </w:tr>
      <w:tr w14:paraId="2CF5C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E3E8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BDA8F4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穿刺针增强显示功能</w:t>
            </w:r>
          </w:p>
        </w:tc>
      </w:tr>
      <w:tr w14:paraId="5CBE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29CE3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4B7D4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提供多影像融合功能，在监视器上同时实时显示超声和 CT/MR等同一切面图像，从而实现融合超声诊断治疗，支持凸阵和双平面探头。（此条款须提供软件界面照片证明）</w:t>
            </w:r>
          </w:p>
        </w:tc>
      </w:tr>
      <w:tr w14:paraId="23B8E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3596B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B51FEE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具备容积导航功能，可将其他影像如CT， MR等与实时超声图像融合并同屏显示；同时还可实现与实时超声造影成像和超声弹性成像融合。包含主机软件、磁定位系统、探头导航适配器、其他附件等，院方不需要再购置其他任何软硬件即可进行临床应用。</w:t>
            </w:r>
          </w:p>
        </w:tc>
      </w:tr>
      <w:tr w14:paraId="4E0C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25ED6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4A459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测量/分析和报告</w:t>
            </w:r>
          </w:p>
        </w:tc>
      </w:tr>
      <w:tr w14:paraId="3959F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90525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63FDAF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全科测量包，自动生成报告</w:t>
            </w:r>
          </w:p>
        </w:tc>
      </w:tr>
      <w:tr w14:paraId="7845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85262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D91797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具备声衰减成像：基于超声射频信号的衰减系数来计算肝衰减系数，用于肝脏等疾病的早筛、定量、分级及检测。（此条款须提供软件界面照片证明）</w:t>
            </w:r>
          </w:p>
        </w:tc>
      </w:tr>
      <w:tr w14:paraId="11D2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14D20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4C246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提供血管内中膜自动测量技术，测量数据至少包括最大值、最小值、平均值等</w:t>
            </w:r>
          </w:p>
        </w:tc>
      </w:tr>
      <w:tr w14:paraId="25625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7D63E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18925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小儿髋关节自动测量功能，可自动计算α角,β角，自动进行临床分型（此条款须提供软件界面照片证明）</w:t>
            </w:r>
          </w:p>
        </w:tc>
      </w:tr>
      <w:tr w14:paraId="20A8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12A37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C2D67D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机器内置甲乳自动分析软件（此条款须提供软件界面照片证明）</w:t>
            </w:r>
          </w:p>
        </w:tc>
      </w:tr>
      <w:tr w14:paraId="1827E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5888E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B5269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电影回放和原始数据处理</w:t>
            </w:r>
          </w:p>
        </w:tc>
      </w:tr>
      <w:tr w14:paraId="3000F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0FEA6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B829FE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所有模式下可用，支持向后存储和向前存储</w:t>
            </w:r>
          </w:p>
        </w:tc>
      </w:tr>
      <w:tr w14:paraId="5163A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7F70C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FC2238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原始数据处理，支持动、静态图像冻结后，可进行多项参数调节</w:t>
            </w:r>
          </w:p>
        </w:tc>
      </w:tr>
      <w:tr w14:paraId="6ABA2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FF351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1D101D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检查存储和管理</w:t>
            </w:r>
          </w:p>
        </w:tc>
      </w:tr>
      <w:tr w14:paraId="70CC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C874A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A966E6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硬盘存储空间≥1TB</w:t>
            </w:r>
          </w:p>
        </w:tc>
      </w:tr>
      <w:tr w14:paraId="78AA5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26778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F097EC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连通性要求</w:t>
            </w:r>
          </w:p>
        </w:tc>
      </w:tr>
      <w:tr w14:paraId="7DDC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9114C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7C513E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DICOM3.0端口永久免费开放。</w:t>
            </w:r>
          </w:p>
        </w:tc>
      </w:tr>
      <w:tr w14:paraId="0C9F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ACE30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8A15D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支持下载手机、平板移动终端 APP，可进行移动设备无线图像传输。</w:t>
            </w:r>
          </w:p>
        </w:tc>
      </w:tr>
      <w:tr w14:paraId="2A9C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D4E92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22EFE1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探头规格与配置要求</w:t>
            </w:r>
          </w:p>
        </w:tc>
      </w:tr>
      <w:tr w14:paraId="5D22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87ABF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76FEF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探头配置：</w:t>
            </w:r>
          </w:p>
        </w:tc>
      </w:tr>
      <w:tr w14:paraId="5F20F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9D069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035B5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常规探头：凸阵探头（支持融合导航）1把、腔内探头1把、线阵探头（支持融合导航）1把、用于超声介入检查的微凸探头1把、≥18MH的高频探头1把</w:t>
            </w:r>
          </w:p>
        </w:tc>
      </w:tr>
      <w:tr w14:paraId="6FFB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2F3A6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FAB5E2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凸/线双平面探头1把（此条款须提供软件界面照片证明）,不接受凸/凸等其他类型的替代方案。</w:t>
            </w:r>
          </w:p>
        </w:tc>
      </w:tr>
      <w:tr w14:paraId="6C32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F2E21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7AEE46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除上述探头外，提供1把超声介入检查、科研特色的探头，具体参数投标人自述。</w:t>
            </w:r>
          </w:p>
        </w:tc>
      </w:tr>
      <w:tr w14:paraId="5AEB2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253B4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2F457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凸阵探头等探头须提供最新技术的探头，如单晶体探头、纯净波探头、苹果探头或者冰晶探头等。</w:t>
            </w:r>
          </w:p>
        </w:tc>
      </w:tr>
      <w:tr w14:paraId="37D51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EC338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EC6B2D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r>
      <w:tr w14:paraId="74367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D11FB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CE751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提供耦合剂加热器</w:t>
            </w:r>
          </w:p>
        </w:tc>
      </w:tr>
      <w:tr w14:paraId="7F27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376C5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C2626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提供的所有探头支持的所有软件须免费提供（正式版，非试用版）</w:t>
            </w:r>
          </w:p>
        </w:tc>
      </w:tr>
      <w:tr w14:paraId="032F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3EB784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AE4AD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质保期内，所有软件免费升级到最新版</w:t>
            </w:r>
          </w:p>
        </w:tc>
      </w:tr>
      <w:tr w14:paraId="7A46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5B430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配置二：</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A29AA2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color w:val="auto"/>
                <w:sz w:val="24"/>
                <w:highlight w:val="none"/>
              </w:rPr>
              <w:t>彩色多普勒超声诊断仪</w:t>
            </w:r>
          </w:p>
        </w:tc>
      </w:tr>
      <w:tr w14:paraId="46DD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5E0F8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E85CA0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r>
      <w:tr w14:paraId="050C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B6111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8613E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用途：主要用于腹部、泌尿、血管、小器官、 骨骼肌肉、神经、术中，造影、介入等方面的临床诊断和科研教学工作。</w:t>
            </w:r>
          </w:p>
        </w:tc>
      </w:tr>
      <w:tr w14:paraId="337B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94008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C98DA8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主要技术规格及配置要求</w:t>
            </w:r>
          </w:p>
        </w:tc>
      </w:tr>
      <w:tr w14:paraId="7CCE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F0AA2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1DD684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系统技术参数要求</w:t>
            </w:r>
          </w:p>
        </w:tc>
      </w:tr>
      <w:tr w14:paraId="6A0EA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2ADE2A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7BBCE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≥23英寸高分辨率彩色显示器，可实现上下左右前后任意方位调节。</w:t>
            </w:r>
          </w:p>
        </w:tc>
      </w:tr>
      <w:tr w14:paraId="6680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BF691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B889AF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≥12英寸彩色触摸屏，支持界面编辑及滑动翻页功能；</w:t>
            </w:r>
          </w:p>
        </w:tc>
      </w:tr>
      <w:tr w14:paraId="112D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A862C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C2633F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探头接口：≥4个（4个无针式探头接口，全部激活相互通用）</w:t>
            </w:r>
          </w:p>
        </w:tc>
      </w:tr>
      <w:tr w14:paraId="0E18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34840C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2BA69C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中央刹车功能：通过脚踩踏板一键控制四轮锁止和解锁，不接受四个轮子分开控制的结构。（提供图片证明）</w:t>
            </w:r>
          </w:p>
        </w:tc>
      </w:tr>
      <w:tr w14:paraId="3CBA9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AF9162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432F96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二维灰阶模式</w:t>
            </w:r>
          </w:p>
        </w:tc>
      </w:tr>
      <w:tr w14:paraId="1728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4CC5C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57A0D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M型模式</w:t>
            </w:r>
          </w:p>
        </w:tc>
      </w:tr>
      <w:tr w14:paraId="67FE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09394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02AC77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彩色M型模式</w:t>
            </w:r>
          </w:p>
        </w:tc>
      </w:tr>
      <w:tr w14:paraId="22E4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90FA5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3DA20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彩色多普勒成像</w:t>
            </w:r>
          </w:p>
        </w:tc>
      </w:tr>
      <w:tr w14:paraId="11C4F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F79AB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89FB9B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频谱多普勒成像</w:t>
            </w:r>
          </w:p>
        </w:tc>
      </w:tr>
      <w:tr w14:paraId="67FF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5628B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9E0EF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宽景成像技术</w:t>
            </w:r>
          </w:p>
        </w:tc>
      </w:tr>
      <w:tr w14:paraId="78199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E5ADA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F900C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空间复合成像技术</w:t>
            </w:r>
          </w:p>
        </w:tc>
      </w:tr>
      <w:tr w14:paraId="0BB95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DA1CA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FECF75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扩展成像功能</w:t>
            </w:r>
          </w:p>
        </w:tc>
      </w:tr>
      <w:tr w14:paraId="73BB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52143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6E221D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全屏放大、局部放大功能</w:t>
            </w:r>
          </w:p>
        </w:tc>
      </w:tr>
      <w:tr w14:paraId="369A0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1F465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9F1E7A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机器内置微细（低速）血流成像技术</w:t>
            </w:r>
          </w:p>
        </w:tc>
      </w:tr>
      <w:tr w14:paraId="4D08E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55926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B4CC5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立体血流技术，呈现血流三维关系</w:t>
            </w:r>
          </w:p>
        </w:tc>
      </w:tr>
      <w:tr w14:paraId="19B3B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B4D6C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36BAF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弹性成像：提供应变式弹性成像、剪切波定量弹性成像功能。</w:t>
            </w:r>
          </w:p>
        </w:tc>
      </w:tr>
      <w:tr w14:paraId="6DA28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851AF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900DB7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穿刺针增强显示功能</w:t>
            </w:r>
          </w:p>
        </w:tc>
      </w:tr>
      <w:tr w14:paraId="3FA1B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852E4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112DD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测量/分析和报告</w:t>
            </w:r>
          </w:p>
        </w:tc>
      </w:tr>
      <w:tr w14:paraId="5AD8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442D5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EB4DB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全科测量包，自动生成报告</w:t>
            </w:r>
          </w:p>
        </w:tc>
      </w:tr>
      <w:tr w14:paraId="2826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516B85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CEBD9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具备声衰减成像：基于超声射频信号的衰减系数来计算肝衰减系数，用于肝脏等疾病的早筛、定量、分级及检测。</w:t>
            </w:r>
          </w:p>
        </w:tc>
      </w:tr>
      <w:tr w14:paraId="1445D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B49D9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F7B7F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提供血管内中膜自动测量技术，测量数据至少包括最大值、最小值、平均值等</w:t>
            </w:r>
          </w:p>
        </w:tc>
      </w:tr>
      <w:tr w14:paraId="20BD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9F536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4B4F3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电影回放和原始数据处理</w:t>
            </w:r>
          </w:p>
        </w:tc>
      </w:tr>
      <w:tr w14:paraId="795A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ABD6B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14F99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所有模式下可用，支持向后存储和向前存储</w:t>
            </w:r>
          </w:p>
        </w:tc>
      </w:tr>
      <w:tr w14:paraId="6F0C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0099F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36154B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原始数据处理，支持动、静态图像冻结后，可进行多项参数调节</w:t>
            </w:r>
          </w:p>
        </w:tc>
      </w:tr>
      <w:tr w14:paraId="1FD7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9E0B8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F9E2B4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检查存储和管理</w:t>
            </w:r>
          </w:p>
        </w:tc>
      </w:tr>
      <w:tr w14:paraId="18B57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2437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A5925D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硬盘存储空间≥1TB</w:t>
            </w:r>
          </w:p>
        </w:tc>
      </w:tr>
      <w:tr w14:paraId="6B151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5BB1A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E2032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连通性要求</w:t>
            </w:r>
          </w:p>
        </w:tc>
      </w:tr>
      <w:tr w14:paraId="2FC6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8715D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F85D9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DICOM3.0端口永久免费开放。</w:t>
            </w:r>
          </w:p>
        </w:tc>
      </w:tr>
      <w:tr w14:paraId="2445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0C4F1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AE912D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支持下载手机、平板移动终端 APP，可进行移动设备无线图像传输。</w:t>
            </w:r>
          </w:p>
        </w:tc>
      </w:tr>
      <w:tr w14:paraId="2CBDE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5E773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EDA2D5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探头规格与配置要求</w:t>
            </w:r>
          </w:p>
        </w:tc>
      </w:tr>
      <w:tr w14:paraId="04778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E3F7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D25BE8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探头配置：</w:t>
            </w:r>
          </w:p>
        </w:tc>
      </w:tr>
      <w:tr w14:paraId="03DD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532ECF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D7CBCD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常规探头：凸阵探头1把、相控阵探头1把、线阵探头1把。</w:t>
            </w:r>
          </w:p>
        </w:tc>
      </w:tr>
      <w:tr w14:paraId="124C2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874AD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5CA19D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凸阵、心脏等探头须提供最新技术的探头，如单晶体探头、纯净波探头、苹果探头或者冰晶探头等。</w:t>
            </w:r>
          </w:p>
        </w:tc>
      </w:tr>
      <w:tr w14:paraId="4533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7948D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65CE27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r>
      <w:tr w14:paraId="0E3F1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D7D3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6A6EF6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提供耦合剂加热器</w:t>
            </w:r>
          </w:p>
        </w:tc>
      </w:tr>
      <w:tr w14:paraId="3165E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2B645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A51C62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提供的3把探头支持的所有软件须免费提供（正式版，非试用版）</w:t>
            </w:r>
          </w:p>
        </w:tc>
      </w:tr>
    </w:tbl>
    <w:p w14:paraId="0346FC51">
      <w:pPr>
        <w:rPr>
          <w:rFonts w:hint="eastAsia" w:ascii="宋体" w:hAnsi="宋体" w:eastAsia="仿宋"/>
          <w:color w:val="auto"/>
          <w:highlight w:val="none"/>
        </w:rPr>
      </w:pPr>
    </w:p>
    <w:p w14:paraId="4F9803FC">
      <w:pPr>
        <w:pStyle w:val="24"/>
        <w:widowControl/>
        <w:snapToGrid w:val="0"/>
        <w:spacing w:line="360" w:lineRule="auto"/>
        <w:rPr>
          <w:rFonts w:ascii="Times New Roman" w:hAnsi="Times New Roman"/>
          <w:color w:val="auto"/>
          <w:highlight w:val="none"/>
        </w:rPr>
      </w:pPr>
      <w:r>
        <w:rPr>
          <w:rFonts w:hint="eastAsia" w:ascii="Times New Roman" w:hAnsi="Times New Roman"/>
          <w:color w:val="auto"/>
          <w:highlight w:val="none"/>
        </w:rPr>
        <w:br w:type="page"/>
      </w:r>
      <w:r>
        <w:rPr>
          <w:rStyle w:val="103"/>
          <w:rFonts w:ascii="宋体" w:hAnsi="宋体" w:eastAsia="仿宋"/>
          <w:b/>
          <w:bCs/>
          <w:color w:val="auto"/>
          <w:sz w:val="24"/>
          <w:szCs w:val="24"/>
          <w:highlight w:val="none"/>
        </w:rPr>
        <w:t>5</w:t>
      </w:r>
      <w:r>
        <w:rPr>
          <w:rStyle w:val="103"/>
          <w:rFonts w:hint="eastAsia" w:ascii="宋体" w:hAnsi="宋体" w:eastAsia="仿宋"/>
          <w:b/>
          <w:bCs/>
          <w:color w:val="auto"/>
          <w:sz w:val="24"/>
          <w:szCs w:val="24"/>
          <w:highlight w:val="none"/>
          <w:lang w:val="en-US"/>
        </w:rPr>
        <w:t xml:space="preserve">. </w:t>
      </w:r>
      <w:r>
        <w:rPr>
          <w:rStyle w:val="103"/>
          <w:rFonts w:ascii="宋体" w:hAnsi="宋体" w:eastAsia="仿宋"/>
          <w:b/>
          <w:bCs/>
          <w:color w:val="auto"/>
          <w:sz w:val="24"/>
          <w:szCs w:val="24"/>
          <w:highlight w:val="none"/>
        </w:rPr>
        <w:t>技术支持和售后服务需求（本项需逐条应答）必须响应</w:t>
      </w:r>
    </w:p>
    <w:tbl>
      <w:tblPr>
        <w:tblStyle w:val="46"/>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5BAF2B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B148D50">
            <w:pPr>
              <w:keepNext w:val="0"/>
              <w:keepLines w:val="0"/>
              <w:suppressLineNumbers w:val="0"/>
              <w:spacing w:before="0" w:beforeAutospacing="0" w:after="0" w:afterAutospacing="0"/>
              <w:ind w:left="0" w:right="0"/>
              <w:rPr>
                <w:rFonts w:hint="default" w:ascii="Calibri" w:hAnsi="Calibri" w:cs="Times New Roman"/>
                <w:b/>
                <w:color w:val="auto"/>
                <w:sz w:val="24"/>
                <w:highlight w:val="none"/>
              </w:rPr>
            </w:pPr>
            <w:r>
              <w:rPr>
                <w:rFonts w:hint="eastAsia" w:ascii="Calibri" w:hAnsi="Calibri" w:cs="Times New Roman"/>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9B99DA5">
            <w:pPr>
              <w:pStyle w:val="181"/>
              <w:keepNext w:val="0"/>
              <w:keepLines w:val="0"/>
              <w:suppressLineNumbers w:val="0"/>
              <w:tabs>
                <w:tab w:val="left" w:pos="1180"/>
              </w:tabs>
              <w:adjustRightInd w:val="0"/>
              <w:snapToGrid w:val="0"/>
              <w:spacing w:before="0" w:beforeAutospacing="0" w:after="0" w:afterAutospacing="0" w:line="360" w:lineRule="exac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说明与要求</w:t>
            </w:r>
          </w:p>
        </w:tc>
      </w:tr>
      <w:tr w14:paraId="0BD8515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CB16D25">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CCBCAF8">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2C8240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265720F">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2609968">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5DBA72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D289058">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D1836BE">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404AE1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9FF8680">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A9142B4">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整机原厂免费质保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免费质保期满后年维保费单独报价（不得高于投标总价的8%），不计入投标总价。</w:t>
            </w:r>
          </w:p>
        </w:tc>
      </w:tr>
      <w:tr w14:paraId="10FFE6F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89FA971">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0DADC56">
            <w:pPr>
              <w:pStyle w:val="182"/>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15606A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67595EC">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CC866F1">
            <w:pPr>
              <w:pStyle w:val="182"/>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665AA2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F1EB203">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674546A">
            <w:pPr>
              <w:pStyle w:val="182"/>
              <w:keepNext w:val="0"/>
              <w:keepLines w:val="0"/>
              <w:widowControl/>
              <w:suppressLineNumbers w:val="0"/>
              <w:snapToGrid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3ED07CF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484F9D2">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0300CF5">
            <w:pPr>
              <w:pStyle w:val="181"/>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5B8FE92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FB7710C">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EA6158E">
            <w:pPr>
              <w:pStyle w:val="181"/>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4D559B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3EF579AD">
            <w:pPr>
              <w:pStyle w:val="181"/>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9C5F7B5">
            <w:pPr>
              <w:pStyle w:val="181"/>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1F3159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B1E12AA">
            <w:pPr>
              <w:pStyle w:val="181"/>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3798E58">
            <w:pPr>
              <w:pStyle w:val="181"/>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60418290">
      <w:pPr>
        <w:pStyle w:val="2"/>
        <w:widowControl/>
        <w:spacing w:before="0" w:after="0" w:line="240" w:lineRule="auto"/>
        <w:rPr>
          <w:rStyle w:val="103"/>
          <w:rFonts w:hint="eastAsia" w:ascii="宋体" w:hAnsi="宋体" w:eastAsia="仿宋"/>
          <w:b/>
          <w:bCs/>
          <w:color w:val="auto"/>
          <w:sz w:val="24"/>
          <w:szCs w:val="24"/>
          <w:highlight w:val="none"/>
          <w:lang w:val="en-US"/>
        </w:rPr>
      </w:pPr>
    </w:p>
    <w:p w14:paraId="090ECD83">
      <w:pPr>
        <w:pStyle w:val="2"/>
        <w:widowControl/>
        <w:numPr>
          <w:ilvl w:val="0"/>
          <w:numId w:val="0"/>
        </w:numPr>
        <w:spacing w:before="0" w:after="0" w:line="360" w:lineRule="auto"/>
        <w:rPr>
          <w:rStyle w:val="103"/>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103"/>
          <w:rFonts w:hint="eastAsia" w:ascii="宋体" w:hAnsi="宋体" w:eastAsia="仿宋"/>
          <w:b/>
          <w:bCs/>
          <w:color w:val="auto"/>
          <w:sz w:val="24"/>
          <w:szCs w:val="24"/>
          <w:highlight w:val="none"/>
        </w:rPr>
        <w:t>应急</w:t>
      </w:r>
      <w:r>
        <w:rPr>
          <w:rStyle w:val="103"/>
          <w:rFonts w:hint="eastAsia" w:ascii="宋体" w:hAnsi="宋体" w:eastAsia="仿宋"/>
          <w:b/>
          <w:bCs/>
          <w:color w:val="auto"/>
          <w:sz w:val="24"/>
          <w:szCs w:val="24"/>
          <w:highlight w:val="none"/>
          <w:lang w:val="en-US"/>
        </w:rPr>
        <w:t>服务要求</w:t>
      </w:r>
    </w:p>
    <w:p w14:paraId="56BAF52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04B26705">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0D496FE1">
      <w:pPr>
        <w:pStyle w:val="2"/>
        <w:widowControl/>
        <w:spacing w:before="0" w:after="0" w:line="360" w:lineRule="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791CCE47">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45BE43AC">
      <w:pPr>
        <w:pStyle w:val="2"/>
        <w:widowControl/>
        <w:numPr>
          <w:ilvl w:val="0"/>
          <w:numId w:val="0"/>
        </w:numPr>
        <w:spacing w:before="0" w:after="0" w:line="360" w:lineRule="auto"/>
        <w:rPr>
          <w:rStyle w:val="103"/>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103"/>
          <w:rFonts w:ascii="宋体" w:hAnsi="宋体" w:eastAsia="仿宋"/>
          <w:b/>
          <w:bCs/>
          <w:color w:val="auto"/>
          <w:sz w:val="24"/>
          <w:szCs w:val="24"/>
          <w:highlight w:val="none"/>
        </w:rPr>
        <w:t>安装调试、验收试验及质量保证</w:t>
      </w:r>
    </w:p>
    <w:p w14:paraId="5FD2D16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23936770">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p>
    <w:p w14:paraId="34F2292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1084B1B1">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2B7AF6F5">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02BCF85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328FBE46">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BBFC726">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294AED73">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295AAE59">
      <w:pPr>
        <w:pStyle w:val="2"/>
        <w:widowControl/>
        <w:numPr>
          <w:ilvl w:val="0"/>
          <w:numId w:val="0"/>
        </w:numPr>
        <w:spacing w:before="0" w:after="0" w:line="360" w:lineRule="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42502D3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5FB441ED">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3DFA00D5">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5717CA3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2EB2A4E1">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6C347AE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4CE4556F">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05808B60">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01B229D5">
      <w:pPr>
        <w:pStyle w:val="2"/>
        <w:widowControl/>
        <w:numPr>
          <w:ilvl w:val="0"/>
          <w:numId w:val="0"/>
        </w:numPr>
        <w:spacing w:before="0" w:after="0" w:line="360" w:lineRule="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7488216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01374AE8">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7FAC98B9">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B952BE4">
      <w:pPr>
        <w:numPr>
          <w:ilvl w:val="0"/>
          <w:numId w:val="0"/>
        </w:numPr>
        <w:adjustRightInd w:val="0"/>
        <w:snapToGrid w:val="0"/>
        <w:spacing w:line="360" w:lineRule="auto"/>
        <w:ind w:firstLine="0" w:firstLineChars="0"/>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2D4E5AA6">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1ACD6F6E">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F67F430">
      <w:pPr>
        <w:spacing w:line="360" w:lineRule="auto"/>
        <w:jc w:val="left"/>
        <w:rPr>
          <w:rFonts w:hint="eastAsia" w:ascii="仿宋" w:hAnsi="仿宋" w:eastAsia="仿宋" w:cs="仿宋"/>
          <w:b/>
          <w:bCs/>
          <w:color w:val="auto"/>
          <w:sz w:val="24"/>
          <w:highlight w:val="none"/>
          <w:lang w:val="en-US" w:eastAsia="zh-CN"/>
        </w:rPr>
      </w:pPr>
    </w:p>
    <w:p w14:paraId="5C9CA38B">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101E9E38">
      <w:pPr>
        <w:widowControl/>
        <w:ind w:firstLine="480" w:firstLineChars="200"/>
        <w:rPr>
          <w:rFonts w:hint="eastAsia" w:ascii="宋体" w:hAnsi="宋体" w:eastAsia="仿宋" w:cs="Times New Roman"/>
          <w:color w:val="auto"/>
          <w:sz w:val="24"/>
          <w:szCs w:val="24"/>
          <w:highlight w:val="none"/>
        </w:rPr>
      </w:pPr>
      <w:r>
        <w:rPr>
          <w:rFonts w:hint="eastAsia" w:eastAsia="仿宋"/>
          <w:color w:val="auto"/>
          <w:sz w:val="24"/>
          <w:highlight w:val="none"/>
          <w:lang w:val="en-US" w:eastAsia="zh-CN"/>
        </w:rPr>
        <w:t>投标人所投产品应为性能稳定、安全的成熟设备，故障率低、维修便利，并在投标文件中针对所投产品技术先进性、设备性能、配置情况、设计等方面进行阐述说明，提供相应证明材料。</w:t>
      </w:r>
    </w:p>
    <w:p w14:paraId="7591B40F">
      <w:pPr>
        <w:pStyle w:val="2"/>
        <w:widowControl/>
        <w:spacing w:before="0" w:after="0" w:line="360" w:lineRule="auto"/>
        <w:rPr>
          <w:rFonts w:hint="eastAsia" w:ascii="宋体" w:hAnsi="宋体" w:eastAsia="仿宋"/>
          <w:color w:val="auto"/>
          <w:highlight w:val="none"/>
        </w:rPr>
      </w:pPr>
      <w:r>
        <w:rPr>
          <w:rFonts w:hint="eastAsia" w:ascii="宋体" w:hAnsi="宋体" w:eastAsia="仿宋"/>
          <w:color w:val="auto"/>
          <w:highlight w:val="none"/>
        </w:rPr>
        <w:br w:type="page"/>
      </w:r>
      <w:r>
        <w:rPr>
          <w:rFonts w:hint="eastAsia" w:ascii="宋体" w:hAnsi="宋体" w:eastAsia="仿宋"/>
          <w:color w:val="auto"/>
          <w:highlight w:val="none"/>
        </w:rPr>
        <w:t>第四章  资格审查和评标办法（综合评分法）</w:t>
      </w:r>
      <w:bookmarkEnd w:id="769"/>
    </w:p>
    <w:bookmarkEnd w:id="749"/>
    <w:bookmarkEnd w:id="750"/>
    <w:bookmarkEnd w:id="751"/>
    <w:bookmarkEnd w:id="752"/>
    <w:bookmarkEnd w:id="753"/>
    <w:bookmarkEnd w:id="754"/>
    <w:bookmarkEnd w:id="755"/>
    <w:bookmarkEnd w:id="756"/>
    <w:bookmarkEnd w:id="757"/>
    <w:bookmarkEnd w:id="770"/>
    <w:bookmarkEnd w:id="771"/>
    <w:p w14:paraId="0E4E5E35">
      <w:pPr>
        <w:pStyle w:val="3"/>
        <w:jc w:val="center"/>
        <w:rPr>
          <w:rFonts w:hint="eastAsia" w:eastAsia="仿宋"/>
          <w:color w:val="auto"/>
          <w:highlight w:val="none"/>
        </w:rPr>
      </w:pPr>
      <w:r>
        <w:rPr>
          <w:rFonts w:hint="eastAsia" w:eastAsia="仿宋"/>
          <w:color w:val="auto"/>
          <w:highlight w:val="none"/>
        </w:rPr>
        <w:t>第一节  资格审查</w:t>
      </w:r>
    </w:p>
    <w:p w14:paraId="0CDECBD4">
      <w:pPr>
        <w:spacing w:line="360" w:lineRule="auto"/>
        <w:jc w:val="center"/>
        <w:rPr>
          <w:rFonts w:hint="eastAsia" w:eastAsia="仿宋"/>
          <w:b/>
          <w:color w:val="auto"/>
          <w:sz w:val="28"/>
          <w:szCs w:val="28"/>
          <w:highlight w:val="none"/>
        </w:rPr>
      </w:pPr>
      <w:r>
        <w:rPr>
          <w:rFonts w:hint="eastAsia" w:eastAsia="仿宋"/>
          <w:b/>
          <w:color w:val="auto"/>
          <w:sz w:val="28"/>
          <w:szCs w:val="28"/>
          <w:highlight w:val="none"/>
        </w:rPr>
        <w:t>资格审查办法前附表</w:t>
      </w:r>
    </w:p>
    <w:p w14:paraId="645DAF34">
      <w:pPr>
        <w:widowControl/>
        <w:adjustRightInd w:val="0"/>
        <w:snapToGrid w:val="0"/>
        <w:spacing w:before="240" w:beforeLines="100" w:after="120" w:afterLines="50" w:line="360" w:lineRule="auto"/>
        <w:ind w:firstLine="482" w:firstLineChars="200"/>
        <w:rPr>
          <w:rFonts w:hint="eastAsia" w:ascii="宋体" w:hAnsi="宋体" w:eastAsia="仿宋"/>
          <w:b/>
          <w:bCs/>
          <w:color w:val="auto"/>
          <w:sz w:val="24"/>
          <w:highlight w:val="none"/>
        </w:rPr>
      </w:pPr>
      <w:r>
        <w:rPr>
          <w:rFonts w:hint="eastAsia" w:ascii="宋体" w:hAnsi="宋体" w:eastAsia="仿宋"/>
          <w:b/>
          <w:bCs/>
          <w:color w:val="auto"/>
          <w:sz w:val="24"/>
          <w:highlight w:val="none"/>
        </w:rPr>
        <w:t>本《资格审查办法前附表》是对本节《资格审查》的具体补充和修改，如有不一致，以本《资格审查办法前附表》为准。</w:t>
      </w:r>
    </w:p>
    <w:tbl>
      <w:tblPr>
        <w:tblStyle w:val="46"/>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9"/>
        <w:gridCol w:w="2503"/>
      </w:tblGrid>
      <w:tr w14:paraId="27BB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551A9F02">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b/>
                <w:color w:val="auto"/>
                <w:sz w:val="24"/>
                <w:szCs w:val="22"/>
                <w:highlight w:val="none"/>
              </w:rPr>
              <w:t>资格审查办法前附表</w:t>
            </w:r>
          </w:p>
        </w:tc>
      </w:tr>
      <w:tr w14:paraId="4A0C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23503FCF">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序号</w:t>
            </w:r>
          </w:p>
        </w:tc>
        <w:tc>
          <w:tcPr>
            <w:tcW w:w="997" w:type="pct"/>
            <w:tcBorders>
              <w:bottom w:val="single" w:color="auto" w:sz="4" w:space="0"/>
            </w:tcBorders>
            <w:noWrap w:val="0"/>
            <w:vAlign w:val="center"/>
          </w:tcPr>
          <w:p w14:paraId="6D3B5EB0">
            <w:pPr>
              <w:pStyle w:val="178"/>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color w:val="auto"/>
                <w:kern w:val="2"/>
                <w:szCs w:val="24"/>
                <w:highlight w:val="none"/>
              </w:rPr>
            </w:pPr>
            <w:r>
              <w:rPr>
                <w:rFonts w:hint="eastAsia" w:ascii="宋体" w:hAnsi="宋体" w:cs="Times New Roman"/>
                <w:color w:val="auto"/>
                <w:kern w:val="2"/>
                <w:szCs w:val="24"/>
                <w:highlight w:val="none"/>
              </w:rPr>
              <w:t>审查因素</w:t>
            </w:r>
          </w:p>
        </w:tc>
        <w:tc>
          <w:tcPr>
            <w:tcW w:w="2393" w:type="pct"/>
            <w:tcBorders>
              <w:bottom w:val="single" w:color="auto" w:sz="4" w:space="0"/>
            </w:tcBorders>
            <w:noWrap w:val="0"/>
            <w:vAlign w:val="center"/>
          </w:tcPr>
          <w:p w14:paraId="47D6F4DE">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审查标准</w:t>
            </w:r>
          </w:p>
        </w:tc>
        <w:tc>
          <w:tcPr>
            <w:tcW w:w="1246" w:type="pct"/>
            <w:tcBorders>
              <w:bottom w:val="single" w:color="auto" w:sz="4" w:space="0"/>
            </w:tcBorders>
            <w:noWrap w:val="0"/>
            <w:vAlign w:val="center"/>
          </w:tcPr>
          <w:p w14:paraId="0EFA2E1C">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格式及材料要求</w:t>
            </w:r>
          </w:p>
        </w:tc>
      </w:tr>
      <w:tr w14:paraId="7F67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5104ABA8">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eastAsia" w:ascii="宋体" w:hAnsi="宋体" w:cs="Times New Roman"/>
                <w:color w:val="auto"/>
                <w:sz w:val="24"/>
                <w:highlight w:val="none"/>
              </w:rPr>
              <w:t>1</w:t>
            </w:r>
          </w:p>
        </w:tc>
        <w:tc>
          <w:tcPr>
            <w:tcW w:w="997" w:type="pct"/>
            <w:tcBorders>
              <w:bottom w:val="single" w:color="auto" w:sz="4" w:space="0"/>
            </w:tcBorders>
            <w:noWrap w:val="0"/>
            <w:vAlign w:val="center"/>
          </w:tcPr>
          <w:p w14:paraId="1D9B3A51">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营业执照等证明材料</w:t>
            </w:r>
          </w:p>
        </w:tc>
        <w:tc>
          <w:tcPr>
            <w:tcW w:w="2393" w:type="pct"/>
            <w:tcBorders>
              <w:bottom w:val="single" w:color="auto" w:sz="4" w:space="0"/>
            </w:tcBorders>
            <w:noWrap w:val="0"/>
            <w:vAlign w:val="center"/>
          </w:tcPr>
          <w:p w14:paraId="08C4D425">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投标人为企业（包括公司、合伙企业、个人独资企业）的，提供有效的营业执照；</w:t>
            </w:r>
          </w:p>
          <w:p w14:paraId="5BC00A07">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投标人为事业单位的，提供有效的事业单位法人证书；</w:t>
            </w:r>
          </w:p>
          <w:p w14:paraId="4805363C">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投标人为社会团体的，提供有效的社会团体法人登记证书；</w:t>
            </w:r>
          </w:p>
          <w:p w14:paraId="5A7B5E3B">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投标人为个体工商户的，提供有效的营业执照；</w:t>
            </w:r>
          </w:p>
          <w:p w14:paraId="380395FC">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投标人为不具法人资格的专业服务机构的，提供有效的执业许可证等证明材料；</w:t>
            </w:r>
          </w:p>
          <w:p w14:paraId="20149016">
            <w:pPr>
              <w:keepNext w:val="0"/>
              <w:keepLines w:val="0"/>
              <w:suppressLineNumbers w:val="0"/>
              <w:spacing w:before="0" w:beforeAutospacing="0" w:after="50" w:afterAutospacing="0"/>
              <w:ind w:left="0" w:right="-10"/>
              <w:jc w:val="lef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投标人为自然人的，提供有效的自然人身份证明；</w:t>
            </w:r>
          </w:p>
          <w:p w14:paraId="77C66168">
            <w:pPr>
              <w:keepNext w:val="0"/>
              <w:keepLines w:val="0"/>
              <w:suppressLineNumbers w:val="0"/>
              <w:spacing w:before="0" w:beforeAutospacing="0" w:after="50" w:afterAutospacing="0"/>
              <w:ind w:left="0" w:right="-10"/>
              <w:jc w:val="left"/>
              <w:rPr>
                <w:rFonts w:hint="default" w:ascii="宋体" w:hAnsi="宋体" w:cs="Times New Roman"/>
                <w:color w:val="auto"/>
                <w:sz w:val="24"/>
                <w:szCs w:val="28"/>
                <w:highlight w:val="none"/>
              </w:rPr>
            </w:pPr>
            <w:r>
              <w:rPr>
                <w:rFonts w:hint="eastAsia" w:ascii="仿宋" w:hAnsi="仿宋" w:eastAsia="仿宋" w:cs="仿宋"/>
                <w:color w:val="auto"/>
                <w:sz w:val="24"/>
                <w:szCs w:val="28"/>
                <w:highlight w:val="none"/>
              </w:rPr>
              <w:t>其他投标人应按照有关法律、法规和规章规定，提供有效的相应证明材料。</w:t>
            </w:r>
          </w:p>
        </w:tc>
        <w:tc>
          <w:tcPr>
            <w:tcW w:w="1246" w:type="pct"/>
            <w:noWrap w:val="0"/>
            <w:vAlign w:val="center"/>
          </w:tcPr>
          <w:p w14:paraId="043D50F4">
            <w:pPr>
              <w:keepNext w:val="0"/>
              <w:keepLines w:val="0"/>
              <w:suppressLineNumbers w:val="0"/>
              <w:spacing w:before="0" w:beforeAutospacing="0" w:after="50" w:afterAutospacing="0"/>
              <w:ind w:left="0" w:right="-10"/>
              <w:jc w:val="left"/>
              <w:rPr>
                <w:rFonts w:hint="eastAsia" w:ascii="宋体" w:hAnsi="宋体" w:cs="Times New Roman"/>
                <w:color w:val="auto"/>
                <w:sz w:val="24"/>
                <w:highlight w:val="none"/>
              </w:rPr>
            </w:pPr>
            <w:r>
              <w:rPr>
                <w:rFonts w:hint="eastAsia" w:ascii="仿宋" w:hAnsi="仿宋" w:eastAsia="仿宋" w:cs="仿宋"/>
                <w:color w:val="auto"/>
                <w:sz w:val="24"/>
                <w:highlight w:val="none"/>
              </w:rPr>
              <w:t>提供原件扫描件或电子证照</w:t>
            </w:r>
          </w:p>
        </w:tc>
      </w:tr>
      <w:tr w14:paraId="5A4ED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5F0CA2E6">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2</w:t>
            </w:r>
          </w:p>
        </w:tc>
        <w:tc>
          <w:tcPr>
            <w:tcW w:w="997" w:type="pct"/>
            <w:tcBorders>
              <w:bottom w:val="single" w:color="auto" w:sz="4" w:space="0"/>
            </w:tcBorders>
            <w:noWrap w:val="0"/>
            <w:vAlign w:val="center"/>
          </w:tcPr>
          <w:p w14:paraId="5BA94779">
            <w:pPr>
              <w:keepNext w:val="0"/>
              <w:keepLines w:val="0"/>
              <w:suppressLineNumbers w:val="0"/>
              <w:spacing w:before="0" w:beforeAutospacing="0" w:after="50" w:afterAutospacing="0"/>
              <w:ind w:left="0" w:right="-10"/>
              <w:jc w:val="center"/>
              <w:rPr>
                <w:rFonts w:hint="default" w:ascii="宋体" w:hAnsi="宋体" w:cs="Times New Roman"/>
                <w:color w:val="auto"/>
                <w:sz w:val="24"/>
                <w:szCs w:val="28"/>
                <w:highlight w:val="none"/>
              </w:rPr>
            </w:pPr>
            <w:r>
              <w:rPr>
                <w:rFonts w:hint="eastAsia" w:ascii="宋体" w:hAnsi="宋体" w:eastAsia="仿宋" w:cs="Times New Roman"/>
                <w:color w:val="auto"/>
                <w:sz w:val="24"/>
                <w:highlight w:val="none"/>
              </w:rPr>
              <w:t>信用状况</w:t>
            </w:r>
          </w:p>
        </w:tc>
        <w:tc>
          <w:tcPr>
            <w:tcW w:w="2393" w:type="pct"/>
            <w:tcBorders>
              <w:bottom w:val="single" w:color="auto" w:sz="4" w:space="0"/>
            </w:tcBorders>
            <w:noWrap w:val="0"/>
            <w:vAlign w:val="center"/>
          </w:tcPr>
          <w:p w14:paraId="51402C2B">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kern w:val="0"/>
                <w:sz w:val="24"/>
                <w:highlight w:val="none"/>
              </w:rPr>
              <w:t>符合第二章“投标人须知”正文第1.3.3项要求，</w:t>
            </w:r>
            <w:r>
              <w:rPr>
                <w:rFonts w:hint="eastAsia" w:ascii="宋体" w:hAnsi="宋体" w:eastAsia="仿宋" w:cs="Times New Roman"/>
                <w:color w:val="auto"/>
                <w:sz w:val="24"/>
                <w:highlight w:val="none"/>
              </w:rPr>
              <w:t>信用状况只依据下述查询平台（网址）发布的信息：</w:t>
            </w:r>
          </w:p>
          <w:p w14:paraId="66AAB624">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宋体" w:hAnsi="宋体" w:eastAsia="仿宋" w:cs="Times New Roman"/>
                <w:color w:val="auto"/>
                <w:sz w:val="24"/>
                <w:szCs w:val="24"/>
                <w:highlight w:val="none"/>
              </w:rPr>
              <w:t>（</w:t>
            </w:r>
            <w:r>
              <w:rPr>
                <w:rFonts w:hint="default" w:ascii="Calibri" w:hAnsi="Calibri" w:eastAsia="仿宋" w:cs="Times New Roman"/>
                <w:color w:val="auto"/>
                <w:sz w:val="24"/>
                <w:szCs w:val="24"/>
                <w:highlight w:val="none"/>
              </w:rPr>
              <w:t>1</w:t>
            </w:r>
            <w:r>
              <w:rPr>
                <w:rFonts w:hint="eastAsia" w:ascii="宋体" w:hAnsi="宋体" w:eastAsia="仿宋" w:cs="Times New Roman"/>
                <w:color w:val="auto"/>
                <w:sz w:val="24"/>
                <w:szCs w:val="24"/>
                <w:highlight w:val="none"/>
              </w:rPr>
              <w:t>）信用中国</w:t>
            </w:r>
            <w:r>
              <w:rPr>
                <w:rFonts w:hint="default" w:ascii="Calibri" w:hAnsi="Calibri" w:eastAsia="仿宋" w:cs="Times New Roman"/>
                <w:color w:val="auto"/>
                <w:sz w:val="24"/>
                <w:szCs w:val="24"/>
                <w:highlight w:val="none"/>
              </w:rPr>
              <w:t>网站</w:t>
            </w:r>
          </w:p>
          <w:p w14:paraId="662E2341">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（www.creditchina.gov.cn）；</w:t>
            </w:r>
          </w:p>
          <w:p w14:paraId="665F1913">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（2）中国执行信息公开网</w:t>
            </w:r>
          </w:p>
          <w:p w14:paraId="2BC84428">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（http://zxgk.court.gov.cn/）</w:t>
            </w:r>
            <w:r>
              <w:rPr>
                <w:rFonts w:hint="eastAsia" w:ascii="Calibri" w:hAnsi="Calibri" w:eastAsia="仿宋" w:cs="Times New Roman"/>
                <w:color w:val="auto"/>
                <w:sz w:val="24"/>
                <w:szCs w:val="24"/>
                <w:highlight w:val="none"/>
              </w:rPr>
              <w:t>；</w:t>
            </w:r>
          </w:p>
          <w:p w14:paraId="0EE1D042">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eastAsia" w:ascii="Calibri" w:hAnsi="Calibri" w:eastAsia="仿宋" w:cs="Times New Roman"/>
                <w:color w:val="auto"/>
                <w:sz w:val="24"/>
                <w:szCs w:val="24"/>
                <w:highlight w:val="none"/>
              </w:rPr>
              <w:t>（3）</w:t>
            </w:r>
            <w:r>
              <w:rPr>
                <w:rFonts w:hint="default" w:ascii="Calibri" w:hAnsi="Calibri" w:eastAsia="仿宋" w:cs="Times New Roman"/>
                <w:color w:val="auto"/>
                <w:sz w:val="24"/>
                <w:szCs w:val="24"/>
                <w:highlight w:val="none"/>
              </w:rPr>
              <w:t>中国政府采购网</w:t>
            </w:r>
          </w:p>
          <w:p w14:paraId="7C01E9C8">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（http://www.ccgp.gov.cn/）</w:t>
            </w:r>
            <w:r>
              <w:rPr>
                <w:rFonts w:hint="eastAsia" w:ascii="Calibri" w:hAnsi="Calibri" w:eastAsia="仿宋" w:cs="Times New Roman"/>
                <w:color w:val="auto"/>
                <w:sz w:val="24"/>
                <w:szCs w:val="24"/>
                <w:highlight w:val="none"/>
              </w:rPr>
              <w:t>；</w:t>
            </w:r>
          </w:p>
          <w:p w14:paraId="5CC31F0D">
            <w:pPr>
              <w:pStyle w:val="152"/>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color w:val="auto"/>
                <w:sz w:val="24"/>
                <w:szCs w:val="24"/>
                <w:highlight w:val="none"/>
              </w:rPr>
            </w:pPr>
            <w:r>
              <w:rPr>
                <w:rFonts w:hint="default" w:ascii="Calibri" w:hAnsi="Calibri" w:eastAsia="仿宋" w:cs="Times New Roman"/>
                <w:color w:val="auto"/>
                <w:sz w:val="24"/>
                <w:szCs w:val="24"/>
                <w:highlight w:val="none"/>
              </w:rPr>
              <w:t>（4）国家企业信用信息公示系统</w:t>
            </w:r>
          </w:p>
          <w:p w14:paraId="0AAFA0B0">
            <w:pPr>
              <w:pStyle w:val="4"/>
              <w:suppressLineNumbers w:val="0"/>
              <w:spacing w:before="0" w:beforeAutospacing="0" w:after="0" w:afterAutospacing="0" w:line="240" w:lineRule="auto"/>
              <w:ind w:left="0" w:right="0"/>
              <w:outlineLvl w:val="2"/>
              <w:rPr>
                <w:rFonts w:hint="default" w:cs="Times New Roman"/>
                <w:color w:val="auto"/>
                <w:highlight w:val="none"/>
              </w:rPr>
            </w:pPr>
            <w:r>
              <w:rPr>
                <w:rFonts w:hint="default" w:ascii="Times New Roman" w:hAnsi="Times New Roman" w:eastAsia="仿宋" w:cs="Times New Roman"/>
                <w:b w:val="0"/>
                <w:bCs w:val="0"/>
                <w:color w:val="auto"/>
                <w:sz w:val="24"/>
                <w:highlight w:val="none"/>
                <w:lang w:eastAsia="zh-CN" w:bidi="ar-SA"/>
              </w:rPr>
              <w:t>（http://www.gsxt.gov.cn/）</w:t>
            </w:r>
            <w:r>
              <w:rPr>
                <w:rFonts w:hint="eastAsia" w:ascii="Times New Roman" w:hAnsi="Times New Roman" w:eastAsia="仿宋" w:cs="Times New Roman"/>
                <w:b w:val="0"/>
                <w:bCs w:val="0"/>
                <w:color w:val="auto"/>
                <w:sz w:val="24"/>
                <w:highlight w:val="none"/>
                <w:lang w:eastAsia="zh-CN" w:bidi="ar-SA"/>
              </w:rPr>
              <w:t>。</w:t>
            </w:r>
          </w:p>
        </w:tc>
        <w:tc>
          <w:tcPr>
            <w:tcW w:w="1246" w:type="pct"/>
            <w:tcBorders>
              <w:bottom w:val="single" w:color="auto" w:sz="4" w:space="0"/>
            </w:tcBorders>
            <w:noWrap w:val="0"/>
            <w:vAlign w:val="center"/>
          </w:tcPr>
          <w:p w14:paraId="2B7A9864">
            <w:pPr>
              <w:keepNext w:val="0"/>
              <w:keepLines w:val="0"/>
              <w:widowControl/>
              <w:suppressLineNumbers w:val="0"/>
              <w:adjustRightInd w:val="0"/>
              <w:snapToGrid w:val="0"/>
              <w:spacing w:before="0" w:beforeAutospacing="0" w:after="0" w:afterAutospacing="0"/>
              <w:ind w:left="0" w:right="0"/>
              <w:rPr>
                <w:rFonts w:hint="eastAsia" w:ascii="宋体" w:hAnsi="宋体" w:cs="Times New Roman"/>
                <w:color w:val="auto"/>
                <w:sz w:val="24"/>
                <w:highlight w:val="none"/>
              </w:rPr>
            </w:pPr>
            <w:r>
              <w:rPr>
                <w:rFonts w:hint="eastAsia" w:ascii="宋体" w:hAnsi="宋体" w:eastAsia="仿宋" w:cs="宋体"/>
                <w:color w:val="auto"/>
                <w:sz w:val="24"/>
                <w:highlight w:val="none"/>
              </w:rPr>
              <w:t>采购人或采购代理机构查询，并留存查询记录</w:t>
            </w:r>
          </w:p>
        </w:tc>
      </w:tr>
      <w:tr w14:paraId="25643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739A9DAC">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3</w:t>
            </w:r>
          </w:p>
        </w:tc>
        <w:tc>
          <w:tcPr>
            <w:tcW w:w="997" w:type="pct"/>
            <w:tcBorders>
              <w:bottom w:val="single" w:color="auto" w:sz="4" w:space="0"/>
            </w:tcBorders>
            <w:noWrap w:val="0"/>
            <w:vAlign w:val="center"/>
          </w:tcPr>
          <w:p w14:paraId="438025B5">
            <w:pPr>
              <w:keepNext w:val="0"/>
              <w:keepLines w:val="0"/>
              <w:suppressLineNumbers w:val="0"/>
              <w:spacing w:before="0" w:beforeAutospacing="0" w:after="50" w:afterAutospacing="0"/>
              <w:ind w:left="0" w:right="-10"/>
              <w:jc w:val="center"/>
              <w:rPr>
                <w:rFonts w:hint="default" w:ascii="宋体" w:hAnsi="宋体" w:cs="Times New Roman"/>
                <w:color w:val="auto"/>
                <w:sz w:val="24"/>
                <w:szCs w:val="18"/>
                <w:highlight w:val="none"/>
              </w:rPr>
            </w:pPr>
            <w:r>
              <w:rPr>
                <w:rFonts w:hint="eastAsia" w:ascii="宋体" w:hAnsi="宋体" w:eastAsia="仿宋" w:cs="Times New Roman"/>
                <w:color w:val="auto"/>
                <w:sz w:val="24"/>
                <w:highlight w:val="none"/>
              </w:rPr>
              <w:t>政府采购供应商资格承诺函</w:t>
            </w:r>
          </w:p>
        </w:tc>
        <w:tc>
          <w:tcPr>
            <w:tcW w:w="2393" w:type="pct"/>
            <w:tcBorders>
              <w:bottom w:val="single" w:color="auto" w:sz="4" w:space="0"/>
            </w:tcBorders>
            <w:noWrap w:val="0"/>
            <w:vAlign w:val="center"/>
          </w:tcPr>
          <w:p w14:paraId="657745B3">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highlight w:val="none"/>
              </w:rPr>
              <w:t>格式、填写要求符合招标文件规定并加盖投标人电子签章。</w:t>
            </w:r>
          </w:p>
        </w:tc>
        <w:tc>
          <w:tcPr>
            <w:tcW w:w="1246" w:type="pct"/>
            <w:tcBorders>
              <w:bottom w:val="single" w:color="auto" w:sz="4" w:space="0"/>
            </w:tcBorders>
            <w:noWrap w:val="0"/>
            <w:vAlign w:val="center"/>
          </w:tcPr>
          <w:p w14:paraId="16125B26">
            <w:pPr>
              <w:keepNext w:val="0"/>
              <w:keepLines w:val="0"/>
              <w:suppressLineNumbers w:val="0"/>
              <w:adjustRightInd w:val="0"/>
              <w:snapToGrid w:val="0"/>
              <w:spacing w:before="0" w:beforeAutospacing="0" w:after="0" w:afterAutospacing="0"/>
              <w:ind w:left="0" w:right="-10"/>
              <w:jc w:val="left"/>
              <w:rPr>
                <w:rFonts w:hint="eastAsia" w:ascii="宋体" w:hAnsi="宋体" w:cs="Times New Roman"/>
                <w:color w:val="auto"/>
                <w:sz w:val="24"/>
                <w:highlight w:val="none"/>
              </w:rPr>
            </w:pPr>
            <w:r>
              <w:rPr>
                <w:rFonts w:hint="eastAsia" w:ascii="宋体" w:hAnsi="宋体" w:eastAsia="仿宋" w:cs="Times New Roman"/>
                <w:color w:val="auto"/>
                <w:sz w:val="24"/>
                <w:highlight w:val="none"/>
              </w:rPr>
              <w:t>详见第六章投标文件格式九（二）</w:t>
            </w:r>
          </w:p>
        </w:tc>
      </w:tr>
      <w:tr w14:paraId="03C1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6A93B07C">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4</w:t>
            </w:r>
          </w:p>
        </w:tc>
        <w:tc>
          <w:tcPr>
            <w:tcW w:w="997" w:type="pct"/>
            <w:tcBorders>
              <w:bottom w:val="single" w:color="auto" w:sz="4" w:space="0"/>
            </w:tcBorders>
            <w:noWrap w:val="0"/>
            <w:vAlign w:val="center"/>
          </w:tcPr>
          <w:p w14:paraId="5C627E26">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中小企业声明函</w:t>
            </w:r>
          </w:p>
          <w:p w14:paraId="0E2B9776">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（专门面向中小企业采购项目/采购包适用）</w:t>
            </w:r>
          </w:p>
        </w:tc>
        <w:tc>
          <w:tcPr>
            <w:tcW w:w="2393" w:type="pct"/>
            <w:tcBorders>
              <w:bottom w:val="single" w:color="auto" w:sz="4" w:space="0"/>
            </w:tcBorders>
            <w:noWrap w:val="0"/>
            <w:vAlign w:val="center"/>
          </w:tcPr>
          <w:p w14:paraId="1B0E1D78">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符合招标公告中落实政府采购政策需满足的资格要求。</w:t>
            </w:r>
          </w:p>
        </w:tc>
        <w:tc>
          <w:tcPr>
            <w:tcW w:w="1246" w:type="pct"/>
            <w:tcBorders>
              <w:bottom w:val="single" w:color="auto" w:sz="4" w:space="0"/>
            </w:tcBorders>
            <w:noWrap w:val="0"/>
            <w:vAlign w:val="center"/>
          </w:tcPr>
          <w:p w14:paraId="36947BF6">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详见第六章投标文件格式五</w:t>
            </w:r>
          </w:p>
        </w:tc>
      </w:tr>
      <w:tr w14:paraId="5F5E1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4F962742">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5</w:t>
            </w:r>
          </w:p>
        </w:tc>
        <w:tc>
          <w:tcPr>
            <w:tcW w:w="997" w:type="pct"/>
            <w:vMerge w:val="restart"/>
            <w:noWrap w:val="0"/>
            <w:vAlign w:val="center"/>
          </w:tcPr>
          <w:p w14:paraId="0F57A342">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中小企业承揽份额（如有）</w:t>
            </w:r>
          </w:p>
        </w:tc>
        <w:tc>
          <w:tcPr>
            <w:tcW w:w="2393" w:type="pct"/>
            <w:tcBorders>
              <w:bottom w:val="single" w:color="auto" w:sz="4" w:space="0"/>
            </w:tcBorders>
            <w:noWrap w:val="0"/>
            <w:vAlign w:val="center"/>
          </w:tcPr>
          <w:p w14:paraId="668C68A4">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如本项目（包）允许通过组成联合体预留部分采购份额面向中小企业采购、且投标人因落实政府采购政策拟组成联合体的，必须提供。</w:t>
            </w:r>
          </w:p>
          <w:p w14:paraId="4CE1E218">
            <w:pPr>
              <w:keepNext w:val="0"/>
              <w:keepLines w:val="0"/>
              <w:suppressLineNumbers w:val="0"/>
              <w:spacing w:before="0" w:beforeAutospacing="0" w:after="0" w:afterAutospacing="0"/>
              <w:ind w:left="0" w:right="0"/>
              <w:jc w:val="left"/>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中小企业承揽份额须满足招标文件要求。</w:t>
            </w:r>
          </w:p>
        </w:tc>
        <w:tc>
          <w:tcPr>
            <w:tcW w:w="1246" w:type="pct"/>
            <w:tcBorders>
              <w:bottom w:val="single" w:color="auto" w:sz="4" w:space="0"/>
            </w:tcBorders>
            <w:noWrap w:val="0"/>
            <w:vAlign w:val="center"/>
          </w:tcPr>
          <w:p w14:paraId="386593C9">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详见第六章投标文件格式七</w:t>
            </w:r>
          </w:p>
        </w:tc>
      </w:tr>
      <w:tr w14:paraId="69F09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6C506985">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p>
        </w:tc>
        <w:tc>
          <w:tcPr>
            <w:tcW w:w="997" w:type="pct"/>
            <w:vMerge w:val="continue"/>
            <w:noWrap w:val="0"/>
            <w:vAlign w:val="center"/>
          </w:tcPr>
          <w:p w14:paraId="2CB98B12">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p>
        </w:tc>
        <w:tc>
          <w:tcPr>
            <w:tcW w:w="2393" w:type="pct"/>
            <w:noWrap w:val="0"/>
            <w:vAlign w:val="center"/>
          </w:tcPr>
          <w:p w14:paraId="55E40993">
            <w:pPr>
              <w:keepNext w:val="0"/>
              <w:keepLines w:val="0"/>
              <w:suppressLineNumbers w:val="0"/>
              <w:spacing w:before="0" w:beforeAutospacing="0" w:after="0" w:afterAutospacing="0"/>
              <w:ind w:left="0" w:right="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如本项目（包）允许通过分包措施预留部分采购份额面向中小企业采购、且投标人因落实政府采购政策拟进行分包的，必须提供。</w:t>
            </w:r>
          </w:p>
          <w:p w14:paraId="50687E82">
            <w:pPr>
              <w:keepNext w:val="0"/>
              <w:keepLines w:val="0"/>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中小企业承揽份额须满足招标文件要求。</w:t>
            </w:r>
          </w:p>
        </w:tc>
        <w:tc>
          <w:tcPr>
            <w:tcW w:w="1246" w:type="pct"/>
            <w:noWrap w:val="0"/>
            <w:vAlign w:val="center"/>
          </w:tcPr>
          <w:p w14:paraId="032DFA83">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详见第六章投标文件格式八</w:t>
            </w:r>
          </w:p>
        </w:tc>
      </w:tr>
      <w:tr w14:paraId="2742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2CF174B2">
            <w:pPr>
              <w:keepNext w:val="0"/>
              <w:keepLines w:val="0"/>
              <w:suppressLineNumbers w:val="0"/>
              <w:adjustRightInd w:val="0"/>
              <w:snapToGrid w:val="0"/>
              <w:spacing w:before="0" w:beforeAutospacing="0" w:after="0" w:afterAutospacing="0"/>
              <w:ind w:left="0" w:right="-10"/>
              <w:jc w:val="center"/>
              <w:rPr>
                <w:rFonts w:hint="default" w:ascii="宋体" w:hAnsi="宋体" w:cs="Times New Roman"/>
                <w:color w:val="auto"/>
                <w:sz w:val="24"/>
                <w:highlight w:val="none"/>
              </w:rPr>
            </w:pPr>
            <w:r>
              <w:rPr>
                <w:rFonts w:hint="default" w:ascii="宋体" w:hAnsi="宋体" w:cs="Times New Roman"/>
                <w:color w:val="auto"/>
                <w:sz w:val="24"/>
                <w:highlight w:val="none"/>
              </w:rPr>
              <w:t>6</w:t>
            </w:r>
          </w:p>
        </w:tc>
        <w:tc>
          <w:tcPr>
            <w:tcW w:w="997" w:type="pct"/>
            <w:noWrap w:val="0"/>
            <w:vAlign w:val="center"/>
          </w:tcPr>
          <w:p w14:paraId="36EA0E89">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资质要求</w:t>
            </w:r>
          </w:p>
          <w:p w14:paraId="4BD3B71C">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（如有）</w:t>
            </w:r>
          </w:p>
        </w:tc>
        <w:tc>
          <w:tcPr>
            <w:tcW w:w="2393" w:type="pct"/>
            <w:noWrap w:val="0"/>
            <w:vAlign w:val="center"/>
          </w:tcPr>
          <w:p w14:paraId="773B7EB9">
            <w:pPr>
              <w:keepNext w:val="0"/>
              <w:keepLines w:val="0"/>
              <w:suppressLineNumbers w:val="0"/>
              <w:spacing w:before="0" w:beforeAutospacing="0" w:after="50" w:afterAutospacing="0"/>
              <w:ind w:left="0" w:right="-10"/>
              <w:jc w:val="center"/>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符合招标公告中资格要求。</w:t>
            </w:r>
          </w:p>
        </w:tc>
        <w:tc>
          <w:tcPr>
            <w:tcW w:w="1246" w:type="pct"/>
            <w:noWrap w:val="0"/>
            <w:vAlign w:val="center"/>
          </w:tcPr>
          <w:p w14:paraId="10D6FB36">
            <w:pPr>
              <w:keepNext w:val="0"/>
              <w:keepLines w:val="0"/>
              <w:suppressLineNumbers w:val="0"/>
              <w:spacing w:before="0" w:beforeAutospacing="0" w:after="50" w:afterAutospacing="0"/>
              <w:ind w:left="0" w:right="-1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提供符合投标人资格中要求的资质证书扫描件或电子证照</w:t>
            </w:r>
          </w:p>
        </w:tc>
      </w:tr>
      <w:tr w14:paraId="51C1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205F3894">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color w:val="auto"/>
                <w:sz w:val="24"/>
                <w:highlight w:val="none"/>
              </w:rPr>
            </w:pPr>
            <w:r>
              <w:rPr>
                <w:rFonts w:hint="eastAsia" w:ascii="宋体" w:hAnsi="宋体" w:cs="Times New Roman"/>
                <w:color w:val="auto"/>
                <w:sz w:val="24"/>
                <w:highlight w:val="none"/>
              </w:rPr>
              <w:t>7</w:t>
            </w:r>
          </w:p>
        </w:tc>
        <w:tc>
          <w:tcPr>
            <w:tcW w:w="997" w:type="pct"/>
            <w:noWrap w:val="0"/>
            <w:vAlign w:val="center"/>
          </w:tcPr>
          <w:p w14:paraId="54A21D94">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业绩要求</w:t>
            </w:r>
          </w:p>
          <w:p w14:paraId="4B69DD47">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（如有）</w:t>
            </w:r>
          </w:p>
        </w:tc>
        <w:tc>
          <w:tcPr>
            <w:tcW w:w="2393" w:type="pct"/>
            <w:noWrap w:val="0"/>
            <w:vAlign w:val="center"/>
          </w:tcPr>
          <w:p w14:paraId="36B07A86">
            <w:pPr>
              <w:pStyle w:val="152"/>
              <w:keepNext w:val="0"/>
              <w:keepLines w:val="0"/>
              <w:suppressLineNumbers w:val="0"/>
              <w:adjustRightInd w:val="0"/>
              <w:spacing w:before="0" w:beforeAutospacing="0" w:after="0" w:afterAutospacing="0"/>
              <w:ind w:left="0" w:right="0"/>
              <w:jc w:val="center"/>
              <w:rPr>
                <w:rFonts w:hint="eastAsia" w:ascii="宋体" w:hAnsi="宋体" w:eastAsia="仿宋" w:cs="Times New Roman"/>
                <w:color w:val="auto"/>
                <w:sz w:val="24"/>
                <w:szCs w:val="28"/>
                <w:highlight w:val="none"/>
              </w:rPr>
            </w:pPr>
            <w:r>
              <w:rPr>
                <w:rFonts w:hint="eastAsia" w:ascii="宋体" w:hAnsi="宋体" w:eastAsia="仿宋" w:cs="Times New Roman"/>
                <w:color w:val="auto"/>
                <w:sz w:val="24"/>
                <w:szCs w:val="24"/>
                <w:highlight w:val="none"/>
              </w:rPr>
              <w:t>符合招标公告中资格要求。</w:t>
            </w:r>
          </w:p>
        </w:tc>
        <w:tc>
          <w:tcPr>
            <w:tcW w:w="1246" w:type="pct"/>
            <w:noWrap w:val="0"/>
            <w:vAlign w:val="center"/>
          </w:tcPr>
          <w:p w14:paraId="23A2FFFB">
            <w:pPr>
              <w:keepNext w:val="0"/>
              <w:keepLines w:val="0"/>
              <w:widowControl/>
              <w:suppressLineNumbers w:val="0"/>
              <w:adjustRightInd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提供合同原件扫描件</w:t>
            </w:r>
          </w:p>
          <w:p w14:paraId="6B73CC33">
            <w:pPr>
              <w:pStyle w:val="4"/>
              <w:suppressLineNumbers w:val="0"/>
              <w:spacing w:before="0" w:beforeAutospacing="0" w:after="0" w:afterAutospacing="0" w:line="240" w:lineRule="auto"/>
              <w:ind w:left="0" w:right="0"/>
              <w:outlineLvl w:val="2"/>
              <w:rPr>
                <w:rFonts w:hint="eastAsia" w:cs="Times New Roman"/>
                <w:color w:val="auto"/>
                <w:highlight w:val="none"/>
              </w:rPr>
            </w:pPr>
            <w:r>
              <w:rPr>
                <w:rFonts w:hint="eastAsia" w:eastAsia="仿宋" w:cs="Times New Roman"/>
                <w:b w:val="0"/>
                <w:bCs w:val="0"/>
                <w:color w:val="auto"/>
                <w:kern w:val="2"/>
                <w:sz w:val="24"/>
                <w:highlight w:val="none"/>
                <w:lang w:eastAsia="zh-CN" w:bidi="ar-SA"/>
              </w:rPr>
              <w:t>详见第六章投标文件格式九（三）</w:t>
            </w:r>
          </w:p>
        </w:tc>
      </w:tr>
    </w:tbl>
    <w:p w14:paraId="699DCA2D">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p>
    <w:p w14:paraId="33BEFEFB">
      <w:pPr>
        <w:pStyle w:val="153"/>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388BAB6">
      <w:pPr>
        <w:pStyle w:val="3"/>
        <w:rPr>
          <w:rStyle w:val="103"/>
          <w:rFonts w:hint="eastAsia" w:ascii="宋体" w:hAnsi="宋体" w:eastAsia="仿宋"/>
          <w:b/>
          <w:bCs/>
          <w:color w:val="auto"/>
          <w:sz w:val="24"/>
          <w:szCs w:val="24"/>
          <w:highlight w:val="none"/>
        </w:rPr>
      </w:pPr>
      <w:bookmarkStart w:id="772" w:name="_Toc324404867"/>
      <w:bookmarkStart w:id="773" w:name="_Toc417623587"/>
      <w:r>
        <w:rPr>
          <w:rStyle w:val="103"/>
          <w:rFonts w:hint="eastAsia" w:ascii="宋体" w:hAnsi="宋体" w:eastAsia="仿宋"/>
          <w:b/>
          <w:bCs/>
          <w:color w:val="auto"/>
          <w:sz w:val="24"/>
          <w:szCs w:val="24"/>
          <w:highlight w:val="none"/>
        </w:rPr>
        <w:t>1. 资格审查办法</w:t>
      </w:r>
      <w:bookmarkEnd w:id="772"/>
      <w:bookmarkEnd w:id="773"/>
    </w:p>
    <w:p w14:paraId="0BB6BEB5">
      <w:pPr>
        <w:snapToGrid w:val="0"/>
        <w:spacing w:line="360" w:lineRule="auto"/>
        <w:ind w:firstLine="480" w:firstLineChars="200"/>
        <w:rPr>
          <w:rFonts w:hint="eastAsia" w:ascii="宋体" w:hAnsi="宋体" w:eastAsia="仿宋"/>
          <w:color w:val="auto"/>
          <w:sz w:val="24"/>
          <w:highlight w:val="none"/>
        </w:rPr>
      </w:pPr>
      <w:bookmarkStart w:id="774" w:name="_Hlk44246459"/>
      <w:r>
        <w:rPr>
          <w:rFonts w:hint="eastAsia" w:ascii="宋体" w:hAnsi="宋体" w:eastAsia="仿宋"/>
          <w:color w:val="auto"/>
          <w:sz w:val="24"/>
          <w:highlight w:val="none"/>
        </w:rPr>
        <w:t>公开招标采购项目开标结束后，采购人或者采购代理机构应当依法组建资格审查小组，按资格审查办法前附表中的审查标准对投标人的资格进行审查。符合本章第一节第2条规定审查标准的申请人均通过资格审查。</w:t>
      </w:r>
    </w:p>
    <w:bookmarkEnd w:id="774"/>
    <w:p w14:paraId="2A088761">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2. 资格审查标准</w:t>
      </w:r>
    </w:p>
    <w:p w14:paraId="7273FEE6">
      <w:pPr>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审查标准：见资格审查办法前附表。</w:t>
      </w:r>
    </w:p>
    <w:p w14:paraId="001079BB">
      <w:pPr>
        <w:pStyle w:val="3"/>
        <w:rPr>
          <w:rStyle w:val="103"/>
          <w:rFonts w:hint="eastAsia" w:ascii="宋体" w:hAnsi="宋体" w:eastAsia="仿宋"/>
          <w:b/>
          <w:bCs/>
          <w:color w:val="auto"/>
          <w:sz w:val="24"/>
          <w:szCs w:val="24"/>
          <w:highlight w:val="none"/>
        </w:rPr>
      </w:pPr>
      <w:r>
        <w:rPr>
          <w:rStyle w:val="103"/>
          <w:rFonts w:hint="eastAsia" w:ascii="宋体" w:hAnsi="宋体" w:eastAsia="仿宋"/>
          <w:b/>
          <w:bCs/>
          <w:color w:val="auto"/>
          <w:sz w:val="24"/>
          <w:szCs w:val="24"/>
          <w:highlight w:val="none"/>
        </w:rPr>
        <w:t>3. 资格审查程序</w:t>
      </w:r>
    </w:p>
    <w:p w14:paraId="7D9EDE33">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3.1 资格审查</w:t>
      </w:r>
    </w:p>
    <w:p w14:paraId="5C115D42">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3.1.1 资格审查小组按照规定的资格审查标准，对各投标人依次进行审查。有一项不符合审查标准的，资格审查不合格，其投标无效。</w:t>
      </w:r>
    </w:p>
    <w:p w14:paraId="321CE87E">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1.</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投标人有以下情形之一的，</w:t>
      </w:r>
      <w:r>
        <w:rPr>
          <w:rFonts w:hint="eastAsia" w:ascii="宋体" w:hAnsi="宋体" w:eastAsia="仿宋"/>
          <w:color w:val="auto"/>
          <w:sz w:val="24"/>
          <w:highlight w:val="none"/>
        </w:rPr>
        <w:t>资格审查不合格，其投标无效</w:t>
      </w:r>
      <w:r>
        <w:rPr>
          <w:rFonts w:ascii="宋体" w:hAnsi="宋体" w:eastAsia="仿宋"/>
          <w:color w:val="auto"/>
          <w:sz w:val="24"/>
          <w:highlight w:val="none"/>
        </w:rPr>
        <w:t>：</w:t>
      </w:r>
    </w:p>
    <w:p w14:paraId="68AFAB36">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w:t>
      </w:r>
      <w:r>
        <w:rPr>
          <w:rFonts w:hint="eastAsia" w:ascii="宋体" w:hAnsi="宋体" w:eastAsia="仿宋"/>
          <w:color w:val="auto"/>
          <w:sz w:val="24"/>
          <w:highlight w:val="none"/>
        </w:rPr>
        <w:t>1</w:t>
      </w:r>
      <w:r>
        <w:rPr>
          <w:rFonts w:ascii="宋体" w:hAnsi="宋体" w:eastAsia="仿宋"/>
          <w:color w:val="auto"/>
          <w:sz w:val="24"/>
          <w:highlight w:val="none"/>
        </w:rPr>
        <w:t>）有弄虚作假、</w:t>
      </w:r>
      <w:r>
        <w:rPr>
          <w:rFonts w:hint="eastAsia" w:ascii="宋体" w:hAnsi="宋体" w:eastAsia="仿宋"/>
          <w:color w:val="auto"/>
          <w:sz w:val="24"/>
          <w:highlight w:val="none"/>
        </w:rPr>
        <w:t>向资格审查小组</w:t>
      </w:r>
      <w:r>
        <w:rPr>
          <w:rFonts w:ascii="宋体" w:hAnsi="宋体" w:eastAsia="仿宋"/>
          <w:color w:val="auto"/>
          <w:sz w:val="24"/>
          <w:highlight w:val="none"/>
        </w:rPr>
        <w:t>行贿等违法行为</w:t>
      </w:r>
      <w:r>
        <w:rPr>
          <w:rFonts w:hint="eastAsia" w:ascii="宋体" w:hAnsi="宋体" w:eastAsia="仿宋"/>
          <w:color w:val="auto"/>
          <w:sz w:val="24"/>
          <w:highlight w:val="none"/>
        </w:rPr>
        <w:t>；</w:t>
      </w:r>
    </w:p>
    <w:p w14:paraId="7BEC65C6">
      <w:pPr>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（2）不按照资格审查小组要求澄清、补正的</w:t>
      </w:r>
      <w:r>
        <w:rPr>
          <w:rFonts w:ascii="宋体" w:hAnsi="宋体" w:eastAsia="仿宋"/>
          <w:color w:val="auto"/>
          <w:sz w:val="24"/>
          <w:highlight w:val="none"/>
        </w:rPr>
        <w:t>。</w:t>
      </w:r>
    </w:p>
    <w:p w14:paraId="670C5990">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3.2 投标文件澄清</w:t>
      </w:r>
    </w:p>
    <w:p w14:paraId="4F9D7E7B">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.1</w:t>
      </w:r>
      <w:r>
        <w:rPr>
          <w:rFonts w:hint="eastAsia" w:ascii="宋体" w:hAnsi="宋体" w:eastAsia="仿宋"/>
          <w:color w:val="auto"/>
          <w:sz w:val="24"/>
          <w:highlight w:val="none"/>
        </w:rPr>
        <w:t xml:space="preserve"> </w:t>
      </w:r>
      <w:r>
        <w:rPr>
          <w:rFonts w:ascii="宋体" w:hAnsi="宋体" w:eastAsia="仿宋"/>
          <w:color w:val="auto"/>
          <w:sz w:val="24"/>
          <w:highlight w:val="none"/>
        </w:rPr>
        <w:t>在</w:t>
      </w:r>
      <w:r>
        <w:rPr>
          <w:rFonts w:hint="eastAsia" w:ascii="宋体" w:hAnsi="宋体" w:eastAsia="仿宋"/>
          <w:color w:val="auto"/>
          <w:sz w:val="24"/>
          <w:highlight w:val="none"/>
        </w:rPr>
        <w:t>资格审查</w:t>
      </w:r>
      <w:r>
        <w:rPr>
          <w:rFonts w:ascii="宋体" w:hAnsi="宋体" w:eastAsia="仿宋"/>
          <w:color w:val="auto"/>
          <w:sz w:val="24"/>
          <w:highlight w:val="none"/>
        </w:rPr>
        <w:t>过程中，</w:t>
      </w:r>
      <w:r>
        <w:rPr>
          <w:rFonts w:hint="eastAsia" w:ascii="宋体" w:hAnsi="宋体" w:eastAsia="仿宋"/>
          <w:color w:val="auto"/>
          <w:sz w:val="24"/>
          <w:highlight w:val="none"/>
        </w:rPr>
        <w:t>资格审查小组</w:t>
      </w:r>
      <w:r>
        <w:rPr>
          <w:rFonts w:ascii="宋体" w:hAnsi="宋体" w:eastAsia="仿宋"/>
          <w:color w:val="auto"/>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auto"/>
          <w:sz w:val="24"/>
          <w:highlight w:val="none"/>
        </w:rPr>
        <w:t>资格审查小组</w:t>
      </w:r>
      <w:r>
        <w:rPr>
          <w:rFonts w:ascii="宋体" w:hAnsi="宋体" w:eastAsia="仿宋"/>
          <w:color w:val="auto"/>
          <w:sz w:val="24"/>
          <w:highlight w:val="none"/>
        </w:rPr>
        <w:t>不接受投标人主动提出的澄清、说明或补正。</w:t>
      </w:r>
    </w:p>
    <w:p w14:paraId="1609A687">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.2</w:t>
      </w:r>
      <w:r>
        <w:rPr>
          <w:rFonts w:hint="eastAsia" w:ascii="宋体" w:hAnsi="宋体" w:eastAsia="仿宋"/>
          <w:color w:val="auto"/>
          <w:sz w:val="24"/>
          <w:highlight w:val="none"/>
        </w:rPr>
        <w:t xml:space="preserve"> </w:t>
      </w:r>
      <w:r>
        <w:rPr>
          <w:rFonts w:ascii="宋体" w:hAnsi="宋体" w:eastAsia="仿宋"/>
          <w:color w:val="auto"/>
          <w:sz w:val="24"/>
          <w:highlight w:val="none"/>
        </w:rPr>
        <w:t>澄清、说明或补正不得超出投标文件的范围且不得改变投标文件的实质性内容，并构成投标文件的组成部分。</w:t>
      </w:r>
    </w:p>
    <w:p w14:paraId="30A1BBA6">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2</w:t>
      </w:r>
      <w:r>
        <w:rPr>
          <w:rFonts w:ascii="宋体" w:hAnsi="宋体" w:eastAsia="仿宋"/>
          <w:color w:val="auto"/>
          <w:sz w:val="24"/>
          <w:highlight w:val="none"/>
        </w:rPr>
        <w:t>.3</w:t>
      </w:r>
      <w:r>
        <w:rPr>
          <w:rFonts w:hint="eastAsia" w:ascii="宋体" w:hAnsi="宋体" w:eastAsia="仿宋"/>
          <w:color w:val="auto"/>
          <w:sz w:val="24"/>
          <w:highlight w:val="none"/>
        </w:rPr>
        <w:t xml:space="preserve"> 资格审查小组</w:t>
      </w:r>
      <w:r>
        <w:rPr>
          <w:rFonts w:ascii="宋体" w:hAnsi="宋体" w:eastAsia="仿宋"/>
          <w:color w:val="auto"/>
          <w:sz w:val="24"/>
          <w:highlight w:val="none"/>
        </w:rPr>
        <w:t>对投标人提交的澄清、说明或补正有疑问的，可以要求投标人进一步澄清、说明或补正，直至满足</w:t>
      </w:r>
      <w:r>
        <w:rPr>
          <w:rFonts w:hint="eastAsia" w:ascii="宋体" w:hAnsi="宋体" w:eastAsia="仿宋"/>
          <w:color w:val="auto"/>
          <w:sz w:val="24"/>
          <w:highlight w:val="none"/>
        </w:rPr>
        <w:t>资格审查小组</w:t>
      </w:r>
      <w:r>
        <w:rPr>
          <w:rFonts w:ascii="宋体" w:hAnsi="宋体" w:eastAsia="仿宋"/>
          <w:color w:val="auto"/>
          <w:sz w:val="24"/>
          <w:highlight w:val="none"/>
        </w:rPr>
        <w:t>的要求。</w:t>
      </w:r>
    </w:p>
    <w:p w14:paraId="1C06933E">
      <w:pPr>
        <w:pStyle w:val="4"/>
        <w:adjustRightInd w:val="0"/>
        <w:ind w:firstLine="482" w:firstLineChars="200"/>
        <w:rPr>
          <w:rFonts w:hint="eastAsia" w:eastAsia="仿宋"/>
          <w:color w:val="auto"/>
          <w:sz w:val="24"/>
          <w:highlight w:val="none"/>
          <w:lang w:eastAsia="zh-CN"/>
        </w:rPr>
      </w:pPr>
      <w:r>
        <w:rPr>
          <w:rFonts w:hint="eastAsia" w:eastAsia="仿宋"/>
          <w:color w:val="auto"/>
          <w:sz w:val="24"/>
          <w:highlight w:val="none"/>
          <w:lang w:eastAsia="zh-CN"/>
        </w:rPr>
        <w:t>3.3 资格审查结果</w:t>
      </w:r>
    </w:p>
    <w:p w14:paraId="03907129">
      <w:pPr>
        <w:snapToGrid w:val="0"/>
        <w:spacing w:line="360" w:lineRule="auto"/>
        <w:ind w:firstLine="480" w:firstLineChars="200"/>
        <w:rPr>
          <w:rFonts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.1</w:t>
      </w:r>
      <w:r>
        <w:rPr>
          <w:rFonts w:hint="eastAsia" w:ascii="宋体" w:hAnsi="宋体" w:eastAsia="仿宋"/>
          <w:color w:val="auto"/>
          <w:sz w:val="24"/>
          <w:highlight w:val="none"/>
        </w:rPr>
        <w:t xml:space="preserve"> 资格审查完成后，资格审查小组应当出具各投标人资格审查结果的书面意见</w:t>
      </w:r>
      <w:r>
        <w:rPr>
          <w:rFonts w:ascii="宋体" w:hAnsi="宋体" w:eastAsia="仿宋"/>
          <w:color w:val="auto"/>
          <w:sz w:val="24"/>
          <w:highlight w:val="none"/>
        </w:rPr>
        <w:t>。</w:t>
      </w:r>
    </w:p>
    <w:p w14:paraId="04D3B52F">
      <w:pPr>
        <w:snapToGrid w:val="0"/>
        <w:spacing w:line="360" w:lineRule="auto"/>
        <w:ind w:firstLine="480" w:firstLineChars="200"/>
        <w:rPr>
          <w:rFonts w:hint="eastAsia" w:ascii="宋体" w:hAnsi="宋体" w:eastAsia="仿宋"/>
          <w:color w:val="auto"/>
          <w:sz w:val="24"/>
          <w:highlight w:val="none"/>
        </w:rPr>
      </w:pPr>
      <w:r>
        <w:rPr>
          <w:rFonts w:ascii="宋体" w:hAnsi="宋体" w:eastAsia="仿宋"/>
          <w:color w:val="auto"/>
          <w:sz w:val="24"/>
          <w:highlight w:val="none"/>
        </w:rPr>
        <w:t>3.</w:t>
      </w:r>
      <w:r>
        <w:rPr>
          <w:rFonts w:hint="eastAsia" w:ascii="宋体" w:hAnsi="宋体" w:eastAsia="仿宋"/>
          <w:color w:val="auto"/>
          <w:sz w:val="24"/>
          <w:highlight w:val="none"/>
        </w:rPr>
        <w:t>3</w:t>
      </w:r>
      <w:r>
        <w:rPr>
          <w:rFonts w:ascii="宋体" w:hAnsi="宋体" w:eastAsia="仿宋"/>
          <w:color w:val="auto"/>
          <w:sz w:val="24"/>
          <w:highlight w:val="none"/>
        </w:rPr>
        <w:t>.2</w:t>
      </w:r>
      <w:r>
        <w:rPr>
          <w:rFonts w:hint="eastAsia" w:ascii="宋体" w:hAnsi="宋体" w:eastAsia="仿宋"/>
          <w:color w:val="auto"/>
          <w:sz w:val="24"/>
          <w:highlight w:val="none"/>
        </w:rPr>
        <w:t xml:space="preserve"> 只有通过资格审查的投标人才能进入下一步的评标程序</w:t>
      </w:r>
      <w:r>
        <w:rPr>
          <w:rFonts w:ascii="宋体" w:hAnsi="宋体" w:eastAsia="仿宋"/>
          <w:color w:val="auto"/>
          <w:sz w:val="24"/>
          <w:highlight w:val="none"/>
        </w:rPr>
        <w:t>。</w:t>
      </w:r>
    </w:p>
    <w:p w14:paraId="036AFDA0">
      <w:pPr>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3.3.3 合格投标人不足3家的，按废标处理。</w:t>
      </w:r>
    </w:p>
    <w:p w14:paraId="02F46D90">
      <w:pPr>
        <w:pStyle w:val="153"/>
        <w:adjustRightInd w:val="0"/>
        <w:snapToGrid w:val="0"/>
        <w:spacing w:before="0" w:line="360" w:lineRule="auto"/>
        <w:ind w:firstLine="482" w:firstLineChars="200"/>
        <w:jc w:val="center"/>
        <w:rPr>
          <w:rFonts w:hint="eastAsia" w:ascii="宋体" w:hAnsi="宋体" w:eastAsia="仿宋"/>
          <w:b/>
          <w:color w:val="auto"/>
          <w:sz w:val="24"/>
          <w:szCs w:val="24"/>
          <w:highlight w:val="none"/>
        </w:rPr>
      </w:pPr>
    </w:p>
    <w:p w14:paraId="26D6F9D3">
      <w:pPr>
        <w:pStyle w:val="153"/>
        <w:adjustRightInd w:val="0"/>
        <w:snapToGrid w:val="0"/>
        <w:spacing w:before="0" w:line="360" w:lineRule="auto"/>
        <w:ind w:firstLine="482" w:firstLineChars="200"/>
        <w:jc w:val="center"/>
        <w:rPr>
          <w:rFonts w:ascii="宋体" w:hAnsi="宋体" w:eastAsia="仿宋"/>
          <w:b/>
          <w:color w:val="auto"/>
          <w:sz w:val="24"/>
          <w:szCs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42F958E">
      <w:pPr>
        <w:pStyle w:val="3"/>
        <w:jc w:val="center"/>
        <w:rPr>
          <w:rFonts w:hint="eastAsia" w:eastAsia="仿宋"/>
          <w:color w:val="auto"/>
          <w:highlight w:val="none"/>
        </w:rPr>
      </w:pPr>
      <w:r>
        <w:rPr>
          <w:rFonts w:hint="eastAsia" w:eastAsia="仿宋"/>
          <w:color w:val="auto"/>
          <w:highlight w:val="none"/>
        </w:rPr>
        <w:t>第二节  评标办法</w:t>
      </w:r>
    </w:p>
    <w:p w14:paraId="015F0F3D">
      <w:pPr>
        <w:pStyle w:val="153"/>
        <w:adjustRightInd w:val="0"/>
        <w:snapToGrid w:val="0"/>
        <w:spacing w:before="0" w:line="360" w:lineRule="auto"/>
        <w:ind w:firstLine="562" w:firstLineChars="200"/>
        <w:jc w:val="center"/>
        <w:rPr>
          <w:rFonts w:hint="eastAsia" w:ascii="宋体" w:hAnsi="宋体" w:eastAsia="仿宋"/>
          <w:b/>
          <w:color w:val="auto"/>
          <w:highlight w:val="none"/>
        </w:rPr>
      </w:pPr>
      <w:r>
        <w:rPr>
          <w:rFonts w:hint="eastAsia" w:ascii="宋体" w:hAnsi="宋体" w:eastAsia="仿宋"/>
          <w:b/>
          <w:color w:val="auto"/>
          <w:highlight w:val="none"/>
        </w:rPr>
        <w:t>评标办法前附表</w:t>
      </w:r>
    </w:p>
    <w:p w14:paraId="29B23380">
      <w:pPr>
        <w:widowControl/>
        <w:adjustRightInd w:val="0"/>
        <w:snapToGrid w:val="0"/>
        <w:spacing w:before="240" w:beforeLines="100" w:after="120" w:afterLines="50" w:line="360" w:lineRule="auto"/>
        <w:ind w:firstLine="482" w:firstLineChars="200"/>
        <w:rPr>
          <w:rFonts w:hint="eastAsia" w:ascii="宋体" w:hAnsi="宋体" w:eastAsia="仿宋"/>
          <w:b/>
          <w:color w:val="auto"/>
          <w:sz w:val="28"/>
          <w:szCs w:val="28"/>
          <w:highlight w:val="none"/>
        </w:rPr>
      </w:pPr>
      <w:r>
        <w:rPr>
          <w:rFonts w:hint="eastAsia" w:ascii="宋体" w:hAnsi="宋体" w:eastAsia="仿宋"/>
          <w:b/>
          <w:bCs/>
          <w:color w:val="auto"/>
          <w:sz w:val="24"/>
          <w:highlight w:val="none"/>
        </w:rPr>
        <w:t>本《评标办法前附表》是对本节《评标办法》的具体补充和修改，如有不一致，以本《评标办法前附表》为准。</w:t>
      </w:r>
    </w:p>
    <w:p w14:paraId="0FB8A1F1">
      <w:pPr>
        <w:pStyle w:val="153"/>
        <w:adjustRightInd w:val="0"/>
        <w:snapToGrid w:val="0"/>
        <w:spacing w:before="0" w:line="360" w:lineRule="auto"/>
        <w:ind w:firstLine="482" w:firstLineChars="200"/>
        <w:rPr>
          <w:rFonts w:hint="eastAsia" w:ascii="楷体_GB2312" w:hAnsi="宋体" w:eastAsia="楷体_GB2312"/>
          <w:b/>
          <w:i/>
          <w:color w:val="auto"/>
          <w:sz w:val="24"/>
          <w:szCs w:val="24"/>
          <w:highlight w:val="none"/>
        </w:rPr>
      </w:pPr>
      <w:r>
        <w:rPr>
          <w:rFonts w:hint="eastAsia" w:ascii="宋体" w:hAnsi="宋体" w:eastAsia="仿宋"/>
          <w:b/>
          <w:color w:val="auto"/>
          <w:sz w:val="24"/>
          <w:szCs w:val="24"/>
          <w:highlight w:val="none"/>
        </w:rPr>
        <w:t>1. 符合性审查表</w:t>
      </w:r>
    </w:p>
    <w:tbl>
      <w:tblPr>
        <w:tblStyle w:val="46"/>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1FC3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072068C">
            <w:pPr>
              <w:keepNext w:val="0"/>
              <w:keepLines w:val="0"/>
              <w:widowControl/>
              <w:suppressLineNumbers w:val="0"/>
              <w:spacing w:before="0" w:beforeAutospacing="0" w:after="0" w:afterAutospacing="0"/>
              <w:ind w:left="0" w:right="0"/>
              <w:jc w:val="center"/>
              <w:rPr>
                <w:rFonts w:hint="eastAsia" w:ascii="宋体" w:hAnsi="宋体" w:cs="Times New Roman"/>
                <w:b/>
                <w:color w:val="auto"/>
                <w:kern w:val="0"/>
                <w:sz w:val="24"/>
                <w:highlight w:val="none"/>
              </w:rPr>
            </w:pPr>
            <w:r>
              <w:rPr>
                <w:rFonts w:hint="eastAsia" w:ascii="宋体" w:hAnsi="宋体" w:eastAsia="仿宋" w:cs="Times New Roman"/>
                <w:b/>
                <w:color w:val="auto"/>
                <w:kern w:val="0"/>
                <w:sz w:val="24"/>
                <w:highlight w:val="none"/>
              </w:rPr>
              <w:t>条款号</w:t>
            </w:r>
          </w:p>
        </w:tc>
        <w:tc>
          <w:tcPr>
            <w:tcW w:w="1843" w:type="dxa"/>
            <w:noWrap w:val="0"/>
            <w:vAlign w:val="center"/>
          </w:tcPr>
          <w:p w14:paraId="144E6E4E">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审查因素</w:t>
            </w:r>
          </w:p>
        </w:tc>
        <w:tc>
          <w:tcPr>
            <w:tcW w:w="6533" w:type="dxa"/>
            <w:noWrap w:val="0"/>
            <w:vAlign w:val="center"/>
          </w:tcPr>
          <w:p w14:paraId="359CB34F">
            <w:pPr>
              <w:keepNext w:val="0"/>
              <w:keepLines w:val="0"/>
              <w:widowControl/>
              <w:suppressLineNumbers w:val="0"/>
              <w:spacing w:before="0" w:beforeAutospacing="0" w:after="0" w:afterAutospacing="0"/>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审查标准</w:t>
            </w:r>
          </w:p>
        </w:tc>
      </w:tr>
      <w:tr w14:paraId="26FA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2F5DB2B3">
            <w:pPr>
              <w:keepNext w:val="0"/>
              <w:keepLines w:val="0"/>
              <w:widowControl/>
              <w:suppressLineNumbers w:val="0"/>
              <w:spacing w:before="0" w:beforeAutospacing="0" w:after="0" w:afterAutospacing="0"/>
              <w:ind w:left="0" w:right="0"/>
              <w:jc w:val="center"/>
              <w:rPr>
                <w:rFonts w:hint="default"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3.1.2</w:t>
            </w:r>
          </w:p>
        </w:tc>
        <w:tc>
          <w:tcPr>
            <w:tcW w:w="1843" w:type="dxa"/>
            <w:noWrap w:val="0"/>
            <w:vAlign w:val="center"/>
          </w:tcPr>
          <w:p w14:paraId="61F1A625">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投标人名称</w:t>
            </w:r>
          </w:p>
        </w:tc>
        <w:tc>
          <w:tcPr>
            <w:tcW w:w="6533" w:type="dxa"/>
            <w:noWrap w:val="0"/>
            <w:vAlign w:val="center"/>
          </w:tcPr>
          <w:p w14:paraId="57743CA7">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与营业执照（或事业单位法人证书等证明材料）一致</w:t>
            </w:r>
          </w:p>
        </w:tc>
      </w:tr>
      <w:tr w14:paraId="356CC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6380A77">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5A4981D">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投标文件签署</w:t>
            </w:r>
          </w:p>
        </w:tc>
        <w:tc>
          <w:tcPr>
            <w:tcW w:w="6533" w:type="dxa"/>
            <w:noWrap w:val="0"/>
            <w:vAlign w:val="center"/>
          </w:tcPr>
          <w:p w14:paraId="3B64D336">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投标文件签字盖章符合招标文件规定</w:t>
            </w:r>
          </w:p>
        </w:tc>
      </w:tr>
      <w:tr w14:paraId="497A1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90F6023">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1F218BB">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w:t>
            </w:r>
          </w:p>
        </w:tc>
        <w:tc>
          <w:tcPr>
            <w:tcW w:w="6533" w:type="dxa"/>
            <w:noWrap w:val="0"/>
            <w:vAlign w:val="center"/>
          </w:tcPr>
          <w:p w14:paraId="46974254">
            <w:pPr>
              <w:keepNext w:val="0"/>
              <w:keepLines w:val="0"/>
              <w:suppressLineNumbers w:val="0"/>
              <w:spacing w:before="0" w:beforeAutospacing="0" w:after="0" w:afterAutospacing="0" w:line="240" w:lineRule="exact"/>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法定代表人（单位负责人）身份证明及授权委托书符合招标文件规定的格式，按规定格式签字盖章</w:t>
            </w:r>
          </w:p>
        </w:tc>
      </w:tr>
      <w:tr w14:paraId="53BD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38ABE9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3E3E0A3">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投标文件格式</w:t>
            </w:r>
          </w:p>
        </w:tc>
        <w:tc>
          <w:tcPr>
            <w:tcW w:w="6533" w:type="dxa"/>
            <w:noWrap w:val="0"/>
            <w:vAlign w:val="center"/>
          </w:tcPr>
          <w:p w14:paraId="75D15F9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符合招标文件给定格式要求，实质性内容齐全，关键内容、字迹清晰可辨</w:t>
            </w:r>
          </w:p>
        </w:tc>
      </w:tr>
      <w:tr w14:paraId="5EBA8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34BF960">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30F1AAAD">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联合体投标</w:t>
            </w:r>
          </w:p>
          <w:p w14:paraId="714A25C1">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（如适用）</w:t>
            </w:r>
          </w:p>
        </w:tc>
        <w:tc>
          <w:tcPr>
            <w:tcW w:w="6533" w:type="dxa"/>
            <w:noWrap w:val="0"/>
            <w:vAlign w:val="center"/>
          </w:tcPr>
          <w:p w14:paraId="14B0368A">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提供联合体协议书，并明确联合体牵头人</w:t>
            </w:r>
          </w:p>
        </w:tc>
      </w:tr>
      <w:tr w14:paraId="5AEF0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A1E6CF5">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90004E8">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投标范围</w:t>
            </w:r>
          </w:p>
        </w:tc>
        <w:tc>
          <w:tcPr>
            <w:tcW w:w="6533" w:type="dxa"/>
            <w:noWrap w:val="0"/>
            <w:vAlign w:val="center"/>
          </w:tcPr>
          <w:p w14:paraId="0AD1AEB5">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6AF9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79F1B1A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293D21D">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投标报价</w:t>
            </w:r>
          </w:p>
        </w:tc>
        <w:tc>
          <w:tcPr>
            <w:tcW w:w="6533" w:type="dxa"/>
            <w:noWrap w:val="0"/>
            <w:vAlign w:val="top"/>
          </w:tcPr>
          <w:p w14:paraId="29BB58DA">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kern w:val="0"/>
                <w:sz w:val="24"/>
                <w:highlight w:val="none"/>
              </w:rPr>
            </w:pPr>
            <w:r>
              <w:rPr>
                <w:rFonts w:hint="eastAsia" w:ascii="宋体" w:hAnsi="宋体" w:eastAsia="仿宋" w:cs="仿宋_GB2312"/>
                <w:color w:val="auto"/>
                <w:sz w:val="24"/>
                <w:highlight w:val="none"/>
                <w:lang w:val="zh-CN"/>
              </w:rPr>
              <w:t>投标报价不得超过</w:t>
            </w:r>
            <w:r>
              <w:rPr>
                <w:rFonts w:hint="eastAsia" w:ascii="宋体" w:hAnsi="宋体" w:eastAsia="仿宋" w:cs="仿宋_GB2312"/>
                <w:color w:val="auto"/>
                <w:sz w:val="24"/>
                <w:highlight w:val="none"/>
              </w:rPr>
              <w:t>预算金额或</w:t>
            </w:r>
            <w:r>
              <w:rPr>
                <w:rFonts w:hint="eastAsia" w:ascii="宋体" w:hAnsi="宋体" w:eastAsia="仿宋" w:cs="仿宋_GB2312"/>
                <w:color w:val="auto"/>
                <w:sz w:val="24"/>
                <w:highlight w:val="none"/>
                <w:lang w:val="zh-CN"/>
              </w:rPr>
              <w:t>最高限价，</w:t>
            </w:r>
            <w:r>
              <w:rPr>
                <w:rFonts w:hint="eastAsia" w:ascii="宋体" w:hAnsi="宋体" w:eastAsia="仿宋" w:cs="Times New Roman"/>
                <w:color w:val="auto"/>
                <w:sz w:val="24"/>
                <w:highlight w:val="none"/>
              </w:rPr>
              <w:t>只能有一个有效报价，不得提交选择性报价（按招标文件规定提交备选投标方案的除外），</w:t>
            </w:r>
            <w:r>
              <w:rPr>
                <w:rFonts w:hint="eastAsia" w:ascii="宋体" w:hAnsi="宋体" w:eastAsia="仿宋" w:cs="Times New Roman"/>
                <w:color w:val="auto"/>
                <w:sz w:val="24"/>
                <w:highlight w:val="none"/>
                <w:lang w:bidi="ar"/>
              </w:rPr>
              <w:t>符合第二章投标人须知第3.2款要求</w:t>
            </w:r>
          </w:p>
        </w:tc>
      </w:tr>
      <w:tr w14:paraId="30679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5B067C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004AE5CD">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商务要求</w:t>
            </w:r>
          </w:p>
        </w:tc>
        <w:tc>
          <w:tcPr>
            <w:tcW w:w="6533" w:type="dxa"/>
            <w:noWrap w:val="0"/>
            <w:vAlign w:val="center"/>
          </w:tcPr>
          <w:p w14:paraId="1D3239E8">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highlight w:val="none"/>
              </w:rPr>
              <w:t>符合实质性要求，偏离范围和项数符合招标文件规定</w:t>
            </w:r>
          </w:p>
        </w:tc>
      </w:tr>
      <w:tr w14:paraId="55FD6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F91F83D">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63A5769E">
            <w:pPr>
              <w:keepNext w:val="0"/>
              <w:keepLines w:val="0"/>
              <w:widowControl/>
              <w:suppressLineNumbers w:val="0"/>
              <w:spacing w:before="0" w:beforeAutospacing="0" w:after="0" w:afterAutospacing="0"/>
              <w:ind w:left="0" w:right="0"/>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技术要求</w:t>
            </w:r>
          </w:p>
        </w:tc>
        <w:tc>
          <w:tcPr>
            <w:tcW w:w="6533" w:type="dxa"/>
            <w:noWrap w:val="0"/>
            <w:vAlign w:val="center"/>
          </w:tcPr>
          <w:p w14:paraId="4184C614">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符合实质性要求，偏离范围和项数符合招标文件规定</w:t>
            </w:r>
          </w:p>
        </w:tc>
      </w:tr>
      <w:tr w14:paraId="58B639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B1932F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9DF29C3">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投标有效期</w:t>
            </w:r>
          </w:p>
        </w:tc>
        <w:tc>
          <w:tcPr>
            <w:tcW w:w="6533" w:type="dxa"/>
            <w:noWrap w:val="0"/>
            <w:vAlign w:val="center"/>
          </w:tcPr>
          <w:p w14:paraId="197E86F4">
            <w:pPr>
              <w:keepNext w:val="0"/>
              <w:keepLines w:val="0"/>
              <w:widowControl/>
              <w:suppressLineNumbers w:val="0"/>
              <w:spacing w:before="0" w:beforeAutospacing="0" w:after="0" w:afterAutospacing="0"/>
              <w:ind w:left="0" w:right="0"/>
              <w:jc w:val="left"/>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符合招标文件要求</w:t>
            </w:r>
          </w:p>
        </w:tc>
      </w:tr>
      <w:tr w14:paraId="59B94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299C91B">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35605BA2">
            <w:pPr>
              <w:pStyle w:val="152"/>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进口产品</w:t>
            </w:r>
          </w:p>
        </w:tc>
        <w:tc>
          <w:tcPr>
            <w:tcW w:w="6533" w:type="dxa"/>
            <w:noWrap w:val="0"/>
            <w:vAlign w:val="center"/>
          </w:tcPr>
          <w:p w14:paraId="23B6C852">
            <w:pPr>
              <w:pStyle w:val="152"/>
              <w:keepNext w:val="0"/>
              <w:keepLines w:val="0"/>
              <w:suppressLineNumbers w:val="0"/>
              <w:adjustRightInd w:val="0"/>
              <w:spacing w:before="0" w:beforeAutospacing="0" w:after="0" w:afterAutospacing="0"/>
              <w:ind w:left="0" w:right="0"/>
              <w:rPr>
                <w:rFonts w:hint="eastAsia" w:ascii="宋体" w:hAnsi="宋体" w:cs="Times New Roman"/>
                <w:color w:val="auto"/>
                <w:sz w:val="24"/>
                <w:szCs w:val="24"/>
                <w:highlight w:val="none"/>
              </w:rPr>
            </w:pPr>
            <w:r>
              <w:rPr>
                <w:rFonts w:hint="eastAsia" w:ascii="宋体" w:hAnsi="宋体" w:eastAsia="仿宋" w:cs="Times New Roman"/>
                <w:color w:val="auto"/>
                <w:sz w:val="24"/>
                <w:szCs w:val="24"/>
                <w:highlight w:val="none"/>
              </w:rPr>
              <w:t>不接受进口产品投标的，投标产品不得为进口产品（执行</w:t>
            </w:r>
            <w:r>
              <w:rPr>
                <w:rFonts w:hint="default" w:ascii="宋体" w:hAnsi="宋体" w:eastAsia="仿宋" w:cs="Times New Roman"/>
                <w:color w:val="auto"/>
                <w:sz w:val="24"/>
                <w:szCs w:val="24"/>
                <w:highlight w:val="none"/>
              </w:rPr>
              <w:t>财办库</w:t>
            </w:r>
            <w:r>
              <w:rPr>
                <w:rFonts w:hint="eastAsia" w:ascii="宋体" w:hAnsi="宋体" w:eastAsia="仿宋" w:cs="Times New Roman"/>
                <w:color w:val="auto"/>
                <w:sz w:val="24"/>
                <w:szCs w:val="24"/>
                <w:highlight w:val="none"/>
              </w:rPr>
              <w:t>〔2008〕</w:t>
            </w:r>
            <w:r>
              <w:rPr>
                <w:rFonts w:hint="default" w:ascii="宋体" w:hAnsi="宋体" w:eastAsia="仿宋" w:cs="Times New Roman"/>
                <w:color w:val="auto"/>
                <w:sz w:val="24"/>
                <w:szCs w:val="24"/>
                <w:highlight w:val="none"/>
              </w:rPr>
              <w:t>248号</w:t>
            </w:r>
            <w:r>
              <w:rPr>
                <w:rFonts w:hint="eastAsia" w:ascii="宋体" w:hAnsi="宋体" w:eastAsia="仿宋" w:cs="Times New Roman"/>
                <w:color w:val="auto"/>
                <w:sz w:val="24"/>
                <w:szCs w:val="24"/>
                <w:highlight w:val="none"/>
              </w:rPr>
              <w:t>文件规定）</w:t>
            </w:r>
          </w:p>
        </w:tc>
      </w:tr>
      <w:tr w14:paraId="48EEA1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60056306">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32520D6C">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强制采购节能产品</w:t>
            </w:r>
          </w:p>
        </w:tc>
        <w:tc>
          <w:tcPr>
            <w:tcW w:w="6533" w:type="dxa"/>
            <w:noWrap w:val="0"/>
            <w:vAlign w:val="center"/>
          </w:tcPr>
          <w:p w14:paraId="5C892548">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5E1D9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18E886AC">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FDB8FEA">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投标文件制作机器识别码</w:t>
            </w:r>
          </w:p>
        </w:tc>
        <w:tc>
          <w:tcPr>
            <w:tcW w:w="6533" w:type="dxa"/>
            <w:noWrap w:val="0"/>
            <w:vAlign w:val="center"/>
          </w:tcPr>
          <w:p w14:paraId="793EE296">
            <w:pPr>
              <w:pStyle w:val="152"/>
              <w:keepNext w:val="0"/>
              <w:keepLines w:val="0"/>
              <w:suppressLineNumbers w:val="0"/>
              <w:adjustRightInd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不同投标人未出现使用相同的投标文件制作机器识别码进行投标的情形</w:t>
            </w:r>
          </w:p>
        </w:tc>
      </w:tr>
      <w:tr w14:paraId="0F32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B947D61">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197FC408">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5305E215">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33CFE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EE19133">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7C470C5A">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72D8300F">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一个核心产品为同一品牌且通过资格审查、符合性审查的不同投标人参加同一包项下投标的，以一家投标人计算有效投标人数量。若有效投标人不足三家，本项目废标</w:t>
            </w:r>
          </w:p>
        </w:tc>
      </w:tr>
      <w:tr w14:paraId="49C53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74D558A">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416E2C33">
            <w:pPr>
              <w:pStyle w:val="152"/>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低价说明</w:t>
            </w:r>
          </w:p>
        </w:tc>
        <w:tc>
          <w:tcPr>
            <w:tcW w:w="6533" w:type="dxa"/>
            <w:noWrap w:val="0"/>
            <w:vAlign w:val="center"/>
          </w:tcPr>
          <w:p w14:paraId="23A47B6D">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投标人的报价明显低于其他通过符合性审查投标人的报价，评标委员会要求其提供书面说明时，投标人不能证明其报价合理性的，投标无效</w:t>
            </w:r>
          </w:p>
        </w:tc>
      </w:tr>
      <w:tr w14:paraId="6DA22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E637D30">
            <w:pPr>
              <w:keepNext w:val="0"/>
              <w:keepLines w:val="0"/>
              <w:widowControl/>
              <w:suppressLineNumbers w:val="0"/>
              <w:spacing w:before="0" w:beforeAutospacing="0" w:after="0" w:afterAutospacing="0"/>
              <w:ind w:left="0" w:right="0"/>
              <w:jc w:val="center"/>
              <w:rPr>
                <w:rFonts w:hint="eastAsia" w:ascii="宋体" w:hAnsi="宋体" w:cs="Times New Roman"/>
                <w:color w:val="auto"/>
                <w:kern w:val="0"/>
                <w:sz w:val="24"/>
                <w:highlight w:val="none"/>
              </w:rPr>
            </w:pPr>
          </w:p>
        </w:tc>
        <w:tc>
          <w:tcPr>
            <w:tcW w:w="1843" w:type="dxa"/>
            <w:noWrap w:val="0"/>
            <w:vAlign w:val="center"/>
          </w:tcPr>
          <w:p w14:paraId="56065EB5">
            <w:pPr>
              <w:pStyle w:val="152"/>
              <w:keepNext w:val="0"/>
              <w:keepLines w:val="0"/>
              <w:suppressLineNumbers w:val="0"/>
              <w:spacing w:before="0" w:beforeAutospacing="0" w:after="0" w:afterAutospacing="0"/>
              <w:ind w:left="0" w:right="0"/>
              <w:rPr>
                <w:rFonts w:hint="default" w:ascii="宋体" w:hAnsi="宋体" w:cs="Times New Roman"/>
                <w:color w:val="auto"/>
                <w:sz w:val="24"/>
                <w:szCs w:val="24"/>
                <w:highlight w:val="none"/>
              </w:rPr>
            </w:pPr>
            <w:r>
              <w:rPr>
                <w:rFonts w:hint="eastAsia" w:ascii="宋体" w:hAnsi="宋体" w:eastAsia="仿宋" w:cs="Times New Roman"/>
                <w:color w:val="auto"/>
                <w:sz w:val="24"/>
                <w:szCs w:val="24"/>
                <w:highlight w:val="none"/>
              </w:rPr>
              <w:t>其他</w:t>
            </w:r>
          </w:p>
        </w:tc>
        <w:tc>
          <w:tcPr>
            <w:tcW w:w="6533" w:type="dxa"/>
            <w:noWrap w:val="0"/>
            <w:vAlign w:val="center"/>
          </w:tcPr>
          <w:p w14:paraId="2A9D1911">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符合法律、行政法规规定的其他条件</w:t>
            </w:r>
          </w:p>
          <w:p w14:paraId="14149082">
            <w:pPr>
              <w:pStyle w:val="152"/>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不符合招标文件列明的其他投标无效的情形</w:t>
            </w:r>
          </w:p>
        </w:tc>
      </w:tr>
    </w:tbl>
    <w:p w14:paraId="52192F1D">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ascii="宋体" w:hAnsi="宋体" w:eastAsia="仿宋"/>
          <w:b/>
          <w:color w:val="auto"/>
          <w:sz w:val="24"/>
          <w:szCs w:val="24"/>
          <w:highlight w:val="none"/>
        </w:rPr>
        <w:br w:type="page"/>
      </w:r>
      <w:r>
        <w:rPr>
          <w:rFonts w:hint="eastAsia" w:ascii="宋体" w:hAnsi="宋体" w:eastAsia="仿宋"/>
          <w:b/>
          <w:color w:val="auto"/>
          <w:sz w:val="24"/>
          <w:szCs w:val="24"/>
          <w:highlight w:val="none"/>
        </w:rPr>
        <w:t>2、详细评审表</w:t>
      </w:r>
    </w:p>
    <w:p w14:paraId="79D6DC72">
      <w:pPr>
        <w:pStyle w:val="3"/>
        <w:widowControl/>
        <w:adjustRightInd w:val="0"/>
        <w:spacing w:before="0" w:after="0" w:line="360" w:lineRule="auto"/>
        <w:ind w:firstLine="0" w:firstLineChars="0"/>
        <w:rPr>
          <w:rFonts w:ascii="宋体" w:hAnsi="宋体" w:eastAsia="仿宋"/>
          <w:bCs w:val="0"/>
          <w:color w:val="auto"/>
          <w:sz w:val="24"/>
          <w:szCs w:val="24"/>
          <w:highlight w:val="none"/>
        </w:rPr>
      </w:pPr>
      <w:bookmarkStart w:id="775" w:name="_Toc445554766"/>
    </w:p>
    <w:tbl>
      <w:tblPr>
        <w:tblStyle w:val="46"/>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2012"/>
      </w:tblGrid>
      <w:tr w14:paraId="15E6F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7F7BAC89">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3501A463">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条款内容</w:t>
            </w:r>
          </w:p>
        </w:tc>
        <w:tc>
          <w:tcPr>
            <w:tcW w:w="4225" w:type="dxa"/>
            <w:noWrap w:val="0"/>
            <w:vAlign w:val="center"/>
          </w:tcPr>
          <w:p w14:paraId="7D9614FB">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default" w:ascii="Calibri" w:hAnsi="Calibri" w:eastAsia="仿宋" w:cs="Times New Roman"/>
                <w:b/>
                <w:color w:val="auto"/>
                <w:sz w:val="24"/>
                <w:highlight w:val="none"/>
              </w:rPr>
              <w:t>编列内容</w:t>
            </w:r>
          </w:p>
        </w:tc>
        <w:tc>
          <w:tcPr>
            <w:tcW w:w="2012" w:type="dxa"/>
            <w:noWrap w:val="0"/>
            <w:vAlign w:val="center"/>
          </w:tcPr>
          <w:p w14:paraId="6B34E0FA">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宋体" w:hAnsi="宋体" w:eastAsia="仿宋" w:cs="Times New Roman"/>
                <w:b/>
                <w:color w:val="auto"/>
                <w:kern w:val="0"/>
                <w:sz w:val="24"/>
                <w:highlight w:val="none"/>
              </w:rPr>
              <w:t>备注</w:t>
            </w:r>
          </w:p>
        </w:tc>
      </w:tr>
      <w:tr w14:paraId="172B3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624CBF2D">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sz w:val="24"/>
                <w:highlight w:val="none"/>
              </w:rPr>
              <w:t>3.2.1</w:t>
            </w:r>
          </w:p>
        </w:tc>
        <w:tc>
          <w:tcPr>
            <w:tcW w:w="1701" w:type="dxa"/>
            <w:noWrap w:val="0"/>
            <w:vAlign w:val="center"/>
          </w:tcPr>
          <w:p w14:paraId="30EC763B">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auto"/>
                <w:sz w:val="24"/>
                <w:highlight w:val="none"/>
              </w:rPr>
            </w:pPr>
            <w:r>
              <w:rPr>
                <w:rFonts w:hint="default" w:ascii="宋体" w:hAnsi="宋体" w:eastAsia="仿宋" w:cs="Times New Roman"/>
                <w:color w:val="auto"/>
                <w:sz w:val="24"/>
                <w:highlight w:val="none"/>
              </w:rPr>
              <w:t>分值构成</w:t>
            </w:r>
          </w:p>
          <w:p w14:paraId="7FBB6049">
            <w:pPr>
              <w:keepNext w:val="0"/>
              <w:keepLines w:val="0"/>
              <w:suppressLineNumbers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w:t>
            </w:r>
            <w:r>
              <w:rPr>
                <w:rFonts w:hint="default" w:ascii="宋体" w:hAnsi="宋体" w:eastAsia="仿宋" w:cs="Times New Roman"/>
                <w:color w:val="auto"/>
                <w:sz w:val="24"/>
                <w:highlight w:val="none"/>
              </w:rPr>
              <w:t>总分100分</w:t>
            </w:r>
            <w:r>
              <w:rPr>
                <w:rFonts w:hint="eastAsia" w:ascii="宋体" w:hAnsi="宋体" w:eastAsia="仿宋" w:cs="Times New Roman"/>
                <w:color w:val="auto"/>
                <w:sz w:val="24"/>
                <w:highlight w:val="none"/>
              </w:rPr>
              <w:t>）</w:t>
            </w:r>
          </w:p>
        </w:tc>
        <w:tc>
          <w:tcPr>
            <w:tcW w:w="4225" w:type="dxa"/>
            <w:noWrap w:val="0"/>
            <w:vAlign w:val="center"/>
          </w:tcPr>
          <w:p w14:paraId="128B0F22">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商务部分：5分</w:t>
            </w:r>
          </w:p>
          <w:p w14:paraId="350BFCAE">
            <w:pPr>
              <w:keepNext w:val="0"/>
              <w:keepLines w:val="0"/>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rPr>
              <w:t>技术部分</w:t>
            </w:r>
            <w:r>
              <w:rPr>
                <w:rFonts w:hint="default" w:ascii="宋体" w:hAnsi="宋体" w:eastAsia="仿宋" w:cs="Times New Roman"/>
                <w:color w:val="auto"/>
                <w:sz w:val="24"/>
                <w:highlight w:val="none"/>
              </w:rPr>
              <w:t>：</w:t>
            </w:r>
            <w:r>
              <w:rPr>
                <w:rFonts w:hint="eastAsia" w:ascii="宋体" w:hAnsi="宋体" w:eastAsia="仿宋" w:cs="Times New Roman"/>
                <w:color w:val="auto"/>
                <w:sz w:val="24"/>
                <w:highlight w:val="none"/>
                <w:lang w:val="en-US" w:eastAsia="zh-CN"/>
              </w:rPr>
              <w:t>65分</w:t>
            </w:r>
          </w:p>
          <w:p w14:paraId="602CF4B9">
            <w:pPr>
              <w:keepNext w:val="0"/>
              <w:keepLines w:val="0"/>
              <w:suppressLineNumbers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default" w:ascii="宋体" w:hAnsi="宋体" w:eastAsia="仿宋" w:cs="Times New Roman"/>
                <w:color w:val="auto"/>
                <w:sz w:val="24"/>
                <w:highlight w:val="none"/>
              </w:rPr>
              <w:t>投标报价：</w:t>
            </w:r>
            <w:r>
              <w:rPr>
                <w:rFonts w:hint="eastAsia" w:ascii="宋体" w:hAnsi="宋体" w:eastAsia="仿宋" w:cs="Times New Roman"/>
                <w:color w:val="auto"/>
                <w:sz w:val="24"/>
                <w:highlight w:val="none"/>
                <w:lang w:val="en-US" w:eastAsia="zh-CN"/>
              </w:rPr>
              <w:t>30分</w:t>
            </w:r>
          </w:p>
        </w:tc>
        <w:tc>
          <w:tcPr>
            <w:tcW w:w="2012" w:type="dxa"/>
            <w:noWrap w:val="0"/>
            <w:vAlign w:val="top"/>
          </w:tcPr>
          <w:p w14:paraId="0E75DEC9">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color w:val="auto"/>
                <w:kern w:val="0"/>
                <w:sz w:val="24"/>
                <w:highlight w:val="none"/>
              </w:rPr>
            </w:pPr>
          </w:p>
        </w:tc>
      </w:tr>
      <w:tr w14:paraId="4A5FF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70DAD61">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3.2.2</w:t>
            </w:r>
          </w:p>
        </w:tc>
        <w:tc>
          <w:tcPr>
            <w:tcW w:w="1701" w:type="dxa"/>
            <w:noWrap w:val="0"/>
            <w:vAlign w:val="center"/>
          </w:tcPr>
          <w:p w14:paraId="5D6F011D">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auto"/>
                <w:sz w:val="24"/>
                <w:highlight w:val="none"/>
              </w:rPr>
            </w:pPr>
            <w:r>
              <w:rPr>
                <w:rFonts w:hint="eastAsia" w:ascii="Calibri" w:hAnsi="Calibri" w:eastAsia="仿宋" w:cs="Times New Roman"/>
                <w:color w:val="auto"/>
                <w:sz w:val="24"/>
                <w:highlight w:val="none"/>
              </w:rPr>
              <w:t>评标基准价计算方法</w:t>
            </w:r>
          </w:p>
        </w:tc>
        <w:tc>
          <w:tcPr>
            <w:tcW w:w="4225" w:type="dxa"/>
            <w:noWrap w:val="0"/>
            <w:vAlign w:val="center"/>
          </w:tcPr>
          <w:p w14:paraId="7A1D837E">
            <w:pPr>
              <w:keepNext w:val="0"/>
              <w:keepLines w:val="0"/>
              <w:suppressLineNumbers w:val="0"/>
              <w:snapToGrid w:val="0"/>
              <w:spacing w:before="0" w:beforeAutospacing="0" w:after="0" w:afterAutospacing="0" w:line="288" w:lineRule="auto"/>
              <w:ind w:left="0" w:right="0"/>
              <w:rPr>
                <w:rFonts w:hint="eastAsia" w:ascii="Calibri" w:hAnsi="Calibri" w:cs="Times New Roman"/>
                <w:color w:val="auto"/>
                <w:sz w:val="24"/>
                <w:highlight w:val="none"/>
              </w:rPr>
            </w:pPr>
            <w:r>
              <w:rPr>
                <w:rFonts w:hint="eastAsia" w:ascii="Calibri" w:hAnsi="Calibri" w:eastAsia="仿宋" w:cs="Times New Roman"/>
                <w:color w:val="auto"/>
                <w:sz w:val="24"/>
                <w:highlight w:val="none"/>
              </w:rPr>
              <w:t>有效的投标报价中的最低价作为评标基准价</w:t>
            </w:r>
          </w:p>
        </w:tc>
        <w:tc>
          <w:tcPr>
            <w:tcW w:w="2012" w:type="dxa"/>
            <w:noWrap w:val="0"/>
            <w:vAlign w:val="center"/>
          </w:tcPr>
          <w:p w14:paraId="21F9B630">
            <w:pPr>
              <w:keepNext w:val="0"/>
              <w:keepLines w:val="0"/>
              <w:suppressLineNumbers w:val="0"/>
              <w:snapToGrid w:val="0"/>
              <w:spacing w:before="0" w:beforeAutospacing="0" w:after="0" w:afterAutospacing="0" w:line="288" w:lineRule="auto"/>
              <w:ind w:left="-38" w:right="0"/>
              <w:rPr>
                <w:rFonts w:hint="eastAsia" w:ascii="宋体" w:hAnsi="宋体" w:cs="Times New Roman"/>
                <w:color w:val="auto"/>
                <w:sz w:val="24"/>
                <w:highlight w:val="none"/>
              </w:rPr>
            </w:pPr>
          </w:p>
        </w:tc>
      </w:tr>
      <w:tr w14:paraId="4F7E81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61952ABF">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auto"/>
                <w:sz w:val="24"/>
                <w:highlight w:val="none"/>
              </w:rPr>
            </w:pPr>
            <w:r>
              <w:rPr>
                <w:rFonts w:hint="eastAsia" w:ascii="Calibri" w:hAnsi="Calibri" w:eastAsia="仿宋" w:cs="Times New Roman"/>
                <w:b/>
                <w:color w:val="auto"/>
                <w:sz w:val="24"/>
                <w:highlight w:val="none"/>
              </w:rPr>
              <w:t>条款号</w:t>
            </w:r>
          </w:p>
        </w:tc>
        <w:tc>
          <w:tcPr>
            <w:tcW w:w="1701" w:type="dxa"/>
            <w:noWrap w:val="0"/>
            <w:vAlign w:val="center"/>
          </w:tcPr>
          <w:p w14:paraId="2422A1B8">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auto"/>
                <w:sz w:val="24"/>
                <w:highlight w:val="none"/>
              </w:rPr>
            </w:pPr>
            <w:r>
              <w:rPr>
                <w:rFonts w:hint="eastAsia" w:ascii="Calibri" w:hAnsi="Calibri" w:eastAsia="仿宋" w:cs="Times New Roman"/>
                <w:b/>
                <w:color w:val="auto"/>
                <w:sz w:val="24"/>
                <w:highlight w:val="none"/>
              </w:rPr>
              <w:t>评分因素</w:t>
            </w:r>
          </w:p>
        </w:tc>
        <w:tc>
          <w:tcPr>
            <w:tcW w:w="6237" w:type="dxa"/>
            <w:gridSpan w:val="2"/>
            <w:noWrap w:val="0"/>
            <w:vAlign w:val="center"/>
          </w:tcPr>
          <w:p w14:paraId="6D8A9437">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color w:val="auto"/>
                <w:kern w:val="0"/>
                <w:sz w:val="24"/>
                <w:highlight w:val="none"/>
              </w:rPr>
            </w:pPr>
            <w:r>
              <w:rPr>
                <w:rFonts w:hint="eastAsia" w:ascii="Calibri" w:hAnsi="Calibri" w:eastAsia="仿宋" w:cs="Times New Roman"/>
                <w:b/>
                <w:color w:val="auto"/>
                <w:sz w:val="24"/>
                <w:highlight w:val="none"/>
              </w:rPr>
              <w:t>评分标准</w:t>
            </w:r>
          </w:p>
        </w:tc>
      </w:tr>
      <w:tr w14:paraId="66D9E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51A298F4">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3.2.3（1）</w:t>
            </w:r>
          </w:p>
          <w:p w14:paraId="5582FD26">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商务</w:t>
            </w:r>
          </w:p>
          <w:p w14:paraId="08D62D7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08" w:type="dxa"/>
            <w:noWrap w:val="0"/>
            <w:vAlign w:val="center"/>
          </w:tcPr>
          <w:p w14:paraId="5CF5ECD1">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5DB25E28">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color w:val="auto"/>
                <w:sz w:val="24"/>
                <w:highlight w:val="none"/>
              </w:rPr>
              <w:t>所投产品业绩（5分）</w:t>
            </w:r>
          </w:p>
        </w:tc>
        <w:tc>
          <w:tcPr>
            <w:tcW w:w="6237" w:type="dxa"/>
            <w:gridSpan w:val="2"/>
            <w:noWrap w:val="0"/>
            <w:vAlign w:val="center"/>
          </w:tcPr>
          <w:p w14:paraId="5F5CFCE4">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1、开标时间6个月以内的首次注册的产品，要求提供近2021年1月以来（以合同签订时间为准)，所投核心产品同品牌同类型产品具有医疗机构供货业绩的，每提供一个业绩得1分，最高得5分；</w:t>
            </w:r>
          </w:p>
          <w:p w14:paraId="5637D465">
            <w:pPr>
              <w:keepNext w:val="0"/>
              <w:keepLines w:val="0"/>
              <w:suppressLineNumbers w:val="0"/>
              <w:spacing w:before="0" w:beforeAutospacing="0" w:after="0" w:afterAutospacing="0" w:line="360" w:lineRule="auto"/>
              <w:ind w:left="0" w:right="0"/>
              <w:rPr>
                <w:rFonts w:hint="eastAsia" w:ascii="Calibri" w:hAnsi="Calibri" w:cs="Times New Roman"/>
                <w:color w:val="auto"/>
                <w:highlight w:val="none"/>
              </w:rPr>
            </w:pPr>
            <w:r>
              <w:rPr>
                <w:rFonts w:hint="eastAsia" w:ascii="仿宋" w:hAnsi="仿宋" w:eastAsia="仿宋" w:cs="仿宋"/>
                <w:color w:val="auto"/>
                <w:sz w:val="24"/>
                <w:highlight w:val="none"/>
              </w:rPr>
              <w:t>2、开标时间6个月之前首次注册的产品，要求提供2021年1月至今(以合同签订时间为准），所投核心产品同品牌同型号产品具有医疗机构供货业绩的，每提供一个业绩得1分，最高得5分。</w:t>
            </w:r>
          </w:p>
          <w:p w14:paraId="1F456355">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p>
          <w:p w14:paraId="489972C9">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（1）本项为所投产品业绩；</w:t>
            </w:r>
          </w:p>
          <w:p w14:paraId="5EE23A97">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（2）投标文件中提供合同扫描件，如合同中无法体现签订时间、产品品牌等评审因素的，须同时提供业主单位加盖公章证明材料扫描件，否则不得分；</w:t>
            </w:r>
          </w:p>
          <w:p w14:paraId="3A751CB6">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i/>
                <w:iCs/>
                <w:color w:val="auto"/>
                <w:kern w:val="0"/>
                <w:sz w:val="24"/>
                <w:highlight w:val="none"/>
              </w:rPr>
            </w:pPr>
            <w:r>
              <w:rPr>
                <w:rFonts w:hint="eastAsia" w:ascii="仿宋" w:hAnsi="仿宋" w:eastAsia="仿宋" w:cs="仿宋"/>
                <w:b/>
                <w:bCs/>
                <w:color w:val="auto"/>
                <w:sz w:val="24"/>
                <w:highlight w:val="none"/>
              </w:rPr>
              <w:t>（3）以上业绩须为已供货（安装）完毕的业绩，投标文件中无须提供已供货（安装）完毕证明材料扫描件，投标人在“业绩汇总表”中备注是否供货（安装）完毕即可。</w:t>
            </w:r>
          </w:p>
        </w:tc>
      </w:tr>
      <w:tr w14:paraId="42CC9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3DDA1527">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3.2.3（2）</w:t>
            </w:r>
          </w:p>
          <w:p w14:paraId="4ED65576">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技术</w:t>
            </w:r>
          </w:p>
          <w:p w14:paraId="1EA01AD1">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部分</w:t>
            </w:r>
          </w:p>
        </w:tc>
        <w:tc>
          <w:tcPr>
            <w:tcW w:w="708" w:type="dxa"/>
            <w:noWrap w:val="0"/>
            <w:vAlign w:val="center"/>
          </w:tcPr>
          <w:p w14:paraId="63680EDB">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65B6DF97">
            <w:pPr>
              <w:keepNext w:val="0"/>
              <w:keepLines w:val="0"/>
              <w:suppressLineNumbers w:val="0"/>
              <w:snapToGrid w:val="0"/>
              <w:spacing w:before="0" w:beforeAutospacing="0" w:after="0" w:afterAutospacing="0"/>
              <w:ind w:left="0" w:right="0"/>
              <w:jc w:val="center"/>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产品的技术参数（3</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tc>
        <w:tc>
          <w:tcPr>
            <w:tcW w:w="6237" w:type="dxa"/>
            <w:gridSpan w:val="2"/>
            <w:noWrap w:val="0"/>
            <w:vAlign w:val="center"/>
          </w:tcPr>
          <w:p w14:paraId="605215C6">
            <w:pPr>
              <w:keepNext w:val="0"/>
              <w:keepLines w:val="0"/>
              <w:suppressLineNumbers w:val="0"/>
              <w:snapToGrid w:val="0"/>
              <w:spacing w:before="0" w:beforeAutospacing="0" w:after="0" w:afterAutospacing="0"/>
              <w:ind w:left="0" w:right="0"/>
              <w:rPr>
                <w:rFonts w:hint="default"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1.根据投标文件与招标文件要求实质性响应参数（标记“*”的技术参数）的偏离情况进行评审。技术支持资料显示不满足招标文件要求的或未提供技术支持资料的，投标将被否决；</w:t>
            </w:r>
          </w:p>
          <w:p w14:paraId="29EE7517">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lang w:val="en-US" w:eastAsia="zh-CN"/>
              </w:rPr>
              <w:t>2</w:t>
            </w:r>
            <w:r>
              <w:rPr>
                <w:rFonts w:hint="eastAsia" w:ascii="仿宋" w:hAnsi="仿宋" w:eastAsia="仿宋" w:cs="仿宋"/>
                <w:b w:val="0"/>
                <w:bCs w:val="0"/>
                <w:color w:val="auto"/>
                <w:sz w:val="24"/>
                <w:szCs w:val="20"/>
                <w:highlight w:val="none"/>
              </w:rPr>
              <w:t>.根据投标文件与招标文件要求重要参数（标记“★”的技术参数）的偏离情况进行评审，每满足一项得</w:t>
            </w:r>
            <w:r>
              <w:rPr>
                <w:rFonts w:hint="eastAsia" w:ascii="仿宋" w:hAnsi="仿宋" w:eastAsia="仿宋" w:cs="仿宋"/>
                <w:b w:val="0"/>
                <w:bCs w:val="0"/>
                <w:color w:val="auto"/>
                <w:sz w:val="24"/>
                <w:szCs w:val="20"/>
                <w:highlight w:val="none"/>
                <w:lang w:val="en-US" w:eastAsia="zh-CN"/>
              </w:rPr>
              <w:t>4</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5</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20</w:t>
            </w:r>
            <w:r>
              <w:rPr>
                <w:rFonts w:hint="eastAsia" w:ascii="仿宋" w:hAnsi="仿宋" w:eastAsia="仿宋" w:cs="仿宋"/>
                <w:b w:val="0"/>
                <w:bCs w:val="0"/>
                <w:color w:val="auto"/>
                <w:sz w:val="24"/>
                <w:szCs w:val="20"/>
                <w:highlight w:val="none"/>
              </w:rPr>
              <w:t>分。</w:t>
            </w:r>
          </w:p>
          <w:p w14:paraId="37C4ED51">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4"/>
                <w:szCs w:val="20"/>
                <w:highlight w:val="none"/>
              </w:rPr>
            </w:pPr>
            <w:r>
              <w:rPr>
                <w:rFonts w:hint="eastAsia" w:ascii="仿宋" w:hAnsi="仿宋" w:eastAsia="仿宋" w:cs="仿宋"/>
                <w:b w:val="0"/>
                <w:bCs w:val="0"/>
                <w:color w:val="auto"/>
                <w:sz w:val="24"/>
                <w:szCs w:val="20"/>
                <w:highlight w:val="none"/>
                <w:lang w:val="en-US" w:eastAsia="zh-CN"/>
              </w:rPr>
              <w:t>3</w:t>
            </w:r>
            <w:r>
              <w:rPr>
                <w:rFonts w:hint="eastAsia" w:ascii="仿宋" w:hAnsi="仿宋" w:eastAsia="仿宋" w:cs="仿宋"/>
                <w:b w:val="0"/>
                <w:bCs w:val="0"/>
                <w:color w:val="auto"/>
                <w:sz w:val="24"/>
                <w:szCs w:val="20"/>
                <w:highlight w:val="none"/>
              </w:rPr>
              <w:t>.根据投标文件与招标文件要求的普通参数（标记“█”的技术参数）的偏离情况进行评审，每满足一项得</w:t>
            </w:r>
            <w:r>
              <w:rPr>
                <w:rFonts w:hint="eastAsia" w:ascii="仿宋" w:hAnsi="仿宋" w:eastAsia="仿宋" w:cs="仿宋"/>
                <w:b w:val="0"/>
                <w:bCs w:val="0"/>
                <w:color w:val="auto"/>
                <w:sz w:val="24"/>
                <w:szCs w:val="20"/>
                <w:highlight w:val="none"/>
                <w:lang w:val="en-US" w:eastAsia="zh-CN"/>
              </w:rPr>
              <w:t>1</w:t>
            </w:r>
            <w:r>
              <w:rPr>
                <w:rFonts w:hint="eastAsia" w:ascii="仿宋" w:hAnsi="仿宋" w:eastAsia="仿宋" w:cs="仿宋"/>
                <w:b w:val="0"/>
                <w:bCs w:val="0"/>
                <w:color w:val="auto"/>
                <w:sz w:val="24"/>
                <w:szCs w:val="20"/>
                <w:highlight w:val="none"/>
              </w:rPr>
              <w:t>分，共</w:t>
            </w:r>
            <w:r>
              <w:rPr>
                <w:rFonts w:hint="eastAsia" w:ascii="仿宋" w:hAnsi="仿宋" w:eastAsia="仿宋" w:cs="仿宋"/>
                <w:b w:val="0"/>
                <w:bCs w:val="0"/>
                <w:color w:val="auto"/>
                <w:sz w:val="24"/>
                <w:szCs w:val="20"/>
                <w:highlight w:val="none"/>
                <w:lang w:val="en-US" w:eastAsia="zh-CN"/>
              </w:rPr>
              <w:t>14</w:t>
            </w:r>
            <w:r>
              <w:rPr>
                <w:rFonts w:hint="eastAsia" w:ascii="仿宋" w:hAnsi="仿宋" w:eastAsia="仿宋" w:cs="仿宋"/>
                <w:b w:val="0"/>
                <w:bCs w:val="0"/>
                <w:color w:val="auto"/>
                <w:sz w:val="24"/>
                <w:szCs w:val="20"/>
                <w:highlight w:val="none"/>
              </w:rPr>
              <w:t>项，满分</w:t>
            </w:r>
            <w:r>
              <w:rPr>
                <w:rFonts w:hint="eastAsia" w:ascii="仿宋" w:hAnsi="仿宋" w:eastAsia="仿宋" w:cs="仿宋"/>
                <w:b w:val="0"/>
                <w:bCs w:val="0"/>
                <w:color w:val="auto"/>
                <w:sz w:val="24"/>
                <w:szCs w:val="20"/>
                <w:highlight w:val="none"/>
                <w:lang w:val="en-US" w:eastAsia="zh-CN"/>
              </w:rPr>
              <w:t>14</w:t>
            </w:r>
            <w:r>
              <w:rPr>
                <w:rFonts w:hint="eastAsia" w:ascii="仿宋" w:hAnsi="仿宋" w:eastAsia="仿宋" w:cs="仿宋"/>
                <w:b w:val="0"/>
                <w:bCs w:val="0"/>
                <w:color w:val="auto"/>
                <w:sz w:val="24"/>
                <w:szCs w:val="20"/>
                <w:highlight w:val="none"/>
              </w:rPr>
              <w:t>分。</w:t>
            </w:r>
          </w:p>
          <w:p w14:paraId="6073D702">
            <w:pPr>
              <w:keepNext w:val="0"/>
              <w:keepLines w:val="0"/>
              <w:suppressLineNumbers w:val="0"/>
              <w:snapToGrid w:val="0"/>
              <w:spacing w:before="0" w:beforeAutospacing="0" w:after="0" w:afterAutospacing="0"/>
              <w:ind w:left="0" w:right="0"/>
              <w:rPr>
                <w:rFonts w:hint="eastAsia" w:ascii="仿宋" w:hAnsi="仿宋" w:eastAsia="仿宋" w:cs="仿宋"/>
                <w:b w:val="0"/>
                <w:bCs w:val="0"/>
                <w:color w:val="auto"/>
                <w:sz w:val="24"/>
                <w:szCs w:val="20"/>
                <w:highlight w:val="none"/>
                <w:lang w:val="en-US" w:eastAsia="zh-CN"/>
              </w:rPr>
            </w:pPr>
            <w:r>
              <w:rPr>
                <w:rFonts w:hint="eastAsia" w:ascii="仿宋" w:hAnsi="仿宋" w:eastAsia="仿宋" w:cs="仿宋"/>
                <w:b w:val="0"/>
                <w:bCs w:val="0"/>
                <w:color w:val="auto"/>
                <w:sz w:val="24"/>
                <w:szCs w:val="20"/>
                <w:highlight w:val="none"/>
                <w:lang w:val="en-US" w:eastAsia="zh-CN"/>
              </w:rPr>
              <w:t>4</w:t>
            </w:r>
            <w:r>
              <w:rPr>
                <w:rFonts w:hint="eastAsia" w:ascii="仿宋" w:hAnsi="仿宋" w:eastAsia="仿宋" w:cs="仿宋"/>
                <w:b w:val="0"/>
                <w:bCs w:val="0"/>
                <w:color w:val="auto"/>
                <w:sz w:val="24"/>
                <w:szCs w:val="20"/>
                <w:highlight w:val="none"/>
              </w:rPr>
              <w:t>.其他无标识项，大于</w:t>
            </w:r>
            <w:r>
              <w:rPr>
                <w:rFonts w:hint="eastAsia" w:ascii="仿宋" w:hAnsi="仿宋" w:eastAsia="仿宋" w:cs="仿宋"/>
                <w:b w:val="0"/>
                <w:bCs w:val="0"/>
                <w:color w:val="auto"/>
                <w:sz w:val="24"/>
                <w:szCs w:val="20"/>
                <w:highlight w:val="none"/>
                <w:lang w:val="en-US" w:eastAsia="zh-CN"/>
              </w:rPr>
              <w:t>5</w:t>
            </w:r>
            <w:r>
              <w:rPr>
                <w:rFonts w:hint="eastAsia" w:ascii="仿宋" w:hAnsi="仿宋" w:eastAsia="仿宋" w:cs="仿宋"/>
                <w:b w:val="0"/>
                <w:bCs w:val="0"/>
                <w:color w:val="auto"/>
                <w:sz w:val="24"/>
                <w:szCs w:val="20"/>
                <w:highlight w:val="none"/>
              </w:rPr>
              <w:t>项负偏离的投标将被否决</w:t>
            </w:r>
            <w:r>
              <w:rPr>
                <w:rFonts w:hint="eastAsia" w:ascii="仿宋" w:hAnsi="仿宋" w:eastAsia="仿宋" w:cs="仿宋"/>
                <w:b w:val="0"/>
                <w:bCs w:val="0"/>
                <w:color w:val="auto"/>
                <w:sz w:val="24"/>
                <w:szCs w:val="20"/>
                <w:highlight w:val="none"/>
                <w:lang w:val="en-US" w:eastAsia="zh-CN"/>
              </w:rPr>
              <w:t>。</w:t>
            </w:r>
          </w:p>
          <w:p w14:paraId="5CA4D0CF">
            <w:pPr>
              <w:keepNext w:val="0"/>
              <w:keepLines w:val="0"/>
              <w:suppressLineNumbers w:val="0"/>
              <w:snapToGrid w:val="0"/>
              <w:spacing w:before="0" w:beforeAutospacing="0" w:after="0" w:afterAutospacing="0"/>
              <w:ind w:left="0" w:right="0"/>
              <w:rPr>
                <w:rFonts w:hint="default" w:ascii="楷体" w:hAnsi="楷体" w:eastAsia="楷体" w:cs="Times New Roman"/>
                <w:color w:val="auto"/>
                <w:kern w:val="0"/>
                <w:sz w:val="24"/>
                <w:highlight w:val="none"/>
              </w:rPr>
            </w:pPr>
            <w:r>
              <w:rPr>
                <w:rFonts w:hint="eastAsia" w:ascii="仿宋" w:hAnsi="仿宋" w:eastAsia="仿宋" w:cs="仿宋"/>
                <w:b/>
                <w:bCs/>
                <w:color w:val="auto"/>
                <w:sz w:val="24"/>
                <w:szCs w:val="20"/>
                <w:highlight w:val="none"/>
              </w:rPr>
              <w:t>技术资料：对于标注“*”号项参数、“★”和“█”参数技术参数/条款的响应情况，以招标文件明确要求的材料为准，如未明确证明材料的类型，则以技术支持资料作为评审依据，技术支持资料包括：制造商公开发布的资料或产品技术白皮书或产品彩页或产品制造商出具的加盖公章的证明材料或检测机构出具的检测报告为准。若所投产品制造商公开发布的资料与检测机构出具的检测报告不一致，以检测机构出具的检测报告为准。为便于评审，投标供应商对证明材料中的关键参数进行标注。</w:t>
            </w:r>
          </w:p>
        </w:tc>
      </w:tr>
      <w:tr w14:paraId="16469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D865C5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605B8064">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2</w:t>
            </w:r>
          </w:p>
        </w:tc>
        <w:tc>
          <w:tcPr>
            <w:tcW w:w="1701" w:type="dxa"/>
            <w:noWrap w:val="0"/>
            <w:vAlign w:val="center"/>
          </w:tcPr>
          <w:p w14:paraId="3F6734C8">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综合评价（</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rPr>
              <w:t>分）</w:t>
            </w:r>
          </w:p>
        </w:tc>
        <w:tc>
          <w:tcPr>
            <w:tcW w:w="6237" w:type="dxa"/>
            <w:gridSpan w:val="2"/>
            <w:noWrap w:val="0"/>
            <w:vAlign w:val="center"/>
          </w:tcPr>
          <w:p w14:paraId="559EAF51">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评标委员会根据投标人所投产品的</w:t>
            </w:r>
            <w:r>
              <w:rPr>
                <w:rFonts w:hint="eastAsia" w:ascii="仿宋" w:hAnsi="仿宋" w:eastAsia="仿宋" w:cs="仿宋"/>
                <w:bCs/>
                <w:color w:val="auto"/>
                <w:sz w:val="24"/>
                <w:highlight w:val="none"/>
              </w:rPr>
              <w:t>配置情况、设计等方面进行</w:t>
            </w:r>
            <w:r>
              <w:rPr>
                <w:rFonts w:hint="eastAsia" w:ascii="仿宋" w:hAnsi="仿宋" w:eastAsia="仿宋" w:cs="仿宋"/>
                <w:bCs/>
                <w:color w:val="auto"/>
                <w:sz w:val="24"/>
                <w:szCs w:val="24"/>
                <w:highlight w:val="none"/>
              </w:rPr>
              <w:t>综合评审：</w:t>
            </w:r>
          </w:p>
          <w:p w14:paraId="03BFE406">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highlight w:val="none"/>
              </w:rPr>
              <w:t>所投产品配置丰富、设计人性化的，得</w:t>
            </w: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highlight w:val="none"/>
              </w:rPr>
              <w:t>分；</w:t>
            </w:r>
          </w:p>
          <w:p w14:paraId="0C75A270">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所投产品配置</w:t>
            </w:r>
            <w:r>
              <w:rPr>
                <w:rFonts w:hint="eastAsia" w:ascii="仿宋" w:hAnsi="仿宋" w:eastAsia="仿宋" w:cs="仿宋"/>
                <w:bCs/>
                <w:color w:val="auto"/>
                <w:sz w:val="24"/>
                <w:szCs w:val="24"/>
                <w:highlight w:val="none"/>
                <w:lang w:val="en-US" w:eastAsia="zh-CN"/>
              </w:rPr>
              <w:t>较</w:t>
            </w:r>
            <w:r>
              <w:rPr>
                <w:rFonts w:hint="eastAsia" w:ascii="仿宋" w:hAnsi="仿宋" w:eastAsia="仿宋" w:cs="仿宋"/>
                <w:bCs/>
                <w:color w:val="auto"/>
                <w:sz w:val="24"/>
                <w:szCs w:val="24"/>
                <w:highlight w:val="none"/>
              </w:rPr>
              <w:t>丰富、设计</w:t>
            </w:r>
            <w:r>
              <w:rPr>
                <w:rFonts w:hint="eastAsia" w:ascii="仿宋" w:hAnsi="仿宋" w:eastAsia="仿宋" w:cs="仿宋"/>
                <w:bCs/>
                <w:color w:val="auto"/>
                <w:sz w:val="24"/>
                <w:szCs w:val="24"/>
                <w:highlight w:val="none"/>
                <w:lang w:val="en-US" w:eastAsia="zh-CN"/>
              </w:rPr>
              <w:t>较</w:t>
            </w:r>
            <w:r>
              <w:rPr>
                <w:rFonts w:hint="eastAsia" w:ascii="仿宋" w:hAnsi="仿宋" w:eastAsia="仿宋" w:cs="仿宋"/>
                <w:bCs/>
                <w:color w:val="auto"/>
                <w:sz w:val="24"/>
                <w:szCs w:val="24"/>
                <w:highlight w:val="none"/>
              </w:rPr>
              <w:t>人性化的，得</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分；</w:t>
            </w:r>
          </w:p>
          <w:p w14:paraId="20CC8474">
            <w:pPr>
              <w:keepNext w:val="0"/>
              <w:keepLines w:val="0"/>
              <w:numPr>
                <w:ilvl w:val="0"/>
                <w:numId w:val="0"/>
              </w:numPr>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highlight w:val="none"/>
              </w:rPr>
              <w:t>所投产品配置待优化、设计待提高的，得1分。</w:t>
            </w:r>
          </w:p>
          <w:p w14:paraId="4FDE3197">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4）未提供</w:t>
            </w:r>
            <w:r>
              <w:rPr>
                <w:rFonts w:hint="eastAsia" w:ascii="仿宋" w:hAnsi="仿宋" w:eastAsia="仿宋" w:cs="仿宋"/>
                <w:bCs/>
                <w:color w:val="auto"/>
                <w:sz w:val="24"/>
                <w:szCs w:val="24"/>
                <w:highlight w:val="none"/>
                <w:lang w:val="en-US" w:eastAsia="zh-CN"/>
              </w:rPr>
              <w:t>任何内容</w:t>
            </w:r>
            <w:r>
              <w:rPr>
                <w:rFonts w:hint="eastAsia" w:ascii="仿宋" w:hAnsi="仿宋" w:eastAsia="仿宋" w:cs="仿宋"/>
                <w:bCs/>
                <w:color w:val="auto"/>
                <w:sz w:val="24"/>
                <w:szCs w:val="24"/>
                <w:highlight w:val="none"/>
              </w:rPr>
              <w:t xml:space="preserve">的不得分。 </w:t>
            </w:r>
          </w:p>
          <w:p w14:paraId="68A5FD30">
            <w:pPr>
              <w:keepNext w:val="0"/>
              <w:keepLines w:val="0"/>
              <w:suppressLineNumbers w:val="0"/>
              <w:snapToGrid w:val="0"/>
              <w:spacing w:before="0" w:beforeAutospacing="0" w:after="0" w:afterAutospacing="0"/>
              <w:ind w:left="0" w:right="0"/>
              <w:rPr>
                <w:rFonts w:hint="default" w:ascii="楷体" w:hAnsi="楷体" w:eastAsia="楷体" w:cs="Times New Roman"/>
                <w:color w:val="auto"/>
                <w:kern w:val="0"/>
                <w:sz w:val="24"/>
                <w:highlight w:val="none"/>
              </w:rPr>
            </w:pPr>
            <w:r>
              <w:rPr>
                <w:rFonts w:hint="eastAsia" w:ascii="仿宋" w:hAnsi="仿宋" w:eastAsia="仿宋" w:cs="仿宋"/>
                <w:b/>
                <w:bCs/>
                <w:color w:val="auto"/>
                <w:sz w:val="24"/>
                <w:szCs w:val="20"/>
                <w:highlight w:val="none"/>
              </w:rPr>
              <w:t>注：投标文件中提供产品</w:t>
            </w:r>
            <w:r>
              <w:rPr>
                <w:rFonts w:hint="eastAsia" w:ascii="仿宋" w:hAnsi="仿宋" w:eastAsia="仿宋" w:cs="仿宋"/>
                <w:b/>
                <w:bCs/>
                <w:color w:val="auto"/>
                <w:sz w:val="24"/>
                <w:szCs w:val="20"/>
                <w:highlight w:val="none"/>
                <w:lang w:val="en-US" w:eastAsia="zh-CN"/>
              </w:rPr>
              <w:t>配置</w:t>
            </w:r>
            <w:r>
              <w:rPr>
                <w:rFonts w:hint="eastAsia" w:ascii="仿宋" w:hAnsi="仿宋" w:eastAsia="仿宋" w:cs="仿宋"/>
                <w:b/>
                <w:bCs/>
                <w:color w:val="auto"/>
                <w:sz w:val="24"/>
                <w:szCs w:val="20"/>
                <w:highlight w:val="none"/>
                <w:lang w:eastAsia="zh-CN"/>
              </w:rPr>
              <w:t>、</w:t>
            </w:r>
            <w:r>
              <w:rPr>
                <w:rFonts w:hint="eastAsia" w:ascii="仿宋" w:hAnsi="仿宋" w:eastAsia="仿宋" w:cs="仿宋"/>
                <w:b/>
                <w:bCs/>
                <w:color w:val="auto"/>
                <w:sz w:val="24"/>
                <w:szCs w:val="20"/>
                <w:highlight w:val="none"/>
                <w:lang w:val="en-US" w:eastAsia="zh-CN"/>
              </w:rPr>
              <w:t>设计</w:t>
            </w:r>
            <w:r>
              <w:rPr>
                <w:rFonts w:hint="eastAsia" w:ascii="仿宋" w:hAnsi="仿宋" w:eastAsia="仿宋" w:cs="仿宋"/>
                <w:b/>
                <w:bCs/>
                <w:color w:val="auto"/>
                <w:sz w:val="24"/>
                <w:szCs w:val="20"/>
                <w:highlight w:val="none"/>
              </w:rPr>
              <w:t>说明。</w:t>
            </w:r>
          </w:p>
        </w:tc>
      </w:tr>
      <w:tr w14:paraId="7FC37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EA5462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50F11096">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3</w:t>
            </w:r>
          </w:p>
        </w:tc>
        <w:tc>
          <w:tcPr>
            <w:tcW w:w="1701" w:type="dxa"/>
            <w:noWrap w:val="0"/>
            <w:vAlign w:val="center"/>
          </w:tcPr>
          <w:p w14:paraId="2CF6F7BB">
            <w:pPr>
              <w:keepNext w:val="0"/>
              <w:keepLines w:val="0"/>
              <w:widowControl/>
              <w:suppressLineNumbers w:val="0"/>
              <w:adjustRightInd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szCs w:val="20"/>
                <w:highlight w:val="none"/>
              </w:rPr>
              <w:t>售后</w:t>
            </w:r>
            <w:r>
              <w:rPr>
                <w:rFonts w:hint="eastAsia" w:ascii="仿宋" w:hAnsi="仿宋" w:eastAsia="仿宋" w:cs="仿宋"/>
                <w:bCs/>
                <w:color w:val="auto"/>
                <w:sz w:val="24"/>
                <w:szCs w:val="20"/>
                <w:highlight w:val="none"/>
                <w:lang w:val="en-US" w:eastAsia="zh-CN"/>
              </w:rPr>
              <w:t>与应急服务</w:t>
            </w:r>
            <w:r>
              <w:rPr>
                <w:rFonts w:hint="eastAsia" w:ascii="仿宋" w:hAnsi="仿宋" w:eastAsia="仿宋" w:cs="仿宋"/>
                <w:bCs/>
                <w:color w:val="auto"/>
                <w:sz w:val="24"/>
                <w:szCs w:val="20"/>
                <w:highlight w:val="none"/>
              </w:rPr>
              <w:t>方案（1</w:t>
            </w:r>
            <w:r>
              <w:rPr>
                <w:rFonts w:hint="eastAsia" w:ascii="仿宋" w:hAnsi="仿宋" w:eastAsia="仿宋" w:cs="仿宋"/>
                <w:bCs/>
                <w:color w:val="auto"/>
                <w:sz w:val="24"/>
                <w:szCs w:val="20"/>
                <w:highlight w:val="none"/>
                <w:lang w:val="en-US" w:eastAsia="zh-CN"/>
              </w:rPr>
              <w:t>0</w:t>
            </w:r>
            <w:r>
              <w:rPr>
                <w:rFonts w:hint="eastAsia" w:ascii="仿宋" w:hAnsi="仿宋" w:eastAsia="仿宋" w:cs="仿宋"/>
                <w:bCs/>
                <w:color w:val="auto"/>
                <w:sz w:val="24"/>
                <w:szCs w:val="20"/>
                <w:highlight w:val="none"/>
              </w:rPr>
              <w:t>分）</w:t>
            </w:r>
          </w:p>
        </w:tc>
        <w:tc>
          <w:tcPr>
            <w:tcW w:w="6237" w:type="dxa"/>
            <w:gridSpan w:val="2"/>
            <w:noWrap w:val="0"/>
            <w:vAlign w:val="center"/>
          </w:tcPr>
          <w:p w14:paraId="6D381EE8">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评标委员会依据投标</w:t>
            </w:r>
            <w:r>
              <w:rPr>
                <w:rFonts w:hint="eastAsia" w:ascii="仿宋" w:hAnsi="仿宋" w:eastAsia="仿宋" w:cs="仿宋"/>
                <w:bCs/>
                <w:color w:val="auto"/>
                <w:sz w:val="24"/>
                <w:highlight w:val="none"/>
                <w:lang w:val="en-US" w:eastAsia="zh-CN"/>
              </w:rPr>
              <w:t>人提供的</w:t>
            </w:r>
            <w:r>
              <w:rPr>
                <w:rFonts w:hint="eastAsia" w:ascii="仿宋" w:hAnsi="仿宋" w:eastAsia="仿宋" w:cs="仿宋"/>
                <w:bCs/>
                <w:color w:val="auto"/>
                <w:sz w:val="24"/>
                <w:highlight w:val="none"/>
              </w:rPr>
              <w:t>售后</w:t>
            </w:r>
            <w:r>
              <w:rPr>
                <w:rFonts w:hint="eastAsia" w:ascii="仿宋" w:hAnsi="仿宋" w:eastAsia="仿宋" w:cs="仿宋"/>
                <w:bCs/>
                <w:color w:val="auto"/>
                <w:sz w:val="24"/>
                <w:highlight w:val="none"/>
                <w:lang w:val="en-US" w:eastAsia="zh-CN"/>
              </w:rPr>
              <w:t>与应急服务</w:t>
            </w:r>
            <w:r>
              <w:rPr>
                <w:rFonts w:hint="eastAsia" w:ascii="仿宋" w:hAnsi="仿宋" w:eastAsia="仿宋" w:cs="仿宋"/>
                <w:bCs/>
                <w:color w:val="auto"/>
                <w:sz w:val="24"/>
                <w:highlight w:val="none"/>
              </w:rPr>
              <w:t>方案进行综合评审：</w:t>
            </w:r>
          </w:p>
          <w:p w14:paraId="563A6283">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1.售后服务方案：</w:t>
            </w:r>
          </w:p>
          <w:p w14:paraId="2632B6BA">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1）对本项目的特点和难点理解准确，</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方案优于本项目采购需求，可行性、实用性、针对性强，得5分；</w:t>
            </w:r>
          </w:p>
          <w:p w14:paraId="0E1D91B7">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2）对本项目的特点和难点理解基本准确，</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方案基本</w:t>
            </w:r>
            <w:r>
              <w:rPr>
                <w:rFonts w:hint="eastAsia" w:ascii="仿宋" w:hAnsi="仿宋" w:eastAsia="仿宋" w:cs="仿宋"/>
                <w:bCs/>
                <w:color w:val="auto"/>
                <w:sz w:val="24"/>
                <w:highlight w:val="none"/>
                <w:lang w:val="en-US" w:eastAsia="zh-CN"/>
              </w:rPr>
              <w:t>满足</w:t>
            </w:r>
            <w:r>
              <w:rPr>
                <w:rFonts w:hint="eastAsia" w:ascii="仿宋" w:hAnsi="仿宋" w:eastAsia="仿宋" w:cs="仿宋"/>
                <w:bCs/>
                <w:color w:val="auto"/>
                <w:sz w:val="24"/>
                <w:highlight w:val="none"/>
              </w:rPr>
              <w:t>本项目采购需求，具有可行性、实用性和针对性，得3分；</w:t>
            </w:r>
          </w:p>
          <w:p w14:paraId="350C96E7">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3</w:t>
            </w:r>
            <w:r>
              <w:rPr>
                <w:rFonts w:hint="eastAsia" w:ascii="仿宋" w:hAnsi="仿宋" w:eastAsia="仿宋" w:cs="仿宋"/>
                <w:bCs/>
                <w:color w:val="auto"/>
                <w:sz w:val="24"/>
                <w:highlight w:val="none"/>
              </w:rPr>
              <w:t>）对本项目的特点和难点理解有待提升，</w:t>
            </w:r>
            <w:r>
              <w:rPr>
                <w:rFonts w:hint="eastAsia" w:ascii="仿宋" w:hAnsi="仿宋" w:eastAsia="仿宋" w:cs="仿宋"/>
                <w:bCs/>
                <w:color w:val="auto"/>
                <w:sz w:val="24"/>
                <w:highlight w:val="none"/>
                <w:lang w:val="en-US" w:eastAsia="zh-CN"/>
              </w:rPr>
              <w:t>售后服务</w:t>
            </w:r>
            <w:r>
              <w:rPr>
                <w:rFonts w:hint="eastAsia" w:ascii="仿宋" w:hAnsi="仿宋" w:eastAsia="仿宋" w:cs="仿宋"/>
                <w:bCs/>
                <w:color w:val="auto"/>
                <w:sz w:val="24"/>
                <w:highlight w:val="none"/>
              </w:rPr>
              <w:t>方案可行性、实用性和针对性有待改善，得</w:t>
            </w:r>
            <w:r>
              <w:rPr>
                <w:rFonts w:hint="eastAsia" w:ascii="仿宋" w:hAnsi="仿宋" w:eastAsia="仿宋" w:cs="仿宋"/>
                <w:bCs/>
                <w:color w:val="auto"/>
                <w:sz w:val="24"/>
                <w:highlight w:val="none"/>
                <w:lang w:eastAsia="zh-CN"/>
              </w:rPr>
              <w:t>1</w:t>
            </w:r>
            <w:r>
              <w:rPr>
                <w:rFonts w:hint="eastAsia" w:ascii="仿宋" w:hAnsi="仿宋" w:eastAsia="仿宋" w:cs="仿宋"/>
                <w:bCs/>
                <w:color w:val="auto"/>
                <w:sz w:val="24"/>
                <w:highlight w:val="none"/>
              </w:rPr>
              <w:t>分；</w:t>
            </w:r>
          </w:p>
          <w:p w14:paraId="4014B5A8">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rPr>
              <w:t>）未提供方案的不得分。</w:t>
            </w:r>
          </w:p>
          <w:p w14:paraId="70EA38B9">
            <w:pPr>
              <w:keepNext w:val="0"/>
              <w:keepLines w:val="0"/>
              <w:suppressLineNumbers w:val="0"/>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2.应急服务</w:t>
            </w:r>
            <w:r>
              <w:rPr>
                <w:rFonts w:hint="eastAsia" w:ascii="仿宋" w:hAnsi="仿宋" w:eastAsia="仿宋" w:cs="仿宋"/>
                <w:b/>
                <w:color w:val="auto"/>
                <w:sz w:val="24"/>
                <w:highlight w:val="none"/>
                <w:lang w:val="en-US" w:eastAsia="zh-CN"/>
              </w:rPr>
              <w:t>方案</w:t>
            </w:r>
            <w:r>
              <w:rPr>
                <w:rFonts w:hint="eastAsia" w:ascii="仿宋" w:hAnsi="仿宋" w:eastAsia="仿宋" w:cs="仿宋"/>
                <w:b/>
                <w:color w:val="auto"/>
                <w:sz w:val="24"/>
                <w:highlight w:val="none"/>
              </w:rPr>
              <w:t>：</w:t>
            </w:r>
          </w:p>
          <w:p w14:paraId="51FC1F7C">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1）应急服务方案完整详细，备品备件供应可以得到充分保障，应急服务响应及时，方案实用性强的，得</w:t>
            </w:r>
            <w:r>
              <w:rPr>
                <w:rFonts w:hint="eastAsia" w:ascii="仿宋" w:hAnsi="仿宋" w:eastAsia="仿宋" w:cs="仿宋"/>
                <w:bCs/>
                <w:color w:val="auto"/>
                <w:sz w:val="24"/>
                <w:highlight w:val="none"/>
                <w:lang w:eastAsia="zh-CN"/>
              </w:rPr>
              <w:t>5</w:t>
            </w:r>
            <w:r>
              <w:rPr>
                <w:rFonts w:hint="eastAsia" w:ascii="仿宋" w:hAnsi="仿宋" w:eastAsia="仿宋" w:cs="仿宋"/>
                <w:bCs/>
                <w:color w:val="auto"/>
                <w:sz w:val="24"/>
                <w:highlight w:val="none"/>
              </w:rPr>
              <w:t>分；</w:t>
            </w:r>
          </w:p>
          <w:p w14:paraId="410FACE2">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2）应急服务方案基本完整，备品备件供应基本可以满足使用，应急服务响应较及时，方案实用性较强的，得</w:t>
            </w:r>
            <w:r>
              <w:rPr>
                <w:rFonts w:hint="eastAsia" w:ascii="仿宋" w:hAnsi="仿宋" w:eastAsia="仿宋" w:cs="仿宋"/>
                <w:bCs/>
                <w:color w:val="auto"/>
                <w:sz w:val="24"/>
                <w:highlight w:val="none"/>
                <w:lang w:eastAsia="zh-CN"/>
              </w:rPr>
              <w:t>3</w:t>
            </w:r>
            <w:r>
              <w:rPr>
                <w:rFonts w:hint="eastAsia" w:ascii="仿宋" w:hAnsi="仿宋" w:eastAsia="仿宋" w:cs="仿宋"/>
                <w:bCs/>
                <w:color w:val="auto"/>
                <w:sz w:val="24"/>
                <w:highlight w:val="none"/>
              </w:rPr>
              <w:t>分；</w:t>
            </w:r>
          </w:p>
          <w:p w14:paraId="4114CC7A">
            <w:pPr>
              <w:keepNext w:val="0"/>
              <w:keepLines w:val="0"/>
              <w:suppressLineNumbers w:val="0"/>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3）应急服务方案内容不够完整，备品备件供应能力有待提升，方案实用性有待加强的得1分；</w:t>
            </w:r>
          </w:p>
          <w:p w14:paraId="144D27B7">
            <w:pPr>
              <w:keepNext w:val="0"/>
              <w:keepLines w:val="0"/>
              <w:widowControl/>
              <w:suppressLineNumbers w:val="0"/>
              <w:snapToGrid/>
              <w:spacing w:before="0" w:beforeAutospacing="0" w:after="0" w:afterAutospacing="0" w:line="360" w:lineRule="auto"/>
              <w:ind w:left="0" w:right="0"/>
              <w:rPr>
                <w:rFonts w:hint="default" w:ascii="楷体" w:hAnsi="楷体" w:eastAsia="楷体" w:cs="Times New Roman"/>
                <w:color w:val="auto"/>
                <w:kern w:val="0"/>
                <w:sz w:val="24"/>
                <w:highlight w:val="none"/>
              </w:rPr>
            </w:pPr>
            <w:r>
              <w:rPr>
                <w:rFonts w:hint="eastAsia" w:ascii="仿宋" w:hAnsi="仿宋" w:eastAsia="仿宋" w:cs="仿宋"/>
                <w:bCs/>
                <w:color w:val="auto"/>
                <w:sz w:val="24"/>
                <w:highlight w:val="none"/>
              </w:rPr>
              <w:t>4）未提供方案的不得分。</w:t>
            </w:r>
          </w:p>
        </w:tc>
      </w:tr>
      <w:tr w14:paraId="1C81D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4637F9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2B60BE2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4</w:t>
            </w:r>
          </w:p>
        </w:tc>
        <w:tc>
          <w:tcPr>
            <w:tcW w:w="1701" w:type="dxa"/>
            <w:noWrap w:val="0"/>
            <w:vAlign w:val="center"/>
          </w:tcPr>
          <w:p w14:paraId="035614AD">
            <w:pPr>
              <w:keepNext w:val="0"/>
              <w:keepLines w:val="0"/>
              <w:widowControl/>
              <w:suppressLineNumbers w:val="0"/>
              <w:adjustRightInd w:val="0"/>
              <w:snapToGrid w:val="0"/>
              <w:spacing w:before="0" w:beforeAutospacing="0" w:after="0" w:afterAutospacing="0" w:line="288" w:lineRule="auto"/>
              <w:ind w:left="0" w:right="0"/>
              <w:rPr>
                <w:rFonts w:hint="default" w:ascii="楷体" w:hAnsi="楷体" w:eastAsia="楷体" w:cs="Times New Roman"/>
                <w:color w:val="auto"/>
                <w:sz w:val="24"/>
                <w:highlight w:val="none"/>
              </w:rPr>
            </w:pPr>
            <w:r>
              <w:rPr>
                <w:rFonts w:hint="eastAsia" w:ascii="仿宋" w:hAnsi="仿宋" w:eastAsia="仿宋" w:cs="仿宋"/>
                <w:color w:val="auto"/>
                <w:sz w:val="24"/>
                <w:highlight w:val="none"/>
              </w:rPr>
              <w:t>质保承诺（</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分）</w:t>
            </w:r>
          </w:p>
        </w:tc>
        <w:tc>
          <w:tcPr>
            <w:tcW w:w="6237" w:type="dxa"/>
            <w:gridSpan w:val="2"/>
            <w:noWrap w:val="0"/>
            <w:vAlign w:val="center"/>
          </w:tcPr>
          <w:p w14:paraId="0E0C060B">
            <w:pPr>
              <w:keepNext w:val="0"/>
              <w:keepLines w:val="0"/>
              <w:suppressLineNumbers w:val="0"/>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所投产品整机免费质保期，在招标文件要求免费质保期的基础上每增加1年得</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分（增加部分不足1年的不得分），满分</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分。</w:t>
            </w:r>
          </w:p>
          <w:p w14:paraId="61B62A0D">
            <w:pPr>
              <w:keepNext w:val="0"/>
              <w:keepLines w:val="0"/>
              <w:widowControl/>
              <w:suppressLineNumbers w:val="0"/>
              <w:snapToGrid w:val="0"/>
              <w:spacing w:before="0" w:beforeAutospacing="0" w:after="0" w:afterAutospacing="0" w:line="288" w:lineRule="auto"/>
              <w:ind w:left="0" w:right="0"/>
              <w:rPr>
                <w:rFonts w:hint="default" w:ascii="楷体" w:hAnsi="楷体" w:eastAsia="楷体" w:cs="Times New Roman"/>
                <w:color w:val="auto"/>
                <w:kern w:val="0"/>
                <w:sz w:val="24"/>
                <w:highlight w:val="none"/>
              </w:rPr>
            </w:pPr>
            <w:r>
              <w:rPr>
                <w:rFonts w:hint="eastAsia" w:ascii="仿宋" w:hAnsi="仿宋" w:eastAsia="仿宋" w:cs="仿宋"/>
                <w:b/>
                <w:color w:val="auto"/>
                <w:sz w:val="24"/>
                <w:highlight w:val="none"/>
              </w:rPr>
              <w:t>注：以开标一览表中所报免费质保期为评审依据。</w:t>
            </w:r>
          </w:p>
        </w:tc>
      </w:tr>
      <w:tr w14:paraId="2D45B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2AE0B288">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00C22C3D">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lang w:val="en-US" w:eastAsia="zh-CN"/>
              </w:rPr>
            </w:pPr>
            <w:r>
              <w:rPr>
                <w:rFonts w:hint="eastAsia" w:ascii="宋体" w:hAnsi="宋体" w:eastAsia="仿宋" w:cs="Times New Roman"/>
                <w:color w:val="auto"/>
                <w:kern w:val="0"/>
                <w:sz w:val="24"/>
                <w:highlight w:val="none"/>
                <w:lang w:val="en-US" w:eastAsia="zh-CN"/>
              </w:rPr>
              <w:t>5</w:t>
            </w:r>
          </w:p>
        </w:tc>
        <w:tc>
          <w:tcPr>
            <w:tcW w:w="1701" w:type="dxa"/>
            <w:noWrap w:val="0"/>
            <w:vAlign w:val="center"/>
          </w:tcPr>
          <w:p w14:paraId="0EFBB5B8">
            <w:pPr>
              <w:keepNext w:val="0"/>
              <w:keepLines w:val="0"/>
              <w:suppressLineNumbers w:val="0"/>
              <w:snapToGrid/>
              <w:spacing w:before="0" w:beforeAutospacing="0" w:after="0" w:afterAutospacing="0" w:line="360" w:lineRule="auto"/>
              <w:ind w:left="0" w:right="0"/>
              <w:rPr>
                <w:rFonts w:hint="eastAsia" w:ascii="仿宋" w:hAnsi="仿宋" w:eastAsia="仿宋" w:cs="仿宋"/>
                <w:color w:val="auto"/>
                <w:sz w:val="24"/>
                <w:highlight w:val="none"/>
              </w:rPr>
            </w:pPr>
            <w:r>
              <w:rPr>
                <w:rFonts w:hint="eastAsia" w:ascii="仿宋" w:hAnsi="仿宋" w:eastAsia="仿宋" w:cs="仿宋"/>
                <w:bCs/>
                <w:color w:val="auto"/>
                <w:sz w:val="24"/>
                <w:szCs w:val="24"/>
                <w:highlight w:val="none"/>
              </w:rPr>
              <w:t>技术培训方案（5分）</w:t>
            </w:r>
          </w:p>
        </w:tc>
        <w:tc>
          <w:tcPr>
            <w:tcW w:w="6237" w:type="dxa"/>
            <w:gridSpan w:val="2"/>
            <w:noWrap w:val="0"/>
            <w:vAlign w:val="center"/>
          </w:tcPr>
          <w:p w14:paraId="57AA99B0">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根据投标人提供的技术培训方案</w:t>
            </w:r>
            <w:r>
              <w:rPr>
                <w:rFonts w:hint="eastAsia" w:ascii="仿宋" w:hAnsi="仿宋" w:eastAsia="仿宋" w:cs="仿宋"/>
                <w:bCs/>
                <w:color w:val="auto"/>
                <w:sz w:val="24"/>
                <w:highlight w:val="none"/>
              </w:rPr>
              <w:t>进行综合评审</w:t>
            </w:r>
            <w:r>
              <w:rPr>
                <w:rFonts w:hint="eastAsia" w:ascii="仿宋" w:hAnsi="仿宋" w:eastAsia="仿宋" w:cs="仿宋"/>
                <w:bCs/>
                <w:color w:val="auto"/>
                <w:sz w:val="24"/>
                <w:szCs w:val="24"/>
                <w:highlight w:val="none"/>
              </w:rPr>
              <w:t>：</w:t>
            </w:r>
          </w:p>
          <w:p w14:paraId="27B4890F">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1）对本项目的特点和难点理解准确，技术培训方案优于本项目采购需求，完整详细，可行性、实用性、针对性强，得5分；</w:t>
            </w:r>
          </w:p>
          <w:p w14:paraId="132E4839">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2）对本项目的特点和难点理解基本准确，技术培训方案适合本项目采购需求，较完整详细，具有可行性、实用性和针对性，得3分；</w:t>
            </w:r>
          </w:p>
          <w:p w14:paraId="7918F13E">
            <w:pPr>
              <w:keepNext w:val="0"/>
              <w:keepLines w:val="0"/>
              <w:suppressLineNumbers w:val="0"/>
              <w:snapToGrid/>
              <w:spacing w:before="0" w:beforeAutospacing="0" w:after="0" w:afterAutospacing="0" w:line="360" w:lineRule="auto"/>
              <w:ind w:left="0" w:right="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对本项目的特点和难点理解有待提升，技术培训方案可行性、实用性和针对性有待改善，得</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分；</w:t>
            </w:r>
          </w:p>
          <w:p w14:paraId="25333E79">
            <w:pPr>
              <w:keepNext w:val="0"/>
              <w:keepLines w:val="0"/>
              <w:suppressLineNumbers w:val="0"/>
              <w:snapToGrid/>
              <w:spacing w:before="0" w:beforeAutospacing="0" w:after="0" w:afterAutospacing="0" w:line="360" w:lineRule="auto"/>
              <w:ind w:left="0" w:right="0"/>
              <w:rPr>
                <w:rFonts w:hint="eastAsia" w:ascii="仿宋" w:hAnsi="仿宋" w:eastAsia="仿宋" w:cs="仿宋"/>
                <w:b/>
                <w:color w:val="auto"/>
                <w:sz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）未提供方案的不得分。</w:t>
            </w:r>
          </w:p>
        </w:tc>
      </w:tr>
      <w:tr w14:paraId="666F03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F725148">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p>
        </w:tc>
        <w:tc>
          <w:tcPr>
            <w:tcW w:w="708" w:type="dxa"/>
            <w:noWrap w:val="0"/>
            <w:vAlign w:val="center"/>
          </w:tcPr>
          <w:p w14:paraId="4B2EDD79">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auto"/>
                <w:kern w:val="0"/>
                <w:sz w:val="24"/>
                <w:highlight w:val="none"/>
                <w:lang w:eastAsia="zh-CN"/>
              </w:rPr>
            </w:pPr>
            <w:r>
              <w:rPr>
                <w:rFonts w:hint="eastAsia" w:ascii="宋体" w:hAnsi="宋体" w:eastAsia="仿宋" w:cs="Times New Roman"/>
                <w:color w:val="auto"/>
                <w:kern w:val="0"/>
                <w:sz w:val="24"/>
                <w:highlight w:val="none"/>
                <w:lang w:val="en-US" w:eastAsia="zh-CN"/>
              </w:rPr>
              <w:t>6</w:t>
            </w:r>
          </w:p>
        </w:tc>
        <w:tc>
          <w:tcPr>
            <w:tcW w:w="1701" w:type="dxa"/>
            <w:noWrap w:val="0"/>
            <w:vAlign w:val="center"/>
          </w:tcPr>
          <w:p w14:paraId="0AC6CDCD">
            <w:pPr>
              <w:keepNext w:val="0"/>
              <w:keepLines w:val="0"/>
              <w:suppressLineNumbers w:val="0"/>
              <w:snapToGrid/>
              <w:spacing w:before="0" w:beforeAutospacing="0" w:after="0" w:afterAutospacing="0" w:line="360" w:lineRule="auto"/>
              <w:ind w:left="0" w:right="0"/>
              <w:rPr>
                <w:rFonts w:hint="default" w:ascii="楷体" w:hAnsi="楷体" w:eastAsia="楷体" w:cs="Times New Roman"/>
                <w:color w:val="auto"/>
                <w:sz w:val="24"/>
                <w:highlight w:val="none"/>
              </w:rPr>
            </w:pPr>
            <w:r>
              <w:rPr>
                <w:rFonts w:hint="eastAsia" w:ascii="仿宋" w:hAnsi="仿宋" w:eastAsia="仿宋" w:cs="仿宋"/>
                <w:bCs/>
                <w:color w:val="auto"/>
                <w:sz w:val="24"/>
                <w:highlight w:val="none"/>
                <w:lang w:val="en-US" w:eastAsia="zh-CN"/>
              </w:rPr>
              <w:t>供货安装方案（3分）</w:t>
            </w:r>
          </w:p>
        </w:tc>
        <w:tc>
          <w:tcPr>
            <w:tcW w:w="6237" w:type="dxa"/>
            <w:gridSpan w:val="2"/>
            <w:noWrap w:val="0"/>
            <w:vAlign w:val="center"/>
          </w:tcPr>
          <w:p w14:paraId="283C0127">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根据投标人提供的针对本项目的供货安装方案，方案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采购供应、货物配送运输</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确保本项目</w:t>
            </w:r>
            <w:r>
              <w:rPr>
                <w:rFonts w:hint="eastAsia" w:ascii="仿宋" w:hAnsi="仿宋" w:eastAsia="仿宋" w:cs="仿宋"/>
                <w:bCs/>
                <w:color w:val="auto"/>
                <w:sz w:val="24"/>
                <w:highlight w:val="none"/>
              </w:rPr>
              <w:t>保质保量准时完成</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由评标委员会进行综合评审。</w:t>
            </w:r>
          </w:p>
          <w:p w14:paraId="75F73F39">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方案优于本项目采购需求，完整详细，可行性、实用性、针对性强，得</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分；</w:t>
            </w:r>
          </w:p>
          <w:p w14:paraId="4DF8BC50">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方案及计划安排</w:t>
            </w:r>
            <w:r>
              <w:rPr>
                <w:rFonts w:hint="eastAsia" w:ascii="仿宋" w:hAnsi="仿宋" w:eastAsia="仿宋" w:cs="仿宋"/>
                <w:bCs/>
                <w:color w:val="auto"/>
                <w:sz w:val="24"/>
                <w:highlight w:val="none"/>
                <w:lang w:val="en-US" w:eastAsia="zh-CN"/>
              </w:rPr>
              <w:t>能满足采购需求</w:t>
            </w:r>
            <w:r>
              <w:rPr>
                <w:rFonts w:hint="eastAsia" w:ascii="仿宋" w:hAnsi="仿宋" w:eastAsia="仿宋" w:cs="仿宋"/>
                <w:bCs/>
                <w:color w:val="auto"/>
                <w:sz w:val="24"/>
                <w:highlight w:val="none"/>
              </w:rPr>
              <w:t>，可行性、实用性针对性</w:t>
            </w:r>
            <w:r>
              <w:rPr>
                <w:rFonts w:hint="eastAsia" w:ascii="仿宋" w:hAnsi="仿宋" w:eastAsia="仿宋" w:cs="仿宋"/>
                <w:bCs/>
                <w:color w:val="auto"/>
                <w:sz w:val="24"/>
                <w:highlight w:val="none"/>
                <w:lang w:val="en-US" w:eastAsia="zh-CN"/>
              </w:rPr>
              <w:t>较强的</w:t>
            </w:r>
            <w:r>
              <w:rPr>
                <w:rFonts w:hint="eastAsia" w:ascii="仿宋" w:hAnsi="仿宋" w:eastAsia="仿宋" w:cs="仿宋"/>
                <w:bCs/>
                <w:color w:val="auto"/>
                <w:sz w:val="24"/>
                <w:highlight w:val="none"/>
              </w:rPr>
              <w:t>，得</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分；</w:t>
            </w:r>
          </w:p>
          <w:p w14:paraId="5388C62A">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lang w:val="en-US" w:eastAsia="zh-CN"/>
              </w:rPr>
            </w:pP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方案及计划安排有待提升，可行性、实用性针对性有待改善，得</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rPr>
              <w:t>分；</w:t>
            </w:r>
          </w:p>
          <w:p w14:paraId="617CD539">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default" w:ascii="楷体" w:hAnsi="楷体" w:eastAsia="楷体" w:cs="Times New Roman"/>
                <w:color w:val="auto"/>
                <w:kern w:val="0"/>
                <w:sz w:val="24"/>
                <w:highlight w:val="none"/>
              </w:rPr>
            </w:pPr>
            <w:r>
              <w:rPr>
                <w:rFonts w:hint="eastAsia" w:ascii="仿宋" w:hAnsi="仿宋" w:eastAsia="仿宋" w:cs="仿宋"/>
                <w:bCs/>
                <w:color w:val="auto"/>
                <w:sz w:val="24"/>
                <w:highlight w:val="none"/>
                <w:lang w:eastAsia="zh-CN"/>
              </w:rPr>
              <w:t>4）</w:t>
            </w:r>
            <w:r>
              <w:rPr>
                <w:rFonts w:hint="eastAsia" w:ascii="仿宋" w:hAnsi="仿宋" w:eastAsia="仿宋" w:cs="仿宋"/>
                <w:bCs/>
                <w:color w:val="auto"/>
                <w:sz w:val="24"/>
                <w:highlight w:val="none"/>
                <w:lang w:val="en-US" w:eastAsia="zh-CN"/>
              </w:rPr>
              <w:t>未提供方案的不得分。</w:t>
            </w:r>
          </w:p>
        </w:tc>
      </w:tr>
      <w:tr w14:paraId="5FAFA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31B8D8A2">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3.2.3（3）</w:t>
            </w:r>
          </w:p>
          <w:p w14:paraId="7405DD2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投标</w:t>
            </w:r>
          </w:p>
          <w:p w14:paraId="6F17E200">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报价</w:t>
            </w:r>
          </w:p>
        </w:tc>
        <w:tc>
          <w:tcPr>
            <w:tcW w:w="708" w:type="dxa"/>
            <w:noWrap w:val="0"/>
            <w:vAlign w:val="center"/>
          </w:tcPr>
          <w:p w14:paraId="2B1844A9">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5243D53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投标报价得分计算</w:t>
            </w:r>
          </w:p>
        </w:tc>
        <w:tc>
          <w:tcPr>
            <w:tcW w:w="4225" w:type="dxa"/>
            <w:noWrap w:val="0"/>
            <w:vAlign w:val="center"/>
          </w:tcPr>
          <w:p w14:paraId="249E37D9">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满足招标文件要求且投标价格最低的投标报价的价格分为满分，其他投标人的价格分统一按照下列公式计算：</w:t>
            </w:r>
          </w:p>
          <w:p w14:paraId="5EB5A649">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投标报价得分＝（评标基准价/投标报价）×投标报价满分分值。</w:t>
            </w:r>
          </w:p>
        </w:tc>
        <w:tc>
          <w:tcPr>
            <w:tcW w:w="2012" w:type="dxa"/>
            <w:noWrap w:val="0"/>
            <w:vAlign w:val="center"/>
          </w:tcPr>
          <w:p w14:paraId="0F0FF434">
            <w:pPr>
              <w:keepNext w:val="0"/>
              <w:keepLines w:val="0"/>
              <w:widowControl/>
              <w:suppressLineNumbers w:val="0"/>
              <w:snapToGrid w:val="0"/>
              <w:spacing w:before="0" w:beforeAutospacing="0" w:after="0" w:afterAutospacing="0" w:line="288" w:lineRule="auto"/>
              <w:ind w:left="0" w:right="0"/>
              <w:rPr>
                <w:rFonts w:hint="default"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30分</w:t>
            </w:r>
          </w:p>
        </w:tc>
      </w:tr>
      <w:tr w14:paraId="0CD0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100C3502">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3.2.3（4）</w:t>
            </w:r>
          </w:p>
          <w:p w14:paraId="0115E485">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sz w:val="24"/>
                <w:highlight w:val="none"/>
              </w:rPr>
              <w:t>其他评分因素</w:t>
            </w:r>
          </w:p>
        </w:tc>
        <w:tc>
          <w:tcPr>
            <w:tcW w:w="708" w:type="dxa"/>
            <w:noWrap w:val="0"/>
            <w:vAlign w:val="center"/>
          </w:tcPr>
          <w:p w14:paraId="405E39D1">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color w:val="auto"/>
                <w:kern w:val="0"/>
                <w:sz w:val="24"/>
                <w:highlight w:val="none"/>
              </w:rPr>
            </w:pPr>
            <w:r>
              <w:rPr>
                <w:rFonts w:hint="eastAsia" w:ascii="宋体" w:hAnsi="宋体" w:eastAsia="仿宋" w:cs="Times New Roman"/>
                <w:color w:val="auto"/>
                <w:kern w:val="0"/>
                <w:sz w:val="24"/>
                <w:highlight w:val="none"/>
              </w:rPr>
              <w:t>1</w:t>
            </w:r>
          </w:p>
        </w:tc>
        <w:tc>
          <w:tcPr>
            <w:tcW w:w="1701" w:type="dxa"/>
            <w:noWrap w:val="0"/>
            <w:vAlign w:val="center"/>
          </w:tcPr>
          <w:p w14:paraId="43EA99FF">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其他评分因素（如有）</w:t>
            </w:r>
          </w:p>
        </w:tc>
        <w:tc>
          <w:tcPr>
            <w:tcW w:w="4225" w:type="dxa"/>
            <w:noWrap w:val="0"/>
            <w:vAlign w:val="center"/>
          </w:tcPr>
          <w:p w14:paraId="35385078">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c>
          <w:tcPr>
            <w:tcW w:w="2012" w:type="dxa"/>
            <w:noWrap w:val="0"/>
            <w:vAlign w:val="center"/>
          </w:tcPr>
          <w:p w14:paraId="02EDC39C">
            <w:pPr>
              <w:keepNext w:val="0"/>
              <w:keepLines w:val="0"/>
              <w:suppressLineNumbers w:val="0"/>
              <w:snapToGrid w:val="0"/>
              <w:spacing w:before="0" w:beforeAutospacing="0" w:after="0" w:afterAutospacing="0" w:line="288" w:lineRule="auto"/>
              <w:ind w:left="-38"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w:t>
            </w:r>
          </w:p>
        </w:tc>
      </w:tr>
    </w:tbl>
    <w:p w14:paraId="37130C86">
      <w:p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331783FF">
      <w:pPr>
        <w:pStyle w:val="3"/>
        <w:widowControl/>
        <w:adjustRightInd w:val="0"/>
        <w:spacing w:before="0" w:after="0" w:line="360" w:lineRule="auto"/>
        <w:ind w:firstLine="482" w:firstLineChars="200"/>
        <w:rPr>
          <w:rFonts w:ascii="宋体" w:hAnsi="宋体" w:eastAsia="仿宋"/>
          <w:bCs w:val="0"/>
          <w:color w:val="auto"/>
          <w:sz w:val="24"/>
          <w:szCs w:val="24"/>
          <w:highlight w:val="none"/>
        </w:rPr>
      </w:pPr>
      <w:bookmarkStart w:id="776" w:name="_Toc455587098"/>
      <w:bookmarkStart w:id="777" w:name="_Toc466024565"/>
      <w:bookmarkStart w:id="778" w:name="_Toc455587282"/>
      <w:r>
        <w:rPr>
          <w:rFonts w:hint="eastAsia" w:ascii="宋体" w:hAnsi="宋体" w:eastAsia="仿宋"/>
          <w:bCs w:val="0"/>
          <w:color w:val="auto"/>
          <w:sz w:val="24"/>
          <w:szCs w:val="24"/>
          <w:highlight w:val="none"/>
        </w:rPr>
        <w:t>1. 评标方法</w:t>
      </w:r>
      <w:bookmarkEnd w:id="775"/>
      <w:bookmarkEnd w:id="776"/>
      <w:bookmarkEnd w:id="777"/>
      <w:bookmarkEnd w:id="778"/>
    </w:p>
    <w:p w14:paraId="6EABB665">
      <w:pPr>
        <w:pStyle w:val="152"/>
        <w:adjustRightInd w:val="0"/>
        <w:snapToGrid w:val="0"/>
        <w:spacing w:line="360" w:lineRule="auto"/>
        <w:ind w:firstLine="480" w:firstLineChars="200"/>
        <w:rPr>
          <w:rFonts w:hint="eastAsia" w:ascii="ˎ̥" w:hAnsi="ˎ̥" w:eastAsia="仿宋" w:cs="宋体"/>
          <w:color w:val="auto"/>
          <w:sz w:val="24"/>
          <w:szCs w:val="24"/>
          <w:highlight w:val="none"/>
        </w:rPr>
      </w:pPr>
      <w:r>
        <w:rPr>
          <w:rFonts w:hint="eastAsia" w:ascii="ˎ̥" w:hAnsi="ˎ̥" w:eastAsia="仿宋" w:cs="宋体"/>
          <w:color w:val="auto"/>
          <w:sz w:val="24"/>
          <w:szCs w:val="24"/>
          <w:highlight w:val="none"/>
        </w:rPr>
        <w:t>本次评标采用综合评分法。评标委员会</w:t>
      </w:r>
      <w:r>
        <w:rPr>
          <w:rFonts w:ascii="ˎ̥" w:hAnsi="ˎ̥" w:eastAsia="仿宋" w:cs="宋体"/>
          <w:color w:val="auto"/>
          <w:sz w:val="24"/>
          <w:szCs w:val="24"/>
          <w:highlight w:val="none"/>
        </w:rPr>
        <w:t>按照</w:t>
      </w:r>
      <w:r>
        <w:rPr>
          <w:rFonts w:hint="eastAsia" w:ascii="Cambria Math" w:hAnsi="Cambria Math" w:eastAsia="仿宋" w:cs="Calibri"/>
          <w:color w:val="auto"/>
          <w:sz w:val="24"/>
          <w:szCs w:val="24"/>
          <w:highlight w:val="none"/>
        </w:rPr>
        <w:t>本章</w:t>
      </w:r>
      <w:r>
        <w:rPr>
          <w:rFonts w:hint="eastAsia" w:ascii="ˎ̥" w:hAnsi="ˎ̥" w:eastAsia="仿宋" w:cs="宋体"/>
          <w:color w:val="auto"/>
          <w:sz w:val="24"/>
          <w:szCs w:val="24"/>
          <w:highlight w:val="none"/>
        </w:rPr>
        <w:t>第二节</w:t>
      </w:r>
      <w:r>
        <w:rPr>
          <w:rFonts w:hint="eastAsia" w:ascii="Cambria Math" w:hAnsi="Cambria Math" w:eastAsia="仿宋" w:cs="Calibri"/>
          <w:color w:val="auto"/>
          <w:sz w:val="24"/>
          <w:szCs w:val="24"/>
          <w:highlight w:val="none"/>
        </w:rPr>
        <w:t>第</w:t>
      </w:r>
      <w:r>
        <w:rPr>
          <w:rFonts w:hint="eastAsia" w:ascii="仿宋" w:hAnsi="仿宋" w:eastAsia="仿宋" w:cs="仿宋"/>
          <w:color w:val="auto"/>
          <w:sz w:val="24"/>
          <w:szCs w:val="24"/>
          <w:highlight w:val="none"/>
        </w:rPr>
        <w:t>3</w:t>
      </w:r>
      <w:r>
        <w:rPr>
          <w:rFonts w:hint="eastAsia" w:ascii="Cambria Math" w:hAnsi="Cambria Math" w:eastAsia="仿宋" w:cs="Calibri"/>
          <w:color w:val="auto"/>
          <w:sz w:val="24"/>
          <w:szCs w:val="24"/>
          <w:highlight w:val="none"/>
        </w:rPr>
        <w:t>条规定的评审标准</w:t>
      </w:r>
      <w:r>
        <w:rPr>
          <w:rFonts w:hint="eastAsia" w:ascii="ˎ̥" w:hAnsi="ˎ̥" w:eastAsia="仿宋" w:cs="宋体"/>
          <w:color w:val="auto"/>
          <w:sz w:val="24"/>
          <w:szCs w:val="24"/>
          <w:highlight w:val="none"/>
        </w:rPr>
        <w:t>对通过资格审查的</w:t>
      </w:r>
      <w:r>
        <w:rPr>
          <w:rFonts w:ascii="ˎ̥" w:hAnsi="ˎ̥" w:eastAsia="仿宋" w:cs="宋体"/>
          <w:color w:val="auto"/>
          <w:sz w:val="24"/>
          <w:szCs w:val="24"/>
          <w:highlight w:val="none"/>
        </w:rPr>
        <w:t>投标文件</w:t>
      </w:r>
      <w:r>
        <w:rPr>
          <w:rFonts w:hint="eastAsia" w:ascii="ˎ̥" w:hAnsi="ˎ̥" w:eastAsia="仿宋" w:cs="宋体"/>
          <w:color w:val="auto"/>
          <w:sz w:val="24"/>
          <w:szCs w:val="24"/>
          <w:highlight w:val="none"/>
        </w:rPr>
        <w:t>进行评审，在投标文件满足招标文件全部实质性要求的投标人中，按总</w:t>
      </w:r>
      <w:r>
        <w:rPr>
          <w:rFonts w:ascii="ˎ̥" w:hAnsi="ˎ̥" w:eastAsia="仿宋" w:cs="宋体"/>
          <w:color w:val="auto"/>
          <w:sz w:val="24"/>
          <w:szCs w:val="24"/>
          <w:highlight w:val="none"/>
        </w:rPr>
        <w:t>得分</w:t>
      </w:r>
      <w:r>
        <w:rPr>
          <w:rFonts w:hint="eastAsia" w:ascii="ˎ̥" w:hAnsi="ˎ̥" w:eastAsia="仿宋" w:cs="宋体"/>
          <w:color w:val="auto"/>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3A4A261B">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79" w:name="_Toc445554768"/>
      <w:bookmarkStart w:id="780" w:name="_Toc455587284"/>
      <w:bookmarkStart w:id="781" w:name="_Toc466024567"/>
      <w:bookmarkStart w:id="782" w:name="_Toc455587100"/>
      <w:r>
        <w:rPr>
          <w:rFonts w:hint="eastAsia" w:ascii="宋体" w:hAnsi="宋体" w:eastAsia="仿宋"/>
          <w:bCs w:val="0"/>
          <w:color w:val="auto"/>
          <w:sz w:val="24"/>
          <w:szCs w:val="24"/>
          <w:highlight w:val="none"/>
        </w:rPr>
        <w:t>2. 评标委员会的组成和职责</w:t>
      </w:r>
      <w:bookmarkEnd w:id="779"/>
      <w:bookmarkEnd w:id="780"/>
      <w:bookmarkEnd w:id="781"/>
      <w:bookmarkEnd w:id="782"/>
    </w:p>
    <w:p w14:paraId="1ED8384C">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2.1 评标委员会的组成</w:t>
      </w:r>
    </w:p>
    <w:p w14:paraId="0207D78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评标委员会由采购人依法组建。</w:t>
      </w:r>
      <w:r>
        <w:rPr>
          <w:rFonts w:hint="eastAsia" w:ascii="宋体" w:hAnsi="宋体" w:eastAsia="仿宋" w:cs="宋体"/>
          <w:color w:val="auto"/>
          <w:sz w:val="24"/>
          <w:szCs w:val="24"/>
          <w:highlight w:val="none"/>
        </w:rPr>
        <w:t>评标委员会应当推选组长，但采购人代表不得担任组长。</w:t>
      </w:r>
    </w:p>
    <w:p w14:paraId="1CAF87D1">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2.2 评标委员会的职责</w:t>
      </w:r>
    </w:p>
    <w:p w14:paraId="09CC20B1">
      <w:pPr>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根据</w:t>
      </w:r>
      <w:r>
        <w:rPr>
          <w:rFonts w:hint="eastAsia" w:ascii="Arial" w:hAnsi="Arial" w:eastAsia="仿宋" w:cs="Arial"/>
          <w:color w:val="auto"/>
          <w:kern w:val="0"/>
          <w:sz w:val="24"/>
          <w:highlight w:val="none"/>
        </w:rPr>
        <w:t>招标</w:t>
      </w:r>
      <w:r>
        <w:rPr>
          <w:rFonts w:ascii="Arial" w:hAnsi="Arial" w:eastAsia="仿宋" w:cs="Arial"/>
          <w:color w:val="auto"/>
          <w:kern w:val="0"/>
          <w:sz w:val="24"/>
          <w:highlight w:val="none"/>
        </w:rPr>
        <w:t>文件规定的评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程序、评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方法和评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标准进行独立评审。</w:t>
      </w:r>
      <w:r>
        <w:rPr>
          <w:rFonts w:hint="eastAsia" w:ascii="宋体" w:hAnsi="宋体" w:eastAsia="仿宋"/>
          <w:color w:val="auto"/>
          <w:sz w:val="24"/>
          <w:highlight w:val="none"/>
        </w:rPr>
        <w:t>评标委员会成员</w:t>
      </w:r>
      <w:r>
        <w:rPr>
          <w:rFonts w:ascii="Arial" w:hAnsi="Arial" w:eastAsia="仿宋" w:cs="Arial"/>
          <w:color w:val="auto"/>
          <w:kern w:val="0"/>
          <w:sz w:val="24"/>
          <w:highlight w:val="none"/>
        </w:rPr>
        <w:t>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报告上签字，对自己的评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意见承担法律责任。对需要共同认定的事项存在争议的，按照少数服从多数的原则做出结论。对评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报告有异议的，应当在评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报告上签署不同意见并说明理由，否则视为同意评</w:t>
      </w:r>
      <w:r>
        <w:rPr>
          <w:rFonts w:hint="eastAsia" w:ascii="Arial" w:hAnsi="Arial" w:eastAsia="仿宋" w:cs="Arial"/>
          <w:color w:val="auto"/>
          <w:kern w:val="0"/>
          <w:sz w:val="24"/>
          <w:highlight w:val="none"/>
        </w:rPr>
        <w:t>标</w:t>
      </w:r>
      <w:r>
        <w:rPr>
          <w:rFonts w:ascii="Arial" w:hAnsi="Arial" w:eastAsia="仿宋" w:cs="Arial"/>
          <w:color w:val="auto"/>
          <w:kern w:val="0"/>
          <w:sz w:val="24"/>
          <w:highlight w:val="none"/>
        </w:rPr>
        <w:t>报告。</w:t>
      </w:r>
    </w:p>
    <w:p w14:paraId="33C412CF">
      <w:pPr>
        <w:pStyle w:val="153"/>
        <w:snapToGrid w:val="0"/>
        <w:spacing w:line="360" w:lineRule="auto"/>
        <w:ind w:firstLine="482"/>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2</w:t>
      </w:r>
      <w:r>
        <w:rPr>
          <w:rFonts w:ascii="宋体" w:hAnsi="宋体" w:eastAsia="仿宋"/>
          <w:b/>
          <w:color w:val="auto"/>
          <w:sz w:val="24"/>
          <w:szCs w:val="24"/>
          <w:highlight w:val="none"/>
        </w:rPr>
        <w:t>.3 对评标委员会成员的纪律要求</w:t>
      </w:r>
    </w:p>
    <w:p w14:paraId="0F3769B2">
      <w:pPr>
        <w:widowControl/>
        <w:spacing w:line="360" w:lineRule="auto"/>
        <w:ind w:firstLine="480" w:firstLineChars="200"/>
        <w:rPr>
          <w:rFonts w:ascii="Arial" w:hAnsi="Arial" w:eastAsia="仿宋" w:cs="Arial"/>
          <w:color w:val="auto"/>
          <w:kern w:val="0"/>
          <w:sz w:val="24"/>
          <w:highlight w:val="none"/>
        </w:rPr>
      </w:pPr>
      <w:r>
        <w:rPr>
          <w:rFonts w:ascii="Arial" w:hAnsi="Arial" w:eastAsia="仿宋" w:cs="Arial"/>
          <w:color w:val="auto"/>
          <w:kern w:val="0"/>
          <w:sz w:val="24"/>
          <w:highlight w:val="none"/>
        </w:rPr>
        <w:t>评标委员会成员不得收受他人的财物或者其他好处，不得向他人</w:t>
      </w:r>
      <w:r>
        <w:rPr>
          <w:rFonts w:hint="eastAsia" w:ascii="Arial" w:hAnsi="Arial" w:eastAsia="仿宋" w:cs="Arial"/>
          <w:color w:val="auto"/>
          <w:kern w:val="0"/>
          <w:sz w:val="24"/>
          <w:highlight w:val="none"/>
        </w:rPr>
        <w:t>透露</w:t>
      </w:r>
      <w:r>
        <w:rPr>
          <w:rFonts w:ascii="Arial" w:hAnsi="Arial" w:eastAsia="仿宋" w:cs="Arial"/>
          <w:color w:val="auto"/>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228386DE">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783" w:name="_Toc466024569"/>
      <w:bookmarkStart w:id="784" w:name="_Toc445554770"/>
      <w:bookmarkStart w:id="785" w:name="_Toc455587102"/>
      <w:bookmarkStart w:id="786" w:name="_Toc455587286"/>
      <w:bookmarkStart w:id="787" w:name="_Toc466024568"/>
      <w:bookmarkStart w:id="788" w:name="_Toc445554769"/>
      <w:bookmarkStart w:id="789" w:name="_Toc455587101"/>
      <w:bookmarkStart w:id="790" w:name="_Toc455587285"/>
      <w:r>
        <w:rPr>
          <w:rFonts w:hint="eastAsia" w:ascii="宋体" w:hAnsi="宋体" w:eastAsia="仿宋"/>
          <w:bCs w:val="0"/>
          <w:color w:val="auto"/>
          <w:sz w:val="24"/>
          <w:szCs w:val="24"/>
          <w:highlight w:val="none"/>
        </w:rPr>
        <w:t>3. 评审标准</w:t>
      </w:r>
      <w:bookmarkEnd w:id="783"/>
      <w:bookmarkEnd w:id="784"/>
      <w:bookmarkEnd w:id="785"/>
      <w:bookmarkEnd w:id="786"/>
    </w:p>
    <w:p w14:paraId="6EE4A04F">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 符合性审查标准</w:t>
      </w:r>
    </w:p>
    <w:p w14:paraId="699664A6">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3.1.1 评标委员会对资格审查合格的投标人的投标文件进行符合性审查，以确定其是否满足招标文件的实质性要求。</w:t>
      </w:r>
    </w:p>
    <w:p w14:paraId="17FBCB47">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77D741A3">
      <w:pPr>
        <w:pStyle w:val="152"/>
        <w:adjustRightInd w:val="0"/>
        <w:snapToGrid w:val="0"/>
        <w:spacing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3.2 分值构成与详细评审标准</w:t>
      </w:r>
    </w:p>
    <w:p w14:paraId="62B156DA">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3.2.1 分值构成：见评标办法前附表。</w:t>
      </w:r>
    </w:p>
    <w:p w14:paraId="5B411638">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3.2.2 评标基准价计算：见评标办法前附表。</w:t>
      </w:r>
    </w:p>
    <w:p w14:paraId="1845AD85">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3.2.3 评分标准：见评标办法前附表。</w:t>
      </w:r>
    </w:p>
    <w:p w14:paraId="60C41BCA">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3.2.4 取评标委员会对各投标人评审得分的算术平均值作为投标人得分，其中投标报价得分按规定进行计算。</w:t>
      </w:r>
    </w:p>
    <w:p w14:paraId="692CDD90">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r>
        <w:rPr>
          <w:rFonts w:hint="eastAsia" w:ascii="宋体" w:hAnsi="宋体" w:eastAsia="仿宋"/>
          <w:bCs w:val="0"/>
          <w:color w:val="auto"/>
          <w:sz w:val="24"/>
          <w:szCs w:val="24"/>
          <w:highlight w:val="none"/>
        </w:rPr>
        <w:t>4. 评标程序</w:t>
      </w:r>
      <w:bookmarkEnd w:id="787"/>
      <w:bookmarkEnd w:id="788"/>
      <w:bookmarkEnd w:id="789"/>
      <w:bookmarkEnd w:id="790"/>
    </w:p>
    <w:p w14:paraId="611933A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资格审查完成后，合格投标人不少于3家的，开始评标工作。评标先做准备工作，再进行符合性审查，然后进行详细评审。</w:t>
      </w:r>
    </w:p>
    <w:p w14:paraId="21CB2B71">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4.1 评标准备工作</w:t>
      </w:r>
    </w:p>
    <w:p w14:paraId="449F431B">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评标委员会熟悉评标</w:t>
      </w:r>
      <w:bookmarkStart w:id="791" w:name="_Hlk79160145"/>
      <w:r>
        <w:rPr>
          <w:rFonts w:hint="eastAsia" w:ascii="宋体" w:hAnsi="宋体" w:eastAsia="仿宋"/>
          <w:color w:val="auto"/>
          <w:sz w:val="24"/>
          <w:szCs w:val="24"/>
          <w:highlight w:val="none"/>
        </w:rPr>
        <w:t>工作</w:t>
      </w:r>
      <w:bookmarkEnd w:id="791"/>
      <w:r>
        <w:rPr>
          <w:rFonts w:hint="eastAsia" w:ascii="宋体" w:hAnsi="宋体" w:eastAsia="仿宋"/>
          <w:color w:val="auto"/>
          <w:sz w:val="24"/>
          <w:szCs w:val="24"/>
          <w:highlight w:val="none"/>
        </w:rPr>
        <w:t>情况：</w:t>
      </w:r>
    </w:p>
    <w:p w14:paraId="2790ACD2">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（1）听取采购人或者其委托的采购代理机构对招标项目情况的介绍；</w:t>
      </w:r>
    </w:p>
    <w:p w14:paraId="68C2413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42DE639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（3）熟悉招标文件规定的评标标准和评标方法及在评标过程中需要考虑的相关因素；</w:t>
      </w:r>
    </w:p>
    <w:p w14:paraId="1B4EAFC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（4）核对评标工作资料；</w:t>
      </w:r>
    </w:p>
    <w:p w14:paraId="1A871A7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（5）使用电子评标方式的，还应当熟悉电子评标系统使用方法。</w:t>
      </w:r>
    </w:p>
    <w:p w14:paraId="036916B2">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4.2 符合性审查</w:t>
      </w:r>
    </w:p>
    <w:p w14:paraId="553628E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4.2.1 评标委员会依据本章规定的标准对投标文件进行符合性审查。有一项不符合评审标准的，按无效投标处理。</w:t>
      </w:r>
    </w:p>
    <w:p w14:paraId="6415861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4.2.2 投标人有以下情形之一的，按照无效投标处理：</w:t>
      </w:r>
    </w:p>
    <w:p w14:paraId="1B50E9F6">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（1）不按评标委员会要求澄清、说明或补正的；</w:t>
      </w:r>
    </w:p>
    <w:p w14:paraId="336B6C5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（2）未实质性响应招标文件的；</w:t>
      </w:r>
    </w:p>
    <w:p w14:paraId="0C2C4213">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（3）投标文件中存在采购人不能接受的其它附加实质性条件的；</w:t>
      </w:r>
    </w:p>
    <w:p w14:paraId="65717AE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（4）串通投标或弄虚作假或有其他违法行为的；</w:t>
      </w:r>
    </w:p>
    <w:p w14:paraId="49D38B17">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（5）法律、法规和规章规定的其他情形的。</w:t>
      </w:r>
    </w:p>
    <w:p w14:paraId="133D320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4.2.3 投标文件报价出现前后不一致的，按照下列规定修正：</w:t>
      </w:r>
    </w:p>
    <w:p w14:paraId="0CC13174">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（1）投标文件中开标一览表（报价表）内容与投标文件中相应内容不一致的，以开标一览表（报价表）为准；</w:t>
      </w:r>
    </w:p>
    <w:p w14:paraId="6EE47E2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（2）大写金额和小写金额不一致的，以大写金额为准；</w:t>
      </w:r>
    </w:p>
    <w:p w14:paraId="0FEB202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（3）单价金额小数点或者百分比有明显错位的，以开标一览表的总价为准，并修改单价；</w:t>
      </w:r>
    </w:p>
    <w:p w14:paraId="6DC4A50B">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（4）总价金额与按单价汇总金额不一致的，以单价金额计算结果为准。</w:t>
      </w:r>
    </w:p>
    <w:p w14:paraId="12462CF1">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同时出现两种以上不一致的，按照前款规定的顺序修正。修正后的报价经投标人确认后产生约束力，投标人不确认的，其投标无效。</w:t>
      </w:r>
    </w:p>
    <w:p w14:paraId="1C9BA6A4">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中标后，按修正后的投标报价为基准，按同比例修正各单价。</w:t>
      </w:r>
    </w:p>
    <w:p w14:paraId="7475BFB0">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4.2.4 评标委员会按照规定的原则对投标报价进行校核时，发现投标报价存在多处算术错误或漏项的，使得投标报价校核无法进行的，其投标按无效处理。</w:t>
      </w:r>
    </w:p>
    <w:p w14:paraId="53AC5DD2">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E6BFDBC">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4.2.6 投标报价出现下列情形的，投标无效：</w:t>
      </w:r>
    </w:p>
    <w:p w14:paraId="4A510617">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（1）投标文件提交两个及以上的投标报价、提交任何有选择性的报价或者提交有附加条件的报价的投标将按无效处理，投标人须知前附表允许递交备选方案的除外；</w:t>
      </w:r>
    </w:p>
    <w:p w14:paraId="48F8F271">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（2）投标报价超过招标文件中规定的预算金额或者最高限价的；</w:t>
      </w:r>
    </w:p>
    <w:p w14:paraId="3689DF18">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7946C5C3">
      <w:pPr>
        <w:widowControl/>
        <w:adjustRightInd w:val="0"/>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（4）投标人对根据本章第二节4.2.3项规定修正后的报价不确认的。</w:t>
      </w:r>
    </w:p>
    <w:p w14:paraId="582A6372">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r>
        <w:rPr>
          <w:rFonts w:hint="eastAsia" w:ascii="宋体" w:hAnsi="宋体" w:eastAsia="仿宋"/>
          <w:b/>
          <w:color w:val="auto"/>
          <w:sz w:val="24"/>
          <w:szCs w:val="24"/>
          <w:highlight w:val="none"/>
        </w:rPr>
        <w:t>4.3 详细评审</w:t>
      </w:r>
    </w:p>
    <w:p w14:paraId="0FE7AEAA">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4.3.1 评标委员会按本章</w:t>
      </w:r>
      <w:r>
        <w:rPr>
          <w:rFonts w:hint="eastAsia" w:ascii="宋体" w:hAnsi="宋体" w:eastAsia="仿宋"/>
          <w:color w:val="auto"/>
          <w:sz w:val="24"/>
          <w:highlight w:val="none"/>
        </w:rPr>
        <w:t>第二节</w:t>
      </w:r>
      <w:r>
        <w:rPr>
          <w:rFonts w:hint="eastAsia" w:ascii="宋体" w:hAnsi="宋体" w:eastAsia="仿宋"/>
          <w:color w:val="auto"/>
          <w:sz w:val="24"/>
          <w:szCs w:val="24"/>
          <w:highlight w:val="none"/>
        </w:rPr>
        <w:t>3.2款规定的标准进行评分，并计算各投标人综合评审得分。</w:t>
      </w:r>
    </w:p>
    <w:p w14:paraId="3B856680">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4.3.2 评标委员会成员对投标人的价格分和客观评分项的评分应当一致。采购人、采购代理机构应当对评审数据进行校对、核对。</w:t>
      </w:r>
    </w:p>
    <w:p w14:paraId="51555310">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4.3.3 评分分值计算保留小数点后两位，小数点后第三位“四舍五入”。</w:t>
      </w:r>
    </w:p>
    <w:p w14:paraId="7F03223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4.3.4 相同品牌产品参加投标时，按以下要求确定中标人推荐资格：</w:t>
      </w:r>
    </w:p>
    <w:p w14:paraId="77029C75">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采用综合评分法时：</w:t>
      </w:r>
    </w:p>
    <w:p w14:paraId="57534FA8">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D14D32E">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1CECDE9">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2" w:name="_Toc466024570"/>
      <w:bookmarkStart w:id="793" w:name="_Toc445554771"/>
      <w:bookmarkStart w:id="794" w:name="_Toc455587287"/>
      <w:bookmarkStart w:id="795" w:name="_Toc455587103"/>
      <w:r>
        <w:rPr>
          <w:rFonts w:hint="eastAsia" w:ascii="宋体" w:hAnsi="宋体" w:eastAsia="仿宋"/>
          <w:b/>
          <w:color w:val="auto"/>
          <w:sz w:val="24"/>
          <w:szCs w:val="24"/>
          <w:highlight w:val="none"/>
        </w:rPr>
        <w:t>4.4 投标文件的澄清</w:t>
      </w:r>
      <w:bookmarkEnd w:id="792"/>
      <w:bookmarkEnd w:id="793"/>
      <w:bookmarkEnd w:id="794"/>
      <w:bookmarkEnd w:id="795"/>
    </w:p>
    <w:p w14:paraId="0431D8C4">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6664196C">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14B33A85">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4.4.3 评标委员会对投标人提交的澄清、说明或补正有疑问的，可以要求投标人进一步澄清、说明或补正，直至满足评标委员会的要求。</w:t>
      </w:r>
    </w:p>
    <w:p w14:paraId="1227B9AB">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387953FB">
      <w:pPr>
        <w:pStyle w:val="153"/>
        <w:adjustRightInd w:val="0"/>
        <w:snapToGrid w:val="0"/>
        <w:spacing w:before="0" w:line="360" w:lineRule="auto"/>
        <w:ind w:firstLine="482" w:firstLineChars="200"/>
        <w:rPr>
          <w:rFonts w:hint="eastAsia" w:ascii="宋体" w:hAnsi="宋体" w:eastAsia="仿宋"/>
          <w:b/>
          <w:color w:val="auto"/>
          <w:sz w:val="24"/>
          <w:szCs w:val="24"/>
          <w:highlight w:val="none"/>
        </w:rPr>
      </w:pPr>
      <w:bookmarkStart w:id="796" w:name="_Toc455587288"/>
      <w:bookmarkStart w:id="797" w:name="_Toc445554772"/>
      <w:bookmarkStart w:id="798" w:name="_Toc466024571"/>
      <w:bookmarkStart w:id="799" w:name="_Toc455587104"/>
      <w:r>
        <w:rPr>
          <w:rFonts w:hint="eastAsia" w:ascii="宋体" w:hAnsi="宋体" w:eastAsia="仿宋"/>
          <w:b/>
          <w:color w:val="auto"/>
          <w:sz w:val="24"/>
          <w:szCs w:val="24"/>
          <w:highlight w:val="none"/>
        </w:rPr>
        <w:t>4.5 评标结果</w:t>
      </w:r>
      <w:bookmarkEnd w:id="796"/>
      <w:bookmarkEnd w:id="797"/>
      <w:bookmarkEnd w:id="798"/>
      <w:bookmarkEnd w:id="799"/>
    </w:p>
    <w:p w14:paraId="4E3A1E94">
      <w:pPr>
        <w:pStyle w:val="152"/>
        <w:adjustRightInd w:val="0"/>
        <w:snapToGri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4.5.1 除第二章投标人须知前附表授权评标委员会直接确定中标人外，评标委员会按照得分由高到低的顺序推荐中标候选人，并标明排序。</w:t>
      </w:r>
    </w:p>
    <w:p w14:paraId="7A99996B">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4.5.2 完成评标后，</w:t>
      </w:r>
      <w:r>
        <w:rPr>
          <w:rFonts w:hint="eastAsia" w:ascii="宋体" w:hAnsi="宋体" w:eastAsia="仿宋" w:cs="宋体"/>
          <w:color w:val="auto"/>
          <w:sz w:val="24"/>
          <w:szCs w:val="24"/>
          <w:highlight w:val="none"/>
        </w:rPr>
        <w:t>评标委员会根据全体评标成员签字的原始评标记录和评标结果编写评标报告。评标报告应当包括以下内容：</w:t>
      </w:r>
    </w:p>
    <w:p w14:paraId="0A2BEF0F">
      <w:pPr>
        <w:pStyle w:val="152"/>
        <w:adjustRightInd w:val="0"/>
        <w:spacing w:line="360" w:lineRule="auto"/>
        <w:ind w:firstLine="480" w:firstLineChars="200"/>
        <w:rPr>
          <w:rFonts w:ascii="宋体" w:hAnsi="宋体" w:eastAsia="仿宋" w:cs="宋体"/>
          <w:color w:val="auto"/>
          <w:sz w:val="24"/>
          <w:szCs w:val="24"/>
          <w:highlight w:val="none"/>
        </w:rPr>
      </w:pPr>
      <w:bookmarkStart w:id="800" w:name="_Toc455587289"/>
      <w:bookmarkStart w:id="801" w:name="_Toc455587105"/>
      <w:bookmarkStart w:id="802" w:name="_Toc445554773"/>
      <w:r>
        <w:rPr>
          <w:rFonts w:hint="eastAsia" w:ascii="宋体" w:hAnsi="宋体" w:eastAsia="仿宋" w:cs="宋体"/>
          <w:color w:val="auto"/>
          <w:sz w:val="24"/>
          <w:szCs w:val="24"/>
          <w:highlight w:val="none"/>
        </w:rPr>
        <w:t>（1）招标公告的发布媒介、开标日期和地点；</w:t>
      </w:r>
    </w:p>
    <w:p w14:paraId="220B2D75">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（2）投标人名单和评标委员会成员名单；</w:t>
      </w:r>
    </w:p>
    <w:p w14:paraId="166CD8F4">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（3）评标方法和标准；</w:t>
      </w:r>
    </w:p>
    <w:p w14:paraId="12EB2447">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（4）开标记录和评标情况及说明，包括无效投标人名单及原因；</w:t>
      </w:r>
    </w:p>
    <w:p w14:paraId="6B72A899">
      <w:pPr>
        <w:pStyle w:val="152"/>
        <w:adjustRightInd w:val="0"/>
        <w:spacing w:line="360" w:lineRule="auto"/>
        <w:ind w:firstLine="480" w:firstLineChars="200"/>
        <w:rPr>
          <w:rFonts w:ascii="宋体" w:hAnsi="宋体" w:eastAsia="仿宋" w:cs="宋体"/>
          <w:color w:val="auto"/>
          <w:sz w:val="24"/>
          <w:szCs w:val="24"/>
          <w:highlight w:val="none"/>
        </w:rPr>
      </w:pPr>
      <w:r>
        <w:rPr>
          <w:rFonts w:hint="eastAsia" w:ascii="宋体" w:hAnsi="宋体" w:eastAsia="仿宋" w:cs="宋体"/>
          <w:color w:val="auto"/>
          <w:sz w:val="24"/>
          <w:szCs w:val="24"/>
          <w:highlight w:val="none"/>
        </w:rPr>
        <w:t>（5）评标结果，确定的中标候选人名单或者经采购人委托直接确定的中标人；</w:t>
      </w:r>
    </w:p>
    <w:p w14:paraId="2BBA2886">
      <w:pPr>
        <w:pStyle w:val="152"/>
        <w:adjustRightInd w:val="0"/>
        <w:spacing w:line="360" w:lineRule="auto"/>
        <w:ind w:firstLine="480" w:firstLineChars="200"/>
        <w:rPr>
          <w:rFonts w:hint="eastAsia" w:ascii="宋体" w:hAnsi="宋体" w:eastAsia="仿宋" w:cs="宋体"/>
          <w:color w:val="auto"/>
          <w:sz w:val="24"/>
          <w:szCs w:val="24"/>
          <w:highlight w:val="none"/>
        </w:rPr>
      </w:pPr>
      <w:r>
        <w:rPr>
          <w:rFonts w:hint="eastAsia" w:ascii="宋体" w:hAnsi="宋体" w:eastAsia="仿宋" w:cs="宋体"/>
          <w:color w:val="auto"/>
          <w:sz w:val="24"/>
          <w:szCs w:val="24"/>
          <w:highlight w:val="none"/>
        </w:rPr>
        <w:t>（6）其他需要说明的情况，包括评标过程中投标人根据评标委员会要求进行的澄清、说明或者补正，评标委员会成员的更换等。</w:t>
      </w:r>
    </w:p>
    <w:p w14:paraId="0FFB2AF9">
      <w:pPr>
        <w:pStyle w:val="3"/>
        <w:widowControl/>
        <w:adjustRightInd w:val="0"/>
        <w:spacing w:before="0" w:after="0" w:line="360" w:lineRule="auto"/>
        <w:ind w:firstLine="482" w:firstLineChars="200"/>
        <w:rPr>
          <w:rFonts w:hint="eastAsia" w:ascii="宋体" w:hAnsi="宋体" w:eastAsia="仿宋"/>
          <w:bCs w:val="0"/>
          <w:color w:val="auto"/>
          <w:sz w:val="24"/>
          <w:szCs w:val="24"/>
          <w:highlight w:val="none"/>
        </w:rPr>
      </w:pPr>
      <w:bookmarkStart w:id="803" w:name="_Toc466024572"/>
      <w:r>
        <w:rPr>
          <w:rFonts w:hint="eastAsia" w:ascii="宋体" w:hAnsi="宋体" w:eastAsia="仿宋"/>
          <w:bCs w:val="0"/>
          <w:color w:val="auto"/>
          <w:sz w:val="24"/>
          <w:szCs w:val="24"/>
          <w:highlight w:val="none"/>
        </w:rPr>
        <w:t>5. 其他</w:t>
      </w:r>
      <w:bookmarkEnd w:id="800"/>
      <w:bookmarkEnd w:id="801"/>
      <w:bookmarkEnd w:id="802"/>
      <w:bookmarkEnd w:id="803"/>
    </w:p>
    <w:p w14:paraId="4049BE24">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7E781FEA">
      <w:pPr>
        <w:pStyle w:val="152"/>
        <w:adjustRightInd w:val="0"/>
        <w:spacing w:line="360" w:lineRule="auto"/>
        <w:ind w:firstLine="480" w:firstLineChars="200"/>
        <w:rPr>
          <w:rFonts w:hint="eastAsia" w:ascii="宋体" w:hAnsi="宋体" w:eastAsia="仿宋"/>
          <w:color w:val="auto"/>
          <w:sz w:val="24"/>
          <w:szCs w:val="24"/>
          <w:highlight w:val="none"/>
        </w:rPr>
      </w:pPr>
      <w:r>
        <w:rPr>
          <w:rFonts w:hint="eastAsia" w:ascii="宋体" w:hAnsi="宋体" w:eastAsia="仿宋"/>
          <w:color w:val="auto"/>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617712EF">
      <w:pPr>
        <w:widowControl/>
        <w:spacing w:line="400" w:lineRule="exact"/>
        <w:ind w:firstLine="480" w:firstLineChars="200"/>
        <w:rPr>
          <w:rFonts w:ascii="宋体" w:hAnsi="宋体" w:eastAsia="仿宋"/>
          <w:color w:val="auto"/>
          <w:sz w:val="24"/>
          <w:highlight w:val="none"/>
        </w:rPr>
      </w:pPr>
    </w:p>
    <w:p w14:paraId="472FDBC6">
      <w:pPr>
        <w:widowControl/>
        <w:spacing w:line="400" w:lineRule="exact"/>
        <w:ind w:firstLine="480" w:firstLineChars="200"/>
        <w:rPr>
          <w:rFonts w:ascii="宋体" w:hAnsi="宋体" w:eastAsia="仿宋"/>
          <w:color w:val="auto"/>
          <w:sz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5180E46">
      <w:pPr>
        <w:pStyle w:val="2"/>
        <w:widowControl/>
        <w:spacing w:before="0" w:after="0" w:line="240" w:lineRule="auto"/>
        <w:jc w:val="center"/>
        <w:rPr>
          <w:rFonts w:hint="eastAsia" w:ascii="宋体" w:hAnsi="宋体" w:eastAsia="仿宋"/>
          <w:color w:val="auto"/>
          <w:highlight w:val="none"/>
        </w:rPr>
      </w:pPr>
      <w:bookmarkStart w:id="804" w:name="_Toc466024582"/>
      <w:bookmarkStart w:id="805" w:name="_Toc445554783"/>
      <w:bookmarkStart w:id="806" w:name="_Toc395"/>
      <w:bookmarkStart w:id="807" w:name="_Toc138323410"/>
      <w:bookmarkStart w:id="808" w:name="_Toc177181404"/>
      <w:bookmarkStart w:id="809" w:name="_Toc162331289"/>
      <w:bookmarkStart w:id="810" w:name="_Toc153635713"/>
      <w:bookmarkStart w:id="811" w:name="_Toc192231354"/>
      <w:bookmarkStart w:id="812" w:name="_Toc256434217"/>
      <w:bookmarkStart w:id="813" w:name="_Toc139194404"/>
      <w:bookmarkStart w:id="814" w:name="_Toc199585022"/>
      <w:bookmarkStart w:id="815" w:name="_Toc255490647"/>
      <w:bookmarkStart w:id="816" w:name="_Toc162406884"/>
      <w:bookmarkStart w:id="817" w:name="_Toc162410278"/>
      <w:bookmarkStart w:id="818" w:name="_Toc138638816"/>
      <w:bookmarkStart w:id="819" w:name="_Toc221418700"/>
      <w:bookmarkStart w:id="820" w:name="_Toc201377864"/>
      <w:bookmarkStart w:id="821" w:name="_Toc153636085"/>
      <w:bookmarkStart w:id="822" w:name="_Toc256409867"/>
      <w:bookmarkStart w:id="823" w:name="_Toc256955329"/>
      <w:bookmarkStart w:id="824" w:name="_Toc153630652"/>
      <w:bookmarkStart w:id="825" w:name="_Toc176780575"/>
      <w:bookmarkStart w:id="826" w:name="_Toc176927207"/>
      <w:bookmarkStart w:id="827" w:name="_Toc153485042"/>
      <w:bookmarkStart w:id="828" w:name="_Toc153634810"/>
      <w:bookmarkStart w:id="829" w:name="_Toc165463683"/>
      <w:bookmarkStart w:id="830" w:name="_Toc152696791"/>
      <w:r>
        <w:rPr>
          <w:rFonts w:hint="eastAsia" w:ascii="宋体" w:hAnsi="宋体" w:eastAsia="仿宋"/>
          <w:color w:val="auto"/>
          <w:highlight w:val="none"/>
        </w:rPr>
        <w:t>第五章  合同条款及格式</w:t>
      </w:r>
      <w:bookmarkEnd w:id="804"/>
      <w:bookmarkEnd w:id="805"/>
      <w:bookmarkEnd w:id="806"/>
    </w:p>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14:paraId="7DBFF8E4">
      <w:pPr>
        <w:spacing w:line="38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设备采购合同</w:t>
      </w:r>
    </w:p>
    <w:p w14:paraId="6D590B8A">
      <w:pPr>
        <w:spacing w:line="380" w:lineRule="exact"/>
        <w:rPr>
          <w:rFonts w:hint="eastAsia" w:ascii="仿宋_GB2312" w:eastAsia="仿宋_GB2312"/>
          <w:color w:val="auto"/>
          <w:sz w:val="24"/>
          <w:highlight w:val="none"/>
        </w:rPr>
      </w:pPr>
      <w:r>
        <w:rPr>
          <w:rFonts w:hint="eastAsia" w:ascii="仿宋_GB2312" w:eastAsia="仿宋_GB2312" w:cs="Arial"/>
          <w:color w:val="auto"/>
          <w:sz w:val="24"/>
          <w:highlight w:val="none"/>
        </w:rPr>
        <w:t>购货单位（以下简称甲方）：</w:t>
      </w:r>
      <w:r>
        <w:rPr>
          <w:rFonts w:hint="eastAsia" w:ascii="仿宋_GB2312" w:eastAsia="仿宋_GB2312"/>
          <w:color w:val="auto"/>
          <w:sz w:val="24"/>
          <w:highlight w:val="none"/>
        </w:rPr>
        <w:t xml:space="preserve">蚌埠医科大学第一附属医院                      </w:t>
      </w:r>
    </w:p>
    <w:p w14:paraId="0E5C55FD">
      <w:pPr>
        <w:spacing w:line="380" w:lineRule="exact"/>
        <w:rPr>
          <w:rFonts w:ascii="仿宋_GB2312" w:hAnsi="Georgia" w:eastAsia="仿宋_GB2312"/>
          <w:color w:val="auto"/>
          <w:sz w:val="24"/>
          <w:highlight w:val="none"/>
        </w:rPr>
      </w:pPr>
      <w:r>
        <w:rPr>
          <w:rFonts w:hint="eastAsia" w:ascii="仿宋_GB2312" w:eastAsia="仿宋_GB2312" w:cs="Arial"/>
          <w:color w:val="auto"/>
          <w:sz w:val="24"/>
          <w:highlight w:val="none"/>
        </w:rPr>
        <w:t>供货单位（以下简称乙方）：</w:t>
      </w:r>
      <w:r>
        <w:rPr>
          <w:rFonts w:hint="eastAsia" w:ascii="仿宋_GB2312" w:eastAsia="仿宋_GB2312" w:cs="Arial"/>
          <w:color w:val="auto"/>
          <w:sz w:val="24"/>
          <w:highlight w:val="none"/>
          <w:u w:val="single"/>
        </w:rPr>
        <w:t xml:space="preserve">                      </w:t>
      </w:r>
      <w:r>
        <w:rPr>
          <w:rFonts w:hint="eastAsia" w:ascii="仿宋_GB2312" w:eastAsia="仿宋_GB2312" w:cs="Arial"/>
          <w:color w:val="auto"/>
          <w:sz w:val="24"/>
          <w:highlight w:val="none"/>
        </w:rPr>
        <w:t xml:space="preserve">                 </w:t>
      </w:r>
      <w:r>
        <w:rPr>
          <w:rFonts w:hint="eastAsia" w:ascii="仿宋_GB2312" w:hAnsi="Georgia" w:eastAsia="仿宋_GB2312"/>
          <w:color w:val="auto"/>
          <w:sz w:val="24"/>
          <w:highlight w:val="none"/>
        </w:rPr>
        <w:t>　　　</w:t>
      </w:r>
    </w:p>
    <w:p w14:paraId="4F101A77">
      <w:pPr>
        <w:spacing w:line="380" w:lineRule="exact"/>
        <w:rPr>
          <w:rFonts w:ascii="仿宋_GB2312" w:hAnsi="Georgia" w:eastAsia="仿宋_GB2312"/>
          <w:color w:val="auto"/>
          <w:sz w:val="24"/>
          <w:highlight w:val="none"/>
        </w:rPr>
      </w:pPr>
      <w:r>
        <w:rPr>
          <w:rFonts w:hint="eastAsia" w:ascii="仿宋_GB2312" w:hAnsi="Georgia" w:eastAsia="仿宋_GB2312"/>
          <w:color w:val="auto"/>
          <w:sz w:val="24"/>
          <w:highlight w:val="none"/>
        </w:rPr>
        <w:t>签订地点：安徽 蚌埠 龙子湖区</w:t>
      </w:r>
    </w:p>
    <w:p w14:paraId="5CBC0AC1">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甲方向乙方订购</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医疗设备及其服务，为明确双方权利和责任，</w:t>
      </w:r>
      <w:r>
        <w:rPr>
          <w:rFonts w:hint="eastAsia" w:ascii="仿宋_GB2312" w:hAnsi="Georgia" w:eastAsia="仿宋_GB2312"/>
          <w:color w:val="auto"/>
          <w:sz w:val="24"/>
          <w:highlight w:val="none"/>
        </w:rPr>
        <w:t>根据《中华人民共和国</w:t>
      </w:r>
      <w:r>
        <w:rPr>
          <w:rFonts w:hint="eastAsia" w:ascii="仿宋_GB2312" w:hAnsi="Georgia" w:eastAsia="仿宋_GB2312"/>
          <w:color w:val="auto"/>
          <w:sz w:val="24"/>
          <w:highlight w:val="none"/>
          <w:lang w:eastAsia="zh-CN"/>
        </w:rPr>
        <w:t>民法典</w:t>
      </w:r>
      <w:r>
        <w:rPr>
          <w:rFonts w:hint="eastAsia" w:ascii="仿宋_GB2312" w:hAnsi="Georgia" w:eastAsia="仿宋_GB2312"/>
          <w:color w:val="auto"/>
          <w:sz w:val="24"/>
          <w:highlight w:val="none"/>
        </w:rPr>
        <w:t>》及其他有关法律法规的规定，甲、乙双方遵循平等自愿、</w:t>
      </w:r>
      <w:r>
        <w:rPr>
          <w:rFonts w:hint="eastAsia" w:ascii="仿宋_GB2312" w:eastAsia="仿宋_GB2312"/>
          <w:color w:val="auto"/>
          <w:sz w:val="24"/>
          <w:highlight w:val="none"/>
        </w:rPr>
        <w:t>互惠互利、协商一致、</w:t>
      </w:r>
      <w:r>
        <w:rPr>
          <w:rFonts w:hint="eastAsia" w:ascii="仿宋_GB2312" w:hAnsi="Georgia" w:eastAsia="仿宋_GB2312"/>
          <w:color w:val="auto"/>
          <w:sz w:val="24"/>
          <w:highlight w:val="none"/>
        </w:rPr>
        <w:t>诚实信用的原则，就产品进货购销事宜协商订立本合同</w:t>
      </w:r>
      <w:r>
        <w:rPr>
          <w:rFonts w:hint="eastAsia" w:ascii="仿宋_GB2312" w:eastAsia="仿宋_GB2312"/>
          <w:color w:val="auto"/>
          <w:sz w:val="24"/>
          <w:highlight w:val="none"/>
        </w:rPr>
        <w:t>共同遵守。具体条款如下：</w:t>
      </w:r>
    </w:p>
    <w:p w14:paraId="6495714D">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一、在本合同签订时，乙方应向甲方提交以下材料：产品注册证、特殊产品生产许可证和业务代表身份证明等。</w:t>
      </w:r>
    </w:p>
    <w:p w14:paraId="7A100528">
      <w:pPr>
        <w:spacing w:line="380" w:lineRule="exact"/>
        <w:ind w:firstLine="480" w:firstLineChars="200"/>
        <w:rPr>
          <w:rFonts w:ascii="仿宋_GB2312" w:eastAsia="仿宋_GB2312"/>
          <w:bCs/>
          <w:color w:val="auto"/>
          <w:sz w:val="24"/>
          <w:highlight w:val="none"/>
        </w:rPr>
      </w:pPr>
      <w:r>
        <w:rPr>
          <w:rFonts w:hint="eastAsia" w:ascii="仿宋_GB2312" w:hAnsi="Arial" w:eastAsia="仿宋_GB2312" w:cs="Arial"/>
          <w:color w:val="auto"/>
          <w:sz w:val="24"/>
          <w:highlight w:val="none"/>
        </w:rPr>
        <w:t>二、</w:t>
      </w:r>
      <w:r>
        <w:rPr>
          <w:rFonts w:hint="eastAsia" w:ascii="仿宋_GB2312" w:eastAsia="仿宋_GB2312"/>
          <w:bCs/>
          <w:color w:val="auto"/>
          <w:sz w:val="24"/>
          <w:highlight w:val="none"/>
        </w:rPr>
        <w:t>采购内容：</w:t>
      </w:r>
    </w:p>
    <w:tbl>
      <w:tblPr>
        <w:tblStyle w:val="46"/>
        <w:tblW w:w="1033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332"/>
        <w:gridCol w:w="1500"/>
        <w:gridCol w:w="854"/>
        <w:gridCol w:w="22"/>
        <w:gridCol w:w="1476"/>
        <w:gridCol w:w="1224"/>
        <w:gridCol w:w="843"/>
        <w:gridCol w:w="1243"/>
      </w:tblGrid>
      <w:tr w14:paraId="2E10B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836" w:type="dxa"/>
            <w:noWrap w:val="0"/>
            <w:vAlign w:val="center"/>
          </w:tcPr>
          <w:p w14:paraId="7D2F69EE">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品     名</w:t>
            </w:r>
          </w:p>
        </w:tc>
        <w:tc>
          <w:tcPr>
            <w:tcW w:w="1332" w:type="dxa"/>
            <w:noWrap w:val="0"/>
            <w:vAlign w:val="center"/>
          </w:tcPr>
          <w:p w14:paraId="7386B139">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型  号</w:t>
            </w:r>
          </w:p>
        </w:tc>
        <w:tc>
          <w:tcPr>
            <w:tcW w:w="1500" w:type="dxa"/>
            <w:noWrap w:val="0"/>
            <w:vAlign w:val="center"/>
          </w:tcPr>
          <w:p w14:paraId="3C046045">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生  产  商</w:t>
            </w:r>
          </w:p>
        </w:tc>
        <w:tc>
          <w:tcPr>
            <w:tcW w:w="876" w:type="dxa"/>
            <w:gridSpan w:val="2"/>
            <w:noWrap w:val="0"/>
            <w:vAlign w:val="center"/>
          </w:tcPr>
          <w:p w14:paraId="5F6AE455">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数 量</w:t>
            </w:r>
          </w:p>
        </w:tc>
        <w:tc>
          <w:tcPr>
            <w:tcW w:w="1476" w:type="dxa"/>
            <w:noWrap w:val="0"/>
            <w:vAlign w:val="center"/>
          </w:tcPr>
          <w:p w14:paraId="3CBF34FE">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单  价</w:t>
            </w:r>
          </w:p>
        </w:tc>
        <w:tc>
          <w:tcPr>
            <w:tcW w:w="1224" w:type="dxa"/>
            <w:noWrap w:val="0"/>
            <w:vAlign w:val="center"/>
          </w:tcPr>
          <w:p w14:paraId="7274CF40">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总  价</w:t>
            </w:r>
          </w:p>
        </w:tc>
        <w:tc>
          <w:tcPr>
            <w:tcW w:w="843" w:type="dxa"/>
            <w:noWrap w:val="0"/>
            <w:vAlign w:val="center"/>
          </w:tcPr>
          <w:p w14:paraId="6005EB7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交货地点</w:t>
            </w:r>
          </w:p>
        </w:tc>
        <w:tc>
          <w:tcPr>
            <w:tcW w:w="1243" w:type="dxa"/>
            <w:noWrap w:val="0"/>
            <w:vAlign w:val="center"/>
          </w:tcPr>
          <w:p w14:paraId="7486FC92">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交货时间</w:t>
            </w:r>
          </w:p>
        </w:tc>
      </w:tr>
      <w:tr w14:paraId="7D853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836" w:type="dxa"/>
            <w:noWrap w:val="0"/>
            <w:vAlign w:val="center"/>
          </w:tcPr>
          <w:p w14:paraId="68284B9F">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332" w:type="dxa"/>
            <w:noWrap w:val="0"/>
            <w:vAlign w:val="center"/>
          </w:tcPr>
          <w:p w14:paraId="084B178C">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500" w:type="dxa"/>
            <w:noWrap w:val="0"/>
            <w:vAlign w:val="center"/>
          </w:tcPr>
          <w:p w14:paraId="4330C84A">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876" w:type="dxa"/>
            <w:gridSpan w:val="2"/>
            <w:noWrap w:val="0"/>
            <w:vAlign w:val="center"/>
          </w:tcPr>
          <w:p w14:paraId="4256E0AB">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476" w:type="dxa"/>
            <w:noWrap w:val="0"/>
            <w:vAlign w:val="center"/>
          </w:tcPr>
          <w:p w14:paraId="45C3DFE9">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1224" w:type="dxa"/>
            <w:noWrap w:val="0"/>
            <w:vAlign w:val="center"/>
          </w:tcPr>
          <w:p w14:paraId="3EB5C0BD">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c>
          <w:tcPr>
            <w:tcW w:w="843" w:type="dxa"/>
            <w:noWrap w:val="0"/>
            <w:vAlign w:val="center"/>
          </w:tcPr>
          <w:p w14:paraId="5095DC44">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甲方指定地点</w:t>
            </w:r>
          </w:p>
        </w:tc>
        <w:tc>
          <w:tcPr>
            <w:tcW w:w="1243" w:type="dxa"/>
            <w:noWrap w:val="0"/>
            <w:vAlign w:val="center"/>
          </w:tcPr>
          <w:p w14:paraId="398DC6C0">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color w:val="auto"/>
                <w:sz w:val="24"/>
                <w:highlight w:val="none"/>
              </w:rPr>
            </w:pPr>
          </w:p>
        </w:tc>
      </w:tr>
      <w:tr w14:paraId="446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0330" w:type="dxa"/>
            <w:gridSpan w:val="9"/>
            <w:noWrap w:val="0"/>
            <w:vAlign w:val="top"/>
          </w:tcPr>
          <w:p w14:paraId="40DDBDB8">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该价格已包括设备所有标配和选配功能，详细配置见标书。</w:t>
            </w:r>
          </w:p>
          <w:p w14:paraId="288AB809">
            <w:pPr>
              <w:keepNext w:val="0"/>
              <w:keepLines w:val="0"/>
              <w:suppressLineNumbers w:val="0"/>
              <w:spacing w:before="0" w:beforeAutospacing="0" w:after="0" w:afterAutospacing="0" w:line="380" w:lineRule="exact"/>
              <w:ind w:left="0" w:right="0"/>
              <w:rPr>
                <w:rFonts w:hint="default" w:ascii="仿宋_GB2312" w:hAnsi="Calibri" w:eastAsia="仿宋_GB2312" w:cs="Times New Roman"/>
                <w:b/>
                <w:color w:val="auto"/>
                <w:sz w:val="24"/>
                <w:highlight w:val="none"/>
              </w:rPr>
            </w:pPr>
            <w:r>
              <w:rPr>
                <w:rFonts w:hint="eastAsia" w:ascii="仿宋_GB2312" w:hAnsi="Calibri" w:eastAsia="仿宋_GB2312" w:cs="Times New Roman"/>
                <w:b/>
                <w:color w:val="auto"/>
                <w:sz w:val="22"/>
                <w:highlight w:val="none"/>
              </w:rPr>
              <w:t>配套耗材价格：</w:t>
            </w:r>
          </w:p>
        </w:tc>
      </w:tr>
      <w:tr w14:paraId="5683D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836" w:type="dxa"/>
            <w:noWrap w:val="0"/>
            <w:vAlign w:val="center"/>
          </w:tcPr>
          <w:p w14:paraId="4442C91A">
            <w:pPr>
              <w:keepNext w:val="0"/>
              <w:keepLines w:val="0"/>
              <w:suppressLineNumbers w:val="0"/>
              <w:spacing w:before="0" w:beforeAutospacing="0" w:after="0" w:afterAutospacing="0" w:line="380" w:lineRule="exact"/>
              <w:ind w:left="0" w:right="0"/>
              <w:jc w:val="center"/>
              <w:rPr>
                <w:rFonts w:hint="default" w:ascii="仿宋_GB2312" w:hAnsi="Calibri" w:eastAsia="仿宋_GB2312" w:cs="Times New Roman"/>
                <w:b/>
                <w:color w:val="auto"/>
                <w:sz w:val="24"/>
                <w:highlight w:val="none"/>
              </w:rPr>
            </w:pPr>
            <w:r>
              <w:rPr>
                <w:rFonts w:hint="eastAsia" w:ascii="仿宋_GB2312" w:hAnsi="Calibri" w:eastAsia="仿宋_GB2312" w:cs="Times New Roman"/>
                <w:b/>
                <w:color w:val="auto"/>
                <w:sz w:val="24"/>
                <w:highlight w:val="none"/>
              </w:rPr>
              <w:t>金 额 合 计</w:t>
            </w:r>
          </w:p>
        </w:tc>
        <w:tc>
          <w:tcPr>
            <w:tcW w:w="3686" w:type="dxa"/>
            <w:gridSpan w:val="3"/>
            <w:noWrap w:val="0"/>
            <w:vAlign w:val="center"/>
          </w:tcPr>
          <w:p w14:paraId="65C301BC">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p>
        </w:tc>
        <w:tc>
          <w:tcPr>
            <w:tcW w:w="4808" w:type="dxa"/>
            <w:gridSpan w:val="5"/>
            <w:noWrap w:val="0"/>
            <w:vAlign w:val="center"/>
          </w:tcPr>
          <w:p w14:paraId="651D3E7C">
            <w:pPr>
              <w:keepNext w:val="0"/>
              <w:keepLines w:val="0"/>
              <w:suppressLineNumbers w:val="0"/>
              <w:spacing w:before="0" w:beforeAutospacing="0" w:after="0" w:afterAutospacing="0" w:line="380" w:lineRule="exact"/>
              <w:ind w:left="0" w:right="0"/>
              <w:rPr>
                <w:rFonts w:hint="default" w:ascii="仿宋_GB2312" w:hAnsi="Calibri" w:eastAsia="仿宋_GB2312" w:cs="Times New Roman"/>
                <w:color w:val="auto"/>
                <w:sz w:val="24"/>
                <w:highlight w:val="none"/>
              </w:rPr>
            </w:pPr>
            <w:r>
              <w:rPr>
                <w:rFonts w:hint="eastAsia" w:ascii="仿宋_GB2312" w:hAnsi="Calibri" w:eastAsia="仿宋_GB2312" w:cs="Times New Roman"/>
                <w:color w:val="auto"/>
                <w:sz w:val="24"/>
                <w:highlight w:val="none"/>
              </w:rPr>
              <w:t>人民币大写：</w:t>
            </w:r>
          </w:p>
        </w:tc>
      </w:tr>
    </w:tbl>
    <w:p w14:paraId="334BB71D">
      <w:pPr>
        <w:spacing w:line="380" w:lineRule="exact"/>
        <w:ind w:firstLine="480" w:firstLineChars="200"/>
        <w:rPr>
          <w:rFonts w:ascii="仿宋_GB2312" w:eastAsia="仿宋_GB2312"/>
          <w:b/>
          <w:bCs/>
          <w:color w:val="auto"/>
          <w:sz w:val="24"/>
          <w:highlight w:val="none"/>
        </w:rPr>
      </w:pPr>
      <w:r>
        <w:rPr>
          <w:rFonts w:hint="eastAsia" w:ascii="仿宋_GB2312" w:eastAsia="仿宋_GB2312"/>
          <w:bCs/>
          <w:color w:val="auto"/>
          <w:sz w:val="24"/>
          <w:highlight w:val="none"/>
        </w:rPr>
        <w:t>注：上表“总价”包含该设备验收合格前发生的所有费用，</w:t>
      </w:r>
      <w:r>
        <w:rPr>
          <w:rFonts w:hint="eastAsia" w:ascii="仿宋_GB2312" w:eastAsia="仿宋_GB2312" w:cs="宋体"/>
          <w:color w:val="auto"/>
          <w:kern w:val="0"/>
          <w:sz w:val="24"/>
          <w:szCs w:val="21"/>
          <w:highlight w:val="none"/>
        </w:rPr>
        <w:t>以及验收合格后发生的与使用该产品相关的</w:t>
      </w:r>
      <w:r>
        <w:rPr>
          <w:rFonts w:hint="eastAsia" w:ascii="仿宋_GB2312" w:eastAsia="仿宋_GB2312" w:cs="宋体"/>
          <w:color w:val="auto"/>
          <w:kern w:val="0"/>
          <w:sz w:val="24"/>
          <w:highlight w:val="none"/>
        </w:rPr>
        <w:t>技术指导、培训、咨询等费用，甲方不再另向乙方支付其它任何费用。</w:t>
      </w:r>
    </w:p>
    <w:p w14:paraId="4AE5188F">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三、</w:t>
      </w:r>
      <w:r>
        <w:rPr>
          <w:rFonts w:hint="eastAsia" w:ascii="仿宋_GB2312" w:hAnsi="Arial" w:eastAsia="仿宋_GB2312" w:cs="Arial"/>
          <w:color w:val="auto"/>
          <w:sz w:val="24"/>
          <w:highlight w:val="none"/>
        </w:rPr>
        <w:t>产品质量：</w:t>
      </w:r>
    </w:p>
    <w:p w14:paraId="6DA6FC65">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color w:val="auto"/>
          <w:sz w:val="24"/>
          <w:highlight w:val="none"/>
        </w:rPr>
        <w:t>1、设备符合产品注册标准、国家强制性标准、国家法律法规规定的标准、招投标文件所要求的技术标准</w:t>
      </w:r>
      <w:r>
        <w:rPr>
          <w:rFonts w:hint="eastAsia" w:ascii="仿宋_GB2312" w:eastAsia="仿宋_GB2312"/>
          <w:color w:val="auto"/>
          <w:sz w:val="24"/>
          <w:highlight w:val="none"/>
        </w:rPr>
        <w:t>。</w:t>
      </w:r>
    </w:p>
    <w:p w14:paraId="1FFB037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2、保证是原产地生产的原装产品，否则按退货处理。</w:t>
      </w:r>
    </w:p>
    <w:p w14:paraId="621F32F5">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3、如因乙方设备原因导致甲方损失，乙方应予以赔偿。</w:t>
      </w:r>
    </w:p>
    <w:p w14:paraId="43F66284">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四、货物交付</w:t>
      </w:r>
    </w:p>
    <w:p w14:paraId="5550BBAA">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1、乙方在合同生效的</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天内向甲方交付上述设备，在满足安装条件之日起</w:t>
      </w:r>
      <w:r>
        <w:rPr>
          <w:rFonts w:hint="eastAsia" w:ascii="仿宋_GB2312" w:eastAsia="仿宋_GB2312"/>
          <w:color w:val="auto"/>
          <w:sz w:val="24"/>
          <w:highlight w:val="none"/>
          <w:u w:val="single"/>
        </w:rPr>
        <w:t xml:space="preserve">  2  </w:t>
      </w:r>
      <w:r>
        <w:rPr>
          <w:rFonts w:hint="eastAsia" w:ascii="仿宋_GB2312" w:eastAsia="仿宋_GB2312"/>
          <w:color w:val="auto"/>
          <w:sz w:val="24"/>
          <w:highlight w:val="none"/>
        </w:rPr>
        <w:t>天内开始安装。</w:t>
      </w:r>
    </w:p>
    <w:p w14:paraId="300DB4E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2、乙方应确保设备安全无损地运抵甲方指定现场，并承担运保费、税费、装卸费等所有相关费用，货物交付甲方后所有权转移至甲方。</w:t>
      </w:r>
    </w:p>
    <w:p w14:paraId="6C28A379">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五、货物验收</w:t>
      </w:r>
    </w:p>
    <w:p w14:paraId="4BDE9C5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1、甲方</w:t>
      </w:r>
      <w:r>
        <w:rPr>
          <w:rFonts w:hint="eastAsia" w:ascii="仿宋_GB2312" w:hAnsi="Arial" w:eastAsia="仿宋_GB2312" w:cs="Arial"/>
          <w:bCs/>
          <w:color w:val="auto"/>
          <w:sz w:val="24"/>
          <w:highlight w:val="none"/>
        </w:rPr>
        <w:t>组织相关专业专家按照</w:t>
      </w:r>
      <w:r>
        <w:rPr>
          <w:rFonts w:hint="eastAsia" w:ascii="仿宋_GB2312" w:hAnsi="Arial" w:eastAsia="仿宋_GB2312" w:cs="Arial"/>
          <w:color w:val="auto"/>
          <w:sz w:val="24"/>
          <w:highlight w:val="none"/>
        </w:rPr>
        <w:t>国家法律法规规定的标准</w:t>
      </w:r>
      <w:r>
        <w:rPr>
          <w:rFonts w:hint="eastAsia" w:ascii="仿宋_GB2312" w:hAnsi="Arial" w:eastAsia="仿宋_GB2312" w:cs="Arial"/>
          <w:bCs/>
          <w:color w:val="auto"/>
          <w:sz w:val="24"/>
          <w:highlight w:val="none"/>
        </w:rPr>
        <w:t>、</w:t>
      </w:r>
      <w:r>
        <w:rPr>
          <w:rFonts w:hint="eastAsia" w:ascii="仿宋_GB2312" w:hAnsi="Arial" w:eastAsia="仿宋_GB2312" w:cs="Arial"/>
          <w:color w:val="auto"/>
          <w:sz w:val="24"/>
          <w:highlight w:val="none"/>
        </w:rPr>
        <w:t>招投标文件所要求的技术标准</w:t>
      </w:r>
      <w:r>
        <w:rPr>
          <w:rFonts w:hint="eastAsia" w:ascii="仿宋_GB2312" w:eastAsia="仿宋_GB2312"/>
          <w:color w:val="auto"/>
          <w:sz w:val="24"/>
          <w:highlight w:val="none"/>
        </w:rPr>
        <w:t>、配置清单、谈判承诺内容和其他约定条款进行到货清点和技术性能验收，技术性能验收在乙方完成设备调试后进行；乙方负责设备免费就位、安装、调试和试运行等工作，期间所发生一切与设备调试相关的费用由乙方承担；甲方有义务协助乙方进行工作，但不承担责任。</w:t>
      </w:r>
    </w:p>
    <w:p w14:paraId="61497DD9">
      <w:pPr>
        <w:spacing w:line="380" w:lineRule="exact"/>
        <w:ind w:firstLine="480" w:firstLineChars="200"/>
        <w:rPr>
          <w:rFonts w:ascii="仿宋_GB2312" w:hAnsi="Arial" w:eastAsia="仿宋_GB2312" w:cs="Arial"/>
          <w:bCs/>
          <w:color w:val="auto"/>
          <w:sz w:val="24"/>
          <w:highlight w:val="none"/>
        </w:rPr>
      </w:pPr>
      <w:r>
        <w:rPr>
          <w:rFonts w:hint="eastAsia" w:ascii="仿宋_GB2312" w:eastAsia="仿宋_GB2312"/>
          <w:color w:val="auto"/>
          <w:sz w:val="24"/>
          <w:highlight w:val="none"/>
        </w:rPr>
        <w:t>2、乙方提供设备的产品说明书</w:t>
      </w:r>
      <w:r>
        <w:rPr>
          <w:rFonts w:hint="eastAsia" w:ascii="仿宋_GB2312" w:hAnsi="宋体" w:eastAsia="仿宋_GB2312"/>
          <w:color w:val="auto"/>
          <w:sz w:val="24"/>
          <w:highlight w:val="none"/>
        </w:rPr>
        <w:t>（用户手册或操作手册）</w:t>
      </w:r>
      <w:r>
        <w:rPr>
          <w:rFonts w:hint="eastAsia" w:ascii="仿宋_GB2312" w:eastAsia="仿宋_GB2312"/>
          <w:color w:val="auto"/>
          <w:sz w:val="24"/>
          <w:highlight w:val="none"/>
        </w:rPr>
        <w:t>、相应的图纸、产品合格证或出厂检验报告、保修证明、发票和其他应具有的单证等，产品具有金属铭牌（标识内容包括产品名称、型号、编号及生产商联系电话等）；</w:t>
      </w:r>
      <w:r>
        <w:rPr>
          <w:rFonts w:hint="eastAsia" w:ascii="仿宋_GB2312" w:hAnsi="Arial" w:eastAsia="仿宋_GB2312" w:cs="Arial"/>
          <w:bCs/>
          <w:color w:val="auto"/>
          <w:sz w:val="24"/>
          <w:highlight w:val="none"/>
        </w:rPr>
        <w:t>对于进口设备，须提供</w:t>
      </w:r>
      <w:r>
        <w:rPr>
          <w:rFonts w:hint="eastAsia" w:ascii="仿宋_GB2312" w:eastAsia="仿宋_GB2312"/>
          <w:color w:val="auto"/>
          <w:sz w:val="24"/>
          <w:highlight w:val="none"/>
        </w:rPr>
        <w:t>原产地证明、</w:t>
      </w:r>
      <w:r>
        <w:rPr>
          <w:rFonts w:hint="eastAsia" w:ascii="仿宋_GB2312" w:hAnsi="Arial" w:eastAsia="仿宋_GB2312" w:cs="Arial"/>
          <w:bCs/>
          <w:color w:val="auto"/>
          <w:sz w:val="24"/>
          <w:highlight w:val="none"/>
        </w:rPr>
        <w:t>相应报关及商检资料，以上文书资料应随同设备一起交付甲方。</w:t>
      </w:r>
    </w:p>
    <w:p w14:paraId="117DDE95">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bCs/>
          <w:color w:val="auto"/>
          <w:sz w:val="24"/>
          <w:highlight w:val="none"/>
        </w:rPr>
        <w:t>3、</w:t>
      </w:r>
      <w:r>
        <w:rPr>
          <w:rFonts w:hint="eastAsia" w:ascii="仿宋_GB2312" w:eastAsia="仿宋_GB2312"/>
          <w:color w:val="auto"/>
          <w:sz w:val="24"/>
          <w:highlight w:val="none"/>
        </w:rPr>
        <w:t>乙方免费提供专用维修工具，免费提供校准、检测和质控相关工具及技术规范；</w:t>
      </w:r>
    </w:p>
    <w:p w14:paraId="0CD4F36D">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4、安装调试验收完成后进入试运行，试运行结束后，双方签署验收文件视为最终验收；</w:t>
      </w:r>
    </w:p>
    <w:p w14:paraId="50517887">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六、随附义务</w:t>
      </w:r>
    </w:p>
    <w:p w14:paraId="2742ECB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负责免费培训设备使用和维修有关人员，现场使用操作培训和定点医院培训均不少于2人次，直至甲方操作人员对设备的软硬件均能正确熟练使用；专业维修培训按标书约定或补充协议执行，免费提供各维修模式密码。</w:t>
      </w:r>
    </w:p>
    <w:p w14:paraId="0D9DDD9E">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2、乙方提供与该设备使用有关技术服务（如制定设备操作规程等）、学术和维修交流等。</w:t>
      </w:r>
    </w:p>
    <w:p w14:paraId="79670DF4">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3、乙方在销售过称中自觉抵制商业贿赂行为，</w:t>
      </w:r>
      <w:r>
        <w:rPr>
          <w:rFonts w:hint="eastAsia" w:ascii="仿宋_GB2312" w:hAnsi="Tahoma" w:eastAsia="仿宋_GB2312" w:cs="Tahoma"/>
          <w:color w:val="auto"/>
          <w:sz w:val="24"/>
          <w:highlight w:val="none"/>
        </w:rPr>
        <w:t>以各种名义给予医疗机构、医疗系统工作人员回扣、提成等。</w:t>
      </w:r>
    </w:p>
    <w:p w14:paraId="7BE39B9D">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4、乙方应保证甲方在使用该设备或其任何一部分时免受第三方提出侵犯其专利权、商标权、工业产权等知识产权的起诉。</w:t>
      </w:r>
    </w:p>
    <w:p w14:paraId="7456E343">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七、付款：</w:t>
      </w:r>
    </w:p>
    <w:p w14:paraId="64A768C2">
      <w:pPr>
        <w:spacing w:line="380" w:lineRule="exact"/>
        <w:ind w:firstLine="420"/>
        <w:rPr>
          <w:rFonts w:hint="eastAsia" w:ascii="仿宋_GB2312" w:eastAsia="仿宋_GB2312"/>
          <w:color w:val="auto"/>
          <w:sz w:val="24"/>
          <w:highlight w:val="none"/>
        </w:rPr>
      </w:pPr>
      <w:r>
        <w:rPr>
          <w:rFonts w:hint="eastAsia" w:ascii="仿宋_GB2312" w:eastAsia="仿宋_GB2312"/>
          <w:color w:val="auto"/>
          <w:sz w:val="24"/>
          <w:highlight w:val="none"/>
        </w:rPr>
        <w:t>1、设备完成安装</w:t>
      </w:r>
      <w:r>
        <w:rPr>
          <w:rFonts w:hint="eastAsia" w:ascii="仿宋_GB2312" w:eastAsia="仿宋_GB2312"/>
          <w:color w:val="auto"/>
          <w:sz w:val="24"/>
          <w:highlight w:val="none"/>
          <w:lang w:eastAsia="zh-CN"/>
        </w:rPr>
        <w:t>并</w:t>
      </w:r>
      <w:r>
        <w:rPr>
          <w:rFonts w:hint="eastAsia" w:ascii="仿宋_GB2312" w:eastAsia="仿宋_GB2312"/>
          <w:color w:val="auto"/>
          <w:sz w:val="24"/>
          <w:highlight w:val="none"/>
        </w:rPr>
        <w:t>验收合格</w:t>
      </w:r>
      <w:r>
        <w:rPr>
          <w:rFonts w:hint="eastAsia" w:ascii="仿宋_GB2312" w:eastAsia="仿宋_GB2312"/>
          <w:color w:val="auto"/>
          <w:sz w:val="24"/>
          <w:highlight w:val="none"/>
          <w:lang w:eastAsia="zh-CN"/>
        </w:rPr>
        <w:t>后</w:t>
      </w:r>
      <w:r>
        <w:rPr>
          <w:rFonts w:hint="eastAsia" w:ascii="仿宋_GB2312" w:eastAsia="仿宋_GB2312"/>
          <w:color w:val="auto"/>
          <w:sz w:val="24"/>
          <w:highlight w:val="none"/>
        </w:rPr>
        <w:t>开具全额发票，按医院付款流程支付</w:t>
      </w:r>
      <w:r>
        <w:rPr>
          <w:rFonts w:hint="eastAsia" w:ascii="仿宋_GB2312" w:eastAsia="仿宋_GB2312"/>
          <w:color w:val="auto"/>
          <w:sz w:val="24"/>
          <w:highlight w:val="none"/>
          <w:lang w:val="en-US" w:eastAsia="zh-CN"/>
        </w:rPr>
        <w:t>至</w:t>
      </w:r>
      <w:r>
        <w:rPr>
          <w:rFonts w:hint="eastAsia" w:ascii="仿宋_GB2312" w:eastAsia="仿宋_GB2312"/>
          <w:color w:val="auto"/>
          <w:sz w:val="24"/>
          <w:highlight w:val="none"/>
        </w:rPr>
        <w:t>合同总价的100%。</w:t>
      </w:r>
    </w:p>
    <w:p w14:paraId="0EB0080B">
      <w:pPr>
        <w:widowControl/>
        <w:adjustRightInd w:val="0"/>
        <w:snapToGrid w:val="0"/>
        <w:spacing w:line="288" w:lineRule="auto"/>
        <w:ind w:firstLine="480" w:firstLineChars="200"/>
        <w:rPr>
          <w:rFonts w:hint="eastAsia" w:ascii="宋体" w:hAnsi="宋体" w:eastAsia="仿宋" w:cs="Calibri"/>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lang w:val="en-US" w:eastAsia="zh-CN"/>
        </w:rPr>
        <w:t>1</w:t>
      </w: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如所投产品为中小企业生产的，合同生效后，预付合同款的40%(</w:t>
      </w:r>
      <w:r>
        <w:rPr>
          <w:rFonts w:hint="eastAsia" w:ascii="宋体" w:hAnsi="宋体" w:eastAsia="仿宋" w:cs="Calibri"/>
          <w:color w:val="auto"/>
          <w:sz w:val="24"/>
          <w:highlight w:val="none"/>
          <w:lang w:val="en-US" w:eastAsia="zh-CN"/>
        </w:rPr>
        <w:t>乙方</w:t>
      </w:r>
      <w:r>
        <w:rPr>
          <w:rFonts w:hint="eastAsia" w:ascii="宋体" w:hAnsi="宋体" w:eastAsia="仿宋" w:cs="Calibri"/>
          <w:color w:val="auto"/>
          <w:sz w:val="24"/>
          <w:highlight w:val="none"/>
        </w:rPr>
        <w:t>向采购人提交等额的预付款保函或其他担保措施，见索即付，期限至设备到达采购人指定地点时);</w:t>
      </w:r>
    </w:p>
    <w:p w14:paraId="3FEA130C">
      <w:pPr>
        <w:widowControl/>
        <w:adjustRightInd w:val="0"/>
        <w:snapToGrid w:val="0"/>
        <w:spacing w:line="288" w:lineRule="auto"/>
        <w:ind w:firstLine="480" w:firstLineChars="200"/>
        <w:rPr>
          <w:rFonts w:hint="eastAsia" w:ascii="仿宋_GB2312" w:eastAsia="仿宋_GB2312"/>
          <w:color w:val="auto"/>
          <w:sz w:val="24"/>
          <w:highlight w:val="none"/>
        </w:rPr>
      </w:pP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lang w:val="en-US" w:eastAsia="zh-CN"/>
        </w:rPr>
        <w:t>2</w:t>
      </w:r>
      <w:r>
        <w:rPr>
          <w:rFonts w:hint="eastAsia" w:ascii="宋体" w:hAnsi="宋体" w:eastAsia="仿宋" w:cs="Calibri"/>
          <w:color w:val="auto"/>
          <w:sz w:val="24"/>
          <w:highlight w:val="none"/>
          <w:lang w:eastAsia="zh-CN"/>
        </w:rPr>
        <w:t>）</w:t>
      </w:r>
      <w:r>
        <w:rPr>
          <w:rFonts w:hint="eastAsia" w:ascii="宋体" w:hAnsi="宋体" w:eastAsia="仿宋" w:cs="Calibri"/>
          <w:color w:val="auto"/>
          <w:sz w:val="24"/>
          <w:highlight w:val="none"/>
        </w:rPr>
        <w:t>如所投产品为非中小企业生产的，合同生效后，预付合同款的20%(</w:t>
      </w:r>
      <w:r>
        <w:rPr>
          <w:rFonts w:hint="eastAsia" w:ascii="宋体" w:hAnsi="宋体" w:eastAsia="仿宋" w:cs="Calibri"/>
          <w:color w:val="auto"/>
          <w:sz w:val="24"/>
          <w:highlight w:val="none"/>
          <w:lang w:val="en-US" w:eastAsia="zh-CN"/>
        </w:rPr>
        <w:t>乙方</w:t>
      </w:r>
      <w:r>
        <w:rPr>
          <w:rFonts w:hint="eastAsia" w:ascii="宋体" w:hAnsi="宋体" w:eastAsia="仿宋" w:cs="Calibri"/>
          <w:color w:val="auto"/>
          <w:sz w:val="24"/>
          <w:highlight w:val="none"/>
        </w:rPr>
        <w:t>向采购人提交等额的预付款保函或其他担保措施，见索即付，期限至设备到达采购人指定地点时)。</w:t>
      </w:r>
    </w:p>
    <w:p w14:paraId="5EDE171A">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2、支付方式：电汇                    币种： 人民币</w:t>
      </w:r>
    </w:p>
    <w:p w14:paraId="2514AAEB">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八、维修：</w:t>
      </w:r>
    </w:p>
    <w:p w14:paraId="2269CC15">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1、乙方提供设备整机（含所有部件）保修期</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个月。保修期自双方签署验收文件之日起计算，保修期内免零配件费、工时费等为维修设备而发生的一切其它费用。</w:t>
      </w:r>
    </w:p>
    <w:p w14:paraId="498CB9A3">
      <w:pPr>
        <w:spacing w:line="380" w:lineRule="exact"/>
        <w:ind w:firstLine="420"/>
        <w:rPr>
          <w:rFonts w:ascii="仿宋_GB2312" w:hAnsi="宋体" w:eastAsia="仿宋_GB2312"/>
          <w:color w:val="auto"/>
          <w:sz w:val="24"/>
          <w:highlight w:val="none"/>
        </w:rPr>
      </w:pPr>
      <w:r>
        <w:rPr>
          <w:rFonts w:hint="eastAsia" w:ascii="仿宋_GB2312" w:eastAsia="仿宋_GB2312"/>
          <w:color w:val="auto"/>
          <w:sz w:val="24"/>
          <w:highlight w:val="none"/>
        </w:rPr>
        <w:t>2、乙方在保修期内应确保开机率95%以上，即每年故障和维修时间少于18天，如超过，</w:t>
      </w:r>
      <w:r>
        <w:rPr>
          <w:rFonts w:hint="eastAsia" w:ascii="仿宋_GB2312" w:hAnsi="宋体" w:eastAsia="仿宋_GB2312"/>
          <w:color w:val="auto"/>
          <w:sz w:val="24"/>
          <w:highlight w:val="none"/>
        </w:rPr>
        <w:t>则按照1:5顺延保修时间。</w:t>
      </w:r>
    </w:p>
    <w:p w14:paraId="53EE406C">
      <w:pPr>
        <w:spacing w:line="380" w:lineRule="exact"/>
        <w:ind w:firstLine="420"/>
        <w:rPr>
          <w:rFonts w:hint="eastAsia" w:ascii="仿宋_GB2312" w:hAnsi="宋体" w:eastAsia="仿宋_GB2312"/>
          <w:color w:val="auto"/>
          <w:sz w:val="24"/>
          <w:highlight w:val="none"/>
        </w:rPr>
      </w:pPr>
      <w:r>
        <w:rPr>
          <w:rFonts w:hint="eastAsia" w:ascii="仿宋_GB2312" w:hAnsi="宋体" w:eastAsia="仿宋_GB2312"/>
          <w:color w:val="auto"/>
          <w:sz w:val="24"/>
          <w:highlight w:val="none"/>
        </w:rPr>
        <w:t>3、保修期内，乙方免费提供不低于4次/年的标准化原厂预防性维护保养服务并附保养内容和实施方案；</w:t>
      </w:r>
    </w:p>
    <w:p w14:paraId="699A0697">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4、保修期内维修响应时间2小时，到现场时间12小时；</w:t>
      </w:r>
    </w:p>
    <w:p w14:paraId="33EA2912">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5、设备在保修期内如出现三次以上因质量问题引起的故障，公司应负责更换相同配置的新设备。</w:t>
      </w:r>
    </w:p>
    <w:p w14:paraId="6292CF51">
      <w:pPr>
        <w:spacing w:line="380" w:lineRule="exact"/>
        <w:ind w:firstLine="420"/>
        <w:rPr>
          <w:rFonts w:ascii="仿宋_GB2312" w:eastAsia="仿宋_GB2312"/>
          <w:color w:val="auto"/>
          <w:sz w:val="24"/>
          <w:highlight w:val="none"/>
        </w:rPr>
      </w:pPr>
      <w:r>
        <w:rPr>
          <w:rFonts w:hint="eastAsia" w:ascii="仿宋_GB2312" w:eastAsia="仿宋_GB2312"/>
          <w:color w:val="auto"/>
          <w:sz w:val="24"/>
          <w:highlight w:val="none"/>
        </w:rPr>
        <w:t>6、保修期满后，设备故障时乙方应先提供维修服务，甲方在设备故障排除30天内付款；维修时间超过72h，乙方</w:t>
      </w:r>
      <w:r>
        <w:rPr>
          <w:rFonts w:hint="eastAsia" w:ascii="仿宋_GB2312" w:eastAsia="仿宋_GB2312" w:cs="宋体"/>
          <w:color w:val="auto"/>
          <w:kern w:val="0"/>
          <w:sz w:val="24"/>
          <w:highlight w:val="none"/>
        </w:rPr>
        <w:t>提供相同功能档次的</w:t>
      </w:r>
      <w:r>
        <w:rPr>
          <w:rFonts w:hint="eastAsia" w:ascii="仿宋_GB2312" w:eastAsia="仿宋_GB2312"/>
          <w:color w:val="auto"/>
          <w:sz w:val="24"/>
          <w:highlight w:val="none"/>
        </w:rPr>
        <w:t>备用设备</w:t>
      </w:r>
      <w:r>
        <w:rPr>
          <w:rFonts w:hint="eastAsia" w:ascii="仿宋_GB2312" w:eastAsia="仿宋_GB2312" w:cs="宋体"/>
          <w:color w:val="auto"/>
          <w:kern w:val="0"/>
          <w:sz w:val="24"/>
          <w:highlight w:val="none"/>
        </w:rPr>
        <w:t>给甲方作为代替使用</w:t>
      </w:r>
      <w:r>
        <w:rPr>
          <w:rFonts w:hint="eastAsia" w:ascii="仿宋_GB2312" w:eastAsia="仿宋_GB2312"/>
          <w:color w:val="auto"/>
          <w:sz w:val="24"/>
          <w:highlight w:val="none"/>
        </w:rPr>
        <w:t>。</w:t>
      </w:r>
    </w:p>
    <w:p w14:paraId="28AB58A6">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九、</w:t>
      </w:r>
      <w:r>
        <w:rPr>
          <w:rFonts w:hint="eastAsia" w:ascii="仿宋_GB2312" w:hAnsi="Arial" w:eastAsia="仿宋_GB2312" w:cs="Arial"/>
          <w:color w:val="auto"/>
          <w:sz w:val="24"/>
          <w:highlight w:val="none"/>
        </w:rPr>
        <w:t>合同纠纷：甲、乙双方因履行本合同发生争议时，双方应通过友好协商解决，</w:t>
      </w:r>
      <w:r>
        <w:rPr>
          <w:rFonts w:hint="eastAsia" w:ascii="仿宋_GB2312" w:eastAsia="仿宋_GB2312"/>
          <w:color w:val="auto"/>
          <w:sz w:val="24"/>
          <w:highlight w:val="none"/>
        </w:rPr>
        <w:t>不能协商解决时，可向合同签订地人民法院起诉</w:t>
      </w:r>
      <w:r>
        <w:rPr>
          <w:rFonts w:hint="eastAsia" w:ascii="仿宋_GB2312" w:hAnsi="Arial" w:eastAsia="仿宋_GB2312" w:cs="Arial"/>
          <w:color w:val="auto"/>
          <w:sz w:val="24"/>
          <w:highlight w:val="none"/>
        </w:rPr>
        <w:t xml:space="preserve">。 </w:t>
      </w:r>
    </w:p>
    <w:p w14:paraId="37233F52">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十、违约责任</w:t>
      </w:r>
    </w:p>
    <w:p w14:paraId="5B96E57B">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1、乙方不能交货的，甲方不再向乙方支付剩余货款，乙方除足额返还甲方已付货款外，应向甲方偿付相当于不能交货部分货款10%的违约金。</w:t>
      </w:r>
    </w:p>
    <w:p w14:paraId="27327826">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2、乙方所交货物品种、规格、质量不符合国家法律法规和合同规定的，由乙方负责包换或退货，并承担换退货实际费用。</w:t>
      </w:r>
    </w:p>
    <w:p w14:paraId="1F2F225B">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3、乙方逾期交货的，每逾期一日，按合同总金额的千分之一向甲方支付违约金，并承担甲方因此所受的损失。乙方逾期供货超过30日，甲方有权解除合同，乙方应返还甲方所支付货款，并按合同总金额的20%向甲方支付违约金。</w:t>
      </w:r>
    </w:p>
    <w:p w14:paraId="173DD1A9">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4、合同货物到达指定位置满30天仍不能完成安装、调试和技术性能验收的，乙方应根据甲方要求给予退货或调换同样规格新货物，并承担由此给甲方带来的损失（按设备平均工作日效益计算）。</w:t>
      </w:r>
    </w:p>
    <w:p w14:paraId="5E14486C">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十一、合同附件</w:t>
      </w:r>
    </w:p>
    <w:p w14:paraId="35057DF1">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合同附件是本合同不可分割的组成部分，与合同具有同等法律效力。</w:t>
      </w:r>
    </w:p>
    <w:p w14:paraId="59042588">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本合同附件包括：配置清单、技术标准、设备技术说明、招投标文件、谈判记录及其他承诺等。</w:t>
      </w:r>
    </w:p>
    <w:p w14:paraId="049D73B9">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十二、其它</w:t>
      </w:r>
    </w:p>
    <w:p w14:paraId="16886F67">
      <w:pPr>
        <w:spacing w:line="380" w:lineRule="exact"/>
        <w:ind w:firstLine="480" w:firstLineChars="200"/>
        <w:rPr>
          <w:rFonts w:ascii="仿宋_GB2312" w:eastAsia="仿宋_GB2312"/>
          <w:color w:val="auto"/>
          <w:sz w:val="24"/>
          <w:highlight w:val="none"/>
        </w:rPr>
      </w:pPr>
      <w:r>
        <w:rPr>
          <w:rFonts w:hint="eastAsia" w:ascii="仿宋_GB2312" w:hAnsi="Arial" w:eastAsia="仿宋_GB2312" w:cs="Arial"/>
          <w:color w:val="auto"/>
          <w:sz w:val="24"/>
          <w:highlight w:val="none"/>
        </w:rPr>
        <w:t>合同未尽事宜，由甲乙双方另行协商或签订补充协议，补充协议是本合同的组成部分，</w:t>
      </w:r>
      <w:r>
        <w:rPr>
          <w:rFonts w:hint="eastAsia" w:ascii="仿宋_GB2312" w:eastAsia="仿宋_GB2312"/>
          <w:color w:val="auto"/>
          <w:sz w:val="24"/>
          <w:highlight w:val="none"/>
        </w:rPr>
        <w:t>与合同具有同等法律效力。</w:t>
      </w:r>
    </w:p>
    <w:p w14:paraId="46F1F611">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十三、合同生效</w:t>
      </w:r>
    </w:p>
    <w:p w14:paraId="48A1304B">
      <w:pPr>
        <w:spacing w:line="38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本合同在甲乙双方签字盖章后生效，未经双方同意，任一方转让本合同无效。</w:t>
      </w:r>
    </w:p>
    <w:p w14:paraId="499A739A">
      <w:pPr>
        <w:spacing w:line="380" w:lineRule="exact"/>
        <w:ind w:firstLine="480" w:firstLineChars="200"/>
        <w:rPr>
          <w:rFonts w:ascii="仿宋_GB2312" w:hAnsi="Arial" w:eastAsia="仿宋_GB2312" w:cs="Arial"/>
          <w:color w:val="auto"/>
          <w:sz w:val="24"/>
          <w:highlight w:val="none"/>
        </w:rPr>
      </w:pPr>
      <w:r>
        <w:rPr>
          <w:rFonts w:hint="eastAsia" w:ascii="仿宋_GB2312" w:eastAsia="仿宋_GB2312"/>
          <w:color w:val="auto"/>
          <w:sz w:val="24"/>
          <w:highlight w:val="none"/>
        </w:rPr>
        <w:t>十四、</w:t>
      </w:r>
      <w:r>
        <w:rPr>
          <w:rFonts w:hint="eastAsia" w:ascii="仿宋_GB2312" w:hAnsi="Arial" w:eastAsia="仿宋_GB2312" w:cs="Arial"/>
          <w:color w:val="auto"/>
          <w:sz w:val="24"/>
          <w:highlight w:val="none"/>
        </w:rPr>
        <w:t xml:space="preserve">本合同一式四份，甲方三份乙方一份。 </w:t>
      </w:r>
    </w:p>
    <w:p w14:paraId="1A71B010">
      <w:pPr>
        <w:spacing w:line="380" w:lineRule="exact"/>
        <w:ind w:firstLine="480" w:firstLineChars="200"/>
        <w:rPr>
          <w:rFonts w:ascii="仿宋_GB2312" w:hAnsi="Arial" w:eastAsia="仿宋_GB2312" w:cs="Arial"/>
          <w:color w:val="auto"/>
          <w:sz w:val="24"/>
          <w:highlight w:val="none"/>
        </w:rPr>
      </w:pPr>
    </w:p>
    <w:p w14:paraId="6CBB462A">
      <w:pPr>
        <w:spacing w:line="380" w:lineRule="exact"/>
        <w:ind w:firstLine="480" w:firstLineChars="20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购货单位（甲方</w:t>
      </w:r>
      <w:r>
        <w:rPr>
          <w:rFonts w:hint="eastAsia" w:ascii="仿宋_GB2312" w:hAnsi="Georgia" w:eastAsia="仿宋_GB2312" w:cs="宋体"/>
          <w:color w:val="auto"/>
          <w:kern w:val="0"/>
          <w:sz w:val="24"/>
          <w:highlight w:val="none"/>
        </w:rPr>
        <w:t>盖章</w:t>
      </w:r>
      <w:r>
        <w:rPr>
          <w:rFonts w:hint="eastAsia" w:ascii="仿宋_GB2312" w:hAnsi="Arial" w:eastAsia="仿宋_GB2312" w:cs="Arial"/>
          <w:color w:val="auto"/>
          <w:sz w:val="24"/>
          <w:highlight w:val="none"/>
        </w:rPr>
        <w:t>）： 蚌埠医科大学第一附属医院              供货单位：（乙方</w:t>
      </w:r>
      <w:r>
        <w:rPr>
          <w:rFonts w:hint="eastAsia" w:ascii="仿宋_GB2312" w:hAnsi="Georgia" w:eastAsia="仿宋_GB2312" w:cs="宋体"/>
          <w:color w:val="auto"/>
          <w:kern w:val="0"/>
          <w:sz w:val="24"/>
          <w:highlight w:val="none"/>
        </w:rPr>
        <w:t>盖章</w:t>
      </w:r>
      <w:r>
        <w:rPr>
          <w:rFonts w:hint="eastAsia" w:ascii="仿宋_GB2312" w:hAnsi="Arial" w:eastAsia="仿宋_GB2312" w:cs="Arial"/>
          <w:color w:val="auto"/>
          <w:sz w:val="24"/>
          <w:highlight w:val="none"/>
        </w:rPr>
        <w:t>）：</w:t>
      </w:r>
    </w:p>
    <w:p w14:paraId="235AB123">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地 址： 安徽省蚌埠市长淮路287号                           地 址： </w:t>
      </w:r>
    </w:p>
    <w:p w14:paraId="4C13AC84">
      <w:pPr>
        <w:spacing w:line="380" w:lineRule="exact"/>
        <w:ind w:left="420"/>
        <w:rPr>
          <w:rFonts w:hint="eastAsia" w:ascii="仿宋_GB2312" w:hAnsi="Georgia" w:eastAsia="仿宋_GB2312" w:cs="宋体"/>
          <w:color w:val="auto"/>
          <w:kern w:val="0"/>
          <w:sz w:val="24"/>
          <w:highlight w:val="none"/>
        </w:rPr>
      </w:pPr>
      <w:r>
        <w:rPr>
          <w:rFonts w:hint="eastAsia" w:ascii="仿宋_GB2312" w:hAnsi="Georgia" w:eastAsia="仿宋_GB2312" w:cs="宋体"/>
          <w:color w:val="auto"/>
          <w:kern w:val="0"/>
          <w:sz w:val="24"/>
          <w:highlight w:val="none"/>
        </w:rPr>
        <w:t>电话/传真：0552-3086953（设备科）</w:t>
      </w:r>
      <w:r>
        <w:rPr>
          <w:rFonts w:hint="eastAsia" w:ascii="仿宋_GB2312" w:hAnsi="Arial" w:eastAsia="仿宋_GB2312" w:cs="Arial"/>
          <w:color w:val="auto"/>
          <w:sz w:val="24"/>
          <w:highlight w:val="none"/>
        </w:rPr>
        <w:t xml:space="preserve">                          </w:t>
      </w:r>
      <w:r>
        <w:rPr>
          <w:rFonts w:hint="eastAsia" w:ascii="仿宋_GB2312" w:hAnsi="Georgia" w:eastAsia="仿宋_GB2312" w:cs="宋体"/>
          <w:color w:val="auto"/>
          <w:kern w:val="0"/>
          <w:sz w:val="24"/>
          <w:highlight w:val="none"/>
        </w:rPr>
        <w:t>电话/传真：</w:t>
      </w:r>
    </w:p>
    <w:p w14:paraId="5E5ECE65">
      <w:pPr>
        <w:spacing w:line="380" w:lineRule="exact"/>
        <w:ind w:left="420"/>
        <w:rPr>
          <w:rFonts w:ascii="仿宋_GB2312" w:hAnsi="Arial" w:eastAsia="仿宋_GB2312" w:cs="Arial"/>
          <w:color w:val="auto"/>
          <w:sz w:val="24"/>
          <w:highlight w:val="none"/>
        </w:rPr>
      </w:pPr>
      <w:r>
        <w:rPr>
          <w:rFonts w:hint="eastAsia" w:ascii="仿宋_GB2312" w:hAnsi="Georgia" w:eastAsia="仿宋_GB2312" w:cs="宋体"/>
          <w:color w:val="auto"/>
          <w:kern w:val="0"/>
          <w:sz w:val="24"/>
          <w:highlight w:val="none"/>
        </w:rPr>
        <w:t>电子邮件：                                                 电子邮件：</w:t>
      </w:r>
    </w:p>
    <w:p w14:paraId="58FFCBF9">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开 户 行： </w:t>
      </w:r>
      <w:r>
        <w:rPr>
          <w:rFonts w:hint="eastAsia" w:ascii="仿宋_GB2312" w:hAnsi="Arial" w:eastAsia="仿宋_GB2312" w:cs="Arial"/>
          <w:color w:val="auto"/>
          <w:sz w:val="22"/>
          <w:highlight w:val="none"/>
        </w:rPr>
        <w:t>农业银行蚌埠开发区支行</w:t>
      </w:r>
      <w:r>
        <w:rPr>
          <w:rFonts w:hint="eastAsia" w:ascii="仿宋_GB2312" w:hAnsi="Arial" w:eastAsia="仿宋_GB2312" w:cs="Arial"/>
          <w:color w:val="auto"/>
          <w:sz w:val="24"/>
          <w:highlight w:val="none"/>
        </w:rPr>
        <w:t xml:space="preserve">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开 户 行： </w:t>
      </w:r>
    </w:p>
    <w:p w14:paraId="728C95E6">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 xml:space="preserve">帐 号：  12093001040011096                              </w:t>
      </w:r>
      <w:r>
        <w:rPr>
          <w:rFonts w:ascii="仿宋_GB2312" w:hAnsi="Arial" w:eastAsia="仿宋_GB2312" w:cs="Arial"/>
          <w:color w:val="auto"/>
          <w:sz w:val="24"/>
          <w:highlight w:val="none"/>
        </w:rPr>
        <w:t xml:space="preserve"> </w:t>
      </w:r>
      <w:r>
        <w:rPr>
          <w:rFonts w:hint="eastAsia" w:ascii="仿宋_GB2312" w:hAnsi="Arial" w:eastAsia="仿宋_GB2312" w:cs="Arial"/>
          <w:color w:val="auto"/>
          <w:sz w:val="24"/>
          <w:highlight w:val="none"/>
        </w:rPr>
        <w:t xml:space="preserve">  帐 号： </w:t>
      </w:r>
    </w:p>
    <w:p w14:paraId="1555DE73">
      <w:pPr>
        <w:spacing w:line="380" w:lineRule="exact"/>
        <w:ind w:left="420"/>
        <w:rPr>
          <w:rFonts w:ascii="仿宋_GB2312" w:hAnsi="Arial" w:eastAsia="仿宋_GB2312" w:cs="Arial"/>
          <w:color w:val="auto"/>
          <w:sz w:val="24"/>
          <w:highlight w:val="none"/>
        </w:rPr>
      </w:pPr>
      <w:r>
        <w:rPr>
          <w:rFonts w:hint="eastAsia" w:ascii="仿宋_GB2312" w:hAnsi="Arial" w:eastAsia="仿宋_GB2312" w:cs="Arial"/>
          <w:color w:val="auto"/>
          <w:sz w:val="24"/>
          <w:highlight w:val="none"/>
        </w:rPr>
        <w:t>税 号：123400004850011660                                  税 号：</w:t>
      </w:r>
    </w:p>
    <w:p w14:paraId="36E5AB62">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法定代表人：                                               法定代表人：              法人或销售总经理电话：</w:t>
      </w:r>
    </w:p>
    <w:p w14:paraId="252DADA6">
      <w:pPr>
        <w:spacing w:line="380" w:lineRule="exact"/>
        <w:ind w:left="420"/>
        <w:rPr>
          <w:rFonts w:hint="eastAsia" w:ascii="仿宋_GB2312" w:hAnsi="Arial" w:eastAsia="仿宋_GB2312" w:cs="Arial"/>
          <w:color w:val="auto"/>
          <w:sz w:val="24"/>
          <w:highlight w:val="none"/>
        </w:rPr>
      </w:pPr>
      <w:r>
        <w:rPr>
          <w:rFonts w:hint="eastAsia" w:ascii="仿宋_GB2312" w:hAnsi="Arial" w:eastAsia="仿宋_GB2312" w:cs="Arial"/>
          <w:color w:val="auto"/>
          <w:sz w:val="24"/>
          <w:highlight w:val="none"/>
        </w:rPr>
        <w:t>委托代理人：                                               委托代理人：              电话：</w:t>
      </w:r>
    </w:p>
    <w:p w14:paraId="24953302">
      <w:pPr>
        <w:spacing w:line="380" w:lineRule="exact"/>
        <w:ind w:left="420"/>
        <w:rPr>
          <w:rFonts w:ascii="仿宋_GB2312" w:hAnsi="Georgia" w:eastAsia="仿宋_GB2312" w:cs="宋体"/>
          <w:color w:val="auto"/>
          <w:kern w:val="0"/>
          <w:sz w:val="24"/>
          <w:highlight w:val="none"/>
        </w:rPr>
      </w:pPr>
      <w:r>
        <w:rPr>
          <w:rFonts w:hint="eastAsia" w:ascii="仿宋_GB2312" w:hAnsi="Georgia" w:eastAsia="仿宋_GB2312" w:cs="宋体"/>
          <w:color w:val="auto"/>
          <w:kern w:val="0"/>
          <w:sz w:val="24"/>
          <w:highlight w:val="none"/>
        </w:rPr>
        <w:t xml:space="preserve">签字日期：　    年　 </w:t>
      </w:r>
      <w:r>
        <w:rPr>
          <w:rFonts w:ascii="仿宋_GB2312" w:hAnsi="Georgia" w:eastAsia="仿宋_GB2312" w:cs="宋体"/>
          <w:color w:val="auto"/>
          <w:kern w:val="0"/>
          <w:sz w:val="24"/>
          <w:highlight w:val="none"/>
        </w:rPr>
        <w:t xml:space="preserve"> </w:t>
      </w:r>
      <w:r>
        <w:rPr>
          <w:rFonts w:hint="eastAsia" w:ascii="仿宋_GB2312" w:hAnsi="Georgia" w:eastAsia="仿宋_GB2312" w:cs="宋体"/>
          <w:color w:val="auto"/>
          <w:kern w:val="0"/>
          <w:sz w:val="24"/>
          <w:highlight w:val="none"/>
        </w:rPr>
        <w:t>月　  日　　　　                     签字日期：　     年　  月　  日</w:t>
      </w:r>
    </w:p>
    <w:p w14:paraId="2EEF718A">
      <w:pPr>
        <w:spacing w:line="380" w:lineRule="exact"/>
        <w:ind w:left="420"/>
        <w:rPr>
          <w:rFonts w:ascii="微软雅黑" w:hAnsi="微软雅黑" w:eastAsia="微软雅黑"/>
          <w:color w:val="auto"/>
          <w:sz w:val="33"/>
          <w:szCs w:val="33"/>
          <w:highlight w:val="none"/>
          <w:shd w:val="clear" w:color="auto" w:fill="FFFFFF"/>
        </w:rPr>
        <w:sectPr>
          <w:pgSz w:w="11906" w:h="16838"/>
          <w:pgMar w:top="794" w:right="737" w:bottom="794" w:left="737" w:header="851" w:footer="992" w:gutter="0"/>
          <w:pgBorders>
            <w:top w:val="none" w:sz="0" w:space="0"/>
            <w:left w:val="none" w:sz="0" w:space="0"/>
            <w:bottom w:val="none" w:sz="0" w:space="0"/>
            <w:right w:val="none" w:sz="0" w:space="0"/>
          </w:pgBorders>
          <w:cols w:space="720" w:num="1"/>
          <w:docGrid w:type="lines" w:linePitch="312" w:charSpace="0"/>
        </w:sectPr>
      </w:pPr>
    </w:p>
    <w:p w14:paraId="3548184A">
      <w:pPr>
        <w:spacing w:line="360" w:lineRule="auto"/>
        <w:ind w:firstLine="161" w:firstLineChars="50"/>
        <w:jc w:val="center"/>
        <w:rPr>
          <w:rFonts w:ascii="宋体" w:hAnsi="宋体"/>
          <w:b/>
          <w:color w:val="auto"/>
          <w:sz w:val="32"/>
          <w:szCs w:val="32"/>
          <w:highlight w:val="none"/>
        </w:rPr>
      </w:pPr>
      <w:r>
        <w:rPr>
          <w:rFonts w:hint="eastAsia" w:ascii="宋体" w:hAnsi="宋体"/>
          <w:b/>
          <w:color w:val="auto"/>
          <w:sz w:val="32"/>
          <w:szCs w:val="32"/>
          <w:highlight w:val="none"/>
        </w:rPr>
        <w:t>医疗卫生机构医药产品廉洁购销合同</w:t>
      </w:r>
    </w:p>
    <w:p w14:paraId="404596AC">
      <w:pPr>
        <w:spacing w:line="360" w:lineRule="auto"/>
        <w:rPr>
          <w:rFonts w:hint="eastAsia" w:ascii="宋体" w:hAnsi="宋体"/>
          <w:color w:val="auto"/>
          <w:sz w:val="24"/>
          <w:highlight w:val="none"/>
        </w:rPr>
      </w:pPr>
      <w:r>
        <w:rPr>
          <w:rFonts w:hint="eastAsia" w:ascii="宋体" w:hAnsi="宋体"/>
          <w:color w:val="auto"/>
          <w:sz w:val="24"/>
          <w:highlight w:val="none"/>
        </w:rPr>
        <w:t>甲方：蚌埠医科大学第一附属医院</w:t>
      </w:r>
    </w:p>
    <w:p w14:paraId="528863D6">
      <w:pPr>
        <w:spacing w:line="360" w:lineRule="auto"/>
        <w:rPr>
          <w:rFonts w:ascii="宋体" w:hAnsi="宋体"/>
          <w:color w:val="auto"/>
          <w:sz w:val="24"/>
          <w:highlight w:val="none"/>
          <w:u w:val="single"/>
        </w:rPr>
      </w:pPr>
      <w:r>
        <w:rPr>
          <w:rFonts w:hint="eastAsia" w:ascii="宋体" w:hAnsi="宋体"/>
          <w:color w:val="auto"/>
          <w:sz w:val="24"/>
          <w:highlight w:val="none"/>
        </w:rPr>
        <w:t>乙方：</w:t>
      </w:r>
      <w:r>
        <w:rPr>
          <w:rFonts w:hint="eastAsia" w:ascii="宋体" w:hAnsi="宋体"/>
          <w:color w:val="auto"/>
          <w:sz w:val="24"/>
          <w:highlight w:val="none"/>
          <w:u w:val="single"/>
        </w:rPr>
        <w:t xml:space="preserve">                      </w:t>
      </w:r>
    </w:p>
    <w:p w14:paraId="5FC7F298">
      <w:pPr>
        <w:spacing w:line="360" w:lineRule="auto"/>
        <w:rPr>
          <w:rFonts w:ascii="仿宋" w:hAnsi="仿宋" w:eastAsia="仿宋"/>
          <w:color w:val="auto"/>
          <w:sz w:val="24"/>
          <w:highlight w:val="none"/>
        </w:rPr>
      </w:pPr>
      <w:r>
        <w:rPr>
          <w:rFonts w:hint="eastAsia" w:ascii="宋体" w:hAnsi="宋体"/>
          <w:color w:val="auto"/>
          <w:sz w:val="28"/>
          <w:szCs w:val="28"/>
          <w:highlight w:val="none"/>
        </w:rPr>
        <w:t xml:space="preserve">    </w:t>
      </w:r>
      <w:r>
        <w:rPr>
          <w:rFonts w:hint="eastAsia" w:ascii="仿宋" w:hAnsi="仿宋" w:eastAsia="仿宋"/>
          <w:color w:val="auto"/>
          <w:sz w:val="24"/>
          <w:highlight w:val="none"/>
        </w:rPr>
        <w:t>为进一步加强医疗卫生行风建设，规范医疗卫生机构医药购销行为，有效防范商业贿赂行为，营造公平交易、 诚实守信的购销环境，经甲、乙双方协商，同意签订本合同，并共同遵守：</w:t>
      </w:r>
    </w:p>
    <w:p w14:paraId="646A1122">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一、甲乙双方按照《合同法》及医药产品购销合同约定购销药品、医用耗材、医用设备等医药产品。</w:t>
      </w:r>
    </w:p>
    <w:p w14:paraId="797E273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二、甲方应当严格执行医药产品购销合同验收、入库制度，对采购医药产品及发票进行查验，不得违反有关规定合同外采购、违价采购或从非规定渠道采购。</w:t>
      </w:r>
    </w:p>
    <w:p w14:paraId="34EEFD8F">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13C6FDC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四、严禁甲方工作人员利用任何途径和方式，为乙方统计医师个人及临床科室有关医药产品用量信息，或为乙方统计提供便利。</w:t>
      </w:r>
    </w:p>
    <w:p w14:paraId="06ED5475">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五、乙方不得以回扣、宴请等方式影响甲方工作人员采购或使用医药产品的选择权，不得在学术活动中提供旅游、超标准支付食宿费用。</w:t>
      </w:r>
    </w:p>
    <w:p w14:paraId="399B5B60">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六、乙方指定</w:t>
      </w:r>
      <w:r>
        <w:rPr>
          <w:rFonts w:ascii="仿宋" w:hAnsi="仿宋" w:eastAsia="仿宋"/>
          <w:color w:val="auto"/>
          <w:sz w:val="24"/>
          <w:highlight w:val="none"/>
          <w:u w:val="single"/>
        </w:rPr>
        <w:t xml:space="preserve">           </w:t>
      </w:r>
      <w:r>
        <w:rPr>
          <w:rFonts w:hint="eastAsia" w:ascii="仿宋" w:hAnsi="仿宋" w:eastAsia="仿宋"/>
          <w:color w:val="auto"/>
          <w:sz w:val="24"/>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CB18211">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七、乙方如违反本合同，一经发现，甲方有权终止购销合同，并向有关卫生健康行政部门报告。如乙方被列入商业贿赂不良记录，则严格按照《安徽省医药购销领域商业贿赂不良记录管理办法》相关规定处理。</w:t>
      </w:r>
    </w:p>
    <w:p w14:paraId="3CADD08B">
      <w:pPr>
        <w:spacing w:line="360" w:lineRule="auto"/>
        <w:ind w:firstLine="480" w:firstLineChars="200"/>
        <w:rPr>
          <w:rFonts w:hint="eastAsia" w:ascii="仿宋" w:hAnsi="仿宋" w:eastAsia="仿宋"/>
          <w:color w:val="auto"/>
          <w:sz w:val="24"/>
          <w:highlight w:val="none"/>
        </w:rPr>
      </w:pPr>
      <w:r>
        <w:rPr>
          <w:rFonts w:hint="eastAsia" w:ascii="仿宋" w:hAnsi="仿宋" w:eastAsia="仿宋"/>
          <w:color w:val="auto"/>
          <w:sz w:val="24"/>
          <w:highlight w:val="none"/>
        </w:rPr>
        <w:t>八、本合同作为医药产品购销合同的重要组成部分，与购销合同一并执行，具有同等的法律效力。</w:t>
      </w:r>
    </w:p>
    <w:p w14:paraId="15D50D49">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 xml:space="preserve">    九、本合同一式三份，甲、乙双方各执一份，甲方纪检监察部门（基层医疗卫生机构上报上级卫生健康行政部门）执一份，并从签订之日起生效。</w:t>
      </w:r>
    </w:p>
    <w:p w14:paraId="2C04420B">
      <w:pPr>
        <w:spacing w:line="600" w:lineRule="exact"/>
        <w:rPr>
          <w:rFonts w:hint="eastAsia" w:ascii="宋体" w:hAnsi="宋体"/>
          <w:color w:val="auto"/>
          <w:sz w:val="24"/>
          <w:highlight w:val="none"/>
        </w:rPr>
      </w:pPr>
      <w:r>
        <w:rPr>
          <w:rFonts w:hint="eastAsia" w:ascii="宋体" w:hAnsi="宋体"/>
          <w:color w:val="auto"/>
          <w:sz w:val="24"/>
          <w:highlight w:val="none"/>
        </w:rPr>
        <w:t>甲方（盖章）：蚌埠医科大学第一附属医院       乙方（盖章）：</w:t>
      </w:r>
    </w:p>
    <w:p w14:paraId="1B890819">
      <w:pPr>
        <w:spacing w:line="600" w:lineRule="exact"/>
        <w:rPr>
          <w:rFonts w:hint="eastAsia" w:ascii="宋体" w:hAnsi="宋体"/>
          <w:color w:val="auto"/>
          <w:sz w:val="24"/>
          <w:highlight w:val="none"/>
        </w:rPr>
      </w:pPr>
      <w:r>
        <w:rPr>
          <w:rFonts w:hint="eastAsia" w:ascii="宋体" w:hAnsi="宋体"/>
          <w:color w:val="auto"/>
          <w:sz w:val="24"/>
          <w:highlight w:val="none"/>
        </w:rPr>
        <w:t>法定代表人（负责人）：胡建国               法定代表人（负责人）：</w:t>
      </w:r>
    </w:p>
    <w:p w14:paraId="07DCFE07">
      <w:pPr>
        <w:spacing w:line="600" w:lineRule="exact"/>
        <w:rPr>
          <w:rFonts w:hint="eastAsia" w:ascii="宋体" w:hAnsi="宋体"/>
          <w:color w:val="auto"/>
          <w:sz w:val="24"/>
          <w:highlight w:val="none"/>
        </w:rPr>
      </w:pPr>
      <w:r>
        <w:rPr>
          <w:rFonts w:hint="eastAsia" w:ascii="宋体" w:hAnsi="宋体"/>
          <w:color w:val="auto"/>
          <w:sz w:val="24"/>
          <w:highlight w:val="none"/>
        </w:rPr>
        <w:t>经办人签名：                              经办人签名：</w:t>
      </w:r>
    </w:p>
    <w:p w14:paraId="692B0EEB">
      <w:pPr>
        <w:spacing w:line="600" w:lineRule="exact"/>
        <w:rPr>
          <w:rFonts w:ascii="楷体" w:hAnsi="楷体" w:eastAsia="楷体"/>
          <w:color w:val="auto"/>
          <w:sz w:val="24"/>
          <w:highlight w:val="none"/>
        </w:rPr>
      </w:pPr>
      <w:r>
        <w:rPr>
          <w:rFonts w:hint="eastAsia" w:ascii="宋体" w:hAnsi="宋体"/>
          <w:color w:val="auto"/>
          <w:sz w:val="24"/>
          <w:highlight w:val="none"/>
        </w:rPr>
        <w:t xml:space="preserve">              年     月     日                          年     月      日</w:t>
      </w:r>
    </w:p>
    <w:p w14:paraId="767335DF">
      <w:pPr>
        <w:widowControl/>
        <w:rPr>
          <w:rFonts w:ascii="宋体" w:hAnsi="宋体" w:eastAsia="仿宋"/>
          <w:color w:val="auto"/>
          <w:highlight w:val="none"/>
        </w:rPr>
      </w:pPr>
    </w:p>
    <w:p w14:paraId="308A9CA8">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7F99B3A1">
      <w:pPr>
        <w:pStyle w:val="2"/>
        <w:widowControl/>
        <w:spacing w:before="0" w:after="0" w:line="240" w:lineRule="auto"/>
        <w:jc w:val="center"/>
        <w:rPr>
          <w:rFonts w:hint="eastAsia" w:ascii="宋体" w:hAnsi="宋体" w:eastAsia="仿宋"/>
          <w:color w:val="auto"/>
          <w:highlight w:val="none"/>
        </w:rPr>
      </w:pPr>
      <w:bookmarkStart w:id="831" w:name="_Toc13236"/>
      <w:bookmarkStart w:id="832" w:name="_Toc466024585"/>
      <w:bookmarkStart w:id="833" w:name="_Toc445554784"/>
      <w:r>
        <w:rPr>
          <w:rFonts w:hint="eastAsia" w:ascii="宋体" w:hAnsi="宋体" w:eastAsia="仿宋"/>
          <w:color w:val="auto"/>
          <w:highlight w:val="none"/>
        </w:rPr>
        <w:t>第六章  投标文件格式</w:t>
      </w:r>
      <w:bookmarkEnd w:id="831"/>
      <w:bookmarkEnd w:id="832"/>
      <w:bookmarkEnd w:id="833"/>
    </w:p>
    <w:p w14:paraId="3D24C467">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56DC27F7">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1114D5AD">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49291F0D">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4E3DE8E2">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79B0E39C">
      <w:pPr>
        <w:widowControl/>
        <w:spacing w:line="560" w:lineRule="exact"/>
        <w:ind w:firstLine="420" w:firstLineChars="200"/>
        <w:jc w:val="center"/>
        <w:rPr>
          <w:rFonts w:hint="eastAsia" w:ascii="宋体" w:hAnsi="宋体" w:eastAsia="仿宋"/>
          <w:color w:val="auto"/>
          <w:szCs w:val="21"/>
          <w:highlight w:val="none"/>
        </w:rPr>
      </w:pPr>
    </w:p>
    <w:p w14:paraId="05C1952C">
      <w:pPr>
        <w:widowControl/>
        <w:spacing w:line="560" w:lineRule="exact"/>
        <w:ind w:firstLine="420" w:firstLineChars="200"/>
        <w:jc w:val="center"/>
        <w:rPr>
          <w:rFonts w:hint="eastAsia" w:ascii="宋体" w:hAnsi="宋体" w:eastAsia="仿宋"/>
          <w:color w:val="auto"/>
          <w:szCs w:val="21"/>
          <w:highlight w:val="none"/>
        </w:rPr>
      </w:pPr>
    </w:p>
    <w:p w14:paraId="41D106F3">
      <w:pPr>
        <w:widowControl/>
        <w:spacing w:line="560" w:lineRule="exact"/>
        <w:ind w:firstLine="420" w:firstLineChars="200"/>
        <w:jc w:val="center"/>
        <w:rPr>
          <w:rFonts w:hint="eastAsia" w:ascii="宋体" w:hAnsi="宋体" w:eastAsia="仿宋"/>
          <w:color w:val="auto"/>
          <w:szCs w:val="21"/>
          <w:highlight w:val="none"/>
        </w:rPr>
      </w:pPr>
    </w:p>
    <w:p w14:paraId="32BE19FE">
      <w:pPr>
        <w:widowControl/>
        <w:spacing w:line="560" w:lineRule="exact"/>
        <w:ind w:firstLine="420" w:firstLineChars="200"/>
        <w:jc w:val="center"/>
        <w:rPr>
          <w:rFonts w:hint="eastAsia" w:ascii="宋体" w:hAnsi="宋体" w:cs="宋体"/>
          <w:color w:val="auto"/>
          <w:szCs w:val="21"/>
          <w:highlight w:val="none"/>
        </w:rPr>
      </w:pPr>
    </w:p>
    <w:p w14:paraId="260843CF">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66F8F809">
      <w:pPr>
        <w:widowControl/>
        <w:spacing w:line="560" w:lineRule="exact"/>
        <w:ind w:firstLine="400" w:firstLineChars="200"/>
        <w:jc w:val="center"/>
        <w:rPr>
          <w:rFonts w:hint="eastAsia" w:ascii="宋体" w:hAnsi="宋体" w:cs="宋体"/>
          <w:color w:val="auto"/>
          <w:sz w:val="20"/>
          <w:szCs w:val="20"/>
          <w:highlight w:val="none"/>
        </w:rPr>
      </w:pPr>
    </w:p>
    <w:p w14:paraId="49B3C69F">
      <w:pPr>
        <w:widowControl/>
        <w:spacing w:line="560" w:lineRule="exact"/>
        <w:ind w:firstLine="400" w:firstLineChars="200"/>
        <w:jc w:val="center"/>
        <w:rPr>
          <w:rFonts w:hint="eastAsia" w:ascii="宋体" w:hAnsi="宋体" w:cs="宋体"/>
          <w:color w:val="auto"/>
          <w:sz w:val="20"/>
          <w:szCs w:val="20"/>
          <w:highlight w:val="none"/>
        </w:rPr>
      </w:pPr>
    </w:p>
    <w:p w14:paraId="26182A8D">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20254F88">
      <w:pPr>
        <w:widowControl/>
        <w:spacing w:line="560" w:lineRule="exact"/>
        <w:ind w:firstLine="560" w:firstLineChars="200"/>
        <w:rPr>
          <w:rFonts w:hint="eastAsia" w:ascii="宋体" w:hAnsi="宋体" w:cs="宋体"/>
          <w:color w:val="auto"/>
          <w:sz w:val="28"/>
          <w:szCs w:val="28"/>
          <w:highlight w:val="none"/>
        </w:rPr>
      </w:pPr>
    </w:p>
    <w:p w14:paraId="43F13ABB">
      <w:pPr>
        <w:widowControl/>
        <w:spacing w:line="560" w:lineRule="exact"/>
        <w:ind w:firstLine="560" w:firstLineChars="200"/>
        <w:rPr>
          <w:rFonts w:hint="eastAsia" w:ascii="宋体" w:hAnsi="宋体" w:cs="宋体"/>
          <w:color w:val="auto"/>
          <w:sz w:val="28"/>
          <w:szCs w:val="28"/>
          <w:highlight w:val="none"/>
        </w:rPr>
      </w:pPr>
    </w:p>
    <w:p w14:paraId="64977932">
      <w:pPr>
        <w:widowControl/>
        <w:spacing w:line="560" w:lineRule="exact"/>
        <w:ind w:firstLine="560" w:firstLineChars="200"/>
        <w:rPr>
          <w:rFonts w:hint="eastAsia" w:ascii="宋体" w:hAnsi="宋体" w:cs="宋体"/>
          <w:color w:val="auto"/>
          <w:sz w:val="28"/>
          <w:szCs w:val="28"/>
          <w:highlight w:val="none"/>
        </w:rPr>
      </w:pPr>
    </w:p>
    <w:p w14:paraId="46E32DCC">
      <w:pPr>
        <w:widowControl/>
        <w:spacing w:line="560" w:lineRule="exact"/>
        <w:ind w:firstLine="560" w:firstLineChars="200"/>
        <w:rPr>
          <w:rFonts w:hint="eastAsia" w:ascii="宋体" w:hAnsi="宋体" w:cs="宋体"/>
          <w:color w:val="auto"/>
          <w:sz w:val="28"/>
          <w:szCs w:val="28"/>
          <w:highlight w:val="none"/>
        </w:rPr>
      </w:pPr>
    </w:p>
    <w:p w14:paraId="567C71F2">
      <w:pPr>
        <w:widowControl/>
        <w:spacing w:line="560" w:lineRule="exact"/>
        <w:ind w:firstLine="560" w:firstLineChars="200"/>
        <w:rPr>
          <w:rFonts w:hint="eastAsia" w:ascii="宋体" w:hAnsi="宋体" w:cs="宋体"/>
          <w:color w:val="auto"/>
          <w:sz w:val="28"/>
          <w:szCs w:val="28"/>
          <w:highlight w:val="none"/>
        </w:rPr>
      </w:pPr>
    </w:p>
    <w:p w14:paraId="5B053545">
      <w:pPr>
        <w:widowControl/>
        <w:spacing w:line="560" w:lineRule="exact"/>
        <w:ind w:firstLine="560" w:firstLineChars="200"/>
        <w:rPr>
          <w:rFonts w:hint="eastAsia" w:ascii="宋体" w:hAnsi="宋体" w:cs="宋体"/>
          <w:color w:val="auto"/>
          <w:sz w:val="28"/>
          <w:szCs w:val="28"/>
          <w:highlight w:val="none"/>
        </w:rPr>
      </w:pPr>
    </w:p>
    <w:p w14:paraId="0AF67C81">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4720D609">
      <w:pPr>
        <w:widowControl/>
        <w:spacing w:line="560" w:lineRule="exact"/>
        <w:ind w:firstLine="560" w:firstLineChars="200"/>
        <w:rPr>
          <w:rFonts w:hint="eastAsia" w:ascii="宋体" w:hAnsi="宋体" w:cs="宋体"/>
          <w:color w:val="auto"/>
          <w:sz w:val="28"/>
          <w:szCs w:val="28"/>
          <w:highlight w:val="none"/>
        </w:rPr>
      </w:pPr>
    </w:p>
    <w:p w14:paraId="066225F2">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7B0E78BC">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63580F7B">
      <w:pPr>
        <w:widowControl/>
        <w:jc w:val="center"/>
        <w:rPr>
          <w:rFonts w:hint="eastAsia" w:ascii="宋体" w:hAnsi="宋体" w:cs="宋体"/>
          <w:b/>
          <w:bCs/>
          <w:color w:val="auto"/>
          <w:sz w:val="44"/>
          <w:szCs w:val="44"/>
          <w:highlight w:val="none"/>
        </w:rPr>
      </w:pPr>
    </w:p>
    <w:p w14:paraId="2D3CE103">
      <w:pPr>
        <w:widowControl/>
        <w:jc w:val="center"/>
        <w:rPr>
          <w:rFonts w:hint="eastAsia" w:ascii="宋体" w:hAnsi="宋体" w:cs="宋体"/>
          <w:b/>
          <w:bCs/>
          <w:color w:val="auto"/>
          <w:sz w:val="44"/>
          <w:szCs w:val="44"/>
          <w:highlight w:val="none"/>
        </w:rPr>
      </w:pPr>
    </w:p>
    <w:p w14:paraId="5D8E07A1">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76777856">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5AFD141F">
      <w:pPr>
        <w:widowControl/>
        <w:rPr>
          <w:rFonts w:hint="eastAsia" w:ascii="宋体" w:hAnsi="宋体" w:cs="宋体"/>
          <w:bCs/>
          <w:color w:val="auto"/>
          <w:sz w:val="28"/>
          <w:szCs w:val="28"/>
          <w:highlight w:val="none"/>
        </w:rPr>
      </w:pPr>
    </w:p>
    <w:p w14:paraId="72DD2A3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213F205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61907D1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6D8F3379">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002A31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3DABD3E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4E6102D1">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七、联合体协议书(如有)</w:t>
      </w:r>
    </w:p>
    <w:p w14:paraId="7DE60D10">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八、分包意向协议书（如有）</w:t>
      </w:r>
    </w:p>
    <w:p w14:paraId="117AAEA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九、资格审查材料</w:t>
      </w:r>
    </w:p>
    <w:p w14:paraId="0EB96D0C">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十、符合性审查与详细评审材料</w:t>
      </w:r>
    </w:p>
    <w:p w14:paraId="4689C2B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十一、主要标的承诺函</w:t>
      </w:r>
    </w:p>
    <w:p w14:paraId="621A6FB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十二、投标人认为应该提供的其他材料</w:t>
      </w:r>
    </w:p>
    <w:p w14:paraId="2D092EE1">
      <w:pPr>
        <w:widowControl/>
        <w:rPr>
          <w:rFonts w:hint="eastAsia" w:ascii="宋体" w:hAnsi="宋体" w:cs="宋体"/>
          <w:bCs/>
          <w:color w:val="auto"/>
          <w:highlight w:val="none"/>
        </w:rPr>
      </w:pPr>
    </w:p>
    <w:p w14:paraId="0505DDF1">
      <w:pPr>
        <w:pStyle w:val="3"/>
        <w:widowControl/>
        <w:spacing w:before="120" w:after="120" w:line="240" w:lineRule="auto"/>
        <w:jc w:val="center"/>
        <w:rPr>
          <w:rStyle w:val="103"/>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6AA33242">
      <w:pPr>
        <w:widowControl/>
        <w:rPr>
          <w:rFonts w:hint="eastAsia" w:ascii="宋体" w:hAnsi="宋体" w:cs="宋体"/>
          <w:b/>
          <w:color w:val="auto"/>
          <w:szCs w:val="21"/>
          <w:highlight w:val="none"/>
        </w:rPr>
      </w:pPr>
    </w:p>
    <w:p w14:paraId="4598214E">
      <w:pPr>
        <w:pStyle w:val="3"/>
        <w:widowControl/>
        <w:spacing w:before="120" w:after="120" w:line="240" w:lineRule="auto"/>
        <w:jc w:val="center"/>
        <w:rPr>
          <w:rStyle w:val="103"/>
          <w:rFonts w:hint="eastAsia" w:ascii="宋体" w:hAnsi="宋体" w:eastAsia="宋体" w:cs="宋体"/>
          <w:b/>
          <w:bCs w:val="0"/>
          <w:color w:val="auto"/>
          <w:sz w:val="30"/>
          <w:szCs w:val="30"/>
          <w:highlight w:val="none"/>
        </w:rPr>
      </w:pPr>
      <w:bookmarkStart w:id="834" w:name="_Toc445554786"/>
      <w:bookmarkStart w:id="835" w:name="_Toc466024587"/>
      <w:r>
        <w:rPr>
          <w:rStyle w:val="103"/>
          <w:rFonts w:hint="eastAsia" w:ascii="宋体" w:hAnsi="宋体" w:eastAsia="宋体" w:cs="宋体"/>
          <w:b/>
          <w:bCs w:val="0"/>
          <w:color w:val="auto"/>
          <w:sz w:val="30"/>
          <w:szCs w:val="30"/>
          <w:highlight w:val="none"/>
        </w:rPr>
        <w:t>一、投标函</w:t>
      </w:r>
    </w:p>
    <w:p w14:paraId="4F82B8DA">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132AF02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361A735D">
      <w:pPr>
        <w:widowControl/>
        <w:spacing w:line="400" w:lineRule="exact"/>
        <w:ind w:firstLine="420" w:firstLineChars="200"/>
        <w:rPr>
          <w:rFonts w:hint="eastAsia" w:ascii="宋体" w:hAnsi="宋体" w:cs="宋体"/>
          <w:color w:val="auto"/>
          <w:szCs w:val="21"/>
          <w:highlight w:val="none"/>
        </w:rPr>
      </w:pPr>
    </w:p>
    <w:p w14:paraId="57A52CA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1.我方已仔细研究了编号为【项目编号】的【项目名称】招标文件的全部内容，接受你方在招标文件中对投标人的约束条件。我方愿意以开标一览表中确定的投标总价，按照合同的约定履行合同义务。</w:t>
      </w:r>
    </w:p>
    <w:p w14:paraId="74C9C5E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00771634">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26958C3F">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02232AB5">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5E36FB92">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7E7CFBF0">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2C3B6C0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3791C0B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9649A4E">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06F1AD2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5F1F9967">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 xml:space="preserve">                                               </w:t>
      </w:r>
    </w:p>
    <w:p w14:paraId="7B7757F6">
      <w:pPr>
        <w:widowControl/>
        <w:tabs>
          <w:tab w:val="left" w:leader="underscore" w:pos="3600"/>
          <w:tab w:val="left" w:leader="underscore" w:pos="5400"/>
        </w:tabs>
        <w:spacing w:line="400" w:lineRule="exact"/>
        <w:ind w:firstLine="422" w:firstLineChars="200"/>
        <w:rPr>
          <w:rFonts w:hint="eastAsia" w:ascii="宋体" w:hAnsi="宋体" w:cs="宋体"/>
          <w:b/>
          <w:color w:val="auto"/>
          <w:highlight w:val="none"/>
        </w:rPr>
      </w:pPr>
    </w:p>
    <w:p w14:paraId="0227383D">
      <w:pPr>
        <w:pStyle w:val="152"/>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650D97D3">
      <w:pPr>
        <w:pStyle w:val="152"/>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629665A0">
      <w:pPr>
        <w:pStyle w:val="152"/>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2BA3559E">
      <w:pPr>
        <w:pStyle w:val="152"/>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50D68F1F">
      <w:pPr>
        <w:pStyle w:val="152"/>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56AA6263">
      <w:pPr>
        <w:pStyle w:val="152"/>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148F25C3">
      <w:pPr>
        <w:pStyle w:val="152"/>
        <w:spacing w:line="200" w:lineRule="atLeast"/>
        <w:rPr>
          <w:rFonts w:hint="eastAsia" w:ascii="宋体" w:hAnsi="宋体" w:cs="宋体"/>
          <w:color w:val="auto"/>
          <w:sz w:val="20"/>
          <w:szCs w:val="20"/>
          <w:highlight w:val="none"/>
        </w:rPr>
      </w:pPr>
    </w:p>
    <w:p w14:paraId="40058A2A">
      <w:pPr>
        <w:pStyle w:val="152"/>
        <w:spacing w:before="6" w:line="220" w:lineRule="atLeast"/>
        <w:rPr>
          <w:rFonts w:hint="eastAsia" w:ascii="宋体" w:hAnsi="宋体" w:cs="宋体"/>
          <w:color w:val="auto"/>
          <w:sz w:val="22"/>
          <w:szCs w:val="22"/>
          <w:highlight w:val="none"/>
        </w:rPr>
      </w:pPr>
    </w:p>
    <w:p w14:paraId="3CB0B0F5">
      <w:pPr>
        <w:pStyle w:val="152"/>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68AD04BC">
      <w:pPr>
        <w:pStyle w:val="3"/>
        <w:widowControl/>
        <w:spacing w:before="120" w:after="120" w:line="240" w:lineRule="auto"/>
        <w:jc w:val="center"/>
        <w:rPr>
          <w:rStyle w:val="103"/>
          <w:rFonts w:hint="eastAsia" w:ascii="宋体" w:hAnsi="宋体" w:eastAsia="宋体" w:cs="宋体"/>
          <w:b/>
          <w:bCs w:val="0"/>
          <w:color w:val="auto"/>
          <w:sz w:val="30"/>
          <w:szCs w:val="30"/>
          <w:highlight w:val="none"/>
        </w:rPr>
      </w:pPr>
      <w:r>
        <w:rPr>
          <w:rStyle w:val="103"/>
          <w:rFonts w:hint="eastAsia" w:ascii="宋体" w:hAnsi="宋体" w:eastAsia="宋体" w:cs="宋体"/>
          <w:b/>
          <w:bCs w:val="0"/>
          <w:color w:val="auto"/>
          <w:sz w:val="30"/>
          <w:szCs w:val="30"/>
          <w:highlight w:val="none"/>
        </w:rPr>
        <w:t>二、开标一览表</w:t>
      </w:r>
      <w:bookmarkEnd w:id="834"/>
      <w:bookmarkEnd w:id="835"/>
    </w:p>
    <w:p w14:paraId="5F02EC2F">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6"/>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306ED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806EE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58C26F6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1ECCFB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3EF2C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65FAB2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0E79C3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3D5C4C2">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49A93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7B3C7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30C30D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3CC080D4">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67176B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505BFC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4C4B61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分包号（无分包，不填写）</w:t>
            </w:r>
          </w:p>
        </w:tc>
        <w:tc>
          <w:tcPr>
            <w:tcW w:w="6095" w:type="dxa"/>
            <w:noWrap w:val="0"/>
            <w:vAlign w:val="center"/>
          </w:tcPr>
          <w:p w14:paraId="3C1A871B">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50FE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647F39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6029E8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095" w:type="dxa"/>
            <w:noWrap w:val="0"/>
            <w:vAlign w:val="center"/>
          </w:tcPr>
          <w:p w14:paraId="4229CC7A">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2562A0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1AEAD7A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2715" w:type="dxa"/>
            <w:noWrap w:val="0"/>
            <w:vAlign w:val="center"/>
          </w:tcPr>
          <w:p w14:paraId="183B86B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免费</w:t>
            </w:r>
            <w:r>
              <w:rPr>
                <w:rFonts w:hint="eastAsia" w:ascii="宋体" w:hAnsi="宋体" w:cs="宋体"/>
                <w:color w:val="auto"/>
                <w:kern w:val="0"/>
                <w:szCs w:val="21"/>
                <w:highlight w:val="none"/>
                <w:lang w:val="en-US" w:eastAsia="zh-CN"/>
              </w:rPr>
              <w:t>质</w:t>
            </w:r>
            <w:r>
              <w:rPr>
                <w:rFonts w:hint="eastAsia" w:ascii="宋体" w:hAnsi="宋体" w:cs="宋体"/>
                <w:color w:val="auto"/>
                <w:kern w:val="0"/>
                <w:szCs w:val="21"/>
                <w:highlight w:val="none"/>
              </w:rPr>
              <w:t>保期</w:t>
            </w:r>
          </w:p>
        </w:tc>
        <w:tc>
          <w:tcPr>
            <w:tcW w:w="6095" w:type="dxa"/>
            <w:noWrap w:val="0"/>
            <w:vAlign w:val="center"/>
          </w:tcPr>
          <w:p w14:paraId="36F211F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2494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7557ABDC">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w:t>
            </w:r>
          </w:p>
        </w:tc>
        <w:tc>
          <w:tcPr>
            <w:tcW w:w="2715" w:type="dxa"/>
            <w:noWrap w:val="0"/>
            <w:vAlign w:val="center"/>
          </w:tcPr>
          <w:p w14:paraId="222B8FCE">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质保期满后年维保费单独报价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w:t>
            </w:r>
            <w:r>
              <w:rPr>
                <w:rFonts w:hint="eastAsia" w:ascii="宋体" w:hAnsi="宋体" w:cs="宋体"/>
                <w:color w:val="auto"/>
                <w:kern w:val="0"/>
                <w:szCs w:val="21"/>
                <w:highlight w:val="none"/>
                <w:lang w:eastAsia="zh-CN"/>
              </w:rPr>
              <w:t>）</w:t>
            </w:r>
          </w:p>
        </w:tc>
        <w:tc>
          <w:tcPr>
            <w:tcW w:w="6095" w:type="dxa"/>
            <w:noWrap w:val="0"/>
            <w:vAlign w:val="center"/>
          </w:tcPr>
          <w:p w14:paraId="463E3A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0E3E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5696E810">
            <w:pPr>
              <w:keepNext w:val="0"/>
              <w:keepLines w:val="0"/>
              <w:widowControl/>
              <w:suppressLineNumbers w:val="0"/>
              <w:adjustRightInd w:val="0"/>
              <w:snapToGrid w:val="0"/>
              <w:spacing w:before="0" w:beforeAutospacing="0" w:after="0" w:afterAutospacing="0"/>
              <w:ind w:left="0" w:right="0"/>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w:t>
            </w:r>
          </w:p>
        </w:tc>
        <w:tc>
          <w:tcPr>
            <w:tcW w:w="2715" w:type="dxa"/>
            <w:noWrap w:val="0"/>
            <w:vAlign w:val="center"/>
          </w:tcPr>
          <w:p w14:paraId="4791A0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过保后的单次维修人工费用价格</w:t>
            </w:r>
          </w:p>
        </w:tc>
        <w:tc>
          <w:tcPr>
            <w:tcW w:w="6095" w:type="dxa"/>
            <w:noWrap w:val="0"/>
            <w:vAlign w:val="center"/>
          </w:tcPr>
          <w:p w14:paraId="119382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3BE189E">
      <w:pPr>
        <w:widowControl/>
        <w:spacing w:line="200" w:lineRule="atLeast"/>
        <w:rPr>
          <w:rFonts w:hint="eastAsia" w:ascii="宋体" w:hAnsi="宋体" w:cs="宋体"/>
          <w:color w:val="auto"/>
          <w:kern w:val="0"/>
          <w:szCs w:val="21"/>
          <w:highlight w:val="none"/>
        </w:rPr>
      </w:pPr>
    </w:p>
    <w:p w14:paraId="48308F3B">
      <w:pPr>
        <w:widowControl/>
        <w:spacing w:before="18" w:line="280" w:lineRule="atLeast"/>
        <w:rPr>
          <w:rFonts w:hint="eastAsia" w:ascii="宋体" w:hAnsi="宋体" w:cs="宋体"/>
          <w:color w:val="auto"/>
          <w:kern w:val="0"/>
          <w:szCs w:val="21"/>
          <w:highlight w:val="none"/>
        </w:rPr>
      </w:pPr>
    </w:p>
    <w:p w14:paraId="48A922C8">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412D599E">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4162657">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08234E95">
      <w:pPr>
        <w:widowControl/>
        <w:spacing w:line="200" w:lineRule="atLeast"/>
        <w:rPr>
          <w:rFonts w:hint="eastAsia" w:ascii="宋体" w:hAnsi="宋体" w:cs="宋体"/>
          <w:color w:val="auto"/>
          <w:kern w:val="0"/>
          <w:szCs w:val="21"/>
          <w:highlight w:val="none"/>
        </w:rPr>
      </w:pPr>
    </w:p>
    <w:p w14:paraId="2B5A0074">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666257B1">
      <w:pPr>
        <w:pStyle w:val="3"/>
        <w:widowControl/>
        <w:spacing w:before="120" w:after="120" w:line="240" w:lineRule="auto"/>
        <w:jc w:val="center"/>
        <w:rPr>
          <w:rStyle w:val="103"/>
          <w:rFonts w:hint="eastAsia" w:ascii="宋体" w:hAnsi="宋体" w:eastAsia="宋体" w:cs="宋体"/>
          <w:b w:val="0"/>
          <w:bCs/>
          <w:color w:val="auto"/>
          <w:sz w:val="30"/>
          <w:szCs w:val="30"/>
          <w:highlight w:val="none"/>
        </w:rPr>
      </w:pPr>
      <w:bookmarkStart w:id="836" w:name="_Toc445554787"/>
      <w:bookmarkStart w:id="837" w:name="_Toc466024588"/>
      <w:r>
        <w:rPr>
          <w:rStyle w:val="103"/>
          <w:rFonts w:hint="eastAsia" w:ascii="宋体" w:hAnsi="宋体" w:eastAsia="宋体" w:cs="宋体"/>
          <w:b/>
          <w:bCs w:val="0"/>
          <w:color w:val="auto"/>
          <w:sz w:val="30"/>
          <w:szCs w:val="30"/>
          <w:highlight w:val="none"/>
        </w:rPr>
        <w:t>三、分项报价表</w:t>
      </w:r>
      <w:bookmarkEnd w:id="836"/>
      <w:bookmarkEnd w:id="837"/>
    </w:p>
    <w:p w14:paraId="4D1E838C">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2C01C2CB">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招标</w:t>
      </w:r>
      <w:r>
        <w:rPr>
          <w:rFonts w:hint="eastAsia" w:ascii="宋体" w:hAnsi="宋体" w:cs="宋体"/>
          <w:color w:val="auto"/>
          <w:spacing w:val="-1"/>
          <w:kern w:val="0"/>
          <w:position w:val="-4"/>
          <w:szCs w:val="21"/>
          <w:highlight w:val="none"/>
        </w:rPr>
        <w:t>编</w:t>
      </w:r>
      <w:r>
        <w:rPr>
          <w:rFonts w:hint="eastAsia" w:ascii="宋体" w:hAnsi="宋体" w:cs="宋体"/>
          <w:color w:val="auto"/>
          <w:kern w:val="0"/>
          <w:position w:val="-4"/>
          <w:szCs w:val="21"/>
          <w:highlight w:val="none"/>
        </w:rPr>
        <w:t>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6"/>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3E19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38" w:type="dxa"/>
            <w:vMerge w:val="restart"/>
            <w:noWrap w:val="0"/>
            <w:vAlign w:val="center"/>
          </w:tcPr>
          <w:p w14:paraId="24132F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4473E04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35956E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52464C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7693AE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1544089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2" w:type="dxa"/>
            <w:noWrap w:val="0"/>
            <w:vAlign w:val="center"/>
          </w:tcPr>
          <w:p w14:paraId="4424A8D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586F9D8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5CCE6E1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608868F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850" w:type="dxa"/>
            <w:noWrap w:val="0"/>
            <w:vAlign w:val="center"/>
          </w:tcPr>
          <w:p w14:paraId="23A1F8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3940E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4C9885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19AEF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16903B6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73506F3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22AEF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584402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5D79823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77D7BD1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5BB0D6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5FC1A9B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10846C2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3021B9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065992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F4454C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3289B1C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65D2FAE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FA019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9F77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5C6584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81A9CA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3862C93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1B551E3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3A84EA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5C79F02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7338D11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401A478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33198F2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4EA5A85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7B5EF4F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3C30E1D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7A6E5D6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332DC5D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236DEFE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35CF3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7D30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7295B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20E53D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64E5C9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AB94C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15A36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23DEDF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C665CF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7FED9F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D3A00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7FCF34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4F5FB3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42247C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DEA02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52478D0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62D813E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25ABEC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08A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3CCD13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075D118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A404A7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F0552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06B419B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762A10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134F5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2AE983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17661D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4EAC28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693B86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64EBAE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D3115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08403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0BCC8A9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26A87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A7C4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270F0D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783AD68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05D6F51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6D4F60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4798F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AB853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C0E6D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53C928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EDBD2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3AC49F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41CBA0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E71A6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23E9A4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0374A9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27D0C3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A746C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EA8A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02B33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108563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D2815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68DF1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46ED14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49183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EBAC7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7BC7C9E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F9E414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6A46B34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6BE8F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7406845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4B8A0D4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69BB31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B2A65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2DDF7B7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F0A7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334F1E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p>
        </w:tc>
        <w:tc>
          <w:tcPr>
            <w:tcW w:w="992" w:type="dxa"/>
            <w:noWrap w:val="0"/>
            <w:vAlign w:val="center"/>
          </w:tcPr>
          <w:p w14:paraId="3392840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544" w:type="dxa"/>
            <w:gridSpan w:val="4"/>
            <w:noWrap w:val="0"/>
            <w:vAlign w:val="center"/>
          </w:tcPr>
          <w:p w14:paraId="06D09AA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208E2DD4">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0E9B457">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2165C352">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2.投标总价=分项报价表合计。</w:t>
      </w:r>
    </w:p>
    <w:p w14:paraId="49F6B49F">
      <w:pPr>
        <w:widowControl/>
        <w:spacing w:line="200" w:lineRule="atLeas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xml:space="preserve"> </w:t>
      </w:r>
    </w:p>
    <w:p w14:paraId="28CE1EB1">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r>
        <w:rPr>
          <w:rFonts w:hint="eastAsia" w:ascii="宋体" w:hAnsi="宋体" w:cs="宋体"/>
          <w:color w:val="auto"/>
          <w:kern w:val="0"/>
          <w:sz w:val="20"/>
          <w:szCs w:val="20"/>
          <w:highlight w:val="none"/>
        </w:rPr>
        <w:t xml:space="preserve"> </w:t>
      </w:r>
    </w:p>
    <w:p w14:paraId="3E9ABE3F">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表3-2  质保期外备件及易损件</w:t>
      </w:r>
      <w:r>
        <w:rPr>
          <w:rFonts w:hint="eastAsia" w:ascii="宋体" w:hAnsi="宋体" w:cs="宋体"/>
          <w:color w:val="auto"/>
          <w:kern w:val="0"/>
          <w:sz w:val="28"/>
          <w:szCs w:val="28"/>
          <w:highlight w:val="none"/>
        </w:rPr>
        <w:t>分项报价表</w:t>
      </w:r>
    </w:p>
    <w:p w14:paraId="4C0855C9">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招标</w:t>
      </w:r>
      <w:r>
        <w:rPr>
          <w:rFonts w:hint="eastAsia" w:ascii="宋体" w:hAnsi="宋体" w:cs="宋体"/>
          <w:color w:val="auto"/>
          <w:spacing w:val="-1"/>
          <w:kern w:val="0"/>
          <w:position w:val="-4"/>
          <w:szCs w:val="21"/>
          <w:highlight w:val="none"/>
        </w:rPr>
        <w:t>编</w:t>
      </w:r>
      <w:r>
        <w:rPr>
          <w:rFonts w:hint="eastAsia" w:ascii="宋体" w:hAnsi="宋体" w:cs="宋体"/>
          <w:color w:val="auto"/>
          <w:kern w:val="0"/>
          <w:position w:val="-4"/>
          <w:szCs w:val="21"/>
          <w:highlight w:val="none"/>
        </w:rPr>
        <w:t>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6"/>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10761CBF">
        <w:tblPrEx>
          <w:tblCellMar>
            <w:top w:w="0" w:type="dxa"/>
            <w:left w:w="108" w:type="dxa"/>
            <w:bottom w:w="0" w:type="dxa"/>
            <w:right w:w="108" w:type="dxa"/>
          </w:tblCellMar>
        </w:tblPrEx>
        <w:trPr>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2F06E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2D145F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02A571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4A4D455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609ADC2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4B4EA5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2DC945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4A020C0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70058E5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390309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6A3B1C3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5522B7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07846B4C">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2674E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4E4DC7B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3879C2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546B59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E65A4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69A2D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38F987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2459DE4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7FE75B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0518FEC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5164D5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608128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5C57552">
        <w:tblPrEx>
          <w:tblCellMar>
            <w:top w:w="0" w:type="dxa"/>
            <w:left w:w="108" w:type="dxa"/>
            <w:bottom w:w="0" w:type="dxa"/>
            <w:right w:w="108" w:type="dxa"/>
          </w:tblCellMar>
        </w:tblPrEx>
        <w:trPr>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5C8BF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535F2A0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1206CA4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2001094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3EF6262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5E05A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480430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5371ED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6858E2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5304259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1B3BAE1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4407F1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A1AD7D2">
        <w:tblPrEx>
          <w:tblCellMar>
            <w:top w:w="0" w:type="dxa"/>
            <w:left w:w="108" w:type="dxa"/>
            <w:bottom w:w="0" w:type="dxa"/>
            <w:right w:w="108" w:type="dxa"/>
          </w:tblCellMar>
        </w:tblPrEx>
        <w:trPr>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D1F3C7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020BF0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28E59E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5EC542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256D1AF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3875236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2BBBC3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1E7D35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02DB70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1BE92E2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572758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07E1EB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34AA4C8">
        <w:tblPrEx>
          <w:tblCellMar>
            <w:top w:w="0" w:type="dxa"/>
            <w:left w:w="108" w:type="dxa"/>
            <w:bottom w:w="0" w:type="dxa"/>
            <w:right w:w="108" w:type="dxa"/>
          </w:tblCellMar>
        </w:tblPrEx>
        <w:trPr>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1C41CD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w:t>
            </w:r>
            <w:r>
              <w:rPr>
                <w:rFonts w:hint="eastAsia" w:ascii="宋体" w:hAnsi="宋体" w:cs="宋体"/>
                <w:b/>
                <w:color w:val="auto"/>
                <w:kern w:val="0"/>
                <w:szCs w:val="21"/>
                <w:highlight w:val="none"/>
              </w:rPr>
              <w:t>此表价格不含在投标总价内</w:t>
            </w:r>
            <w:r>
              <w:rPr>
                <w:rFonts w:hint="eastAsia" w:ascii="宋体" w:hAnsi="宋体" w:cs="宋体"/>
                <w:color w:val="auto"/>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559A73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2F4A91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420579C2">
      <w:pPr>
        <w:widowControl/>
        <w:spacing w:line="272" w:lineRule="atLeast"/>
        <w:ind w:left="160" w:right="-20"/>
        <w:rPr>
          <w:rFonts w:hint="eastAsia" w:ascii="宋体" w:hAnsi="宋体" w:cs="宋体"/>
          <w:color w:val="auto"/>
          <w:kern w:val="0"/>
          <w:szCs w:val="21"/>
          <w:highlight w:val="none"/>
        </w:rPr>
      </w:pPr>
    </w:p>
    <w:p w14:paraId="6C90F72B">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69C9915D">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838" w:name="_Toc466024589"/>
      <w:r>
        <w:rPr>
          <w:rStyle w:val="103"/>
          <w:rFonts w:hint="eastAsia" w:ascii="宋体" w:hAnsi="宋体" w:eastAsia="宋体" w:cs="宋体"/>
          <w:b/>
          <w:bCs w:val="0"/>
          <w:color w:val="auto"/>
          <w:sz w:val="30"/>
          <w:szCs w:val="30"/>
          <w:highlight w:val="none"/>
        </w:rPr>
        <w:t>四、投标人综合情况简介</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7B3D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7DE06582">
            <w:pPr>
              <w:keepNext w:val="0"/>
              <w:keepLines w:val="0"/>
              <w:widowControl/>
              <w:suppressLineNumbers w:val="0"/>
              <w:wordWrap w:val="0"/>
              <w:adjustRightInd w:val="0"/>
              <w:snapToGrid w:val="0"/>
              <w:spacing w:before="0" w:beforeAutospacing="0" w:after="0" w:afterAutospacing="0"/>
              <w:ind w:left="0" w:right="0"/>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项目名称：【项目名称】</w:t>
            </w:r>
          </w:p>
        </w:tc>
      </w:tr>
      <w:tr w14:paraId="47F7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3EBC3A99">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szCs w:val="21"/>
                <w:highlight w:val="none"/>
              </w:rPr>
              <w:t>【项目编号】</w:t>
            </w:r>
          </w:p>
        </w:tc>
      </w:tr>
      <w:tr w14:paraId="2DDF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4D4F0B1C">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6D8D24E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1B4A7F4E">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6912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AA1093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5247D1D5">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65E1CBBD">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1AD21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0ADEF7F">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499BA160">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62ED3141">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20BABB0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49A3779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32B07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34A0CCEE">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5481339F">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692A3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09034D51">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09C9FCAE">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16C16FAA">
      <w:pPr>
        <w:pStyle w:val="3"/>
        <w:widowControl/>
        <w:spacing w:before="120" w:after="120" w:line="240" w:lineRule="auto"/>
        <w:jc w:val="center"/>
        <w:rPr>
          <w:rStyle w:val="103"/>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3"/>
          <w:rFonts w:hint="eastAsia" w:ascii="宋体" w:hAnsi="宋体" w:eastAsia="宋体" w:cs="宋体"/>
          <w:b/>
          <w:bCs/>
          <w:color w:val="auto"/>
          <w:sz w:val="30"/>
          <w:szCs w:val="30"/>
          <w:highlight w:val="none"/>
        </w:rPr>
        <w:t>五、</w:t>
      </w:r>
      <w:bookmarkEnd w:id="838"/>
      <w:r>
        <w:rPr>
          <w:rStyle w:val="103"/>
          <w:rFonts w:hint="eastAsia" w:ascii="宋体" w:hAnsi="宋体" w:eastAsia="宋体" w:cs="宋体"/>
          <w:b/>
          <w:bCs/>
          <w:color w:val="auto"/>
          <w:sz w:val="30"/>
          <w:szCs w:val="30"/>
          <w:highlight w:val="none"/>
        </w:rPr>
        <w:t>中小企业声明函（货物）</w:t>
      </w:r>
    </w:p>
    <w:p w14:paraId="10AF93F4">
      <w:pPr>
        <w:pStyle w:val="26"/>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12ACDA9B">
      <w:pPr>
        <w:pStyle w:val="18"/>
        <w:snapToGrid w:val="0"/>
        <w:spacing w:line="360" w:lineRule="auto"/>
        <w:ind w:firstLine="420" w:firstLineChars="200"/>
        <w:rPr>
          <w:rFonts w:hint="eastAsia" w:ascii="宋体" w:hAnsi="宋体" w:eastAsia="宋体" w:cs="宋体"/>
          <w:color w:val="auto"/>
          <w:sz w:val="21"/>
          <w:szCs w:val="21"/>
          <w:highlight w:val="none"/>
        </w:rPr>
      </w:pPr>
    </w:p>
    <w:p w14:paraId="015CFC3D">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11F42D4A">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E22499D">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04D4E0F7">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166B1F49">
      <w:pPr>
        <w:pStyle w:val="41"/>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3E86ED9A">
      <w:pPr>
        <w:pStyle w:val="41"/>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7F08E368">
      <w:pPr>
        <w:pStyle w:val="41"/>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18D0A6FB">
      <w:pPr>
        <w:pStyle w:val="41"/>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4DBC704F">
      <w:pPr>
        <w:pStyle w:val="41"/>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2080B9BA">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7D2BB768">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48BC3DAF">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5AD0BC1A">
      <w:pPr>
        <w:spacing w:line="360" w:lineRule="auto"/>
        <w:rPr>
          <w:rFonts w:hint="eastAsia" w:ascii="宋体" w:hAnsi="宋体" w:cs="宋体"/>
          <w:color w:val="auto"/>
          <w:highlight w:val="none"/>
        </w:rPr>
      </w:pPr>
      <w:bookmarkStart w:id="839" w:name="OLE_LINK14"/>
      <w:bookmarkStart w:id="840" w:name="OLE_LINK13"/>
    </w:p>
    <w:p w14:paraId="360FFDE1">
      <w:pPr>
        <w:spacing w:line="360" w:lineRule="auto"/>
        <w:rPr>
          <w:rFonts w:hint="eastAsia" w:ascii="宋体" w:hAnsi="宋体" w:cs="宋体"/>
          <w:color w:val="auto"/>
          <w:highlight w:val="none"/>
        </w:rPr>
      </w:pPr>
    </w:p>
    <w:p w14:paraId="39B80021">
      <w:pPr>
        <w:rPr>
          <w:rFonts w:hint="eastAsia" w:ascii="宋体" w:hAnsi="宋体" w:cs="宋体"/>
          <w:color w:val="auto"/>
          <w:highlight w:val="none"/>
        </w:rPr>
      </w:pPr>
    </w:p>
    <w:p w14:paraId="067BC046">
      <w:pPr>
        <w:pStyle w:val="26"/>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39"/>
    <w:bookmarkEnd w:id="840"/>
    <w:p w14:paraId="27C269BA">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45E78082">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4D7C803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13D9818C">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62CF4813">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0B5FA266">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30B50E59">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2A7FB78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26EC6DF">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27C711F4">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1392F058">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4A0A73E4">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3C4799D1">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4C4EA254">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213AFB1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703F0F0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499203F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A53F54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73D5C70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6891BA3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7D01B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CE9B4E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EE17E0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A71F6E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37BC1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CE1A2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2F5699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F2673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A3E49E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E449A4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5128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E9294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78207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EF328F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7580DE3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6E0E471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3D87A6E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7DCB6C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6C76B43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1729C7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017C05E9">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5808CCDC">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691934B7">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7F49873C">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50049BF6">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4A5D83F0">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65269FF5">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4D99A21F">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16CFF5DD">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5DF0326">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17F1725C">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1680F43B">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8D9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47A873C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73AE4FC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2949778C">
      <w:pPr>
        <w:widowControl/>
        <w:spacing w:before="12" w:line="360" w:lineRule="auto"/>
        <w:rPr>
          <w:rFonts w:hint="eastAsia" w:ascii="宋体" w:hAnsi="宋体" w:cs="宋体"/>
          <w:color w:val="auto"/>
          <w:kern w:val="0"/>
          <w:highlight w:val="none"/>
        </w:rPr>
      </w:pPr>
    </w:p>
    <w:p w14:paraId="62EFB6D2">
      <w:pPr>
        <w:widowControl/>
        <w:spacing w:before="12" w:line="360" w:lineRule="auto"/>
        <w:rPr>
          <w:rFonts w:hint="eastAsia" w:ascii="宋体" w:hAnsi="宋体" w:cs="宋体"/>
          <w:color w:val="auto"/>
          <w:kern w:val="0"/>
          <w:highlight w:val="none"/>
        </w:rPr>
      </w:pPr>
    </w:p>
    <w:p w14:paraId="2339BF53">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1F30B2EB">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4F5B7D9E">
      <w:pPr>
        <w:widowControl/>
        <w:ind w:left="2874" w:right="-20"/>
        <w:rPr>
          <w:rFonts w:hint="eastAsia" w:ascii="宋体" w:hAnsi="宋体" w:cs="宋体"/>
          <w:color w:val="auto"/>
          <w:kern w:val="0"/>
          <w:sz w:val="28"/>
          <w:szCs w:val="28"/>
          <w:highlight w:val="none"/>
        </w:rPr>
      </w:pPr>
    </w:p>
    <w:p w14:paraId="24AA4CF1">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20B5D22E">
      <w:pPr>
        <w:widowControl/>
        <w:spacing w:before="3" w:line="260" w:lineRule="atLeast"/>
        <w:rPr>
          <w:rFonts w:hint="eastAsia" w:ascii="宋体" w:hAnsi="宋体" w:cs="宋体"/>
          <w:color w:val="auto"/>
          <w:kern w:val="0"/>
          <w:sz w:val="26"/>
          <w:szCs w:val="26"/>
          <w:highlight w:val="none"/>
        </w:rPr>
      </w:pPr>
    </w:p>
    <w:p w14:paraId="6D46D7E8">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64F80397">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6"/>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15C9D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172495D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6B0293F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5F97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0AFACC3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0A01770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7A4DD963">
      <w:pPr>
        <w:widowControl/>
        <w:spacing w:line="360" w:lineRule="auto"/>
        <w:rPr>
          <w:rFonts w:hint="eastAsia" w:ascii="宋体" w:hAnsi="宋体" w:cs="宋体"/>
          <w:color w:val="auto"/>
          <w:kern w:val="0"/>
          <w:highlight w:val="none"/>
        </w:rPr>
      </w:pPr>
    </w:p>
    <w:p w14:paraId="4CE01DC5">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5639F25C">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555ED1B3">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7A9325CD">
      <w:pPr>
        <w:pStyle w:val="152"/>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35774C6D">
      <w:pPr>
        <w:pStyle w:val="152"/>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0D127A69">
      <w:pPr>
        <w:widowControl/>
        <w:spacing w:line="295" w:lineRule="atLeast"/>
        <w:ind w:left="556" w:right="-20"/>
        <w:rPr>
          <w:rFonts w:hint="eastAsia" w:ascii="宋体" w:hAnsi="宋体" w:cs="宋体"/>
          <w:color w:val="auto"/>
          <w:kern w:val="0"/>
          <w:szCs w:val="21"/>
          <w:highlight w:val="none"/>
        </w:rPr>
      </w:pPr>
    </w:p>
    <w:p w14:paraId="637E6032">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50583BB0">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七、联合体协议书（如有）</w:t>
      </w:r>
    </w:p>
    <w:p w14:paraId="58127997">
      <w:pPr>
        <w:widowControl/>
        <w:spacing w:before="7" w:line="110" w:lineRule="atLeast"/>
        <w:rPr>
          <w:rFonts w:hint="eastAsia" w:ascii="宋体" w:hAnsi="宋体" w:cs="宋体"/>
          <w:color w:val="auto"/>
          <w:kern w:val="0"/>
          <w:sz w:val="11"/>
          <w:szCs w:val="11"/>
          <w:highlight w:val="none"/>
        </w:rPr>
      </w:pPr>
      <w:r>
        <w:rPr>
          <w:rFonts w:hint="eastAsia" w:ascii="宋体" w:hAnsi="宋体" w:cs="宋体"/>
          <w:color w:val="auto"/>
          <w:kern w:val="0"/>
          <w:sz w:val="11"/>
          <w:szCs w:val="11"/>
          <w:highlight w:val="none"/>
        </w:rPr>
        <w:t xml:space="preserve"> </w:t>
      </w:r>
    </w:p>
    <w:p w14:paraId="119BB557">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（所有成员单位名称）自愿组成联合体，共同参加【项目名称】的采购活动。现就联合体投标事宜订立如下协议。</w:t>
      </w:r>
    </w:p>
    <w:p w14:paraId="6A30B1B3">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1、</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（某成员单位名称）为牵头人。</w:t>
      </w:r>
    </w:p>
    <w:p w14:paraId="070C507F">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A88C648">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3、联合体将严格按照招标文件的各项要求，递交投标文件，履行合同，并对外承担连带责任。</w:t>
      </w:r>
    </w:p>
    <w:p w14:paraId="16E66FD1">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4、联合体各成员单位内部的职责分工如下：</w:t>
      </w:r>
    </w:p>
    <w:p w14:paraId="1DCF1C36">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（1）牵头人单位：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47EF5B65">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（2）成员单位一：</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28E62591">
      <w:pPr>
        <w:pStyle w:val="152"/>
        <w:topLinePunct/>
        <w:spacing w:line="440" w:lineRule="atLeast"/>
        <w:ind w:firstLine="420"/>
        <w:rPr>
          <w:rFonts w:hint="eastAsia" w:ascii="宋体" w:hAnsi="宋体" w:cs="宋体"/>
          <w:color w:val="auto"/>
          <w:szCs w:val="24"/>
          <w:highlight w:val="none"/>
          <w:u w:val="single"/>
        </w:rPr>
      </w:pPr>
      <w:r>
        <w:rPr>
          <w:rFonts w:hint="eastAsia" w:ascii="宋体" w:hAnsi="宋体" w:cs="宋体"/>
          <w:color w:val="auto"/>
          <w:szCs w:val="24"/>
          <w:highlight w:val="none"/>
        </w:rPr>
        <w:t>（2）成员单位二：</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分工：</w:t>
      </w:r>
      <w:r>
        <w:rPr>
          <w:rFonts w:hint="eastAsia" w:ascii="宋体" w:hAnsi="宋体" w:cs="宋体"/>
          <w:color w:val="auto"/>
          <w:szCs w:val="24"/>
          <w:highlight w:val="none"/>
          <w:u w:val="single"/>
        </w:rPr>
        <w:t xml:space="preserve">               ，承揽合同份额占合同金额的    %</w:t>
      </w:r>
    </w:p>
    <w:p w14:paraId="481143DC">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w:t>
      </w:r>
    </w:p>
    <w:p w14:paraId="47C62060">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 xml:space="preserve">5、本协议书自签署之日起生效，合同履行完毕后自动失效。 </w:t>
      </w:r>
    </w:p>
    <w:p w14:paraId="694F361A">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6、本协议书一式</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份，联合体牵头人、成员和采购人各执一份。</w:t>
      </w:r>
    </w:p>
    <w:p w14:paraId="2B397486">
      <w:pPr>
        <w:pStyle w:val="152"/>
        <w:topLinePunct/>
        <w:spacing w:line="440" w:lineRule="atLeast"/>
        <w:rPr>
          <w:rFonts w:hint="eastAsia" w:ascii="宋体" w:hAnsi="宋体" w:cs="宋体"/>
          <w:color w:val="auto"/>
          <w:szCs w:val="24"/>
          <w:highlight w:val="none"/>
        </w:rPr>
      </w:pPr>
    </w:p>
    <w:p w14:paraId="4AC93420">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牵头人名称：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487244E4">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0F8992F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055D9CD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5314D58">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354BF279">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 xml:space="preserve"> </w:t>
      </w:r>
    </w:p>
    <w:p w14:paraId="1492BC6B">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成员二名称：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6568B842">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2AE16D2C">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35D81008">
      <w:pPr>
        <w:pStyle w:val="15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6BCC7796">
      <w:pPr>
        <w:widowControl/>
        <w:spacing w:line="200" w:lineRule="atLeast"/>
        <w:rPr>
          <w:rFonts w:hint="eastAsia" w:ascii="宋体" w:hAnsi="宋体" w:cs="宋体"/>
          <w:color w:val="auto"/>
          <w:kern w:val="0"/>
          <w:sz w:val="24"/>
          <w:highlight w:val="none"/>
        </w:rPr>
      </w:pPr>
    </w:p>
    <w:p w14:paraId="4903172B">
      <w:pPr>
        <w:widowControl/>
        <w:rPr>
          <w:rFonts w:hint="eastAsia" w:ascii="宋体" w:hAnsi="宋体" w:cs="宋体"/>
          <w:color w:val="auto"/>
          <w:highlight w:val="none"/>
        </w:rPr>
      </w:pPr>
    </w:p>
    <w:p w14:paraId="35C1AB23">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64673B69">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八、分包意向协议书（如有）</w:t>
      </w:r>
    </w:p>
    <w:p w14:paraId="26EE0BAF">
      <w:pPr>
        <w:pStyle w:val="152"/>
        <w:topLinePunct/>
        <w:spacing w:line="440" w:lineRule="atLeast"/>
        <w:ind w:firstLine="420"/>
        <w:rPr>
          <w:rFonts w:hint="eastAsia" w:ascii="宋体" w:hAnsi="宋体" w:cs="宋体"/>
          <w:color w:val="auto"/>
          <w:szCs w:val="24"/>
          <w:highlight w:val="none"/>
        </w:rPr>
      </w:pPr>
      <w:r>
        <w:rPr>
          <w:rFonts w:hint="eastAsia" w:ascii="宋体" w:hAnsi="宋体" w:cs="宋体"/>
          <w:color w:val="auto"/>
          <w:szCs w:val="24"/>
          <w:highlight w:val="none"/>
        </w:rPr>
        <w:t>我方承诺一旦在【项目名称】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78138042">
      <w:pPr>
        <w:pStyle w:val="152"/>
        <w:topLinePunct/>
        <w:spacing w:line="440" w:lineRule="atLeast"/>
        <w:ind w:firstLine="420"/>
        <w:rPr>
          <w:rFonts w:hint="eastAsia" w:ascii="宋体" w:hAnsi="宋体" w:cs="宋体"/>
          <w:color w:val="auto"/>
          <w:szCs w:val="24"/>
          <w:highlight w:val="none"/>
        </w:rPr>
      </w:pPr>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4BE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B4D6281">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序号</w:t>
            </w:r>
          </w:p>
        </w:tc>
        <w:tc>
          <w:tcPr>
            <w:tcW w:w="2300" w:type="dxa"/>
            <w:noWrap w:val="0"/>
            <w:vAlign w:val="center"/>
          </w:tcPr>
          <w:p w14:paraId="41AFE3D2">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单位名称</w:t>
            </w:r>
          </w:p>
          <w:p w14:paraId="31DEFCA2">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（分包单位）</w:t>
            </w:r>
          </w:p>
        </w:tc>
        <w:tc>
          <w:tcPr>
            <w:tcW w:w="1266" w:type="dxa"/>
            <w:noWrap w:val="0"/>
            <w:vAlign w:val="center"/>
          </w:tcPr>
          <w:p w14:paraId="30F39978">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资质</w:t>
            </w:r>
          </w:p>
          <w:p w14:paraId="7192912A">
            <w:pPr>
              <w:pStyle w:val="152"/>
              <w:keepNext w:val="0"/>
              <w:keepLines w:val="0"/>
              <w:suppressLineNumbers w:val="0"/>
              <w:topLinePunct/>
              <w:spacing w:before="0" w:beforeAutospacing="0" w:after="0" w:afterAutospacing="0"/>
              <w:ind w:left="0" w:right="0"/>
              <w:jc w:val="center"/>
              <w:rPr>
                <w:rFonts w:hint="eastAsia" w:ascii="宋体" w:hAnsi="宋体" w:cs="宋体"/>
                <w:b/>
                <w:bCs/>
                <w:color w:val="auto"/>
                <w:szCs w:val="24"/>
                <w:highlight w:val="none"/>
              </w:rPr>
            </w:pPr>
            <w:r>
              <w:rPr>
                <w:rFonts w:hint="eastAsia" w:ascii="宋体" w:hAnsi="宋体" w:cs="宋体"/>
                <w:b/>
                <w:bCs/>
                <w:color w:val="auto"/>
                <w:szCs w:val="24"/>
                <w:highlight w:val="none"/>
              </w:rPr>
              <w:t>（如有）</w:t>
            </w:r>
          </w:p>
        </w:tc>
        <w:tc>
          <w:tcPr>
            <w:tcW w:w="1322" w:type="dxa"/>
            <w:noWrap w:val="0"/>
            <w:vAlign w:val="center"/>
          </w:tcPr>
          <w:p w14:paraId="20C3C81C">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拟分包内容</w:t>
            </w:r>
          </w:p>
        </w:tc>
        <w:tc>
          <w:tcPr>
            <w:tcW w:w="2389" w:type="dxa"/>
            <w:noWrap w:val="0"/>
            <w:vAlign w:val="center"/>
          </w:tcPr>
          <w:p w14:paraId="1B0789B2">
            <w:pPr>
              <w:pStyle w:val="152"/>
              <w:keepNext w:val="0"/>
              <w:keepLines w:val="0"/>
              <w:suppressLineNumbers w:val="0"/>
              <w:topLinePunct/>
              <w:spacing w:before="0" w:beforeAutospacing="0" w:after="0" w:afterAutospacing="0"/>
              <w:ind w:left="0" w:right="0"/>
              <w:jc w:val="center"/>
              <w:rPr>
                <w:rFonts w:hint="default" w:ascii="宋体" w:hAnsi="宋体" w:cs="宋体"/>
                <w:b/>
                <w:bCs/>
                <w:color w:val="auto"/>
                <w:szCs w:val="24"/>
                <w:highlight w:val="none"/>
              </w:rPr>
            </w:pPr>
            <w:r>
              <w:rPr>
                <w:rFonts w:hint="eastAsia" w:ascii="宋体" w:hAnsi="宋体" w:cs="宋体"/>
                <w:b/>
                <w:bCs/>
                <w:color w:val="auto"/>
                <w:szCs w:val="24"/>
                <w:highlight w:val="none"/>
              </w:rPr>
              <w:t>拟分包合同金额占合同金额的比例</w:t>
            </w:r>
          </w:p>
        </w:tc>
      </w:tr>
      <w:tr w14:paraId="4BF1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63899DD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r>
              <w:rPr>
                <w:rFonts w:hint="eastAsia" w:ascii="宋体" w:hAnsi="宋体" w:cs="宋体"/>
                <w:color w:val="auto"/>
                <w:szCs w:val="24"/>
                <w:highlight w:val="none"/>
              </w:rPr>
              <w:t>1</w:t>
            </w:r>
          </w:p>
        </w:tc>
        <w:tc>
          <w:tcPr>
            <w:tcW w:w="2300" w:type="dxa"/>
            <w:noWrap w:val="0"/>
            <w:vAlign w:val="top"/>
          </w:tcPr>
          <w:p w14:paraId="19AC53C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3B0C50F8">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5BB57304">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6B532568">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r w14:paraId="0F6A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76C8636B">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r>
              <w:rPr>
                <w:rFonts w:hint="eastAsia" w:ascii="宋体" w:hAnsi="宋体" w:cs="宋体"/>
                <w:color w:val="auto"/>
                <w:szCs w:val="24"/>
                <w:highlight w:val="none"/>
              </w:rPr>
              <w:t>2</w:t>
            </w:r>
          </w:p>
        </w:tc>
        <w:tc>
          <w:tcPr>
            <w:tcW w:w="2300" w:type="dxa"/>
            <w:noWrap w:val="0"/>
            <w:vAlign w:val="top"/>
          </w:tcPr>
          <w:p w14:paraId="291053C9">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14D89F1B">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42C8C1A1">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427F4046">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r w14:paraId="7842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60CBBD8A">
            <w:pPr>
              <w:pStyle w:val="152"/>
              <w:keepNext w:val="0"/>
              <w:keepLines w:val="0"/>
              <w:suppressLineNumbers w:val="0"/>
              <w:topLinePunct/>
              <w:spacing w:before="0" w:beforeAutospacing="0" w:after="0" w:afterAutospacing="0"/>
              <w:ind w:left="0" w:right="0"/>
              <w:jc w:val="left"/>
              <w:rPr>
                <w:rFonts w:hint="default" w:ascii="宋体" w:hAnsi="宋体" w:cs="宋体"/>
                <w:color w:val="auto"/>
                <w:szCs w:val="24"/>
                <w:highlight w:val="none"/>
              </w:rPr>
            </w:pPr>
            <w:r>
              <w:rPr>
                <w:rFonts w:hint="eastAsia" w:ascii="宋体" w:hAnsi="宋体" w:cs="宋体"/>
                <w:color w:val="auto"/>
                <w:szCs w:val="24"/>
                <w:highlight w:val="none"/>
              </w:rPr>
              <w:t>...</w:t>
            </w:r>
          </w:p>
        </w:tc>
        <w:tc>
          <w:tcPr>
            <w:tcW w:w="2300" w:type="dxa"/>
            <w:noWrap w:val="0"/>
            <w:vAlign w:val="top"/>
          </w:tcPr>
          <w:p w14:paraId="5D3E89E7">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266" w:type="dxa"/>
            <w:noWrap w:val="0"/>
            <w:vAlign w:val="top"/>
          </w:tcPr>
          <w:p w14:paraId="014FC9AB">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1322" w:type="dxa"/>
            <w:noWrap w:val="0"/>
            <w:vAlign w:val="top"/>
          </w:tcPr>
          <w:p w14:paraId="669D18E7">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c>
          <w:tcPr>
            <w:tcW w:w="2389" w:type="dxa"/>
            <w:noWrap w:val="0"/>
            <w:vAlign w:val="top"/>
          </w:tcPr>
          <w:p w14:paraId="3CC887FA">
            <w:pPr>
              <w:pStyle w:val="152"/>
              <w:keepNext w:val="0"/>
              <w:keepLines w:val="0"/>
              <w:suppressLineNumbers w:val="0"/>
              <w:topLinePunct/>
              <w:spacing w:before="0" w:beforeAutospacing="0" w:after="0" w:afterAutospacing="0"/>
              <w:ind w:left="0" w:right="0"/>
              <w:jc w:val="left"/>
              <w:rPr>
                <w:rFonts w:hint="eastAsia" w:ascii="宋体" w:hAnsi="宋体" w:cs="宋体"/>
                <w:color w:val="auto"/>
                <w:szCs w:val="24"/>
                <w:highlight w:val="none"/>
              </w:rPr>
            </w:pPr>
          </w:p>
        </w:tc>
      </w:tr>
    </w:tbl>
    <w:p w14:paraId="4587E539">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注：</w:t>
      </w:r>
    </w:p>
    <w:p w14:paraId="7D4B461B">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1.如本项目允许分包，且投标人拟进行分包时，必须提供；如未提供，或提供了但未填写拟签订分包合同的单位名称、拟分包合同金额占合同总金额的比例，投标无效。</w:t>
      </w:r>
    </w:p>
    <w:p w14:paraId="4DFAA8F1">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2.如招标公告载明的资格要求与拟分包内容相关，则投标人须在本表中列明分包单位的相应资质，并附资质证书的原件扫描件或电子证书，否则投标无效。</w:t>
      </w:r>
    </w:p>
    <w:p w14:paraId="7401F648">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3.投标人为享受政府采购支持中小企业发展政策而向中小微企业分包时，须同时提供分包单位的中小企业声明函，分包单位的企业划型以中小企业声明函作为判断依据。</w:t>
      </w:r>
    </w:p>
    <w:p w14:paraId="3FFE63D6">
      <w:pPr>
        <w:pStyle w:val="152"/>
        <w:topLinePunct/>
        <w:spacing w:line="440" w:lineRule="atLeast"/>
        <w:jc w:val="right"/>
        <w:rPr>
          <w:rFonts w:hint="eastAsia" w:ascii="宋体" w:hAnsi="宋体" w:cs="宋体"/>
          <w:color w:val="auto"/>
          <w:szCs w:val="24"/>
          <w:highlight w:val="none"/>
        </w:rPr>
      </w:pPr>
    </w:p>
    <w:p w14:paraId="0D92B9FB">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投标人名称：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341E004F">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6DD9B000">
      <w:pPr>
        <w:pStyle w:val="152"/>
        <w:topLinePunct/>
        <w:spacing w:line="440" w:lineRule="atLeast"/>
        <w:rPr>
          <w:rFonts w:hint="eastAsia" w:ascii="宋体" w:hAnsi="宋体" w:cs="宋体"/>
          <w:color w:val="auto"/>
          <w:szCs w:val="24"/>
          <w:highlight w:val="none"/>
        </w:rPr>
      </w:pPr>
    </w:p>
    <w:p w14:paraId="635D5013">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分包单位一名称：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134860BE">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127489FB">
      <w:pPr>
        <w:pStyle w:val="152"/>
        <w:topLinePunct/>
        <w:spacing w:line="440" w:lineRule="atLeast"/>
        <w:rPr>
          <w:rFonts w:hint="eastAsia" w:ascii="宋体" w:hAnsi="宋体" w:cs="宋体"/>
          <w:color w:val="auto"/>
          <w:szCs w:val="24"/>
          <w:highlight w:val="none"/>
        </w:rPr>
      </w:pPr>
    </w:p>
    <w:p w14:paraId="65245214">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分包单位二名称：</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（盖单位章）</w:t>
      </w:r>
    </w:p>
    <w:p w14:paraId="7532AFA7">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（签字或盖章）</w:t>
      </w:r>
    </w:p>
    <w:p w14:paraId="79B43522">
      <w:pPr>
        <w:pStyle w:val="152"/>
        <w:topLinePunct/>
        <w:spacing w:line="440" w:lineRule="atLeast"/>
        <w:rPr>
          <w:rFonts w:hint="eastAsia" w:ascii="宋体" w:hAnsi="宋体" w:cs="宋体"/>
          <w:color w:val="auto"/>
          <w:szCs w:val="24"/>
          <w:highlight w:val="none"/>
        </w:rPr>
      </w:pPr>
      <w:r>
        <w:rPr>
          <w:rFonts w:hint="eastAsia" w:ascii="宋体" w:hAnsi="宋体" w:cs="宋体"/>
          <w:color w:val="auto"/>
          <w:szCs w:val="24"/>
          <w:highlight w:val="none"/>
        </w:rPr>
        <w:t>……</w:t>
      </w:r>
    </w:p>
    <w:p w14:paraId="771208A3">
      <w:pPr>
        <w:pStyle w:val="152"/>
        <w:ind w:firstLine="2879"/>
        <w:rPr>
          <w:rFonts w:hint="eastAsia"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5ABBF367">
      <w:pPr>
        <w:spacing w:line="440" w:lineRule="exact"/>
        <w:rPr>
          <w:rFonts w:hint="eastAsia" w:ascii="宋体" w:hAnsi="宋体" w:cs="宋体"/>
          <w:color w:val="auto"/>
          <w:szCs w:val="21"/>
          <w:highlight w:val="none"/>
        </w:rPr>
      </w:pPr>
    </w:p>
    <w:p w14:paraId="52B9D628">
      <w:pPr>
        <w:widowControl/>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286" w:charSpace="0"/>
        </w:sectPr>
      </w:pPr>
    </w:p>
    <w:p w14:paraId="3A3A05D2">
      <w:pPr>
        <w:pStyle w:val="3"/>
        <w:widowControl/>
        <w:spacing w:before="120" w:after="120" w:line="240" w:lineRule="auto"/>
        <w:jc w:val="center"/>
        <w:rPr>
          <w:rStyle w:val="103"/>
          <w:rFonts w:hint="eastAsia" w:ascii="宋体" w:hAnsi="宋体" w:eastAsia="宋体" w:cs="宋体"/>
          <w:b/>
          <w:bCs w:val="0"/>
          <w:color w:val="auto"/>
          <w:sz w:val="30"/>
          <w:szCs w:val="30"/>
          <w:highlight w:val="none"/>
        </w:rPr>
      </w:pPr>
      <w:r>
        <w:rPr>
          <w:rStyle w:val="103"/>
          <w:rFonts w:hint="eastAsia" w:ascii="宋体" w:hAnsi="宋体" w:eastAsia="宋体" w:cs="宋体"/>
          <w:b/>
          <w:bCs w:val="0"/>
          <w:color w:val="auto"/>
          <w:sz w:val="30"/>
          <w:szCs w:val="30"/>
          <w:highlight w:val="none"/>
        </w:rPr>
        <w:t>九、资格审查材料</w:t>
      </w:r>
    </w:p>
    <w:p w14:paraId="4C9BA2D9">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7E4B02CB">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67A6638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53F20718">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75985D43">
      <w:pPr>
        <w:tabs>
          <w:tab w:val="left" w:pos="1260"/>
        </w:tabs>
        <w:jc w:val="center"/>
        <w:rPr>
          <w:rFonts w:hint="eastAsia" w:cs="宋体"/>
          <w:bCs/>
          <w:color w:val="auto"/>
          <w:sz w:val="24"/>
          <w:highlight w:val="none"/>
        </w:rPr>
      </w:pPr>
    </w:p>
    <w:p w14:paraId="3DDD1DE3">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5552401C">
      <w:pPr>
        <w:rPr>
          <w:rFonts w:hint="eastAsia" w:ascii="宋体" w:hAnsi="宋体" w:cs="宋体"/>
          <w:b/>
          <w:color w:val="auto"/>
          <w:highlight w:val="none"/>
        </w:rPr>
      </w:pPr>
      <w:r>
        <w:rPr>
          <w:rFonts w:hint="eastAsia" w:ascii="宋体" w:hAnsi="宋体" w:cs="宋体"/>
          <w:b/>
          <w:color w:val="auto"/>
          <w:highlight w:val="none"/>
        </w:rPr>
        <w:t>1-1营业执照等证明材料原件扫描件或电子证照</w:t>
      </w:r>
    </w:p>
    <w:p w14:paraId="7FDA1E79">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0CE7399C">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729FC30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478A4B15">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58622239">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135EF74D">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422B366F">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7A38BFF">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270F3347">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5C8E878E">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3DBBF6F3">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390CC2CB">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15A1D322">
      <w:pPr>
        <w:pStyle w:val="89"/>
        <w:rPr>
          <w:rFonts w:hint="eastAsia"/>
          <w:color w:val="auto"/>
          <w:highlight w:val="none"/>
        </w:rPr>
      </w:pPr>
    </w:p>
    <w:p w14:paraId="763EBEE9">
      <w:pPr>
        <w:rPr>
          <w:rFonts w:hint="eastAsia" w:ascii="宋体" w:hAnsi="宋体" w:cs="宋体"/>
          <w:b/>
          <w:color w:val="auto"/>
          <w:highlight w:val="none"/>
        </w:rPr>
      </w:pPr>
      <w:r>
        <w:rPr>
          <w:rFonts w:hint="eastAsia" w:ascii="宋体" w:hAnsi="宋体" w:cs="宋体"/>
          <w:b/>
          <w:color w:val="auto"/>
          <w:highlight w:val="none"/>
        </w:rPr>
        <w:t>1-2资质证书（如有）</w:t>
      </w:r>
    </w:p>
    <w:p w14:paraId="51277CB7">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1D36EE64">
      <w:pPr>
        <w:rPr>
          <w:rFonts w:hint="eastAsia" w:ascii="宋体" w:hAnsi="宋体" w:cs="宋体"/>
          <w:color w:val="auto"/>
          <w:szCs w:val="21"/>
          <w:highlight w:val="none"/>
        </w:rPr>
      </w:pPr>
    </w:p>
    <w:p w14:paraId="42098DA6">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29C80780">
      <w:pPr>
        <w:rPr>
          <w:rFonts w:hint="eastAsia" w:ascii="宋体" w:hAnsi="宋体" w:cs="宋体"/>
          <w:b/>
          <w:color w:val="auto"/>
          <w:highlight w:val="none"/>
        </w:rPr>
      </w:pPr>
    </w:p>
    <w:p w14:paraId="7C56D77D">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0B3EFCE5">
      <w:pPr>
        <w:rPr>
          <w:rFonts w:hint="eastAsia" w:ascii="宋体" w:hAnsi="宋体" w:cs="宋体"/>
          <w:b/>
          <w:color w:val="auto"/>
          <w:highlight w:val="none"/>
        </w:rPr>
      </w:pPr>
    </w:p>
    <w:p w14:paraId="151987C4">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0718E895">
      <w:pPr>
        <w:widowControl/>
        <w:tabs>
          <w:tab w:val="left" w:pos="5580"/>
        </w:tabs>
        <w:spacing w:line="360" w:lineRule="auto"/>
        <w:rPr>
          <w:rFonts w:hint="eastAsia" w:ascii="宋体" w:hAnsi="宋体" w:cs="宋体"/>
          <w:color w:val="auto"/>
          <w:szCs w:val="21"/>
          <w:highlight w:val="none"/>
        </w:rPr>
      </w:pPr>
    </w:p>
    <w:p w14:paraId="2FDAC087">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FE8DA97">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1DA2363A">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致：【采购人名称】</w:t>
      </w:r>
    </w:p>
    <w:p w14:paraId="3F7C69A7">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2FD6F370">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4CC6163C">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0C40A4F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395492E0">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5DC2125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0CDA69B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595A8E2D">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6E28302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15AFDE79">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04509E84">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59A42F9C">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33747EE5">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0740B204">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50EAFBC">
      <w:pPr>
        <w:tabs>
          <w:tab w:val="left" w:pos="5580"/>
        </w:tabs>
        <w:jc w:val="center"/>
        <w:outlineLvl w:val="2"/>
        <w:rPr>
          <w:rFonts w:ascii="宋体" w:hAnsi="宋体" w:cs="宋体"/>
          <w:b/>
          <w:bCs/>
          <w:color w:val="auto"/>
          <w:kern w:val="0"/>
          <w:sz w:val="24"/>
          <w:highlight w:val="none"/>
          <w:lang w:bidi="en-US"/>
        </w:rPr>
      </w:pPr>
      <w:r>
        <w:rPr>
          <w:rFonts w:hint="eastAsia" w:ascii="宋体" w:hAnsi="宋体" w:cs="宋体"/>
          <w:color w:val="auto"/>
          <w:szCs w:val="21"/>
          <w:highlight w:val="none"/>
        </w:rPr>
        <w:br w:type="page"/>
      </w:r>
      <w:r>
        <w:rPr>
          <w:rFonts w:hint="eastAsia" w:ascii="宋体" w:hAnsi="宋体" w:cs="宋体"/>
          <w:b/>
          <w:bCs/>
          <w:color w:val="auto"/>
          <w:kern w:val="0"/>
          <w:sz w:val="24"/>
          <w:highlight w:val="none"/>
          <w:lang w:bidi="en-US"/>
        </w:rPr>
        <w:t>（三）用于资格审查的业绩证明材料（如有）</w:t>
      </w:r>
    </w:p>
    <w:p w14:paraId="7A4CC4DB">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ADF43C4">
      <w:pPr>
        <w:pStyle w:val="26"/>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51580805">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3B0C6D89">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6C9EE55D">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1E473B6C">
      <w:pPr>
        <w:jc w:val="center"/>
        <w:rPr>
          <w:rFonts w:hint="eastAsia" w:ascii="宋体" w:hAnsi="宋体" w:cs="宋体"/>
          <w:color w:val="auto"/>
          <w:sz w:val="28"/>
          <w:highlight w:val="none"/>
        </w:rPr>
      </w:pPr>
    </w:p>
    <w:p w14:paraId="00F3F440">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7FA5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792368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2F5CCEFD">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1AE3FD58">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57ACCD9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7B96D914">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536B181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0EFC961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733A182F">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06AE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CAE4BA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25D86E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6B5EA8D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3B14DB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6A79DC5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23E210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B3E375C">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6CB1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CEE5C35">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384A796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75F3C51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3873CB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5957D44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014EA64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42160A2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AF4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E4E568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7E34231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A8AD2F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22D0B9F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1E9A41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6BE6C0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AFE62CF">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8C1E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9E2F6D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588997E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CA30D6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62770C8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0E2810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C31258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6E5C6F92">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7B8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DDA5E8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14BF12E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5C0E8C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025776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04548B0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1F273A5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A77DE71">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0B2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397FFA3">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122F891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343DB2E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223FBF2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9C62C8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34806AB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7D5249CE">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64685E24">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注：应附中标/成交通知书（如有）和合同协议书，以及验收报告（验收证明文件）（如有）等材料（具体以资格要求为准），具体年份时间要求见招标公告。</w:t>
      </w:r>
    </w:p>
    <w:p w14:paraId="53DA3C44">
      <w:pPr>
        <w:rPr>
          <w:rFonts w:hint="eastAsia" w:ascii="宋体" w:hAnsi="宋体" w:cs="宋体"/>
          <w:color w:val="auto"/>
          <w:highlight w:val="none"/>
          <w:lang w:bidi="en-US"/>
        </w:rPr>
      </w:pPr>
    </w:p>
    <w:p w14:paraId="449F7E7D">
      <w:pPr>
        <w:rPr>
          <w:rFonts w:hint="eastAsia" w:ascii="宋体" w:hAnsi="宋体" w:cs="宋体"/>
          <w:color w:val="auto"/>
          <w:highlight w:val="none"/>
          <w:lang w:bidi="en-US"/>
        </w:rPr>
      </w:pPr>
    </w:p>
    <w:p w14:paraId="15F9BD8F">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5BA921BB">
      <w:pPr>
        <w:pStyle w:val="4"/>
        <w:keepNext w:val="0"/>
        <w:tabs>
          <w:tab w:val="left" w:pos="1260"/>
        </w:tabs>
        <w:jc w:val="center"/>
        <w:rPr>
          <w:rFonts w:hint="eastAsia" w:cs="宋体"/>
          <w:bCs w:val="0"/>
          <w:color w:val="auto"/>
          <w:sz w:val="24"/>
          <w:highlight w:val="none"/>
          <w:lang w:eastAsia="zh-CN"/>
        </w:rPr>
      </w:pPr>
      <w:r>
        <w:rPr>
          <w:rFonts w:hint="eastAsia" w:cs="宋体"/>
          <w:bCs w:val="0"/>
          <w:color w:val="auto"/>
          <w:sz w:val="24"/>
          <w:highlight w:val="none"/>
          <w:lang w:eastAsia="zh-CN"/>
        </w:rPr>
        <w:t>（四）制造商授权书</w:t>
      </w:r>
      <w:r>
        <w:rPr>
          <w:rStyle w:val="58"/>
          <w:rFonts w:hint="eastAsia" w:cs="宋体"/>
          <w:bCs w:val="0"/>
          <w:color w:val="auto"/>
          <w:sz w:val="21"/>
          <w:szCs w:val="21"/>
          <w:highlight w:val="none"/>
          <w:lang w:eastAsia="zh-CN"/>
        </w:rPr>
        <w:footnoteReference w:id="1"/>
      </w:r>
    </w:p>
    <w:p w14:paraId="470D28E6">
      <w:pPr>
        <w:jc w:val="center"/>
        <w:rPr>
          <w:b/>
          <w:bCs/>
          <w:color w:val="auto"/>
          <w:highlight w:val="none"/>
        </w:rPr>
      </w:pPr>
      <w:r>
        <w:rPr>
          <w:rFonts w:hint="eastAsia"/>
          <w:b/>
          <w:bCs/>
          <w:color w:val="auto"/>
          <w:highlight w:val="none"/>
        </w:rPr>
        <w:t>注：非进口产品无需提供制造商授权书</w:t>
      </w:r>
    </w:p>
    <w:p w14:paraId="45ADA824">
      <w:pPr>
        <w:tabs>
          <w:tab w:val="left" w:pos="0"/>
        </w:tabs>
        <w:spacing w:line="440" w:lineRule="exact"/>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highlight w:val="none"/>
          <w:lang w:bidi="en-US"/>
        </w:rPr>
        <w:t>【采购人名称】</w:t>
      </w:r>
    </w:p>
    <w:p w14:paraId="4E063A31">
      <w:pPr>
        <w:tabs>
          <w:tab w:val="left" w:pos="0"/>
        </w:tabs>
        <w:spacing w:line="440" w:lineRule="exact"/>
        <w:ind w:left="105" w:lef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（制造商名称）是按</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（国家/地区名称）法律成立的制造商，主要营业地点设在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（制造商地址）。兹指派按中华人民共和国的法律正式成立的，主要营业地点设在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（投标人地址）的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（投标人名称）进行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（项目名称）投标活动。我单位同意按照成交合同供货，并对产品质量承担责任。</w:t>
      </w:r>
    </w:p>
    <w:p w14:paraId="6DBBE3C1">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p>
    <w:p w14:paraId="72988252">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（盖单位章）  制造商名称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2B28D773">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签字人职务</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签字人职务</w:t>
      </w:r>
      <w:r>
        <w:rPr>
          <w:rFonts w:hint="eastAsia" w:ascii="宋体" w:hAnsi="宋体" w:cs="宋体"/>
          <w:color w:val="auto"/>
          <w:szCs w:val="21"/>
          <w:highlight w:val="none"/>
          <w:u w:val="single"/>
        </w:rPr>
        <w:t xml:space="preserve">                             </w:t>
      </w:r>
    </w:p>
    <w:p w14:paraId="69D040C2">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签字人姓名</w:t>
      </w:r>
      <w:r>
        <w:rPr>
          <w:rFonts w:hint="eastAsia" w:ascii="宋体" w:hAnsi="宋体" w:cs="宋体"/>
          <w:color w:val="auto"/>
          <w:szCs w:val="21"/>
          <w:highlight w:val="none"/>
          <w:u w:val="single"/>
        </w:rPr>
        <w:t xml:space="preserve">                             </w:t>
      </w:r>
    </w:p>
    <w:p w14:paraId="0E1DBF45">
      <w:pPr>
        <w:tabs>
          <w:tab w:val="left" w:pos="0"/>
        </w:tabs>
        <w:spacing w:after="120" w:line="440" w:lineRule="exact"/>
        <w:ind w:left="105" w:leftChars="50" w:right="105" w:rightChars="5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签字人签名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签字人签名</w:t>
      </w:r>
      <w:r>
        <w:rPr>
          <w:rFonts w:hint="eastAsia" w:ascii="宋体" w:hAnsi="宋体" w:cs="宋体"/>
          <w:color w:val="auto"/>
          <w:szCs w:val="21"/>
          <w:highlight w:val="none"/>
          <w:u w:val="single"/>
        </w:rPr>
        <w:t xml:space="preserve">                             </w:t>
      </w:r>
    </w:p>
    <w:p w14:paraId="65734D1F">
      <w:pPr>
        <w:widowControl/>
        <w:spacing w:before="5" w:line="200" w:lineRule="atLeast"/>
        <w:rPr>
          <w:rFonts w:hint="eastAsia" w:ascii="宋体" w:hAnsi="宋体" w:cs="宋体"/>
          <w:color w:val="auto"/>
          <w:kern w:val="0"/>
          <w:sz w:val="20"/>
          <w:szCs w:val="20"/>
          <w:highlight w:val="none"/>
        </w:rPr>
      </w:pPr>
    </w:p>
    <w:p w14:paraId="6187C2F8">
      <w:pPr>
        <w:widowControl/>
        <w:spacing w:line="200" w:lineRule="atLeast"/>
        <w:rPr>
          <w:rFonts w:hint="eastAsia" w:ascii="宋体" w:hAnsi="宋体" w:cs="宋体"/>
          <w:color w:val="auto"/>
          <w:kern w:val="0"/>
          <w:sz w:val="20"/>
          <w:szCs w:val="20"/>
          <w:highlight w:val="none"/>
        </w:rPr>
      </w:pPr>
    </w:p>
    <w:p w14:paraId="3DA69427">
      <w:pPr>
        <w:widowControl/>
        <w:spacing w:line="200" w:lineRule="atLeast"/>
        <w:rPr>
          <w:rFonts w:hint="eastAsia" w:ascii="宋体" w:hAnsi="宋体" w:cs="宋体"/>
          <w:color w:val="auto"/>
          <w:kern w:val="0"/>
          <w:sz w:val="22"/>
          <w:highlight w:val="none"/>
        </w:rPr>
      </w:pPr>
    </w:p>
    <w:p w14:paraId="5DA94B67">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6D8D9ADB">
      <w:pPr>
        <w:pStyle w:val="3"/>
        <w:widowControl/>
        <w:spacing w:before="120" w:after="120" w:line="240" w:lineRule="auto"/>
        <w:jc w:val="center"/>
        <w:rPr>
          <w:rStyle w:val="103"/>
          <w:rFonts w:hint="eastAsia" w:ascii="宋体" w:hAnsi="宋体" w:eastAsia="宋体" w:cs="宋体"/>
          <w:b/>
          <w:bCs/>
          <w:color w:val="auto"/>
          <w:sz w:val="30"/>
          <w:szCs w:val="30"/>
          <w:highlight w:val="none"/>
        </w:rPr>
      </w:pPr>
      <w:r>
        <w:rPr>
          <w:rStyle w:val="103"/>
          <w:rFonts w:hint="eastAsia" w:ascii="宋体" w:hAnsi="宋体" w:eastAsia="宋体" w:cs="宋体"/>
          <w:b/>
          <w:bCs w:val="0"/>
          <w:color w:val="auto"/>
          <w:sz w:val="30"/>
          <w:szCs w:val="30"/>
          <w:highlight w:val="none"/>
        </w:rPr>
        <w:t>十</w:t>
      </w:r>
      <w:r>
        <w:rPr>
          <w:rStyle w:val="103"/>
          <w:rFonts w:hint="eastAsia" w:ascii="宋体" w:hAnsi="宋体" w:eastAsia="宋体" w:cs="宋体"/>
          <w:b/>
          <w:bCs/>
          <w:color w:val="auto"/>
          <w:sz w:val="30"/>
          <w:szCs w:val="30"/>
          <w:highlight w:val="none"/>
        </w:rPr>
        <w:t>、符合性审查与详细评审材料</w:t>
      </w:r>
    </w:p>
    <w:p w14:paraId="77B490C8">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7D8489B7">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原件扫描件或电子证照</w:t>
      </w:r>
      <w:r>
        <w:rPr>
          <w:rFonts w:hint="eastAsia" w:ascii="宋体" w:hAnsi="宋体" w:cs="宋体"/>
          <w:color w:val="auto"/>
          <w:szCs w:val="21"/>
          <w:highlight w:val="none"/>
        </w:rPr>
        <w:t>；</w:t>
      </w:r>
    </w:p>
    <w:p w14:paraId="7A5E212F">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63671E1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164C0F34">
      <w:pPr>
        <w:pStyle w:val="4"/>
        <w:spacing w:before="120" w:after="120" w:line="240" w:lineRule="auto"/>
        <w:jc w:val="center"/>
        <w:rPr>
          <w:rStyle w:val="103"/>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6"/>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06AC9AC4">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1798FD6">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08E66265">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6844E02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6FB4FDF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320B5EE7">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584E96C2">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7F941E82">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F9F467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0BA0D0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409AD6B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5906E1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478224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198397B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B984D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367698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613075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331D11B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7D0E99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2C3BB7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F9AD7C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F523B09">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60BD9B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2D7A30B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7914E8F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A4FAA8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3737A0B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44003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5133879">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FF3CAF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5C505BF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4034CE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7CC66A5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5F5A56A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67B28C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44FEBF1">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42B333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7A77E5E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2C01E64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74B72AE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C2EBF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1534A0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0A4E8522">
      <w:pPr>
        <w:rPr>
          <w:rFonts w:hint="eastAsia" w:ascii="宋体" w:hAnsi="宋体" w:cs="宋体"/>
          <w:color w:val="auto"/>
          <w:szCs w:val="21"/>
          <w:highlight w:val="none"/>
        </w:rPr>
      </w:pPr>
      <w:r>
        <w:rPr>
          <w:rFonts w:hint="eastAsia" w:ascii="宋体" w:hAnsi="宋体" w:cs="宋体"/>
          <w:color w:val="auto"/>
          <w:szCs w:val="21"/>
          <w:highlight w:val="none"/>
        </w:rPr>
        <w:t>投标人保证：除商务要求偏离表列出的偏差外，投标人响应招标文件的全部要求。</w:t>
      </w:r>
    </w:p>
    <w:p w14:paraId="797D55B7">
      <w:pPr>
        <w:widowControl/>
        <w:spacing w:line="360" w:lineRule="exact"/>
        <w:ind w:firstLine="411" w:firstLineChars="196"/>
        <w:rPr>
          <w:rFonts w:hint="eastAsia" w:ascii="宋体" w:hAnsi="宋体" w:cs="宋体"/>
          <w:color w:val="auto"/>
          <w:highlight w:val="none"/>
        </w:rPr>
      </w:pPr>
    </w:p>
    <w:p w14:paraId="2273E5A2">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6"/>
        <w:tblW w:w="10516" w:type="dxa"/>
        <w:tblInd w:w="93" w:type="dxa"/>
        <w:tblLayout w:type="fixed"/>
        <w:tblCellMar>
          <w:top w:w="0" w:type="dxa"/>
          <w:left w:w="108" w:type="dxa"/>
          <w:bottom w:w="0" w:type="dxa"/>
          <w:right w:w="108" w:type="dxa"/>
        </w:tblCellMar>
      </w:tblPr>
      <w:tblGrid>
        <w:gridCol w:w="947"/>
        <w:gridCol w:w="1270"/>
        <w:gridCol w:w="2013"/>
        <w:gridCol w:w="1951"/>
        <w:gridCol w:w="1709"/>
        <w:gridCol w:w="1313"/>
        <w:gridCol w:w="1313"/>
      </w:tblGrid>
      <w:tr w14:paraId="10789E0D">
        <w:tblPrEx>
          <w:tblCellMar>
            <w:top w:w="0" w:type="dxa"/>
            <w:left w:w="108" w:type="dxa"/>
            <w:bottom w:w="0" w:type="dxa"/>
            <w:right w:w="108" w:type="dxa"/>
          </w:tblCellMar>
        </w:tblPrEx>
        <w:trPr>
          <w:trHeight w:val="508" w:hRule="atLeast"/>
        </w:trPr>
        <w:tc>
          <w:tcPr>
            <w:tcW w:w="947" w:type="dxa"/>
            <w:tcBorders>
              <w:top w:val="single" w:color="000000" w:sz="4" w:space="0"/>
              <w:left w:val="single" w:color="000000" w:sz="4" w:space="0"/>
              <w:bottom w:val="single" w:color="auto" w:sz="4" w:space="0"/>
              <w:right w:val="single" w:color="000000" w:sz="4" w:space="0"/>
            </w:tcBorders>
            <w:noWrap w:val="0"/>
            <w:vAlign w:val="center"/>
          </w:tcPr>
          <w:p w14:paraId="66F9E0A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70" w:type="dxa"/>
            <w:tcBorders>
              <w:top w:val="single" w:color="000000" w:sz="4" w:space="0"/>
              <w:left w:val="nil"/>
              <w:bottom w:val="single" w:color="auto" w:sz="4" w:space="0"/>
              <w:right w:val="single" w:color="000000" w:sz="4" w:space="0"/>
            </w:tcBorders>
            <w:noWrap w:val="0"/>
            <w:vAlign w:val="center"/>
          </w:tcPr>
          <w:p w14:paraId="2D27E1D3">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5781FC4F">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013" w:type="dxa"/>
            <w:tcBorders>
              <w:top w:val="single" w:color="000000" w:sz="4" w:space="0"/>
              <w:left w:val="nil"/>
              <w:bottom w:val="single" w:color="000000" w:sz="4" w:space="0"/>
              <w:right w:val="single" w:color="000000" w:sz="4" w:space="0"/>
            </w:tcBorders>
            <w:noWrap w:val="0"/>
            <w:vAlign w:val="center"/>
          </w:tcPr>
          <w:p w14:paraId="5CC358F8">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1951" w:type="dxa"/>
            <w:tcBorders>
              <w:top w:val="single" w:color="000000" w:sz="4" w:space="0"/>
              <w:left w:val="nil"/>
              <w:bottom w:val="single" w:color="000000" w:sz="4" w:space="0"/>
              <w:right w:val="single" w:color="000000" w:sz="4" w:space="0"/>
            </w:tcBorders>
            <w:noWrap w:val="0"/>
            <w:vAlign w:val="center"/>
          </w:tcPr>
          <w:p w14:paraId="032E277B">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709" w:type="dxa"/>
            <w:tcBorders>
              <w:top w:val="single" w:color="000000" w:sz="4" w:space="0"/>
              <w:left w:val="nil"/>
              <w:bottom w:val="single" w:color="000000" w:sz="4" w:space="0"/>
              <w:right w:val="single" w:color="000000" w:sz="4" w:space="0"/>
            </w:tcBorders>
            <w:noWrap w:val="0"/>
            <w:vAlign w:val="center"/>
          </w:tcPr>
          <w:p w14:paraId="36CA909E">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13" w:type="dxa"/>
            <w:tcBorders>
              <w:top w:val="single" w:color="000000" w:sz="4" w:space="0"/>
              <w:left w:val="nil"/>
              <w:bottom w:val="single" w:color="000000" w:sz="4" w:space="0"/>
              <w:right w:val="single" w:color="000000" w:sz="4" w:space="0"/>
            </w:tcBorders>
            <w:noWrap w:val="0"/>
            <w:vAlign w:val="center"/>
          </w:tcPr>
          <w:p w14:paraId="4A8D17B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证明材料</w:t>
            </w:r>
          </w:p>
          <w:p w14:paraId="5485CDF6">
            <w:pPr>
              <w:keepNext w:val="0"/>
              <w:keepLines w:val="0"/>
              <w:widowControl/>
              <w:suppressLineNumbers w:val="0"/>
              <w:spacing w:before="0" w:beforeAutospacing="0" w:after="0" w:afterAutospacing="0"/>
              <w:ind w:left="0" w:right="0"/>
              <w:jc w:val="center"/>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lang w:val="en-US" w:eastAsia="zh-CN"/>
              </w:rPr>
              <w:t>（具体页码）</w:t>
            </w:r>
          </w:p>
        </w:tc>
        <w:tc>
          <w:tcPr>
            <w:tcW w:w="1313" w:type="dxa"/>
            <w:tcBorders>
              <w:top w:val="single" w:color="000000" w:sz="4" w:space="0"/>
              <w:left w:val="nil"/>
              <w:bottom w:val="single" w:color="000000" w:sz="4" w:space="0"/>
              <w:right w:val="single" w:color="000000" w:sz="4" w:space="0"/>
            </w:tcBorders>
            <w:noWrap w:val="0"/>
            <w:vAlign w:val="center"/>
          </w:tcPr>
          <w:p w14:paraId="788CC112">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7D43B2CF">
        <w:tblPrEx>
          <w:tblCellMar>
            <w:top w:w="0" w:type="dxa"/>
            <w:left w:w="108" w:type="dxa"/>
            <w:bottom w:w="0" w:type="dxa"/>
            <w:right w:w="108" w:type="dxa"/>
          </w:tblCellMar>
        </w:tblPrEx>
        <w:trPr>
          <w:trHeight w:val="321" w:hRule="atLeast"/>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265CE8DA">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4D3CE857">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2AD8C93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center"/>
          </w:tcPr>
          <w:p w14:paraId="51CB32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4B13035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207589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5566E1C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6DA5680">
        <w:tblPrEx>
          <w:tblCellMar>
            <w:top w:w="0" w:type="dxa"/>
            <w:left w:w="108" w:type="dxa"/>
            <w:bottom w:w="0" w:type="dxa"/>
            <w:right w:w="108" w:type="dxa"/>
          </w:tblCellMar>
        </w:tblPrEx>
        <w:trPr>
          <w:trHeight w:val="321"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144B3A38">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0D1EF36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7FC0A53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51F0F93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0353B7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6544CA2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3E7253D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35D524A">
        <w:tblPrEx>
          <w:tblCellMar>
            <w:top w:w="0" w:type="dxa"/>
            <w:left w:w="108" w:type="dxa"/>
            <w:bottom w:w="0" w:type="dxa"/>
            <w:right w:w="108" w:type="dxa"/>
          </w:tblCellMar>
        </w:tblPrEx>
        <w:trPr>
          <w:trHeight w:val="334" w:hRule="atLeast"/>
        </w:trPr>
        <w:tc>
          <w:tcPr>
            <w:tcW w:w="947" w:type="dxa"/>
            <w:vMerge w:val="continue"/>
            <w:tcBorders>
              <w:top w:val="nil"/>
              <w:left w:val="single" w:color="000000" w:sz="4" w:space="0"/>
              <w:bottom w:val="single" w:color="auto" w:sz="4" w:space="0"/>
              <w:right w:val="single" w:color="000000" w:sz="4" w:space="0"/>
            </w:tcBorders>
            <w:noWrap w:val="0"/>
            <w:vAlign w:val="center"/>
          </w:tcPr>
          <w:p w14:paraId="04517C22">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auto" w:sz="4" w:space="0"/>
              <w:right w:val="single" w:color="000000" w:sz="4" w:space="0"/>
            </w:tcBorders>
            <w:noWrap w:val="0"/>
            <w:vAlign w:val="center"/>
          </w:tcPr>
          <w:p w14:paraId="03BF016F">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74F33D2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5410237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5085924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66189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7EE710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F16C5CB">
        <w:tblPrEx>
          <w:tblCellMar>
            <w:top w:w="0" w:type="dxa"/>
            <w:left w:w="108" w:type="dxa"/>
            <w:bottom w:w="0" w:type="dxa"/>
            <w:right w:w="108" w:type="dxa"/>
          </w:tblCellMar>
        </w:tblPrEx>
        <w:trPr>
          <w:trHeight w:val="321" w:hRule="atLeast"/>
        </w:trPr>
        <w:tc>
          <w:tcPr>
            <w:tcW w:w="947" w:type="dxa"/>
            <w:vMerge w:val="restart"/>
            <w:tcBorders>
              <w:top w:val="single" w:color="auto" w:sz="4" w:space="0"/>
              <w:left w:val="single" w:color="000000" w:sz="4" w:space="0"/>
              <w:bottom w:val="single" w:color="000000" w:sz="4" w:space="0"/>
              <w:right w:val="single" w:color="000000" w:sz="4" w:space="0"/>
            </w:tcBorders>
            <w:noWrap w:val="0"/>
            <w:vAlign w:val="center"/>
          </w:tcPr>
          <w:p w14:paraId="5217B890">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restart"/>
            <w:tcBorders>
              <w:top w:val="single" w:color="auto" w:sz="4" w:space="0"/>
              <w:left w:val="nil"/>
              <w:bottom w:val="single" w:color="000000" w:sz="4" w:space="0"/>
              <w:right w:val="single" w:color="000000" w:sz="4" w:space="0"/>
            </w:tcBorders>
            <w:noWrap w:val="0"/>
            <w:vAlign w:val="center"/>
          </w:tcPr>
          <w:p w14:paraId="00A084A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4C0F7B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0CE6FF0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4E35727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3C4B21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44BDED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58FAE01">
        <w:tblPrEx>
          <w:tblCellMar>
            <w:top w:w="0" w:type="dxa"/>
            <w:left w:w="108" w:type="dxa"/>
            <w:bottom w:w="0" w:type="dxa"/>
            <w:right w:w="108" w:type="dxa"/>
          </w:tblCellMar>
        </w:tblPrEx>
        <w:trPr>
          <w:trHeight w:val="321"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2ED0C4E1">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52A6BE07">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0E635A1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77D747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3A15D4C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9E6271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4EC122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AF4CCE8">
        <w:tblPrEx>
          <w:tblCellMar>
            <w:top w:w="0" w:type="dxa"/>
            <w:left w:w="108" w:type="dxa"/>
            <w:bottom w:w="0" w:type="dxa"/>
            <w:right w:w="108" w:type="dxa"/>
          </w:tblCellMar>
        </w:tblPrEx>
        <w:trPr>
          <w:trHeight w:val="330" w:hRule="atLeast"/>
        </w:trPr>
        <w:tc>
          <w:tcPr>
            <w:tcW w:w="947" w:type="dxa"/>
            <w:vMerge w:val="continue"/>
            <w:tcBorders>
              <w:top w:val="nil"/>
              <w:left w:val="single" w:color="000000" w:sz="4" w:space="0"/>
              <w:bottom w:val="single" w:color="000000" w:sz="4" w:space="0"/>
              <w:right w:val="single" w:color="000000" w:sz="4" w:space="0"/>
            </w:tcBorders>
            <w:noWrap w:val="0"/>
            <w:vAlign w:val="center"/>
          </w:tcPr>
          <w:p w14:paraId="75BF371E">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270" w:type="dxa"/>
            <w:vMerge w:val="continue"/>
            <w:tcBorders>
              <w:top w:val="nil"/>
              <w:left w:val="nil"/>
              <w:bottom w:val="single" w:color="000000" w:sz="4" w:space="0"/>
              <w:right w:val="single" w:color="000000" w:sz="4" w:space="0"/>
            </w:tcBorders>
            <w:noWrap w:val="0"/>
            <w:vAlign w:val="center"/>
          </w:tcPr>
          <w:p w14:paraId="535CAA82">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013" w:type="dxa"/>
            <w:tcBorders>
              <w:top w:val="single" w:color="000000" w:sz="4" w:space="0"/>
              <w:left w:val="nil"/>
              <w:bottom w:val="single" w:color="000000" w:sz="4" w:space="0"/>
              <w:right w:val="single" w:color="000000" w:sz="4" w:space="0"/>
            </w:tcBorders>
            <w:noWrap w:val="0"/>
            <w:vAlign w:val="center"/>
          </w:tcPr>
          <w:p w14:paraId="528C50BA">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1951" w:type="dxa"/>
            <w:tcBorders>
              <w:top w:val="single" w:color="000000" w:sz="4" w:space="0"/>
              <w:left w:val="nil"/>
              <w:bottom w:val="single" w:color="000000" w:sz="4" w:space="0"/>
              <w:right w:val="single" w:color="000000" w:sz="4" w:space="0"/>
            </w:tcBorders>
            <w:noWrap w:val="0"/>
            <w:vAlign w:val="top"/>
          </w:tcPr>
          <w:p w14:paraId="61866A3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709" w:type="dxa"/>
            <w:tcBorders>
              <w:top w:val="single" w:color="000000" w:sz="4" w:space="0"/>
              <w:left w:val="nil"/>
              <w:bottom w:val="single" w:color="000000" w:sz="4" w:space="0"/>
              <w:right w:val="single" w:color="000000" w:sz="4" w:space="0"/>
            </w:tcBorders>
            <w:noWrap w:val="0"/>
            <w:vAlign w:val="top"/>
          </w:tcPr>
          <w:p w14:paraId="31A9054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03E66D7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13" w:type="dxa"/>
            <w:tcBorders>
              <w:top w:val="single" w:color="000000" w:sz="4" w:space="0"/>
              <w:left w:val="nil"/>
              <w:bottom w:val="single" w:color="000000" w:sz="4" w:space="0"/>
              <w:right w:val="single" w:color="000000" w:sz="4" w:space="0"/>
            </w:tcBorders>
            <w:noWrap w:val="0"/>
            <w:vAlign w:val="top"/>
          </w:tcPr>
          <w:p w14:paraId="2E66F94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638ECFF0">
      <w:pPr>
        <w:rPr>
          <w:rFonts w:hint="eastAsia" w:ascii="宋体" w:hAnsi="宋体" w:cs="宋体"/>
          <w:color w:val="auto"/>
          <w:szCs w:val="21"/>
          <w:highlight w:val="none"/>
        </w:rPr>
      </w:pPr>
      <w:r>
        <w:rPr>
          <w:rFonts w:hint="eastAsia" w:ascii="宋体" w:hAnsi="宋体" w:cs="宋体"/>
          <w:color w:val="auto"/>
          <w:szCs w:val="21"/>
          <w:highlight w:val="none"/>
        </w:rPr>
        <w:t>投标人保证：除技术要求偏离表列出的偏差外，投标人响应招标文件的全部要求。</w:t>
      </w:r>
    </w:p>
    <w:p w14:paraId="7BBC58F9">
      <w:pPr>
        <w:widowControl/>
        <w:spacing w:line="360" w:lineRule="exact"/>
        <w:ind w:firstLine="470" w:firstLineChars="196"/>
        <w:rPr>
          <w:rFonts w:hint="eastAsia" w:ascii="宋体" w:hAnsi="宋体" w:cs="宋体"/>
          <w:color w:val="auto"/>
          <w:kern w:val="0"/>
          <w:sz w:val="24"/>
          <w:highlight w:val="none"/>
        </w:rPr>
      </w:pPr>
    </w:p>
    <w:p w14:paraId="21EFEF33">
      <w:pPr>
        <w:pStyle w:val="4"/>
        <w:jc w:val="center"/>
        <w:rPr>
          <w:rStyle w:val="103"/>
          <w:rFonts w:hint="eastAsia" w:ascii="宋体" w:hAnsi="宋体" w:eastAsia="宋体" w:cs="宋体"/>
          <w:b/>
          <w:bCs w:val="0"/>
          <w:color w:val="auto"/>
          <w:sz w:val="24"/>
          <w:szCs w:val="24"/>
          <w:highlight w:val="none"/>
        </w:rPr>
      </w:pPr>
      <w:r>
        <w:rPr>
          <w:rFonts w:hint="eastAsia" w:cs="宋体"/>
          <w:color w:val="auto"/>
          <w:highlight w:val="none"/>
        </w:rPr>
        <w:br w:type="page"/>
      </w:r>
      <w:r>
        <w:rPr>
          <w:rFonts w:hint="eastAsia" w:cs="宋体"/>
          <w:color w:val="auto"/>
          <w:sz w:val="24"/>
          <w:highlight w:val="none"/>
          <w:lang w:eastAsia="zh-CN"/>
        </w:rPr>
        <w:t>（三）</w:t>
      </w:r>
      <w:r>
        <w:rPr>
          <w:rStyle w:val="103"/>
          <w:rFonts w:hint="eastAsia" w:ascii="宋体" w:hAnsi="宋体" w:eastAsia="宋体" w:cs="宋体"/>
          <w:b/>
          <w:bCs w:val="0"/>
          <w:color w:val="auto"/>
          <w:sz w:val="24"/>
          <w:szCs w:val="24"/>
          <w:highlight w:val="none"/>
        </w:rPr>
        <w:t>技术响应资料</w:t>
      </w:r>
    </w:p>
    <w:p w14:paraId="147068FC">
      <w:pPr>
        <w:widowControl/>
        <w:jc w:val="left"/>
        <w:rPr>
          <w:rFonts w:hint="eastAsia" w:ascii="宋体" w:hAnsi="宋体" w:cs="宋体"/>
          <w:color w:val="auto"/>
          <w:highlight w:val="none"/>
        </w:rPr>
      </w:pPr>
    </w:p>
    <w:p w14:paraId="74011E32">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6"/>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18182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6AF3BC5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224C010F">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2945FED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1697AF01">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573CC92D">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0FE7FE3C">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0C613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1B5C2B22">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DE2328B">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46D3C9B9">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060D6ED9">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372746E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23FD724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9E3D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22E978D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699BC1D3">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081CBF1D">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4D0B84A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3883F5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BAF57C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61F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5E443D0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769E9C3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7EBEF2A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8193CB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180D1CB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79E8EA1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90BF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728862C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489F0F2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BC068A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3151A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850800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7F406A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2F7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65D57570">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6E4B7A6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F82000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1898C7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A659D2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CEE302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79F3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6EDFF3B6">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E6E07F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201850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9A36C6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50BA299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530FDC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2FB2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68BFC182">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6F14C8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E9CEF6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88701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F33BD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252BEAF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C85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ACECB0D">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3B6D81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D1DBEC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23D9478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8117AB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4FE63A4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C7FD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6F867AD">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62BAB25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94DF2F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332D13C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3B6E782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1C8103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70A5F5BF">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31B30470">
      <w:pPr>
        <w:widowControl/>
        <w:jc w:val="left"/>
        <w:rPr>
          <w:rFonts w:hint="eastAsia" w:ascii="宋体" w:hAnsi="宋体" w:cs="宋体"/>
          <w:color w:val="auto"/>
          <w:sz w:val="24"/>
          <w:highlight w:val="none"/>
        </w:rPr>
      </w:pPr>
    </w:p>
    <w:p w14:paraId="323905B1">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6"/>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343C5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38210863">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5930" w:type="dxa"/>
            <w:noWrap w:val="0"/>
            <w:vAlign w:val="center"/>
          </w:tcPr>
          <w:p w14:paraId="3E13B15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29B99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594D8D4C">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3A0B6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039" w:type="dxa"/>
            <w:gridSpan w:val="2"/>
            <w:noWrap w:val="0"/>
            <w:vAlign w:val="center"/>
          </w:tcPr>
          <w:p w14:paraId="024B8012">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1B556E1A">
      <w:pPr>
        <w:widowControl/>
        <w:jc w:val="left"/>
        <w:rPr>
          <w:rFonts w:hint="eastAsia" w:ascii="宋体" w:hAnsi="宋体" w:cs="宋体"/>
          <w:color w:val="auto"/>
          <w:sz w:val="24"/>
          <w:highlight w:val="none"/>
        </w:rPr>
      </w:pPr>
    </w:p>
    <w:p w14:paraId="2314FED5">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3.供货安装（调试）方案</w:t>
      </w:r>
    </w:p>
    <w:p w14:paraId="73704558">
      <w:pPr>
        <w:rPr>
          <w:rFonts w:hint="eastAsia" w:ascii="宋体" w:hAnsi="宋体" w:cs="宋体"/>
          <w:color w:val="auto"/>
          <w:sz w:val="24"/>
          <w:highlight w:val="none"/>
          <w:lang w:bidi="en-US"/>
        </w:rPr>
      </w:pPr>
    </w:p>
    <w:p w14:paraId="3160D562">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4.维保、售后服务体系与维保方案</w:t>
      </w:r>
    </w:p>
    <w:p w14:paraId="1060237E">
      <w:pPr>
        <w:rPr>
          <w:rFonts w:hint="eastAsia" w:ascii="宋体" w:hAnsi="宋体" w:cs="宋体"/>
          <w:color w:val="auto"/>
          <w:sz w:val="24"/>
          <w:highlight w:val="none"/>
          <w:lang w:bidi="en-US"/>
        </w:rPr>
      </w:pPr>
    </w:p>
    <w:p w14:paraId="2BE30814">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5.培训方案</w:t>
      </w:r>
    </w:p>
    <w:p w14:paraId="6EF6ACB3">
      <w:pPr>
        <w:rPr>
          <w:rFonts w:hint="eastAsia" w:ascii="宋体" w:hAnsi="宋体" w:cs="宋体"/>
          <w:color w:val="auto"/>
          <w:sz w:val="24"/>
          <w:highlight w:val="none"/>
          <w:lang w:bidi="en-US"/>
        </w:rPr>
      </w:pPr>
    </w:p>
    <w:p w14:paraId="1C11655F">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eastAsia="zh-CN"/>
        </w:rPr>
        <w:t>6.所投货物（服务）的技术资料或检测报告等</w:t>
      </w:r>
    </w:p>
    <w:p w14:paraId="5E42A410">
      <w:pPr>
        <w:rPr>
          <w:rFonts w:hint="eastAsia" w:ascii="宋体" w:hAnsi="宋体" w:cs="宋体"/>
          <w:b/>
          <w:bCs/>
          <w:color w:val="auto"/>
          <w:sz w:val="24"/>
          <w:highlight w:val="none"/>
        </w:rPr>
      </w:pPr>
    </w:p>
    <w:p w14:paraId="147EDE41">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1A89E9B8">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014D56A8">
      <w:pPr>
        <w:pStyle w:val="26"/>
        <w:spacing w:line="360" w:lineRule="auto"/>
        <w:rPr>
          <w:rFonts w:hint="eastAsia" w:hAnsi="宋体" w:cs="宋体"/>
          <w:b/>
          <w:color w:val="auto"/>
          <w:sz w:val="21"/>
          <w:highlight w:val="none"/>
          <w:u w:val="single"/>
        </w:rPr>
      </w:pPr>
      <w:r>
        <w:rPr>
          <w:rFonts w:hint="eastAsia" w:hAnsi="宋体" w:cs="宋体"/>
          <w:color w:val="auto"/>
          <w:sz w:val="21"/>
          <w:highlight w:val="none"/>
        </w:rPr>
        <w:t>致：【采购人名称】</w:t>
      </w:r>
    </w:p>
    <w:p w14:paraId="2BF022E0">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2C8D3588">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7ED42836">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5E0EE8D0">
      <w:pPr>
        <w:jc w:val="center"/>
        <w:rPr>
          <w:rFonts w:hint="eastAsia" w:ascii="宋体" w:hAnsi="宋体" w:cs="宋体"/>
          <w:color w:val="auto"/>
          <w:sz w:val="28"/>
          <w:highlight w:val="none"/>
        </w:rPr>
      </w:pPr>
    </w:p>
    <w:p w14:paraId="5246A36C">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6"/>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19A4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F4CD595">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757" w:type="pct"/>
            <w:noWrap w:val="0"/>
            <w:vAlign w:val="center"/>
          </w:tcPr>
          <w:p w14:paraId="498AB345">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953" w:type="pct"/>
            <w:noWrap w:val="0"/>
            <w:vAlign w:val="center"/>
          </w:tcPr>
          <w:p w14:paraId="510FE261">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644" w:type="pct"/>
            <w:noWrap w:val="0"/>
            <w:vAlign w:val="center"/>
          </w:tcPr>
          <w:p w14:paraId="1F8B0074">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963" w:type="pct"/>
            <w:noWrap w:val="0"/>
            <w:vAlign w:val="center"/>
          </w:tcPr>
          <w:p w14:paraId="5C980BA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243E235C">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793" w:type="pct"/>
            <w:noWrap w:val="0"/>
            <w:vAlign w:val="center"/>
          </w:tcPr>
          <w:p w14:paraId="285868EF">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478" w:type="pct"/>
            <w:noWrap w:val="0"/>
            <w:vAlign w:val="center"/>
          </w:tcPr>
          <w:p w14:paraId="3D3865F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0243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4BF6082B">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757" w:type="pct"/>
            <w:noWrap w:val="0"/>
            <w:vAlign w:val="center"/>
          </w:tcPr>
          <w:p w14:paraId="0B9C423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1631C4D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367C0E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31F90FC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48695F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DAA8E0A">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BEF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74D12A2">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757" w:type="pct"/>
            <w:noWrap w:val="0"/>
            <w:vAlign w:val="center"/>
          </w:tcPr>
          <w:p w14:paraId="352D6EA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41AD11E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607470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4F1402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75C081C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22C7FA09">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0C8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7FA77A8A">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3</w:t>
            </w:r>
          </w:p>
        </w:tc>
        <w:tc>
          <w:tcPr>
            <w:tcW w:w="757" w:type="pct"/>
            <w:noWrap w:val="0"/>
            <w:vAlign w:val="center"/>
          </w:tcPr>
          <w:p w14:paraId="1E6D69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4E90F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51501E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981158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433070D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07CE5EB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BE9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59938CAD">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4</w:t>
            </w:r>
          </w:p>
        </w:tc>
        <w:tc>
          <w:tcPr>
            <w:tcW w:w="757" w:type="pct"/>
            <w:noWrap w:val="0"/>
            <w:vAlign w:val="center"/>
          </w:tcPr>
          <w:p w14:paraId="52B1C3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0F592C4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48B3978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79C1D54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61620C4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55B773D1">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FB3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CF469A2">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5</w:t>
            </w:r>
          </w:p>
        </w:tc>
        <w:tc>
          <w:tcPr>
            <w:tcW w:w="757" w:type="pct"/>
            <w:noWrap w:val="0"/>
            <w:vAlign w:val="center"/>
          </w:tcPr>
          <w:p w14:paraId="38751AD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2A8598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0B2E263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23D6651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286BB1F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12515E6F">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5990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FCF5DAB">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757" w:type="pct"/>
            <w:noWrap w:val="0"/>
            <w:vAlign w:val="center"/>
          </w:tcPr>
          <w:p w14:paraId="2AAD210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53" w:type="pct"/>
            <w:noWrap w:val="0"/>
            <w:vAlign w:val="center"/>
          </w:tcPr>
          <w:p w14:paraId="07DE9A8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644" w:type="pct"/>
            <w:noWrap w:val="0"/>
            <w:vAlign w:val="center"/>
          </w:tcPr>
          <w:p w14:paraId="38A815A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963" w:type="pct"/>
            <w:noWrap w:val="0"/>
            <w:vAlign w:val="center"/>
          </w:tcPr>
          <w:p w14:paraId="4F2B787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793" w:type="pct"/>
            <w:noWrap w:val="0"/>
            <w:vAlign w:val="top"/>
          </w:tcPr>
          <w:p w14:paraId="04EC97F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78" w:type="pct"/>
            <w:noWrap w:val="0"/>
            <w:vAlign w:val="center"/>
          </w:tcPr>
          <w:p w14:paraId="199C4A37">
            <w:pPr>
              <w:keepNext w:val="0"/>
              <w:keepLines w:val="0"/>
              <w:suppressLineNumbers w:val="0"/>
              <w:spacing w:before="0" w:beforeAutospacing="0" w:after="0" w:afterAutospacing="0"/>
              <w:ind w:left="0" w:right="0"/>
              <w:rPr>
                <w:rFonts w:hint="eastAsia" w:ascii="宋体" w:hAnsi="宋体" w:cs="宋体"/>
                <w:color w:val="auto"/>
                <w:highlight w:val="none"/>
              </w:rPr>
            </w:pPr>
          </w:p>
        </w:tc>
      </w:tr>
    </w:tbl>
    <w:p w14:paraId="2D3F981A">
      <w:pPr>
        <w:widowControl/>
        <w:jc w:val="left"/>
        <w:rPr>
          <w:rFonts w:hint="eastAsia" w:ascii="宋体" w:hAnsi="宋体" w:cs="宋体"/>
          <w:color w:val="auto"/>
          <w:szCs w:val="21"/>
          <w:highlight w:val="none"/>
        </w:rPr>
      </w:pPr>
      <w:r>
        <w:rPr>
          <w:rFonts w:hint="eastAsia" w:ascii="宋体" w:hAnsi="宋体" w:cs="宋体"/>
          <w:color w:val="auto"/>
          <w:szCs w:val="21"/>
          <w:highlight w:val="none"/>
        </w:rPr>
        <w:t>注：应附中标/成交通知书（如有）和合同协议书，以及验收报告（验收证明文件）（如有）等材料（具体以评标办法章节要求为准），具体年份时间要求见评标办法章节。</w:t>
      </w:r>
    </w:p>
    <w:p w14:paraId="5B89C4CC">
      <w:pPr>
        <w:rPr>
          <w:rFonts w:hint="eastAsia" w:ascii="宋体" w:hAnsi="宋体" w:cs="宋体"/>
          <w:color w:val="auto"/>
          <w:highlight w:val="none"/>
          <w:lang w:bidi="en-US"/>
        </w:rPr>
      </w:pPr>
    </w:p>
    <w:p w14:paraId="0C39F26D">
      <w:pPr>
        <w:rPr>
          <w:rFonts w:hint="eastAsia" w:ascii="宋体" w:hAnsi="宋体" w:cs="宋体"/>
          <w:color w:val="auto"/>
          <w:highlight w:val="none"/>
          <w:lang w:bidi="en-US"/>
        </w:rPr>
      </w:pPr>
    </w:p>
    <w:p w14:paraId="16BB52EA">
      <w:pPr>
        <w:rPr>
          <w:rFonts w:hint="eastAsia" w:ascii="宋体" w:hAnsi="宋体" w:cs="宋体"/>
          <w:color w:val="auto"/>
          <w:highlight w:val="none"/>
          <w:lang w:bidi="en-US"/>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300CDC9B">
      <w:pPr>
        <w:pStyle w:val="4"/>
        <w:tabs>
          <w:tab w:val="left" w:pos="1260"/>
        </w:tabs>
        <w:jc w:val="center"/>
        <w:rPr>
          <w:rFonts w:hint="eastAsia" w:cs="宋体"/>
          <w:color w:val="auto"/>
          <w:sz w:val="24"/>
          <w:highlight w:val="none"/>
          <w:lang w:eastAsia="zh-CN"/>
        </w:rPr>
      </w:pPr>
      <w:r>
        <w:rPr>
          <w:rFonts w:hint="eastAsia" w:cs="宋体"/>
          <w:color w:val="auto"/>
          <w:sz w:val="24"/>
          <w:highlight w:val="none"/>
          <w:lang w:eastAsia="zh-CN"/>
        </w:rPr>
        <w:t>（五）样品（如有）</w:t>
      </w:r>
    </w:p>
    <w:p w14:paraId="25C71086">
      <w:pPr>
        <w:jc w:val="center"/>
        <w:rPr>
          <w:rFonts w:hint="eastAsia"/>
          <w:color w:val="auto"/>
          <w:highlight w:val="none"/>
        </w:rPr>
      </w:pPr>
      <w:r>
        <w:rPr>
          <w:rFonts w:hint="eastAsia" w:ascii="宋体" w:hAnsi="宋体" w:cs="宋体"/>
          <w:color w:val="auto"/>
          <w:highlight w:val="none"/>
        </w:rPr>
        <w:t>如招标文件要求提供样品，请按规定提供。</w:t>
      </w:r>
    </w:p>
    <w:p w14:paraId="7C5DD16F">
      <w:pPr>
        <w:rPr>
          <w:color w:val="auto"/>
          <w:highlight w:val="none"/>
        </w:rPr>
      </w:pPr>
    </w:p>
    <w:p w14:paraId="7F7B8789">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（六）其他材料</w:t>
      </w:r>
    </w:p>
    <w:p w14:paraId="637A9168">
      <w:pPr>
        <w:widowControl/>
        <w:jc w:val="left"/>
        <w:rPr>
          <w:rFonts w:hint="eastAsia" w:ascii="宋体" w:hAnsi="宋体" w:cs="宋体"/>
          <w:color w:val="auto"/>
          <w:highlight w:val="none"/>
        </w:rPr>
      </w:pPr>
    </w:p>
    <w:p w14:paraId="7CAB4482">
      <w:pPr>
        <w:widowControl/>
        <w:jc w:val="left"/>
        <w:rPr>
          <w:rFonts w:hint="eastAsia" w:ascii="宋体" w:hAnsi="宋体" w:cs="宋体"/>
          <w:color w:val="auto"/>
          <w:highlight w:val="none"/>
        </w:rPr>
      </w:pPr>
    </w:p>
    <w:p w14:paraId="65A07F29">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p>
    <w:p w14:paraId="64A44C3F">
      <w:pPr>
        <w:spacing w:line="360" w:lineRule="auto"/>
        <w:jc w:val="center"/>
        <w:outlineLvl w:val="1"/>
        <w:rPr>
          <w:rFonts w:hint="eastAsia" w:ascii="宋体" w:hAnsi="宋体"/>
          <w:b/>
          <w:color w:val="auto"/>
          <w:sz w:val="24"/>
          <w:highlight w:val="none"/>
        </w:rPr>
      </w:pPr>
      <w:bookmarkStart w:id="841" w:name="_Hlk11531103"/>
      <w:r>
        <w:rPr>
          <w:rStyle w:val="103"/>
          <w:rFonts w:hint="eastAsia" w:ascii="宋体" w:hAnsi="宋体" w:eastAsia="宋体" w:cs="宋体"/>
          <w:color w:val="auto"/>
          <w:sz w:val="30"/>
          <w:szCs w:val="30"/>
          <w:highlight w:val="none"/>
        </w:rPr>
        <w:t>十一、主要标的承诺函</w:t>
      </w:r>
    </w:p>
    <w:p w14:paraId="758C117C">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49A76A54">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致：【采购人名称】（采购人名称)</w:t>
      </w:r>
    </w:p>
    <w:p w14:paraId="72430FCA">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04872216">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0F95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1A36D960">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46D6749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7D6987A0">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0C309860">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5275270B">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3800F1A8">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5047B41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7669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722DF99">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2F7B8B8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631D60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8CFE6E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1DEE12A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7D0B5C4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BC9C99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102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CA4538B">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681D6FF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379A072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5C4A75D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1BBFC8D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75BAE5E2">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BBBF9B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2138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BAA432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4E97178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23B1B59">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3866A5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A47B01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EE337B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7A1E33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797C6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7FB1E960">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1BF958A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DDCAC5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091356B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A2D0F8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29A9C19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4DF07DF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F0C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5041DFA">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5CCC94F5">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2590884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1C06552">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3C3BA9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9A0371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44DB38C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92F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C665118">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086B166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945C9B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C30985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0CF3B95">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485DC5F9">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880C99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708FDC11">
      <w:pPr>
        <w:adjustRightInd w:val="0"/>
        <w:snapToGrid w:val="0"/>
        <w:spacing w:line="360" w:lineRule="auto"/>
        <w:rPr>
          <w:rFonts w:ascii="宋体" w:hAnsi="宋体"/>
          <w:b/>
          <w:bCs/>
          <w:color w:val="auto"/>
          <w:szCs w:val="21"/>
          <w:highlight w:val="none"/>
        </w:rPr>
      </w:pPr>
    </w:p>
    <w:p w14:paraId="154CB201">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1DB8A80F">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7876D0B2">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41"/>
    <w:p w14:paraId="7F051865">
      <w:pPr>
        <w:pStyle w:val="3"/>
        <w:widowControl/>
        <w:spacing w:before="120" w:after="120" w:line="240" w:lineRule="auto"/>
        <w:jc w:val="center"/>
        <w:rPr>
          <w:rStyle w:val="103"/>
          <w:rFonts w:hint="eastAsia" w:ascii="宋体" w:hAnsi="宋体" w:eastAsia="宋体" w:cs="宋体"/>
          <w:b/>
          <w:bCs/>
          <w:color w:val="auto"/>
          <w:sz w:val="30"/>
          <w:szCs w:val="30"/>
          <w:highlight w:val="none"/>
        </w:rPr>
      </w:pPr>
      <w:r>
        <w:rPr>
          <w:rStyle w:val="103"/>
          <w:rFonts w:hint="eastAsia" w:ascii="宋体" w:hAnsi="宋体" w:eastAsia="宋体" w:cs="宋体"/>
          <w:b/>
          <w:bCs/>
          <w:color w:val="auto"/>
          <w:sz w:val="30"/>
          <w:szCs w:val="30"/>
          <w:highlight w:val="none"/>
        </w:rPr>
        <w:br w:type="page"/>
      </w:r>
      <w:r>
        <w:rPr>
          <w:rStyle w:val="103"/>
          <w:rFonts w:hint="eastAsia" w:ascii="宋体" w:hAnsi="宋体" w:eastAsia="宋体" w:cs="宋体"/>
          <w:b/>
          <w:bCs/>
          <w:color w:val="auto"/>
          <w:sz w:val="30"/>
          <w:szCs w:val="30"/>
          <w:highlight w:val="none"/>
        </w:rPr>
        <w:t>十二、投标人认为应该提供的其他资料</w:t>
      </w:r>
    </w:p>
    <w:p w14:paraId="04190AF6">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细黑">
    <w:altName w:val="微软雅黑"/>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A0CAD">
    <w:pPr>
      <w:pStyle w:val="30"/>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C6CDC">
    <w:pPr>
      <w:pStyle w:val="30"/>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B8AC4">
    <w:pPr>
      <w:pStyle w:val="3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783AA">
    <w:pPr>
      <w:pStyle w:val="3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40</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F47F1">
    <w:pPr>
      <w:pStyle w:val="30"/>
      <w:framePr w:wrap="around" w:vAnchor="text" w:hAnchor="margin" w:xAlign="center" w:y="1"/>
      <w:rPr>
        <w:rStyle w:val="51"/>
      </w:rPr>
    </w:pPr>
    <w:r>
      <w:fldChar w:fldCharType="begin"/>
    </w:r>
    <w:r>
      <w:rPr>
        <w:rStyle w:val="51"/>
      </w:rPr>
      <w:instrText xml:space="preserve">PAGE  </w:instrText>
    </w:r>
    <w:r>
      <w:fldChar w:fldCharType="separate"/>
    </w:r>
    <w:r>
      <w:fldChar w:fldCharType="end"/>
    </w:r>
  </w:p>
  <w:p w14:paraId="2A971F02">
    <w:pPr>
      <w:pStyle w:val="3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05C4C75F">
      <w:pPr>
        <w:widowControl/>
        <w:jc w:val="left"/>
        <w:rPr>
          <w:rFonts w:eastAsia="仿宋"/>
        </w:rPr>
      </w:pPr>
      <w:r>
        <w:rPr>
          <w:rStyle w:val="58"/>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 w:id="1">
    <w:p w14:paraId="7363C714">
      <w:pPr>
        <w:widowControl/>
        <w:spacing w:line="200" w:lineRule="atLeast"/>
        <w:rPr>
          <w:rFonts w:hint="eastAsia" w:ascii="楷体" w:hAnsi="楷体" w:eastAsia="楷体" w:cs="楷体"/>
          <w:color w:val="0000FF"/>
        </w:rPr>
      </w:pPr>
      <w:r>
        <w:rPr>
          <w:rStyle w:val="58"/>
          <w:rFonts w:hint="eastAsia" w:ascii="楷体" w:hAnsi="楷体" w:eastAsia="楷体" w:cs="楷体"/>
          <w:color w:val="0000FF"/>
        </w:rPr>
        <w:footnoteRef/>
      </w:r>
      <w:r>
        <w:rPr>
          <w:rFonts w:hint="eastAsia" w:ascii="楷体" w:hAnsi="楷体" w:eastAsia="楷体" w:cs="楷体"/>
          <w:bCs/>
          <w:color w:val="0000FF"/>
          <w:kern w:val="0"/>
          <w:szCs w:val="21"/>
        </w:rPr>
        <w:t>注：除进口产品外，制造商授权书不作为资格条件。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A948">
    <w:pPr>
      <w:pStyle w:val="31"/>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1"/>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WY5YTRiNjUyOGY0NGQ4NjBlZDczYzUzYzRkOTYifQ=="/>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736"/>
    <w:rsid w:val="00034B9D"/>
    <w:rsid w:val="00036A83"/>
    <w:rsid w:val="00036B9A"/>
    <w:rsid w:val="000375C2"/>
    <w:rsid w:val="00037C3C"/>
    <w:rsid w:val="000404FE"/>
    <w:rsid w:val="00041449"/>
    <w:rsid w:val="0004245A"/>
    <w:rsid w:val="000427C4"/>
    <w:rsid w:val="00042C11"/>
    <w:rsid w:val="00043439"/>
    <w:rsid w:val="000439A3"/>
    <w:rsid w:val="00043D27"/>
    <w:rsid w:val="00043E94"/>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49D7"/>
    <w:rsid w:val="0008541F"/>
    <w:rsid w:val="00090E07"/>
    <w:rsid w:val="000916C1"/>
    <w:rsid w:val="0009475E"/>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2BA"/>
    <w:rsid w:val="000A6FC0"/>
    <w:rsid w:val="000A70D0"/>
    <w:rsid w:val="000A77EE"/>
    <w:rsid w:val="000A79DD"/>
    <w:rsid w:val="000A7DC5"/>
    <w:rsid w:val="000B0EE4"/>
    <w:rsid w:val="000B46DA"/>
    <w:rsid w:val="000B6A03"/>
    <w:rsid w:val="000C0ECE"/>
    <w:rsid w:val="000C5A16"/>
    <w:rsid w:val="000C5BA6"/>
    <w:rsid w:val="000C5D50"/>
    <w:rsid w:val="000C7096"/>
    <w:rsid w:val="000C7736"/>
    <w:rsid w:val="000D279E"/>
    <w:rsid w:val="000D3FE0"/>
    <w:rsid w:val="000D4E5D"/>
    <w:rsid w:val="000D7B48"/>
    <w:rsid w:val="000E11B8"/>
    <w:rsid w:val="000E21BD"/>
    <w:rsid w:val="000E4AD6"/>
    <w:rsid w:val="000E5ADA"/>
    <w:rsid w:val="000E6D50"/>
    <w:rsid w:val="000F01D6"/>
    <w:rsid w:val="000F0D8B"/>
    <w:rsid w:val="000F2211"/>
    <w:rsid w:val="000F2F23"/>
    <w:rsid w:val="000F4ADB"/>
    <w:rsid w:val="000F53CC"/>
    <w:rsid w:val="000F584F"/>
    <w:rsid w:val="000F5D14"/>
    <w:rsid w:val="000F667F"/>
    <w:rsid w:val="000F7880"/>
    <w:rsid w:val="000F7E56"/>
    <w:rsid w:val="001025F4"/>
    <w:rsid w:val="0010348B"/>
    <w:rsid w:val="00107FD5"/>
    <w:rsid w:val="00112587"/>
    <w:rsid w:val="00112E2C"/>
    <w:rsid w:val="00112EE6"/>
    <w:rsid w:val="0011378C"/>
    <w:rsid w:val="001152D7"/>
    <w:rsid w:val="00116812"/>
    <w:rsid w:val="00116960"/>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BF1"/>
    <w:rsid w:val="00134D87"/>
    <w:rsid w:val="0013669F"/>
    <w:rsid w:val="00140F5C"/>
    <w:rsid w:val="00141914"/>
    <w:rsid w:val="00142F60"/>
    <w:rsid w:val="00143525"/>
    <w:rsid w:val="001445A3"/>
    <w:rsid w:val="0014469A"/>
    <w:rsid w:val="0014502C"/>
    <w:rsid w:val="001460C4"/>
    <w:rsid w:val="00146FD4"/>
    <w:rsid w:val="00147984"/>
    <w:rsid w:val="00147A4D"/>
    <w:rsid w:val="00150872"/>
    <w:rsid w:val="001535DC"/>
    <w:rsid w:val="00155032"/>
    <w:rsid w:val="00155351"/>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71D6"/>
    <w:rsid w:val="0018065B"/>
    <w:rsid w:val="00180FD4"/>
    <w:rsid w:val="001828E4"/>
    <w:rsid w:val="00182FAC"/>
    <w:rsid w:val="001836EB"/>
    <w:rsid w:val="001841F8"/>
    <w:rsid w:val="00186E39"/>
    <w:rsid w:val="00187020"/>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F51"/>
    <w:rsid w:val="00206CE4"/>
    <w:rsid w:val="00210DFF"/>
    <w:rsid w:val="002112BC"/>
    <w:rsid w:val="0021199B"/>
    <w:rsid w:val="002128A6"/>
    <w:rsid w:val="002128BE"/>
    <w:rsid w:val="00212B56"/>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A12"/>
    <w:rsid w:val="00246076"/>
    <w:rsid w:val="0025032C"/>
    <w:rsid w:val="00251733"/>
    <w:rsid w:val="00255049"/>
    <w:rsid w:val="00257657"/>
    <w:rsid w:val="0026067A"/>
    <w:rsid w:val="00260BEB"/>
    <w:rsid w:val="00261B38"/>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81123"/>
    <w:rsid w:val="00281D54"/>
    <w:rsid w:val="00281D9F"/>
    <w:rsid w:val="0028213E"/>
    <w:rsid w:val="00283136"/>
    <w:rsid w:val="0028363E"/>
    <w:rsid w:val="00284E56"/>
    <w:rsid w:val="00286EAC"/>
    <w:rsid w:val="0028769B"/>
    <w:rsid w:val="00287DFF"/>
    <w:rsid w:val="0029320E"/>
    <w:rsid w:val="00295C13"/>
    <w:rsid w:val="00296F58"/>
    <w:rsid w:val="002A01F0"/>
    <w:rsid w:val="002A0879"/>
    <w:rsid w:val="002A1C9C"/>
    <w:rsid w:val="002A444F"/>
    <w:rsid w:val="002A5D60"/>
    <w:rsid w:val="002A5EBD"/>
    <w:rsid w:val="002A5F75"/>
    <w:rsid w:val="002B08BA"/>
    <w:rsid w:val="002B12B6"/>
    <w:rsid w:val="002B1A96"/>
    <w:rsid w:val="002B1C7D"/>
    <w:rsid w:val="002B2078"/>
    <w:rsid w:val="002B2FA7"/>
    <w:rsid w:val="002B4A27"/>
    <w:rsid w:val="002B4AE4"/>
    <w:rsid w:val="002B70C1"/>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4A0D"/>
    <w:rsid w:val="002D5B6E"/>
    <w:rsid w:val="002D5D09"/>
    <w:rsid w:val="002D6122"/>
    <w:rsid w:val="002D6A1E"/>
    <w:rsid w:val="002D7BCC"/>
    <w:rsid w:val="002E0475"/>
    <w:rsid w:val="002E0DEC"/>
    <w:rsid w:val="002E4A98"/>
    <w:rsid w:val="002E4CE5"/>
    <w:rsid w:val="002E5F09"/>
    <w:rsid w:val="002E7141"/>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A6B65"/>
    <w:rsid w:val="003B330F"/>
    <w:rsid w:val="003B3926"/>
    <w:rsid w:val="003B66B5"/>
    <w:rsid w:val="003B6922"/>
    <w:rsid w:val="003C0F55"/>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D35"/>
    <w:rsid w:val="00412C19"/>
    <w:rsid w:val="00413192"/>
    <w:rsid w:val="00413208"/>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5BFC"/>
    <w:rsid w:val="004560B8"/>
    <w:rsid w:val="0046162D"/>
    <w:rsid w:val="00461BED"/>
    <w:rsid w:val="00461C22"/>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EBD"/>
    <w:rsid w:val="004851D5"/>
    <w:rsid w:val="004877F5"/>
    <w:rsid w:val="00490556"/>
    <w:rsid w:val="00490764"/>
    <w:rsid w:val="004911F3"/>
    <w:rsid w:val="00493FBE"/>
    <w:rsid w:val="00494B58"/>
    <w:rsid w:val="004954D9"/>
    <w:rsid w:val="00495CAE"/>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495"/>
    <w:rsid w:val="004D4E39"/>
    <w:rsid w:val="004D5913"/>
    <w:rsid w:val="004D6D3C"/>
    <w:rsid w:val="004E0C6D"/>
    <w:rsid w:val="004E2397"/>
    <w:rsid w:val="004E2AC2"/>
    <w:rsid w:val="004E3242"/>
    <w:rsid w:val="004E3821"/>
    <w:rsid w:val="004E6F07"/>
    <w:rsid w:val="004F03D0"/>
    <w:rsid w:val="004F08DE"/>
    <w:rsid w:val="004F4659"/>
    <w:rsid w:val="004F5655"/>
    <w:rsid w:val="004F57F5"/>
    <w:rsid w:val="004F5C59"/>
    <w:rsid w:val="004F7AB7"/>
    <w:rsid w:val="00501A38"/>
    <w:rsid w:val="005026C3"/>
    <w:rsid w:val="00503933"/>
    <w:rsid w:val="0050448F"/>
    <w:rsid w:val="00504B58"/>
    <w:rsid w:val="005051FB"/>
    <w:rsid w:val="00505B66"/>
    <w:rsid w:val="005068A9"/>
    <w:rsid w:val="00510991"/>
    <w:rsid w:val="005109D2"/>
    <w:rsid w:val="005109EB"/>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704"/>
    <w:rsid w:val="005915AC"/>
    <w:rsid w:val="005921FC"/>
    <w:rsid w:val="00595FA3"/>
    <w:rsid w:val="00596FBF"/>
    <w:rsid w:val="005A1BFB"/>
    <w:rsid w:val="005A1E00"/>
    <w:rsid w:val="005A2E2F"/>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174D"/>
    <w:rsid w:val="005E177A"/>
    <w:rsid w:val="005E22E1"/>
    <w:rsid w:val="005E5081"/>
    <w:rsid w:val="005E5E31"/>
    <w:rsid w:val="005E7108"/>
    <w:rsid w:val="005F0B98"/>
    <w:rsid w:val="005F6552"/>
    <w:rsid w:val="005F6E1C"/>
    <w:rsid w:val="005F71AF"/>
    <w:rsid w:val="005F79BC"/>
    <w:rsid w:val="0060066E"/>
    <w:rsid w:val="00600E56"/>
    <w:rsid w:val="00600F0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20484"/>
    <w:rsid w:val="0062098B"/>
    <w:rsid w:val="00621D5C"/>
    <w:rsid w:val="0062338C"/>
    <w:rsid w:val="0062359C"/>
    <w:rsid w:val="0062741C"/>
    <w:rsid w:val="00627C85"/>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A01E6"/>
    <w:rsid w:val="006A052D"/>
    <w:rsid w:val="006A1AE6"/>
    <w:rsid w:val="006A21C2"/>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D1D18"/>
    <w:rsid w:val="006D2135"/>
    <w:rsid w:val="006D3E2B"/>
    <w:rsid w:val="006D4460"/>
    <w:rsid w:val="006D5F5C"/>
    <w:rsid w:val="006E18D3"/>
    <w:rsid w:val="006E26B6"/>
    <w:rsid w:val="006E2A24"/>
    <w:rsid w:val="006E3D11"/>
    <w:rsid w:val="006E4886"/>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D64"/>
    <w:rsid w:val="0073257C"/>
    <w:rsid w:val="0073499C"/>
    <w:rsid w:val="007349BC"/>
    <w:rsid w:val="007356AA"/>
    <w:rsid w:val="007357B7"/>
    <w:rsid w:val="00735D2F"/>
    <w:rsid w:val="0073689F"/>
    <w:rsid w:val="00737077"/>
    <w:rsid w:val="007400EE"/>
    <w:rsid w:val="0074084E"/>
    <w:rsid w:val="007411FF"/>
    <w:rsid w:val="00741253"/>
    <w:rsid w:val="00742917"/>
    <w:rsid w:val="007436FC"/>
    <w:rsid w:val="007446E1"/>
    <w:rsid w:val="007456C5"/>
    <w:rsid w:val="00746345"/>
    <w:rsid w:val="00746A36"/>
    <w:rsid w:val="007478D7"/>
    <w:rsid w:val="0075111C"/>
    <w:rsid w:val="0075176F"/>
    <w:rsid w:val="007529F3"/>
    <w:rsid w:val="0075311D"/>
    <w:rsid w:val="00753E88"/>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38EF"/>
    <w:rsid w:val="008551CC"/>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428"/>
    <w:rsid w:val="00887C47"/>
    <w:rsid w:val="0089116B"/>
    <w:rsid w:val="00893C36"/>
    <w:rsid w:val="00894241"/>
    <w:rsid w:val="00894B7F"/>
    <w:rsid w:val="00894DAA"/>
    <w:rsid w:val="0089574F"/>
    <w:rsid w:val="008964A4"/>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862"/>
    <w:rsid w:val="009954E5"/>
    <w:rsid w:val="00995595"/>
    <w:rsid w:val="009964F2"/>
    <w:rsid w:val="009A0865"/>
    <w:rsid w:val="009A1ACC"/>
    <w:rsid w:val="009A2D43"/>
    <w:rsid w:val="009A2E3F"/>
    <w:rsid w:val="009A41ED"/>
    <w:rsid w:val="009A45E6"/>
    <w:rsid w:val="009A4B78"/>
    <w:rsid w:val="009A5DB5"/>
    <w:rsid w:val="009B154D"/>
    <w:rsid w:val="009B26AC"/>
    <w:rsid w:val="009B50E4"/>
    <w:rsid w:val="009B5640"/>
    <w:rsid w:val="009B63BE"/>
    <w:rsid w:val="009C29D1"/>
    <w:rsid w:val="009C3563"/>
    <w:rsid w:val="009C512B"/>
    <w:rsid w:val="009C528C"/>
    <w:rsid w:val="009C52F1"/>
    <w:rsid w:val="009C666F"/>
    <w:rsid w:val="009D0A16"/>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3E35"/>
    <w:rsid w:val="00A24F09"/>
    <w:rsid w:val="00A2607F"/>
    <w:rsid w:val="00A2695E"/>
    <w:rsid w:val="00A27CB8"/>
    <w:rsid w:val="00A30E48"/>
    <w:rsid w:val="00A32560"/>
    <w:rsid w:val="00A4092C"/>
    <w:rsid w:val="00A419CF"/>
    <w:rsid w:val="00A4249E"/>
    <w:rsid w:val="00A44DEE"/>
    <w:rsid w:val="00A45096"/>
    <w:rsid w:val="00A45599"/>
    <w:rsid w:val="00A45B14"/>
    <w:rsid w:val="00A50060"/>
    <w:rsid w:val="00A50CED"/>
    <w:rsid w:val="00A52CAE"/>
    <w:rsid w:val="00A54350"/>
    <w:rsid w:val="00A54E80"/>
    <w:rsid w:val="00A57508"/>
    <w:rsid w:val="00A57793"/>
    <w:rsid w:val="00A60C03"/>
    <w:rsid w:val="00A62E30"/>
    <w:rsid w:val="00A641B8"/>
    <w:rsid w:val="00A66080"/>
    <w:rsid w:val="00A67471"/>
    <w:rsid w:val="00A67DB7"/>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5E7D"/>
    <w:rsid w:val="00A96A66"/>
    <w:rsid w:val="00A96E1A"/>
    <w:rsid w:val="00A96F39"/>
    <w:rsid w:val="00A97345"/>
    <w:rsid w:val="00AA2449"/>
    <w:rsid w:val="00AA29AF"/>
    <w:rsid w:val="00AA3307"/>
    <w:rsid w:val="00AA3C9F"/>
    <w:rsid w:val="00AA4649"/>
    <w:rsid w:val="00AA7FCA"/>
    <w:rsid w:val="00AB0FF2"/>
    <w:rsid w:val="00AB2335"/>
    <w:rsid w:val="00AB329D"/>
    <w:rsid w:val="00AB3CD8"/>
    <w:rsid w:val="00AB6154"/>
    <w:rsid w:val="00AB6FD8"/>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34AC"/>
    <w:rsid w:val="00B052C3"/>
    <w:rsid w:val="00B05D97"/>
    <w:rsid w:val="00B05FD5"/>
    <w:rsid w:val="00B07CA0"/>
    <w:rsid w:val="00B11565"/>
    <w:rsid w:val="00B1179D"/>
    <w:rsid w:val="00B11988"/>
    <w:rsid w:val="00B1379A"/>
    <w:rsid w:val="00B13DB1"/>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7CD"/>
    <w:rsid w:val="00B4674F"/>
    <w:rsid w:val="00B46C41"/>
    <w:rsid w:val="00B51E45"/>
    <w:rsid w:val="00B51EA8"/>
    <w:rsid w:val="00B52858"/>
    <w:rsid w:val="00B5297E"/>
    <w:rsid w:val="00B552ED"/>
    <w:rsid w:val="00B57D63"/>
    <w:rsid w:val="00B64BCA"/>
    <w:rsid w:val="00B72F51"/>
    <w:rsid w:val="00B734D0"/>
    <w:rsid w:val="00B74A95"/>
    <w:rsid w:val="00B757AB"/>
    <w:rsid w:val="00B75B0C"/>
    <w:rsid w:val="00B76276"/>
    <w:rsid w:val="00B77ADD"/>
    <w:rsid w:val="00B77E4F"/>
    <w:rsid w:val="00B80B0E"/>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797"/>
    <w:rsid w:val="00BC6DDD"/>
    <w:rsid w:val="00BD1D25"/>
    <w:rsid w:val="00BD1EDE"/>
    <w:rsid w:val="00BD23CD"/>
    <w:rsid w:val="00BD28C1"/>
    <w:rsid w:val="00BD3126"/>
    <w:rsid w:val="00BD3E9D"/>
    <w:rsid w:val="00BD4880"/>
    <w:rsid w:val="00BD6195"/>
    <w:rsid w:val="00BD66C5"/>
    <w:rsid w:val="00BD6C67"/>
    <w:rsid w:val="00BE1F09"/>
    <w:rsid w:val="00BE2D05"/>
    <w:rsid w:val="00BE48CF"/>
    <w:rsid w:val="00BE4C93"/>
    <w:rsid w:val="00BE50B9"/>
    <w:rsid w:val="00BE63EA"/>
    <w:rsid w:val="00BF0DEE"/>
    <w:rsid w:val="00BF0EC7"/>
    <w:rsid w:val="00BF1A5D"/>
    <w:rsid w:val="00BF23F6"/>
    <w:rsid w:val="00BF2B44"/>
    <w:rsid w:val="00BF3F28"/>
    <w:rsid w:val="00BF5EEB"/>
    <w:rsid w:val="00BF64DD"/>
    <w:rsid w:val="00BF7A93"/>
    <w:rsid w:val="00BF7B0B"/>
    <w:rsid w:val="00C00D5C"/>
    <w:rsid w:val="00C02486"/>
    <w:rsid w:val="00C04F90"/>
    <w:rsid w:val="00C05A4D"/>
    <w:rsid w:val="00C05C2F"/>
    <w:rsid w:val="00C07E7D"/>
    <w:rsid w:val="00C10318"/>
    <w:rsid w:val="00C10B98"/>
    <w:rsid w:val="00C10C67"/>
    <w:rsid w:val="00C119B7"/>
    <w:rsid w:val="00C120AF"/>
    <w:rsid w:val="00C126D9"/>
    <w:rsid w:val="00C127DF"/>
    <w:rsid w:val="00C138B3"/>
    <w:rsid w:val="00C15B04"/>
    <w:rsid w:val="00C170F7"/>
    <w:rsid w:val="00C2180A"/>
    <w:rsid w:val="00C24593"/>
    <w:rsid w:val="00C24D16"/>
    <w:rsid w:val="00C2569A"/>
    <w:rsid w:val="00C258FB"/>
    <w:rsid w:val="00C267C4"/>
    <w:rsid w:val="00C306E7"/>
    <w:rsid w:val="00C30778"/>
    <w:rsid w:val="00C31A9A"/>
    <w:rsid w:val="00C31F71"/>
    <w:rsid w:val="00C3203F"/>
    <w:rsid w:val="00C32803"/>
    <w:rsid w:val="00C32F38"/>
    <w:rsid w:val="00C35779"/>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EE1"/>
    <w:rsid w:val="00C7356D"/>
    <w:rsid w:val="00C73771"/>
    <w:rsid w:val="00C73FD4"/>
    <w:rsid w:val="00C7455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B11D3"/>
    <w:rsid w:val="00CB1CE8"/>
    <w:rsid w:val="00CB2237"/>
    <w:rsid w:val="00CB239A"/>
    <w:rsid w:val="00CB49C4"/>
    <w:rsid w:val="00CB4AE3"/>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205E9"/>
    <w:rsid w:val="00D20F9F"/>
    <w:rsid w:val="00D221CA"/>
    <w:rsid w:val="00D235F4"/>
    <w:rsid w:val="00D240D1"/>
    <w:rsid w:val="00D30AE9"/>
    <w:rsid w:val="00D30C76"/>
    <w:rsid w:val="00D31EB3"/>
    <w:rsid w:val="00D32643"/>
    <w:rsid w:val="00D32B95"/>
    <w:rsid w:val="00D337F1"/>
    <w:rsid w:val="00D35D1C"/>
    <w:rsid w:val="00D365AB"/>
    <w:rsid w:val="00D409E5"/>
    <w:rsid w:val="00D40FA3"/>
    <w:rsid w:val="00D415C6"/>
    <w:rsid w:val="00D42421"/>
    <w:rsid w:val="00D436D0"/>
    <w:rsid w:val="00D47E7C"/>
    <w:rsid w:val="00D526AD"/>
    <w:rsid w:val="00D539FB"/>
    <w:rsid w:val="00D542A7"/>
    <w:rsid w:val="00D54E5A"/>
    <w:rsid w:val="00D55452"/>
    <w:rsid w:val="00D572A3"/>
    <w:rsid w:val="00D601BE"/>
    <w:rsid w:val="00D616FE"/>
    <w:rsid w:val="00D63F7C"/>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132D"/>
    <w:rsid w:val="00D94B98"/>
    <w:rsid w:val="00D9606F"/>
    <w:rsid w:val="00D96341"/>
    <w:rsid w:val="00D96787"/>
    <w:rsid w:val="00DA488D"/>
    <w:rsid w:val="00DA4C68"/>
    <w:rsid w:val="00DA4FAA"/>
    <w:rsid w:val="00DA7577"/>
    <w:rsid w:val="00DA78C2"/>
    <w:rsid w:val="00DB17CE"/>
    <w:rsid w:val="00DB1C99"/>
    <w:rsid w:val="00DB1FC0"/>
    <w:rsid w:val="00DB2A4E"/>
    <w:rsid w:val="00DB502A"/>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4C16"/>
    <w:rsid w:val="00E6589A"/>
    <w:rsid w:val="00E67D79"/>
    <w:rsid w:val="00E7242F"/>
    <w:rsid w:val="00E727C7"/>
    <w:rsid w:val="00E72A9D"/>
    <w:rsid w:val="00E7731C"/>
    <w:rsid w:val="00E77D66"/>
    <w:rsid w:val="00E80BF6"/>
    <w:rsid w:val="00E81003"/>
    <w:rsid w:val="00E83180"/>
    <w:rsid w:val="00E84C17"/>
    <w:rsid w:val="00E858EB"/>
    <w:rsid w:val="00E90FDC"/>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12A4"/>
    <w:rsid w:val="00F62CDB"/>
    <w:rsid w:val="00F6352E"/>
    <w:rsid w:val="00F63880"/>
    <w:rsid w:val="00F64D8F"/>
    <w:rsid w:val="00F65ABD"/>
    <w:rsid w:val="00F65B88"/>
    <w:rsid w:val="00F65DFE"/>
    <w:rsid w:val="00F663A3"/>
    <w:rsid w:val="00F677C3"/>
    <w:rsid w:val="00F7059D"/>
    <w:rsid w:val="00F71123"/>
    <w:rsid w:val="00F7155B"/>
    <w:rsid w:val="00F717EF"/>
    <w:rsid w:val="00F7338F"/>
    <w:rsid w:val="00F73B7B"/>
    <w:rsid w:val="00F74AF2"/>
    <w:rsid w:val="00F75115"/>
    <w:rsid w:val="00F752CF"/>
    <w:rsid w:val="00F770EC"/>
    <w:rsid w:val="00F81615"/>
    <w:rsid w:val="00F81B58"/>
    <w:rsid w:val="00F82F75"/>
    <w:rsid w:val="00F835BC"/>
    <w:rsid w:val="00F847B7"/>
    <w:rsid w:val="00F8772A"/>
    <w:rsid w:val="00F90A1B"/>
    <w:rsid w:val="00F93020"/>
    <w:rsid w:val="00F948C0"/>
    <w:rsid w:val="00F94FCE"/>
    <w:rsid w:val="00F95520"/>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4D1D"/>
    <w:rsid w:val="00FD626E"/>
    <w:rsid w:val="00FD64F7"/>
    <w:rsid w:val="00FD7415"/>
    <w:rsid w:val="00FE0199"/>
    <w:rsid w:val="00FE0647"/>
    <w:rsid w:val="00FE0B6C"/>
    <w:rsid w:val="00FE1553"/>
    <w:rsid w:val="00FE3B9C"/>
    <w:rsid w:val="00FE42B0"/>
    <w:rsid w:val="00FE5A40"/>
    <w:rsid w:val="00FE618C"/>
    <w:rsid w:val="00FE79B5"/>
    <w:rsid w:val="00FF0094"/>
    <w:rsid w:val="00FF200D"/>
    <w:rsid w:val="00FF3417"/>
    <w:rsid w:val="00FF412F"/>
    <w:rsid w:val="00FF4200"/>
    <w:rsid w:val="00FF589A"/>
    <w:rsid w:val="00FF7E9E"/>
    <w:rsid w:val="0100390C"/>
    <w:rsid w:val="013A0E1B"/>
    <w:rsid w:val="01453498"/>
    <w:rsid w:val="014C6B51"/>
    <w:rsid w:val="01791910"/>
    <w:rsid w:val="018207C5"/>
    <w:rsid w:val="019D115B"/>
    <w:rsid w:val="01BA56C5"/>
    <w:rsid w:val="01C43648"/>
    <w:rsid w:val="01E557E7"/>
    <w:rsid w:val="021F7210"/>
    <w:rsid w:val="022E1C2A"/>
    <w:rsid w:val="02372857"/>
    <w:rsid w:val="025A2F9E"/>
    <w:rsid w:val="02954528"/>
    <w:rsid w:val="02B7624C"/>
    <w:rsid w:val="02BF2AD7"/>
    <w:rsid w:val="02C40969"/>
    <w:rsid w:val="02F72AEC"/>
    <w:rsid w:val="02FC1AE4"/>
    <w:rsid w:val="031B6DD5"/>
    <w:rsid w:val="03250FEA"/>
    <w:rsid w:val="033435C8"/>
    <w:rsid w:val="03353A41"/>
    <w:rsid w:val="034F41D5"/>
    <w:rsid w:val="03604B36"/>
    <w:rsid w:val="036839EA"/>
    <w:rsid w:val="03882932"/>
    <w:rsid w:val="03A95345"/>
    <w:rsid w:val="03BE3331"/>
    <w:rsid w:val="03D64DF8"/>
    <w:rsid w:val="03E272F9"/>
    <w:rsid w:val="03FA6E50"/>
    <w:rsid w:val="043F0BEF"/>
    <w:rsid w:val="046917C8"/>
    <w:rsid w:val="046948F3"/>
    <w:rsid w:val="047B2D9D"/>
    <w:rsid w:val="04912ACD"/>
    <w:rsid w:val="04A95FD5"/>
    <w:rsid w:val="04B05EB6"/>
    <w:rsid w:val="04B74C29"/>
    <w:rsid w:val="04B96A4C"/>
    <w:rsid w:val="04C66C1A"/>
    <w:rsid w:val="04D72BD5"/>
    <w:rsid w:val="04E90B5B"/>
    <w:rsid w:val="04E946B7"/>
    <w:rsid w:val="04F0495F"/>
    <w:rsid w:val="04FD384B"/>
    <w:rsid w:val="05066DF9"/>
    <w:rsid w:val="05767713"/>
    <w:rsid w:val="05A52CD4"/>
    <w:rsid w:val="05D7202B"/>
    <w:rsid w:val="05E97064"/>
    <w:rsid w:val="05F477B7"/>
    <w:rsid w:val="06562220"/>
    <w:rsid w:val="06650974"/>
    <w:rsid w:val="066E2C1A"/>
    <w:rsid w:val="06997D4E"/>
    <w:rsid w:val="069F7723"/>
    <w:rsid w:val="06AE242E"/>
    <w:rsid w:val="06D0125C"/>
    <w:rsid w:val="06E4782C"/>
    <w:rsid w:val="06E65352"/>
    <w:rsid w:val="06FA2BAB"/>
    <w:rsid w:val="06FC4B75"/>
    <w:rsid w:val="07061550"/>
    <w:rsid w:val="07115CA7"/>
    <w:rsid w:val="07177C01"/>
    <w:rsid w:val="07262586"/>
    <w:rsid w:val="07287718"/>
    <w:rsid w:val="073666DA"/>
    <w:rsid w:val="07572125"/>
    <w:rsid w:val="076C0976"/>
    <w:rsid w:val="077539C2"/>
    <w:rsid w:val="078057A6"/>
    <w:rsid w:val="07893F2F"/>
    <w:rsid w:val="07943000"/>
    <w:rsid w:val="07A87241"/>
    <w:rsid w:val="07B45450"/>
    <w:rsid w:val="07C75183"/>
    <w:rsid w:val="07E017A1"/>
    <w:rsid w:val="07E86EA8"/>
    <w:rsid w:val="07F43A9E"/>
    <w:rsid w:val="07F817E1"/>
    <w:rsid w:val="08144141"/>
    <w:rsid w:val="08186CD8"/>
    <w:rsid w:val="08253FEF"/>
    <w:rsid w:val="08274BAD"/>
    <w:rsid w:val="08337083"/>
    <w:rsid w:val="08470072"/>
    <w:rsid w:val="085E56AE"/>
    <w:rsid w:val="08687981"/>
    <w:rsid w:val="086F1B39"/>
    <w:rsid w:val="08766CE3"/>
    <w:rsid w:val="08874912"/>
    <w:rsid w:val="088D4241"/>
    <w:rsid w:val="088F37C7"/>
    <w:rsid w:val="089E3A0A"/>
    <w:rsid w:val="08AE3F90"/>
    <w:rsid w:val="08B11C07"/>
    <w:rsid w:val="08B63438"/>
    <w:rsid w:val="08BD68A7"/>
    <w:rsid w:val="08C51C9E"/>
    <w:rsid w:val="08D37F4F"/>
    <w:rsid w:val="08D93BB5"/>
    <w:rsid w:val="0901563F"/>
    <w:rsid w:val="090D306A"/>
    <w:rsid w:val="092B34F0"/>
    <w:rsid w:val="09420C06"/>
    <w:rsid w:val="094E673D"/>
    <w:rsid w:val="094F29F6"/>
    <w:rsid w:val="0966277A"/>
    <w:rsid w:val="096C2B3B"/>
    <w:rsid w:val="097468F3"/>
    <w:rsid w:val="097A6225"/>
    <w:rsid w:val="09AD2157"/>
    <w:rsid w:val="09C15C02"/>
    <w:rsid w:val="09D92F4C"/>
    <w:rsid w:val="09FA34EB"/>
    <w:rsid w:val="09FE17A6"/>
    <w:rsid w:val="0A132C02"/>
    <w:rsid w:val="0A193C90"/>
    <w:rsid w:val="0A1C72DC"/>
    <w:rsid w:val="0A287A2F"/>
    <w:rsid w:val="0A557BB7"/>
    <w:rsid w:val="0A5A32F8"/>
    <w:rsid w:val="0A652A31"/>
    <w:rsid w:val="0A692E7A"/>
    <w:rsid w:val="0A8A5D79"/>
    <w:rsid w:val="0A9D041D"/>
    <w:rsid w:val="0AA25A34"/>
    <w:rsid w:val="0AB47859"/>
    <w:rsid w:val="0AD61B81"/>
    <w:rsid w:val="0B0A1F19"/>
    <w:rsid w:val="0B36617C"/>
    <w:rsid w:val="0B57681E"/>
    <w:rsid w:val="0B61144B"/>
    <w:rsid w:val="0B640F3B"/>
    <w:rsid w:val="0BA73406"/>
    <w:rsid w:val="0BBA0B5B"/>
    <w:rsid w:val="0BBA6DAD"/>
    <w:rsid w:val="0BC96FF0"/>
    <w:rsid w:val="0BD172B9"/>
    <w:rsid w:val="0BE45BD8"/>
    <w:rsid w:val="0BE93BEF"/>
    <w:rsid w:val="0BEB340A"/>
    <w:rsid w:val="0C0A1AE2"/>
    <w:rsid w:val="0C0E3F93"/>
    <w:rsid w:val="0C2506CA"/>
    <w:rsid w:val="0C364685"/>
    <w:rsid w:val="0C4A304C"/>
    <w:rsid w:val="0C4F5747"/>
    <w:rsid w:val="0C566AD6"/>
    <w:rsid w:val="0C5F2EAB"/>
    <w:rsid w:val="0C851169"/>
    <w:rsid w:val="0C902889"/>
    <w:rsid w:val="0C9615C8"/>
    <w:rsid w:val="0CAD06C0"/>
    <w:rsid w:val="0CB0103F"/>
    <w:rsid w:val="0CBC5489"/>
    <w:rsid w:val="0CE2480D"/>
    <w:rsid w:val="0CE916F8"/>
    <w:rsid w:val="0D062A3C"/>
    <w:rsid w:val="0D381061"/>
    <w:rsid w:val="0D4A7030"/>
    <w:rsid w:val="0D543BFA"/>
    <w:rsid w:val="0D865199"/>
    <w:rsid w:val="0D870F11"/>
    <w:rsid w:val="0D8853B5"/>
    <w:rsid w:val="0D956B94"/>
    <w:rsid w:val="0D9D62C2"/>
    <w:rsid w:val="0DA467D8"/>
    <w:rsid w:val="0DBD78FC"/>
    <w:rsid w:val="0DE43DD8"/>
    <w:rsid w:val="0DE843A2"/>
    <w:rsid w:val="0E1E7A30"/>
    <w:rsid w:val="0E2C4F72"/>
    <w:rsid w:val="0E364E11"/>
    <w:rsid w:val="0E372937"/>
    <w:rsid w:val="0E5D6CF2"/>
    <w:rsid w:val="0E6179B4"/>
    <w:rsid w:val="0E7476E7"/>
    <w:rsid w:val="0E8611C8"/>
    <w:rsid w:val="0E8C4A31"/>
    <w:rsid w:val="0E960DA4"/>
    <w:rsid w:val="0EB83A78"/>
    <w:rsid w:val="0ECC12D1"/>
    <w:rsid w:val="0ECC7523"/>
    <w:rsid w:val="0EE02FCE"/>
    <w:rsid w:val="0EE06B2A"/>
    <w:rsid w:val="0EF32D02"/>
    <w:rsid w:val="0EFE61C3"/>
    <w:rsid w:val="0F27226E"/>
    <w:rsid w:val="0F434C0A"/>
    <w:rsid w:val="0F4F60D6"/>
    <w:rsid w:val="0F5F1EEF"/>
    <w:rsid w:val="0F655282"/>
    <w:rsid w:val="0F977D7B"/>
    <w:rsid w:val="0F984030"/>
    <w:rsid w:val="0FAB26CD"/>
    <w:rsid w:val="0FB352D7"/>
    <w:rsid w:val="0FCE72CB"/>
    <w:rsid w:val="0FD536FB"/>
    <w:rsid w:val="102562D8"/>
    <w:rsid w:val="1026403A"/>
    <w:rsid w:val="104355C3"/>
    <w:rsid w:val="1059665E"/>
    <w:rsid w:val="107C2883"/>
    <w:rsid w:val="10826892"/>
    <w:rsid w:val="109B6D62"/>
    <w:rsid w:val="10B34A9A"/>
    <w:rsid w:val="10BE733F"/>
    <w:rsid w:val="10F66AD9"/>
    <w:rsid w:val="112C24FB"/>
    <w:rsid w:val="11407D54"/>
    <w:rsid w:val="115B2DE0"/>
    <w:rsid w:val="11603F18"/>
    <w:rsid w:val="1160532F"/>
    <w:rsid w:val="11717FD1"/>
    <w:rsid w:val="117B6FDE"/>
    <w:rsid w:val="118869FA"/>
    <w:rsid w:val="118E6D12"/>
    <w:rsid w:val="11C646FD"/>
    <w:rsid w:val="11D5049D"/>
    <w:rsid w:val="120E7E53"/>
    <w:rsid w:val="1222745A"/>
    <w:rsid w:val="122B27B2"/>
    <w:rsid w:val="12301ADC"/>
    <w:rsid w:val="12333415"/>
    <w:rsid w:val="123A700C"/>
    <w:rsid w:val="12850115"/>
    <w:rsid w:val="12CF4E33"/>
    <w:rsid w:val="12DA1AE3"/>
    <w:rsid w:val="131F3AA2"/>
    <w:rsid w:val="13272F7A"/>
    <w:rsid w:val="13B50586"/>
    <w:rsid w:val="13F20130"/>
    <w:rsid w:val="13F54E26"/>
    <w:rsid w:val="140426A2"/>
    <w:rsid w:val="143D67CD"/>
    <w:rsid w:val="144769FF"/>
    <w:rsid w:val="1457163D"/>
    <w:rsid w:val="14575AE1"/>
    <w:rsid w:val="146B333A"/>
    <w:rsid w:val="14A512BD"/>
    <w:rsid w:val="14AC43F9"/>
    <w:rsid w:val="14B040EF"/>
    <w:rsid w:val="150002C2"/>
    <w:rsid w:val="15264D8E"/>
    <w:rsid w:val="15545B7C"/>
    <w:rsid w:val="15785D0F"/>
    <w:rsid w:val="15A01BE5"/>
    <w:rsid w:val="15A9411A"/>
    <w:rsid w:val="15B52ECF"/>
    <w:rsid w:val="15B91CD3"/>
    <w:rsid w:val="15D93F3D"/>
    <w:rsid w:val="15F5735F"/>
    <w:rsid w:val="16066474"/>
    <w:rsid w:val="16175528"/>
    <w:rsid w:val="164125A5"/>
    <w:rsid w:val="164B4726"/>
    <w:rsid w:val="16571DC8"/>
    <w:rsid w:val="167B0653"/>
    <w:rsid w:val="16A94950"/>
    <w:rsid w:val="16AA0906"/>
    <w:rsid w:val="16B8213B"/>
    <w:rsid w:val="16D70F4D"/>
    <w:rsid w:val="16F37D13"/>
    <w:rsid w:val="16F6136F"/>
    <w:rsid w:val="16F92E7F"/>
    <w:rsid w:val="16FD0098"/>
    <w:rsid w:val="172D0D7B"/>
    <w:rsid w:val="17342109"/>
    <w:rsid w:val="173E758D"/>
    <w:rsid w:val="174E431E"/>
    <w:rsid w:val="174E4322"/>
    <w:rsid w:val="17521617"/>
    <w:rsid w:val="17805D05"/>
    <w:rsid w:val="17BD4979"/>
    <w:rsid w:val="17C012EF"/>
    <w:rsid w:val="17DB38DF"/>
    <w:rsid w:val="17F35B20"/>
    <w:rsid w:val="17F96393"/>
    <w:rsid w:val="18133ACD"/>
    <w:rsid w:val="18351C95"/>
    <w:rsid w:val="1862744F"/>
    <w:rsid w:val="18F953B8"/>
    <w:rsid w:val="192B08D4"/>
    <w:rsid w:val="193C2941"/>
    <w:rsid w:val="195C76F5"/>
    <w:rsid w:val="19605C43"/>
    <w:rsid w:val="196F567B"/>
    <w:rsid w:val="197762DD"/>
    <w:rsid w:val="19B4308D"/>
    <w:rsid w:val="19CF2F48"/>
    <w:rsid w:val="19EB5772"/>
    <w:rsid w:val="1A240213"/>
    <w:rsid w:val="1A400DC5"/>
    <w:rsid w:val="1A472154"/>
    <w:rsid w:val="1A4F0751"/>
    <w:rsid w:val="1A564145"/>
    <w:rsid w:val="1A580DF8"/>
    <w:rsid w:val="1A756CC1"/>
    <w:rsid w:val="1A782D25"/>
    <w:rsid w:val="1A914743"/>
    <w:rsid w:val="1ABB7E7A"/>
    <w:rsid w:val="1AD334BF"/>
    <w:rsid w:val="1AE300CE"/>
    <w:rsid w:val="1AE950FA"/>
    <w:rsid w:val="1B0B4F2F"/>
    <w:rsid w:val="1B6D1746"/>
    <w:rsid w:val="1B7032B1"/>
    <w:rsid w:val="1B711290"/>
    <w:rsid w:val="1BBE1FA1"/>
    <w:rsid w:val="1BDE0896"/>
    <w:rsid w:val="1BE7599C"/>
    <w:rsid w:val="1BE97440"/>
    <w:rsid w:val="1C071B9A"/>
    <w:rsid w:val="1C1F5136"/>
    <w:rsid w:val="1C224C26"/>
    <w:rsid w:val="1C2C1601"/>
    <w:rsid w:val="1C2F2E9F"/>
    <w:rsid w:val="1C427076"/>
    <w:rsid w:val="1C4C7CC3"/>
    <w:rsid w:val="1C8A69E1"/>
    <w:rsid w:val="1CBA28AA"/>
    <w:rsid w:val="1CD75A11"/>
    <w:rsid w:val="1CF15B94"/>
    <w:rsid w:val="1CF77E61"/>
    <w:rsid w:val="1CFF6D16"/>
    <w:rsid w:val="1D047E88"/>
    <w:rsid w:val="1D156539"/>
    <w:rsid w:val="1D4A7C0F"/>
    <w:rsid w:val="1D61442A"/>
    <w:rsid w:val="1D623D91"/>
    <w:rsid w:val="1D6F55A4"/>
    <w:rsid w:val="1DA358F3"/>
    <w:rsid w:val="1DED20B4"/>
    <w:rsid w:val="1E01086B"/>
    <w:rsid w:val="1E077C8E"/>
    <w:rsid w:val="1E1423D7"/>
    <w:rsid w:val="1E307789"/>
    <w:rsid w:val="1E3231A6"/>
    <w:rsid w:val="1E5352A7"/>
    <w:rsid w:val="1E5906A7"/>
    <w:rsid w:val="1E652BA8"/>
    <w:rsid w:val="1E676920"/>
    <w:rsid w:val="1E6E088F"/>
    <w:rsid w:val="1EB3600A"/>
    <w:rsid w:val="1EE66C84"/>
    <w:rsid w:val="1F0028D1"/>
    <w:rsid w:val="1F02211F"/>
    <w:rsid w:val="1F126F73"/>
    <w:rsid w:val="1F170346"/>
    <w:rsid w:val="1F1A472F"/>
    <w:rsid w:val="1F1C0F96"/>
    <w:rsid w:val="1F2344D4"/>
    <w:rsid w:val="1F443106"/>
    <w:rsid w:val="1F4E5D32"/>
    <w:rsid w:val="1F725038"/>
    <w:rsid w:val="1F9A0F77"/>
    <w:rsid w:val="1FBB33C8"/>
    <w:rsid w:val="1FCD30FB"/>
    <w:rsid w:val="1FCF7AFB"/>
    <w:rsid w:val="1FFB3446"/>
    <w:rsid w:val="1FFC753C"/>
    <w:rsid w:val="201318C6"/>
    <w:rsid w:val="201A220D"/>
    <w:rsid w:val="20436F19"/>
    <w:rsid w:val="20474C5B"/>
    <w:rsid w:val="207B1149"/>
    <w:rsid w:val="207E5971"/>
    <w:rsid w:val="208B6917"/>
    <w:rsid w:val="20AC2D10"/>
    <w:rsid w:val="20B00359"/>
    <w:rsid w:val="20D61B3B"/>
    <w:rsid w:val="20EC6113"/>
    <w:rsid w:val="20EE50D7"/>
    <w:rsid w:val="20F87D04"/>
    <w:rsid w:val="21303DC9"/>
    <w:rsid w:val="21310AEB"/>
    <w:rsid w:val="21352D06"/>
    <w:rsid w:val="21475F62"/>
    <w:rsid w:val="21486EDD"/>
    <w:rsid w:val="215A276C"/>
    <w:rsid w:val="21645399"/>
    <w:rsid w:val="216C7565"/>
    <w:rsid w:val="218B501C"/>
    <w:rsid w:val="21B7296D"/>
    <w:rsid w:val="21F4671D"/>
    <w:rsid w:val="22145011"/>
    <w:rsid w:val="221B1EC0"/>
    <w:rsid w:val="222334A6"/>
    <w:rsid w:val="22245FA1"/>
    <w:rsid w:val="22266AF2"/>
    <w:rsid w:val="22511DC1"/>
    <w:rsid w:val="22AA51F5"/>
    <w:rsid w:val="22BD28C6"/>
    <w:rsid w:val="231D0D5E"/>
    <w:rsid w:val="236560AB"/>
    <w:rsid w:val="23713D9D"/>
    <w:rsid w:val="2381161B"/>
    <w:rsid w:val="2381693A"/>
    <w:rsid w:val="239006C7"/>
    <w:rsid w:val="2393640A"/>
    <w:rsid w:val="239857CE"/>
    <w:rsid w:val="23B9512F"/>
    <w:rsid w:val="23DF4CF4"/>
    <w:rsid w:val="23E65186"/>
    <w:rsid w:val="24084702"/>
    <w:rsid w:val="2435126F"/>
    <w:rsid w:val="244F0582"/>
    <w:rsid w:val="24612064"/>
    <w:rsid w:val="247578BD"/>
    <w:rsid w:val="248C70E1"/>
    <w:rsid w:val="248D111F"/>
    <w:rsid w:val="249B37C8"/>
    <w:rsid w:val="24BE74B6"/>
    <w:rsid w:val="24DF5ADD"/>
    <w:rsid w:val="24EF5FF8"/>
    <w:rsid w:val="25107F16"/>
    <w:rsid w:val="254625F0"/>
    <w:rsid w:val="256B319A"/>
    <w:rsid w:val="256F74FA"/>
    <w:rsid w:val="2585493F"/>
    <w:rsid w:val="25866F31"/>
    <w:rsid w:val="2593416A"/>
    <w:rsid w:val="25DE251C"/>
    <w:rsid w:val="26343C96"/>
    <w:rsid w:val="264E03C6"/>
    <w:rsid w:val="26681488"/>
    <w:rsid w:val="266F0A68"/>
    <w:rsid w:val="26795443"/>
    <w:rsid w:val="267C3185"/>
    <w:rsid w:val="267E1B60"/>
    <w:rsid w:val="267F3064"/>
    <w:rsid w:val="268564DD"/>
    <w:rsid w:val="26AC0E40"/>
    <w:rsid w:val="26B24DF9"/>
    <w:rsid w:val="26C16DEA"/>
    <w:rsid w:val="26EE3C38"/>
    <w:rsid w:val="26F31699"/>
    <w:rsid w:val="274F43F6"/>
    <w:rsid w:val="278843D0"/>
    <w:rsid w:val="278B7844"/>
    <w:rsid w:val="278C3449"/>
    <w:rsid w:val="27914A0E"/>
    <w:rsid w:val="27A97085"/>
    <w:rsid w:val="27AC17B9"/>
    <w:rsid w:val="27B92042"/>
    <w:rsid w:val="27BE67C9"/>
    <w:rsid w:val="27F31225"/>
    <w:rsid w:val="28090A48"/>
    <w:rsid w:val="28180C8B"/>
    <w:rsid w:val="28217234"/>
    <w:rsid w:val="284B1574"/>
    <w:rsid w:val="285C326E"/>
    <w:rsid w:val="285C5F30"/>
    <w:rsid w:val="28CA01D8"/>
    <w:rsid w:val="28D23530"/>
    <w:rsid w:val="28DB0637"/>
    <w:rsid w:val="28F0207E"/>
    <w:rsid w:val="2929093D"/>
    <w:rsid w:val="29433BB0"/>
    <w:rsid w:val="29546686"/>
    <w:rsid w:val="295E6B72"/>
    <w:rsid w:val="29695805"/>
    <w:rsid w:val="2996455E"/>
    <w:rsid w:val="29BA6E37"/>
    <w:rsid w:val="29C83EA4"/>
    <w:rsid w:val="2A1F4553"/>
    <w:rsid w:val="2A467D32"/>
    <w:rsid w:val="2A5D2820"/>
    <w:rsid w:val="2A7D3457"/>
    <w:rsid w:val="2AAF3B29"/>
    <w:rsid w:val="2ABC4E3A"/>
    <w:rsid w:val="2AD96DF8"/>
    <w:rsid w:val="2ADC41F2"/>
    <w:rsid w:val="2AFE23BA"/>
    <w:rsid w:val="2B30453E"/>
    <w:rsid w:val="2B4F0E68"/>
    <w:rsid w:val="2B6820A6"/>
    <w:rsid w:val="2B894ABF"/>
    <w:rsid w:val="2B8A6344"/>
    <w:rsid w:val="2B991FF2"/>
    <w:rsid w:val="2BBA71F5"/>
    <w:rsid w:val="2BD3551E"/>
    <w:rsid w:val="2BF37A45"/>
    <w:rsid w:val="2C0004FA"/>
    <w:rsid w:val="2C271DE5"/>
    <w:rsid w:val="2C567FD4"/>
    <w:rsid w:val="2C7F65F1"/>
    <w:rsid w:val="2C8114F5"/>
    <w:rsid w:val="2CBE62A5"/>
    <w:rsid w:val="2CC82C80"/>
    <w:rsid w:val="2CF6099E"/>
    <w:rsid w:val="2D2154E0"/>
    <w:rsid w:val="2D241E80"/>
    <w:rsid w:val="2DB61363"/>
    <w:rsid w:val="2DD91921"/>
    <w:rsid w:val="2DD935D3"/>
    <w:rsid w:val="2DE66F76"/>
    <w:rsid w:val="2E001AD0"/>
    <w:rsid w:val="2E126BCA"/>
    <w:rsid w:val="2E3010A6"/>
    <w:rsid w:val="2E36329E"/>
    <w:rsid w:val="2E383E35"/>
    <w:rsid w:val="2E3C1B78"/>
    <w:rsid w:val="2E3C1BBC"/>
    <w:rsid w:val="2E564673"/>
    <w:rsid w:val="2E627104"/>
    <w:rsid w:val="2E7310E3"/>
    <w:rsid w:val="2E894691"/>
    <w:rsid w:val="2EAA5CB6"/>
    <w:rsid w:val="2EBA484A"/>
    <w:rsid w:val="2EBF4ACA"/>
    <w:rsid w:val="2EBF6305"/>
    <w:rsid w:val="2ECD5689"/>
    <w:rsid w:val="2EED2E72"/>
    <w:rsid w:val="2EFC41EE"/>
    <w:rsid w:val="2F0F2AF7"/>
    <w:rsid w:val="2F366A04"/>
    <w:rsid w:val="2F6055E3"/>
    <w:rsid w:val="2FC02334"/>
    <w:rsid w:val="2FD7142C"/>
    <w:rsid w:val="300114C0"/>
    <w:rsid w:val="30087265"/>
    <w:rsid w:val="30154375"/>
    <w:rsid w:val="30161F54"/>
    <w:rsid w:val="302477D8"/>
    <w:rsid w:val="30430644"/>
    <w:rsid w:val="304C7B53"/>
    <w:rsid w:val="3065199C"/>
    <w:rsid w:val="307373A7"/>
    <w:rsid w:val="3078546E"/>
    <w:rsid w:val="307A1FEF"/>
    <w:rsid w:val="309D61D2"/>
    <w:rsid w:val="30AD0B0B"/>
    <w:rsid w:val="30C77111"/>
    <w:rsid w:val="30DB6CFA"/>
    <w:rsid w:val="30E62404"/>
    <w:rsid w:val="30E91A28"/>
    <w:rsid w:val="30EE2159"/>
    <w:rsid w:val="310D2C36"/>
    <w:rsid w:val="3111011C"/>
    <w:rsid w:val="3111479A"/>
    <w:rsid w:val="31683F23"/>
    <w:rsid w:val="31700E64"/>
    <w:rsid w:val="31865A40"/>
    <w:rsid w:val="3200767E"/>
    <w:rsid w:val="32396FA7"/>
    <w:rsid w:val="32470AEB"/>
    <w:rsid w:val="325B4596"/>
    <w:rsid w:val="325F5E35"/>
    <w:rsid w:val="32851613"/>
    <w:rsid w:val="329B78D9"/>
    <w:rsid w:val="32A970B0"/>
    <w:rsid w:val="32FE389F"/>
    <w:rsid w:val="3301294A"/>
    <w:rsid w:val="33114C55"/>
    <w:rsid w:val="33353039"/>
    <w:rsid w:val="33545CD9"/>
    <w:rsid w:val="335F1E64"/>
    <w:rsid w:val="33615BDC"/>
    <w:rsid w:val="33624B1A"/>
    <w:rsid w:val="33686F6B"/>
    <w:rsid w:val="336A3155"/>
    <w:rsid w:val="33754FA3"/>
    <w:rsid w:val="339636B4"/>
    <w:rsid w:val="33E16D1D"/>
    <w:rsid w:val="341964B7"/>
    <w:rsid w:val="343706EB"/>
    <w:rsid w:val="34637732"/>
    <w:rsid w:val="346C2A8B"/>
    <w:rsid w:val="347F40F6"/>
    <w:rsid w:val="348C6C89"/>
    <w:rsid w:val="3495510D"/>
    <w:rsid w:val="34AE4E51"/>
    <w:rsid w:val="34B53812"/>
    <w:rsid w:val="34C74165"/>
    <w:rsid w:val="34C74D18"/>
    <w:rsid w:val="34C957E7"/>
    <w:rsid w:val="34CA209B"/>
    <w:rsid w:val="3507608E"/>
    <w:rsid w:val="350B22A4"/>
    <w:rsid w:val="35384D0A"/>
    <w:rsid w:val="354B6B44"/>
    <w:rsid w:val="35703BE5"/>
    <w:rsid w:val="35771225"/>
    <w:rsid w:val="3598434D"/>
    <w:rsid w:val="35B9585C"/>
    <w:rsid w:val="35CF6FF8"/>
    <w:rsid w:val="35ED589A"/>
    <w:rsid w:val="361D460D"/>
    <w:rsid w:val="36211653"/>
    <w:rsid w:val="36242CF8"/>
    <w:rsid w:val="3629779E"/>
    <w:rsid w:val="3664062C"/>
    <w:rsid w:val="366559E4"/>
    <w:rsid w:val="368C3850"/>
    <w:rsid w:val="369B1405"/>
    <w:rsid w:val="36A76752"/>
    <w:rsid w:val="36C579F2"/>
    <w:rsid w:val="36F34D9D"/>
    <w:rsid w:val="3703111F"/>
    <w:rsid w:val="37394EDD"/>
    <w:rsid w:val="37624C68"/>
    <w:rsid w:val="376E2676"/>
    <w:rsid w:val="377834F5"/>
    <w:rsid w:val="37820C94"/>
    <w:rsid w:val="37B409D1"/>
    <w:rsid w:val="37CA01F4"/>
    <w:rsid w:val="37CE0538"/>
    <w:rsid w:val="37DA67DD"/>
    <w:rsid w:val="37EF7C5B"/>
    <w:rsid w:val="3834371E"/>
    <w:rsid w:val="3848736B"/>
    <w:rsid w:val="386F2B4A"/>
    <w:rsid w:val="38A5581F"/>
    <w:rsid w:val="38D317F4"/>
    <w:rsid w:val="38D806EF"/>
    <w:rsid w:val="38E3051F"/>
    <w:rsid w:val="38FA7508"/>
    <w:rsid w:val="38FF77EE"/>
    <w:rsid w:val="392032FC"/>
    <w:rsid w:val="39567866"/>
    <w:rsid w:val="396708A0"/>
    <w:rsid w:val="39757E32"/>
    <w:rsid w:val="398322DC"/>
    <w:rsid w:val="39B20F40"/>
    <w:rsid w:val="39D03040"/>
    <w:rsid w:val="39D30EAD"/>
    <w:rsid w:val="39F06BFD"/>
    <w:rsid w:val="39F318CA"/>
    <w:rsid w:val="3A080B60"/>
    <w:rsid w:val="3A103EB8"/>
    <w:rsid w:val="3A2B1428"/>
    <w:rsid w:val="3A322081"/>
    <w:rsid w:val="3A323E2F"/>
    <w:rsid w:val="3A543DA5"/>
    <w:rsid w:val="3A900F1E"/>
    <w:rsid w:val="3AC16F61"/>
    <w:rsid w:val="3AC76C6D"/>
    <w:rsid w:val="3AD34A1B"/>
    <w:rsid w:val="3B261CFB"/>
    <w:rsid w:val="3B3C4395"/>
    <w:rsid w:val="3B3F11D7"/>
    <w:rsid w:val="3B5B1163"/>
    <w:rsid w:val="3B6F58DE"/>
    <w:rsid w:val="3B800BCA"/>
    <w:rsid w:val="3B882877"/>
    <w:rsid w:val="3BA66882"/>
    <w:rsid w:val="3BB54DB0"/>
    <w:rsid w:val="3BB56AC5"/>
    <w:rsid w:val="3BCE7B87"/>
    <w:rsid w:val="3BD333EF"/>
    <w:rsid w:val="3C105A6B"/>
    <w:rsid w:val="3C125DCE"/>
    <w:rsid w:val="3C1852A6"/>
    <w:rsid w:val="3C3E4D0D"/>
    <w:rsid w:val="3C422F3E"/>
    <w:rsid w:val="3C6504EB"/>
    <w:rsid w:val="3C713683"/>
    <w:rsid w:val="3C746980"/>
    <w:rsid w:val="3C797AF3"/>
    <w:rsid w:val="3C8A61A4"/>
    <w:rsid w:val="3C8B6ACE"/>
    <w:rsid w:val="3C9568F7"/>
    <w:rsid w:val="3CD25997"/>
    <w:rsid w:val="3CE07B72"/>
    <w:rsid w:val="3CE27D8E"/>
    <w:rsid w:val="3CEA09F1"/>
    <w:rsid w:val="3D0870C9"/>
    <w:rsid w:val="3D3A1978"/>
    <w:rsid w:val="3D3B56F0"/>
    <w:rsid w:val="3D591958"/>
    <w:rsid w:val="3D5F318D"/>
    <w:rsid w:val="3D6320AE"/>
    <w:rsid w:val="3D632551"/>
    <w:rsid w:val="3D6B67D2"/>
    <w:rsid w:val="3D6B6AD5"/>
    <w:rsid w:val="3D70539A"/>
    <w:rsid w:val="3D73032B"/>
    <w:rsid w:val="3D7F04B3"/>
    <w:rsid w:val="3D7F382F"/>
    <w:rsid w:val="3D887631"/>
    <w:rsid w:val="3DA62088"/>
    <w:rsid w:val="3DD516A1"/>
    <w:rsid w:val="3DE418E4"/>
    <w:rsid w:val="3DE86703"/>
    <w:rsid w:val="3DFC4E7F"/>
    <w:rsid w:val="3E0856D8"/>
    <w:rsid w:val="3E186EBA"/>
    <w:rsid w:val="3E1D6BA4"/>
    <w:rsid w:val="3E3D1DE7"/>
    <w:rsid w:val="3E442382"/>
    <w:rsid w:val="3E546A69"/>
    <w:rsid w:val="3E6B790F"/>
    <w:rsid w:val="3E8E1705"/>
    <w:rsid w:val="3E96695C"/>
    <w:rsid w:val="3EE31B9B"/>
    <w:rsid w:val="3EE6168C"/>
    <w:rsid w:val="3EEF22EE"/>
    <w:rsid w:val="3F0C10F2"/>
    <w:rsid w:val="3F161F71"/>
    <w:rsid w:val="3F1F34F0"/>
    <w:rsid w:val="3F3C12AC"/>
    <w:rsid w:val="3F593C0C"/>
    <w:rsid w:val="3F634A8A"/>
    <w:rsid w:val="3F6D76B7"/>
    <w:rsid w:val="3F8E439A"/>
    <w:rsid w:val="3F982986"/>
    <w:rsid w:val="3F984F0D"/>
    <w:rsid w:val="3FC813FA"/>
    <w:rsid w:val="3FCA4B09"/>
    <w:rsid w:val="3FEE07F8"/>
    <w:rsid w:val="400224F5"/>
    <w:rsid w:val="400F3235"/>
    <w:rsid w:val="4028069E"/>
    <w:rsid w:val="404E1296"/>
    <w:rsid w:val="405C7E57"/>
    <w:rsid w:val="406867FC"/>
    <w:rsid w:val="40931A53"/>
    <w:rsid w:val="40B53071"/>
    <w:rsid w:val="40E045E4"/>
    <w:rsid w:val="411462D3"/>
    <w:rsid w:val="41744230"/>
    <w:rsid w:val="41831414"/>
    <w:rsid w:val="41875415"/>
    <w:rsid w:val="418A5041"/>
    <w:rsid w:val="419D4283"/>
    <w:rsid w:val="41A265EF"/>
    <w:rsid w:val="41D016DB"/>
    <w:rsid w:val="41E40104"/>
    <w:rsid w:val="41E41EB2"/>
    <w:rsid w:val="41E55C2A"/>
    <w:rsid w:val="41F300AD"/>
    <w:rsid w:val="423B3E49"/>
    <w:rsid w:val="42497F67"/>
    <w:rsid w:val="42562684"/>
    <w:rsid w:val="4258464E"/>
    <w:rsid w:val="42621029"/>
    <w:rsid w:val="427431DA"/>
    <w:rsid w:val="427521D5"/>
    <w:rsid w:val="427841F9"/>
    <w:rsid w:val="428B3394"/>
    <w:rsid w:val="429513FF"/>
    <w:rsid w:val="42A54AC6"/>
    <w:rsid w:val="42AF1AB8"/>
    <w:rsid w:val="42BD09E0"/>
    <w:rsid w:val="42DE0FF8"/>
    <w:rsid w:val="42F223AD"/>
    <w:rsid w:val="43010842"/>
    <w:rsid w:val="43056584"/>
    <w:rsid w:val="430D6FF5"/>
    <w:rsid w:val="431C1B20"/>
    <w:rsid w:val="43482915"/>
    <w:rsid w:val="434846C3"/>
    <w:rsid w:val="43525542"/>
    <w:rsid w:val="4357300A"/>
    <w:rsid w:val="435B67FF"/>
    <w:rsid w:val="43963F1E"/>
    <w:rsid w:val="43B92ECB"/>
    <w:rsid w:val="43E762E1"/>
    <w:rsid w:val="440B5E1C"/>
    <w:rsid w:val="441822E7"/>
    <w:rsid w:val="44426629"/>
    <w:rsid w:val="44482AA3"/>
    <w:rsid w:val="444C03C6"/>
    <w:rsid w:val="44652ACA"/>
    <w:rsid w:val="44936155"/>
    <w:rsid w:val="44A21BB1"/>
    <w:rsid w:val="44A44849"/>
    <w:rsid w:val="44A771C7"/>
    <w:rsid w:val="44BC0EC5"/>
    <w:rsid w:val="44E95A32"/>
    <w:rsid w:val="44EB7AD4"/>
    <w:rsid w:val="450C60CA"/>
    <w:rsid w:val="451F76A5"/>
    <w:rsid w:val="452B615F"/>
    <w:rsid w:val="454B2248"/>
    <w:rsid w:val="45917D94"/>
    <w:rsid w:val="459D3BC2"/>
    <w:rsid w:val="45BF7BB4"/>
    <w:rsid w:val="45D93CF8"/>
    <w:rsid w:val="46184820"/>
    <w:rsid w:val="461E6DF1"/>
    <w:rsid w:val="46291A0F"/>
    <w:rsid w:val="46494FE1"/>
    <w:rsid w:val="464D0C32"/>
    <w:rsid w:val="466A4950"/>
    <w:rsid w:val="467557CF"/>
    <w:rsid w:val="467B0194"/>
    <w:rsid w:val="468E4AE3"/>
    <w:rsid w:val="46C16C66"/>
    <w:rsid w:val="46C61AAB"/>
    <w:rsid w:val="472114B3"/>
    <w:rsid w:val="474004D4"/>
    <w:rsid w:val="476843AC"/>
    <w:rsid w:val="477F37B9"/>
    <w:rsid w:val="4791488A"/>
    <w:rsid w:val="47971775"/>
    <w:rsid w:val="47AA2318"/>
    <w:rsid w:val="47BB2E28"/>
    <w:rsid w:val="47C167F2"/>
    <w:rsid w:val="47D55AC0"/>
    <w:rsid w:val="47EE3067"/>
    <w:rsid w:val="47F44E19"/>
    <w:rsid w:val="48323EE8"/>
    <w:rsid w:val="48453261"/>
    <w:rsid w:val="48515DC8"/>
    <w:rsid w:val="486378A9"/>
    <w:rsid w:val="4864025E"/>
    <w:rsid w:val="487C3B2D"/>
    <w:rsid w:val="489B1B33"/>
    <w:rsid w:val="48AE03C2"/>
    <w:rsid w:val="48AE5485"/>
    <w:rsid w:val="48B60321"/>
    <w:rsid w:val="48CC36A0"/>
    <w:rsid w:val="48EC1A58"/>
    <w:rsid w:val="49380D36"/>
    <w:rsid w:val="49423962"/>
    <w:rsid w:val="496B110B"/>
    <w:rsid w:val="49706721"/>
    <w:rsid w:val="497E2BEC"/>
    <w:rsid w:val="49AD1724"/>
    <w:rsid w:val="49C02B87"/>
    <w:rsid w:val="49D433EE"/>
    <w:rsid w:val="4A3B0ADD"/>
    <w:rsid w:val="4A4C2CEB"/>
    <w:rsid w:val="4A5E73C4"/>
    <w:rsid w:val="4A6022F2"/>
    <w:rsid w:val="4A655C81"/>
    <w:rsid w:val="4A770517"/>
    <w:rsid w:val="4A8330FE"/>
    <w:rsid w:val="4A8C758B"/>
    <w:rsid w:val="4AA04DE4"/>
    <w:rsid w:val="4AAE5753"/>
    <w:rsid w:val="4AB12B4E"/>
    <w:rsid w:val="4AB14E2D"/>
    <w:rsid w:val="4AB32D6A"/>
    <w:rsid w:val="4AB368C6"/>
    <w:rsid w:val="4AD50ED4"/>
    <w:rsid w:val="4AE05DDE"/>
    <w:rsid w:val="4AE747C1"/>
    <w:rsid w:val="4AF13892"/>
    <w:rsid w:val="4AF22945"/>
    <w:rsid w:val="4B0340A4"/>
    <w:rsid w:val="4B0709C0"/>
    <w:rsid w:val="4B197B96"/>
    <w:rsid w:val="4BAF3531"/>
    <w:rsid w:val="4BB40399"/>
    <w:rsid w:val="4BC468B1"/>
    <w:rsid w:val="4BD44D46"/>
    <w:rsid w:val="4BD73BBC"/>
    <w:rsid w:val="4BDA4326"/>
    <w:rsid w:val="4BDE34A9"/>
    <w:rsid w:val="4BFC604B"/>
    <w:rsid w:val="4C2542C6"/>
    <w:rsid w:val="4C435E96"/>
    <w:rsid w:val="4C842195"/>
    <w:rsid w:val="4C8844D8"/>
    <w:rsid w:val="4C8A69D2"/>
    <w:rsid w:val="4CB07870"/>
    <w:rsid w:val="4CC21042"/>
    <w:rsid w:val="4CD46FC7"/>
    <w:rsid w:val="4D217F10"/>
    <w:rsid w:val="4D2E4B65"/>
    <w:rsid w:val="4D657A67"/>
    <w:rsid w:val="4DB36BDD"/>
    <w:rsid w:val="4DBE5CAD"/>
    <w:rsid w:val="4DD83BCC"/>
    <w:rsid w:val="4DDF79D2"/>
    <w:rsid w:val="4DE1374A"/>
    <w:rsid w:val="4DEB6377"/>
    <w:rsid w:val="4DF1636E"/>
    <w:rsid w:val="4DF55447"/>
    <w:rsid w:val="4E016821"/>
    <w:rsid w:val="4E0765A5"/>
    <w:rsid w:val="4E1115CD"/>
    <w:rsid w:val="4E1F24C4"/>
    <w:rsid w:val="4E2E5373"/>
    <w:rsid w:val="4E54216E"/>
    <w:rsid w:val="4E606D65"/>
    <w:rsid w:val="4E745CB6"/>
    <w:rsid w:val="4E760D0B"/>
    <w:rsid w:val="4EDC3AD5"/>
    <w:rsid w:val="4EE27577"/>
    <w:rsid w:val="4EE665CB"/>
    <w:rsid w:val="4F0963B9"/>
    <w:rsid w:val="4F1F0E02"/>
    <w:rsid w:val="4F2D2E36"/>
    <w:rsid w:val="4F4665CF"/>
    <w:rsid w:val="4F49480A"/>
    <w:rsid w:val="4F561D44"/>
    <w:rsid w:val="4F6D0752"/>
    <w:rsid w:val="4F786D37"/>
    <w:rsid w:val="4F85275A"/>
    <w:rsid w:val="4FAD422B"/>
    <w:rsid w:val="4FD0705F"/>
    <w:rsid w:val="4FDE142C"/>
    <w:rsid w:val="4FE94B38"/>
    <w:rsid w:val="5011774A"/>
    <w:rsid w:val="50146059"/>
    <w:rsid w:val="50395ABF"/>
    <w:rsid w:val="5039786D"/>
    <w:rsid w:val="50485D02"/>
    <w:rsid w:val="504D156B"/>
    <w:rsid w:val="50526B81"/>
    <w:rsid w:val="505C6EFD"/>
    <w:rsid w:val="50630D8E"/>
    <w:rsid w:val="506F736F"/>
    <w:rsid w:val="5080549C"/>
    <w:rsid w:val="509E5922"/>
    <w:rsid w:val="50A54F03"/>
    <w:rsid w:val="50DE6667"/>
    <w:rsid w:val="50FF2BEF"/>
    <w:rsid w:val="51044B29"/>
    <w:rsid w:val="51181B78"/>
    <w:rsid w:val="51264935"/>
    <w:rsid w:val="512A18AC"/>
    <w:rsid w:val="515114EF"/>
    <w:rsid w:val="515A3F3F"/>
    <w:rsid w:val="515E7330"/>
    <w:rsid w:val="516528E4"/>
    <w:rsid w:val="517514EA"/>
    <w:rsid w:val="51944BC6"/>
    <w:rsid w:val="51AB05F0"/>
    <w:rsid w:val="51AC0513"/>
    <w:rsid w:val="51B24883"/>
    <w:rsid w:val="51B6604B"/>
    <w:rsid w:val="51BB4EC5"/>
    <w:rsid w:val="521F2A93"/>
    <w:rsid w:val="522E717A"/>
    <w:rsid w:val="523C1897"/>
    <w:rsid w:val="528C45CC"/>
    <w:rsid w:val="52A631B4"/>
    <w:rsid w:val="52B25C24"/>
    <w:rsid w:val="52B94C95"/>
    <w:rsid w:val="52C87D18"/>
    <w:rsid w:val="52D756E9"/>
    <w:rsid w:val="52F52119"/>
    <w:rsid w:val="5325057D"/>
    <w:rsid w:val="53427D34"/>
    <w:rsid w:val="539B439B"/>
    <w:rsid w:val="539F20DD"/>
    <w:rsid w:val="53A05E55"/>
    <w:rsid w:val="53A30849"/>
    <w:rsid w:val="53B43B75"/>
    <w:rsid w:val="53D31D87"/>
    <w:rsid w:val="53DE5743"/>
    <w:rsid w:val="53E329CC"/>
    <w:rsid w:val="53FA7313"/>
    <w:rsid w:val="54040192"/>
    <w:rsid w:val="545033D7"/>
    <w:rsid w:val="545C3887"/>
    <w:rsid w:val="545D78A2"/>
    <w:rsid w:val="549239F0"/>
    <w:rsid w:val="54AD6A7C"/>
    <w:rsid w:val="54BF6A11"/>
    <w:rsid w:val="54CF07A0"/>
    <w:rsid w:val="54FC282C"/>
    <w:rsid w:val="55006BAB"/>
    <w:rsid w:val="551C775D"/>
    <w:rsid w:val="553D7E00"/>
    <w:rsid w:val="55525CA4"/>
    <w:rsid w:val="55545149"/>
    <w:rsid w:val="5560418C"/>
    <w:rsid w:val="559957C1"/>
    <w:rsid w:val="559D0BD6"/>
    <w:rsid w:val="55CE055B"/>
    <w:rsid w:val="55D32512"/>
    <w:rsid w:val="56066ADE"/>
    <w:rsid w:val="56091A90"/>
    <w:rsid w:val="561B17C3"/>
    <w:rsid w:val="561F5757"/>
    <w:rsid w:val="562D159C"/>
    <w:rsid w:val="564A6822"/>
    <w:rsid w:val="56546D4A"/>
    <w:rsid w:val="56B22591"/>
    <w:rsid w:val="56D022B5"/>
    <w:rsid w:val="56F52014"/>
    <w:rsid w:val="571C70F4"/>
    <w:rsid w:val="57405985"/>
    <w:rsid w:val="574511ED"/>
    <w:rsid w:val="57511940"/>
    <w:rsid w:val="57742E61"/>
    <w:rsid w:val="57792C45"/>
    <w:rsid w:val="578F06BB"/>
    <w:rsid w:val="57A44166"/>
    <w:rsid w:val="57D85BBE"/>
    <w:rsid w:val="57D91936"/>
    <w:rsid w:val="57DC6353"/>
    <w:rsid w:val="57F80965"/>
    <w:rsid w:val="582C5F09"/>
    <w:rsid w:val="58507E4A"/>
    <w:rsid w:val="587353B9"/>
    <w:rsid w:val="587578B0"/>
    <w:rsid w:val="588763EC"/>
    <w:rsid w:val="589C0C1E"/>
    <w:rsid w:val="58AC2BA6"/>
    <w:rsid w:val="58B303D9"/>
    <w:rsid w:val="59101387"/>
    <w:rsid w:val="59106529"/>
    <w:rsid w:val="59367672"/>
    <w:rsid w:val="59453BD6"/>
    <w:rsid w:val="5960097C"/>
    <w:rsid w:val="59745DBA"/>
    <w:rsid w:val="597871B4"/>
    <w:rsid w:val="5987789B"/>
    <w:rsid w:val="599876AE"/>
    <w:rsid w:val="599C08D7"/>
    <w:rsid w:val="59B2243E"/>
    <w:rsid w:val="59FB5B93"/>
    <w:rsid w:val="5A1B6236"/>
    <w:rsid w:val="5A204D11"/>
    <w:rsid w:val="5A271555"/>
    <w:rsid w:val="5A6C38CF"/>
    <w:rsid w:val="5A8319A8"/>
    <w:rsid w:val="5A8453A2"/>
    <w:rsid w:val="5A9A35FE"/>
    <w:rsid w:val="5AA4622B"/>
    <w:rsid w:val="5AB04BD0"/>
    <w:rsid w:val="5ACD1013"/>
    <w:rsid w:val="5ACD7680"/>
    <w:rsid w:val="5AD563E4"/>
    <w:rsid w:val="5ADC3C17"/>
    <w:rsid w:val="5B040A3C"/>
    <w:rsid w:val="5B351579"/>
    <w:rsid w:val="5B383448"/>
    <w:rsid w:val="5B597015"/>
    <w:rsid w:val="5B5F2152"/>
    <w:rsid w:val="5B6B166F"/>
    <w:rsid w:val="5B9E711E"/>
    <w:rsid w:val="5BA30291"/>
    <w:rsid w:val="5BB85C75"/>
    <w:rsid w:val="5BBA55DA"/>
    <w:rsid w:val="5BBB7CD0"/>
    <w:rsid w:val="5BBF7D40"/>
    <w:rsid w:val="5BF46D3E"/>
    <w:rsid w:val="5C062BE6"/>
    <w:rsid w:val="5C1271C4"/>
    <w:rsid w:val="5C272C70"/>
    <w:rsid w:val="5C657C3C"/>
    <w:rsid w:val="5C95407D"/>
    <w:rsid w:val="5CBF10FA"/>
    <w:rsid w:val="5D0E5BDE"/>
    <w:rsid w:val="5D1551BE"/>
    <w:rsid w:val="5D494E68"/>
    <w:rsid w:val="5D504448"/>
    <w:rsid w:val="5D7111F5"/>
    <w:rsid w:val="5D7E0FB5"/>
    <w:rsid w:val="5DAD36A2"/>
    <w:rsid w:val="5DD010E5"/>
    <w:rsid w:val="5DD9443E"/>
    <w:rsid w:val="5DDE7CA6"/>
    <w:rsid w:val="5E033269"/>
    <w:rsid w:val="5E1216FE"/>
    <w:rsid w:val="5E2145D5"/>
    <w:rsid w:val="5E2532E6"/>
    <w:rsid w:val="5E624433"/>
    <w:rsid w:val="5E647C88"/>
    <w:rsid w:val="5E662E3D"/>
    <w:rsid w:val="5E736B32"/>
    <w:rsid w:val="5EA762EA"/>
    <w:rsid w:val="5EA8689A"/>
    <w:rsid w:val="5EB033F0"/>
    <w:rsid w:val="5ED668DC"/>
    <w:rsid w:val="5EFA0B0F"/>
    <w:rsid w:val="5F3670FF"/>
    <w:rsid w:val="5F3C14E7"/>
    <w:rsid w:val="5F3C2ED6"/>
    <w:rsid w:val="5F43646F"/>
    <w:rsid w:val="5F531FCE"/>
    <w:rsid w:val="5F796DF2"/>
    <w:rsid w:val="5F830B05"/>
    <w:rsid w:val="5F8C7892"/>
    <w:rsid w:val="5F926F9A"/>
    <w:rsid w:val="5FA0070D"/>
    <w:rsid w:val="5FA7456C"/>
    <w:rsid w:val="5FA75A77"/>
    <w:rsid w:val="5FAD7C21"/>
    <w:rsid w:val="5FCB425A"/>
    <w:rsid w:val="5FDC0215"/>
    <w:rsid w:val="5FE64BF0"/>
    <w:rsid w:val="60057024"/>
    <w:rsid w:val="60235E44"/>
    <w:rsid w:val="603142B4"/>
    <w:rsid w:val="606A75CF"/>
    <w:rsid w:val="60A71ADB"/>
    <w:rsid w:val="60C969EB"/>
    <w:rsid w:val="60D27197"/>
    <w:rsid w:val="60F26B13"/>
    <w:rsid w:val="60FE7C06"/>
    <w:rsid w:val="61137C66"/>
    <w:rsid w:val="61281925"/>
    <w:rsid w:val="612C6DB7"/>
    <w:rsid w:val="615763BF"/>
    <w:rsid w:val="618A0B45"/>
    <w:rsid w:val="61A60ADB"/>
    <w:rsid w:val="61CB0541"/>
    <w:rsid w:val="61DB4C28"/>
    <w:rsid w:val="61E56882"/>
    <w:rsid w:val="61F1160C"/>
    <w:rsid w:val="622540F5"/>
    <w:rsid w:val="622A5268"/>
    <w:rsid w:val="62443927"/>
    <w:rsid w:val="6263240A"/>
    <w:rsid w:val="626764BC"/>
    <w:rsid w:val="62726C0F"/>
    <w:rsid w:val="6296758D"/>
    <w:rsid w:val="62A852DD"/>
    <w:rsid w:val="62AA720C"/>
    <w:rsid w:val="62AF1C11"/>
    <w:rsid w:val="62BF00A6"/>
    <w:rsid w:val="62C76F5B"/>
    <w:rsid w:val="62CD2097"/>
    <w:rsid w:val="62DA64E4"/>
    <w:rsid w:val="62F34051"/>
    <w:rsid w:val="62F83A45"/>
    <w:rsid w:val="62FC1D6B"/>
    <w:rsid w:val="6300246C"/>
    <w:rsid w:val="63141A74"/>
    <w:rsid w:val="63646678"/>
    <w:rsid w:val="636724EC"/>
    <w:rsid w:val="636C365E"/>
    <w:rsid w:val="638C3D00"/>
    <w:rsid w:val="63952BB5"/>
    <w:rsid w:val="63C67212"/>
    <w:rsid w:val="63D538F9"/>
    <w:rsid w:val="63E21F44"/>
    <w:rsid w:val="64121A53"/>
    <w:rsid w:val="641E766A"/>
    <w:rsid w:val="644833A9"/>
    <w:rsid w:val="644F7B8E"/>
    <w:rsid w:val="64836EB1"/>
    <w:rsid w:val="64850E7B"/>
    <w:rsid w:val="64C37BF6"/>
    <w:rsid w:val="64E75692"/>
    <w:rsid w:val="64ED7F25"/>
    <w:rsid w:val="64F4744C"/>
    <w:rsid w:val="65075D34"/>
    <w:rsid w:val="652C579B"/>
    <w:rsid w:val="6535516E"/>
    <w:rsid w:val="653C50AB"/>
    <w:rsid w:val="65534AD5"/>
    <w:rsid w:val="65644F35"/>
    <w:rsid w:val="65744A4C"/>
    <w:rsid w:val="658253BB"/>
    <w:rsid w:val="658B078D"/>
    <w:rsid w:val="65A74E21"/>
    <w:rsid w:val="65D379C4"/>
    <w:rsid w:val="65DC0F6F"/>
    <w:rsid w:val="65E46529"/>
    <w:rsid w:val="65F52031"/>
    <w:rsid w:val="660364FC"/>
    <w:rsid w:val="66112985"/>
    <w:rsid w:val="66195D1F"/>
    <w:rsid w:val="66352F1F"/>
    <w:rsid w:val="664663E8"/>
    <w:rsid w:val="6654401A"/>
    <w:rsid w:val="666920D7"/>
    <w:rsid w:val="66744BDE"/>
    <w:rsid w:val="66846F11"/>
    <w:rsid w:val="66871EA3"/>
    <w:rsid w:val="66AA6977"/>
    <w:rsid w:val="66D165D2"/>
    <w:rsid w:val="671539F5"/>
    <w:rsid w:val="67193AFD"/>
    <w:rsid w:val="67395F4D"/>
    <w:rsid w:val="67A26387"/>
    <w:rsid w:val="67AB690A"/>
    <w:rsid w:val="67C20E30"/>
    <w:rsid w:val="67C46EE5"/>
    <w:rsid w:val="67D85766"/>
    <w:rsid w:val="67DB403A"/>
    <w:rsid w:val="68055F4C"/>
    <w:rsid w:val="68057AA9"/>
    <w:rsid w:val="6818150B"/>
    <w:rsid w:val="68442EF0"/>
    <w:rsid w:val="684B5F38"/>
    <w:rsid w:val="688A022F"/>
    <w:rsid w:val="68C2261D"/>
    <w:rsid w:val="68EA5751"/>
    <w:rsid w:val="690B02EE"/>
    <w:rsid w:val="69272501"/>
    <w:rsid w:val="69431305"/>
    <w:rsid w:val="69855479"/>
    <w:rsid w:val="699B4C9D"/>
    <w:rsid w:val="69B12FFE"/>
    <w:rsid w:val="69C26753"/>
    <w:rsid w:val="69E14DA6"/>
    <w:rsid w:val="69F525FF"/>
    <w:rsid w:val="69F864CC"/>
    <w:rsid w:val="6A1360A0"/>
    <w:rsid w:val="6A1A0092"/>
    <w:rsid w:val="6A260884"/>
    <w:rsid w:val="6A507835"/>
    <w:rsid w:val="6A6631B8"/>
    <w:rsid w:val="6A70612A"/>
    <w:rsid w:val="6A773014"/>
    <w:rsid w:val="6A7C062B"/>
    <w:rsid w:val="6A877238"/>
    <w:rsid w:val="6A95793E"/>
    <w:rsid w:val="6AA778F8"/>
    <w:rsid w:val="6AB51D8E"/>
    <w:rsid w:val="6ABA1153"/>
    <w:rsid w:val="6ACD4FC1"/>
    <w:rsid w:val="6AD04302"/>
    <w:rsid w:val="6B146AB5"/>
    <w:rsid w:val="6B163FCD"/>
    <w:rsid w:val="6B8237AB"/>
    <w:rsid w:val="6B8C2AEF"/>
    <w:rsid w:val="6BAA0E8B"/>
    <w:rsid w:val="6BAB3E9E"/>
    <w:rsid w:val="6BBB1626"/>
    <w:rsid w:val="6BC26511"/>
    <w:rsid w:val="6BE02E3B"/>
    <w:rsid w:val="6BFD01D8"/>
    <w:rsid w:val="6C2169EF"/>
    <w:rsid w:val="6C245DE1"/>
    <w:rsid w:val="6C2947E2"/>
    <w:rsid w:val="6C303DC2"/>
    <w:rsid w:val="6C3D1C31"/>
    <w:rsid w:val="6C455FEF"/>
    <w:rsid w:val="6C5F4D83"/>
    <w:rsid w:val="6C6E48EB"/>
    <w:rsid w:val="6C8C7A1A"/>
    <w:rsid w:val="6CFA1CDB"/>
    <w:rsid w:val="6D3451EC"/>
    <w:rsid w:val="6D3F05F3"/>
    <w:rsid w:val="6D560EAF"/>
    <w:rsid w:val="6D5C4743"/>
    <w:rsid w:val="6D604F27"/>
    <w:rsid w:val="6D7872BE"/>
    <w:rsid w:val="6DAC1227"/>
    <w:rsid w:val="6DCE3893"/>
    <w:rsid w:val="6DE8556D"/>
    <w:rsid w:val="6DF57072"/>
    <w:rsid w:val="6E11406C"/>
    <w:rsid w:val="6E151448"/>
    <w:rsid w:val="6E3851B0"/>
    <w:rsid w:val="6E3A0F28"/>
    <w:rsid w:val="6E667195"/>
    <w:rsid w:val="6E730CC4"/>
    <w:rsid w:val="6E781A51"/>
    <w:rsid w:val="6E7D1650"/>
    <w:rsid w:val="6E815015"/>
    <w:rsid w:val="6EAE0FCF"/>
    <w:rsid w:val="6EB80735"/>
    <w:rsid w:val="6EC4144C"/>
    <w:rsid w:val="6EC95E08"/>
    <w:rsid w:val="6EF410D7"/>
    <w:rsid w:val="6F072A92"/>
    <w:rsid w:val="6F1B0286"/>
    <w:rsid w:val="6F4D3531"/>
    <w:rsid w:val="6F571EE4"/>
    <w:rsid w:val="6F6C5073"/>
    <w:rsid w:val="6F743FC6"/>
    <w:rsid w:val="6F7C10CD"/>
    <w:rsid w:val="6FB70357"/>
    <w:rsid w:val="702B51F4"/>
    <w:rsid w:val="702C6118"/>
    <w:rsid w:val="706A53C9"/>
    <w:rsid w:val="707C1572"/>
    <w:rsid w:val="707F70C6"/>
    <w:rsid w:val="70866D14"/>
    <w:rsid w:val="70C1148D"/>
    <w:rsid w:val="7105445C"/>
    <w:rsid w:val="71080E6A"/>
    <w:rsid w:val="711C24DA"/>
    <w:rsid w:val="713F0604"/>
    <w:rsid w:val="71520337"/>
    <w:rsid w:val="717E112C"/>
    <w:rsid w:val="71940C37"/>
    <w:rsid w:val="71A14E1B"/>
    <w:rsid w:val="71A212BE"/>
    <w:rsid w:val="71B903B6"/>
    <w:rsid w:val="71BA7C8A"/>
    <w:rsid w:val="71E644D0"/>
    <w:rsid w:val="72054E52"/>
    <w:rsid w:val="7224305C"/>
    <w:rsid w:val="72372309"/>
    <w:rsid w:val="723B0DCB"/>
    <w:rsid w:val="72404633"/>
    <w:rsid w:val="72554F0C"/>
    <w:rsid w:val="72A526E9"/>
    <w:rsid w:val="72AD0E60"/>
    <w:rsid w:val="72AF1B77"/>
    <w:rsid w:val="72B821FC"/>
    <w:rsid w:val="72C76B03"/>
    <w:rsid w:val="72D651FD"/>
    <w:rsid w:val="72DD1906"/>
    <w:rsid w:val="72E256EB"/>
    <w:rsid w:val="72E923EA"/>
    <w:rsid w:val="72F91763"/>
    <w:rsid w:val="73027B3B"/>
    <w:rsid w:val="73124222"/>
    <w:rsid w:val="73165394"/>
    <w:rsid w:val="733A5527"/>
    <w:rsid w:val="735040D2"/>
    <w:rsid w:val="73506AF8"/>
    <w:rsid w:val="73814580"/>
    <w:rsid w:val="73AD7AA7"/>
    <w:rsid w:val="73B13A3B"/>
    <w:rsid w:val="73D541D6"/>
    <w:rsid w:val="73DC65DE"/>
    <w:rsid w:val="73FD152F"/>
    <w:rsid w:val="73FE47A6"/>
    <w:rsid w:val="74132B02"/>
    <w:rsid w:val="743B5D19"/>
    <w:rsid w:val="746B4DE1"/>
    <w:rsid w:val="748B1959"/>
    <w:rsid w:val="74980757"/>
    <w:rsid w:val="74A94712"/>
    <w:rsid w:val="74CB28DA"/>
    <w:rsid w:val="74E474F8"/>
    <w:rsid w:val="74E55980"/>
    <w:rsid w:val="74F55BA9"/>
    <w:rsid w:val="75060B92"/>
    <w:rsid w:val="750A2CD7"/>
    <w:rsid w:val="75151DA7"/>
    <w:rsid w:val="7519750B"/>
    <w:rsid w:val="751C3136"/>
    <w:rsid w:val="751F2C26"/>
    <w:rsid w:val="75297059"/>
    <w:rsid w:val="7533222E"/>
    <w:rsid w:val="754506F8"/>
    <w:rsid w:val="75546CD2"/>
    <w:rsid w:val="7577036C"/>
    <w:rsid w:val="75842A89"/>
    <w:rsid w:val="75880FCC"/>
    <w:rsid w:val="75952EE8"/>
    <w:rsid w:val="75A650F5"/>
    <w:rsid w:val="75DB4288"/>
    <w:rsid w:val="762865F3"/>
    <w:rsid w:val="76297DEC"/>
    <w:rsid w:val="763B75EC"/>
    <w:rsid w:val="76427692"/>
    <w:rsid w:val="7646538C"/>
    <w:rsid w:val="764E21C9"/>
    <w:rsid w:val="76531987"/>
    <w:rsid w:val="76763C9B"/>
    <w:rsid w:val="76880357"/>
    <w:rsid w:val="76AA190D"/>
    <w:rsid w:val="76B0665F"/>
    <w:rsid w:val="76B92C06"/>
    <w:rsid w:val="76B94B5B"/>
    <w:rsid w:val="76BD0317"/>
    <w:rsid w:val="76C27D0D"/>
    <w:rsid w:val="76D57A40"/>
    <w:rsid w:val="76E47C83"/>
    <w:rsid w:val="771B10EA"/>
    <w:rsid w:val="77381D7D"/>
    <w:rsid w:val="77512E3F"/>
    <w:rsid w:val="775E11DE"/>
    <w:rsid w:val="778803B6"/>
    <w:rsid w:val="77924BEB"/>
    <w:rsid w:val="77B57CE6"/>
    <w:rsid w:val="77CB2BF1"/>
    <w:rsid w:val="77DA2E34"/>
    <w:rsid w:val="77E048EF"/>
    <w:rsid w:val="77E45A61"/>
    <w:rsid w:val="77FC0F3E"/>
    <w:rsid w:val="78085BF3"/>
    <w:rsid w:val="78111AD0"/>
    <w:rsid w:val="783B7D77"/>
    <w:rsid w:val="784F2557"/>
    <w:rsid w:val="78654DE1"/>
    <w:rsid w:val="78665094"/>
    <w:rsid w:val="78874D6A"/>
    <w:rsid w:val="78B35B5F"/>
    <w:rsid w:val="78C57641"/>
    <w:rsid w:val="78CC756A"/>
    <w:rsid w:val="78E24DCB"/>
    <w:rsid w:val="78F849C2"/>
    <w:rsid w:val="78FC310E"/>
    <w:rsid w:val="79045E32"/>
    <w:rsid w:val="79294073"/>
    <w:rsid w:val="792A0134"/>
    <w:rsid w:val="79701CA2"/>
    <w:rsid w:val="79725A1A"/>
    <w:rsid w:val="79773031"/>
    <w:rsid w:val="797C0A9B"/>
    <w:rsid w:val="797D2099"/>
    <w:rsid w:val="79AD6A52"/>
    <w:rsid w:val="79AE1324"/>
    <w:rsid w:val="79C478F8"/>
    <w:rsid w:val="79C73545"/>
    <w:rsid w:val="79CD432C"/>
    <w:rsid w:val="79E42B8D"/>
    <w:rsid w:val="79E57CFB"/>
    <w:rsid w:val="7A0B3779"/>
    <w:rsid w:val="7A3E76AA"/>
    <w:rsid w:val="7A5E5F9F"/>
    <w:rsid w:val="7A7B13B1"/>
    <w:rsid w:val="7A7F32C6"/>
    <w:rsid w:val="7A831561"/>
    <w:rsid w:val="7A8F6158"/>
    <w:rsid w:val="7AAC4F5C"/>
    <w:rsid w:val="7ABB0CFB"/>
    <w:rsid w:val="7AEF309B"/>
    <w:rsid w:val="7AEF6BF7"/>
    <w:rsid w:val="7AF4420D"/>
    <w:rsid w:val="7B073F40"/>
    <w:rsid w:val="7B1053D6"/>
    <w:rsid w:val="7B2B1E08"/>
    <w:rsid w:val="7B56326B"/>
    <w:rsid w:val="7B592AEB"/>
    <w:rsid w:val="7B5C2E58"/>
    <w:rsid w:val="7B5D0004"/>
    <w:rsid w:val="7B7563D6"/>
    <w:rsid w:val="7B7D06A6"/>
    <w:rsid w:val="7B931C78"/>
    <w:rsid w:val="7B9854E0"/>
    <w:rsid w:val="7BB10350"/>
    <w:rsid w:val="7BB33D4C"/>
    <w:rsid w:val="7BBA2624"/>
    <w:rsid w:val="7BD06A28"/>
    <w:rsid w:val="7BF00D90"/>
    <w:rsid w:val="7C142DB9"/>
    <w:rsid w:val="7C1639FF"/>
    <w:rsid w:val="7C2C400E"/>
    <w:rsid w:val="7C3A6A8B"/>
    <w:rsid w:val="7C661068"/>
    <w:rsid w:val="7C720C48"/>
    <w:rsid w:val="7CCF49B2"/>
    <w:rsid w:val="7CF404F4"/>
    <w:rsid w:val="7CF43450"/>
    <w:rsid w:val="7D07647A"/>
    <w:rsid w:val="7D1144BC"/>
    <w:rsid w:val="7D20217D"/>
    <w:rsid w:val="7D2F59D0"/>
    <w:rsid w:val="7D311748"/>
    <w:rsid w:val="7D422505"/>
    <w:rsid w:val="7D7D498E"/>
    <w:rsid w:val="7D93181C"/>
    <w:rsid w:val="7D9E69C0"/>
    <w:rsid w:val="7DE1316F"/>
    <w:rsid w:val="7DE20C95"/>
    <w:rsid w:val="7DF03702"/>
    <w:rsid w:val="7E0B3D48"/>
    <w:rsid w:val="7E1075B0"/>
    <w:rsid w:val="7E2C4AFF"/>
    <w:rsid w:val="7E3A462D"/>
    <w:rsid w:val="7ECD75C7"/>
    <w:rsid w:val="7EDC5DF3"/>
    <w:rsid w:val="7EF02F3D"/>
    <w:rsid w:val="7F1B6380"/>
    <w:rsid w:val="7F21759B"/>
    <w:rsid w:val="7F26481D"/>
    <w:rsid w:val="7F460DAF"/>
    <w:rsid w:val="7F631C00"/>
    <w:rsid w:val="7F761695"/>
    <w:rsid w:val="7F7B569D"/>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nhideWhenUsed="0" w:uiPriority="39" w:semiHidden="0" w:name="toc 5"/>
    <w:lsdException w:qFormat="1" w:uiPriority="39" w:semiHidden="0" w:name="toc 6"/>
    <w:lsdException w:qFormat="1" w:uiPriority="39" w:semiHidden="0" w:name="toc 7"/>
    <w:lsdException w:uiPriority="39" w:semiHidden="0" w:name="toc 8"/>
    <w:lsdException w:uiPriority="39" w:semiHidden="0" w:name="toc 9"/>
    <w:lsdException w:unhideWhenUsed="0" w:uiPriority="0" w:semiHidden="0" w:name="Normal Indent"/>
    <w:lsdException w:unhideWhenUsed="0" w:uiPriority="99" w:semiHidden="0" w:name="footnote text"/>
    <w:lsdException w:unhideWhenUsed="0" w:uiPriority="0" w:name="annotation text"/>
    <w:lsdException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2"/>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88"/>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4"/>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6">
    <w:name w:val="heading 5"/>
    <w:basedOn w:val="1"/>
    <w:next w:val="1"/>
    <w:link w:val="65"/>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6"/>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67"/>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68"/>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69"/>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48">
    <w:name w:val="Default Paragraph Font"/>
    <w:semiHidden/>
    <w:uiPriority w:val="0"/>
  </w:style>
  <w:style w:type="table" w:default="1" w:styleId="4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rFonts w:ascii="Calibri" w:hAnsi="Calibri"/>
      <w:sz w:val="18"/>
      <w:szCs w:val="18"/>
    </w:rPr>
  </w:style>
  <w:style w:type="paragraph" w:styleId="12">
    <w:name w:val="Normal Indent"/>
    <w:basedOn w:val="1"/>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0"/>
    <w:semiHidden/>
    <w:qFormat/>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1"/>
    <w:semiHidden/>
    <w:uiPriority w:val="0"/>
    <w:pPr>
      <w:jc w:val="left"/>
    </w:pPr>
  </w:style>
  <w:style w:type="paragraph" w:styleId="17">
    <w:name w:val="Body Text 3"/>
    <w:basedOn w:val="1"/>
    <w:link w:val="72"/>
    <w:uiPriority w:val="0"/>
    <w:pPr>
      <w:spacing w:after="120" w:afterLines="0"/>
    </w:pPr>
    <w:rPr>
      <w:sz w:val="16"/>
      <w:szCs w:val="16"/>
    </w:rPr>
  </w:style>
  <w:style w:type="paragraph" w:styleId="18">
    <w:name w:val="Body Text"/>
    <w:basedOn w:val="1"/>
    <w:next w:val="1"/>
    <w:link w:val="73"/>
    <w:uiPriority w:val="0"/>
    <w:rPr>
      <w:rFonts w:eastAsia="黑体"/>
      <w:sz w:val="36"/>
    </w:rPr>
  </w:style>
  <w:style w:type="paragraph" w:styleId="19">
    <w:name w:val="Body Text Indent"/>
    <w:basedOn w:val="1"/>
    <w:link w:val="74"/>
    <w:qFormat/>
    <w:uiPriority w:val="0"/>
    <w:pPr>
      <w:spacing w:after="120" w:afterLines="0"/>
      <w:ind w:left="420" w:leftChars="200"/>
    </w:pPr>
  </w:style>
  <w:style w:type="paragraph" w:styleId="20">
    <w:name w:val="Block Text"/>
    <w:basedOn w:val="1"/>
    <w:qFormat/>
    <w:uiPriority w:val="0"/>
    <w:pPr>
      <w:spacing w:after="120" w:afterLines="0"/>
      <w:ind w:left="1440" w:leftChars="700" w:right="1440" w:rightChars="700"/>
    </w:pPr>
  </w:style>
  <w:style w:type="paragraph" w:styleId="21">
    <w:name w:val="List Bullet 2"/>
    <w:basedOn w:val="1"/>
    <w:uiPriority w:val="0"/>
    <w:pPr>
      <w:numPr>
        <w:ilvl w:val="0"/>
        <w:numId w:val="1"/>
      </w:numPr>
    </w:pPr>
  </w:style>
  <w:style w:type="paragraph" w:styleId="22">
    <w:name w:val="toc 5"/>
    <w:basedOn w:val="1"/>
    <w:next w:val="1"/>
    <w:uiPriority w:val="39"/>
    <w:pPr>
      <w:ind w:left="840"/>
      <w:jc w:val="left"/>
    </w:pPr>
    <w:rPr>
      <w:rFonts w:ascii="Calibri" w:hAnsi="Calibri"/>
      <w:sz w:val="18"/>
      <w:szCs w:val="18"/>
    </w:rPr>
  </w:style>
  <w:style w:type="paragraph" w:styleId="23">
    <w:name w:val="toc 3"/>
    <w:basedOn w:val="1"/>
    <w:next w:val="1"/>
    <w:qFormat/>
    <w:uiPriority w:val="39"/>
    <w:pPr>
      <w:ind w:left="420"/>
      <w:jc w:val="left"/>
    </w:pPr>
    <w:rPr>
      <w:rFonts w:ascii="Calibri" w:hAnsi="Calibri"/>
      <w:i/>
      <w:iCs/>
      <w:sz w:val="20"/>
      <w:szCs w:val="20"/>
    </w:rPr>
  </w:style>
  <w:style w:type="paragraph" w:styleId="24">
    <w:name w:val="Plain Text"/>
    <w:basedOn w:val="1"/>
    <w:link w:val="75"/>
    <w:qFormat/>
    <w:uiPriority w:val="0"/>
    <w:rPr>
      <w:rFonts w:ascii="宋体" w:hAnsi="Courier New"/>
      <w:szCs w:val="21"/>
    </w:rPr>
  </w:style>
  <w:style w:type="paragraph" w:styleId="25">
    <w:name w:val="toc 8"/>
    <w:basedOn w:val="1"/>
    <w:next w:val="1"/>
    <w:unhideWhenUsed/>
    <w:uiPriority w:val="39"/>
    <w:pPr>
      <w:ind w:left="1470"/>
      <w:jc w:val="left"/>
    </w:pPr>
    <w:rPr>
      <w:rFonts w:ascii="Calibri" w:hAnsi="Calibri"/>
      <w:sz w:val="18"/>
      <w:szCs w:val="18"/>
    </w:rPr>
  </w:style>
  <w:style w:type="paragraph" w:styleId="26">
    <w:name w:val="Date"/>
    <w:basedOn w:val="1"/>
    <w:next w:val="1"/>
    <w:link w:val="76"/>
    <w:qFormat/>
    <w:uiPriority w:val="0"/>
    <w:pPr>
      <w:adjustRightInd w:val="0"/>
      <w:spacing w:line="360" w:lineRule="atLeast"/>
    </w:pPr>
    <w:rPr>
      <w:rFonts w:ascii="宋体"/>
      <w:kern w:val="0"/>
      <w:sz w:val="24"/>
      <w:szCs w:val="20"/>
    </w:rPr>
  </w:style>
  <w:style w:type="paragraph" w:styleId="27">
    <w:name w:val="Body Text Indent 2"/>
    <w:basedOn w:val="1"/>
    <w:link w:val="77"/>
    <w:qFormat/>
    <w:uiPriority w:val="0"/>
    <w:pPr>
      <w:spacing w:after="120" w:afterLines="0" w:line="480" w:lineRule="auto"/>
      <w:ind w:left="420" w:leftChars="200"/>
    </w:pPr>
  </w:style>
  <w:style w:type="paragraph" w:styleId="28">
    <w:name w:val="endnote text"/>
    <w:basedOn w:val="1"/>
    <w:link w:val="78"/>
    <w:qFormat/>
    <w:uiPriority w:val="0"/>
    <w:pPr>
      <w:snapToGrid w:val="0"/>
      <w:jc w:val="left"/>
    </w:pPr>
  </w:style>
  <w:style w:type="paragraph" w:styleId="29">
    <w:name w:val="Balloon Text"/>
    <w:basedOn w:val="1"/>
    <w:link w:val="79"/>
    <w:semiHidden/>
    <w:qFormat/>
    <w:uiPriority w:val="0"/>
    <w:rPr>
      <w:sz w:val="18"/>
      <w:szCs w:val="18"/>
    </w:rPr>
  </w:style>
  <w:style w:type="paragraph" w:styleId="30">
    <w:name w:val="footer"/>
    <w:basedOn w:val="1"/>
    <w:link w:val="80"/>
    <w:unhideWhenUsed/>
    <w:qFormat/>
    <w:uiPriority w:val="99"/>
    <w:pPr>
      <w:tabs>
        <w:tab w:val="center" w:pos="4153"/>
        <w:tab w:val="right" w:pos="8306"/>
      </w:tabs>
      <w:snapToGrid w:val="0"/>
      <w:jc w:val="left"/>
    </w:pPr>
    <w:rPr>
      <w:kern w:val="0"/>
      <w:sz w:val="18"/>
      <w:szCs w:val="18"/>
    </w:rPr>
  </w:style>
  <w:style w:type="paragraph" w:styleId="31">
    <w:name w:val="header"/>
    <w:basedOn w:val="1"/>
    <w:link w:val="81"/>
    <w:unhideWhenUsed/>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qFormat/>
    <w:uiPriority w:val="39"/>
    <w:pPr>
      <w:spacing w:before="120" w:after="120"/>
      <w:jc w:val="left"/>
    </w:pPr>
    <w:rPr>
      <w:rFonts w:ascii="Calibri" w:hAnsi="Calibri"/>
      <w:b/>
      <w:bCs/>
      <w:caps/>
      <w:sz w:val="20"/>
      <w:szCs w:val="20"/>
    </w:rPr>
  </w:style>
  <w:style w:type="paragraph" w:styleId="33">
    <w:name w:val="toc 4"/>
    <w:basedOn w:val="1"/>
    <w:next w:val="1"/>
    <w:uiPriority w:val="39"/>
    <w:pPr>
      <w:ind w:left="630"/>
      <w:jc w:val="left"/>
    </w:pPr>
    <w:rPr>
      <w:rFonts w:ascii="Calibri" w:hAnsi="Calibri"/>
      <w:sz w:val="18"/>
      <w:szCs w:val="18"/>
    </w:rPr>
  </w:style>
  <w:style w:type="paragraph" w:styleId="34">
    <w:name w:val="List"/>
    <w:basedOn w:val="1"/>
    <w:uiPriority w:val="0"/>
    <w:pPr>
      <w:adjustRightInd w:val="0"/>
      <w:spacing w:line="360" w:lineRule="atLeast"/>
      <w:ind w:left="420" w:hanging="420"/>
      <w:jc w:val="left"/>
    </w:pPr>
    <w:rPr>
      <w:rFonts w:hint="eastAsia" w:ascii="宋体"/>
      <w:kern w:val="0"/>
      <w:sz w:val="24"/>
      <w:szCs w:val="20"/>
    </w:rPr>
  </w:style>
  <w:style w:type="paragraph" w:styleId="35">
    <w:name w:val="footnote text"/>
    <w:basedOn w:val="1"/>
    <w:link w:val="82"/>
    <w:uiPriority w:val="99"/>
    <w:pPr>
      <w:snapToGrid w:val="0"/>
      <w:jc w:val="left"/>
    </w:pPr>
    <w:rPr>
      <w:sz w:val="18"/>
      <w:szCs w:val="18"/>
    </w:rPr>
  </w:style>
  <w:style w:type="paragraph" w:styleId="36">
    <w:name w:val="toc 6"/>
    <w:basedOn w:val="1"/>
    <w:next w:val="1"/>
    <w:unhideWhenUsed/>
    <w:qFormat/>
    <w:uiPriority w:val="39"/>
    <w:pPr>
      <w:ind w:left="1050"/>
      <w:jc w:val="left"/>
    </w:pPr>
    <w:rPr>
      <w:rFonts w:ascii="Calibri" w:hAnsi="Calibri"/>
      <w:sz w:val="18"/>
      <w:szCs w:val="18"/>
    </w:rPr>
  </w:style>
  <w:style w:type="paragraph" w:styleId="37">
    <w:name w:val="Body Text Indent 3"/>
    <w:basedOn w:val="1"/>
    <w:link w:val="83"/>
    <w:qFormat/>
    <w:uiPriority w:val="0"/>
    <w:pPr>
      <w:spacing w:after="120" w:afterLines="0"/>
      <w:ind w:left="420" w:leftChars="200"/>
    </w:pPr>
    <w:rPr>
      <w:sz w:val="16"/>
      <w:szCs w:val="16"/>
    </w:rPr>
  </w:style>
  <w:style w:type="paragraph" w:styleId="38">
    <w:name w:val="toc 2"/>
    <w:basedOn w:val="1"/>
    <w:next w:val="1"/>
    <w:qFormat/>
    <w:uiPriority w:val="39"/>
    <w:pPr>
      <w:ind w:left="210"/>
      <w:jc w:val="left"/>
    </w:pPr>
    <w:rPr>
      <w:rFonts w:ascii="Calibri" w:hAnsi="Calibri"/>
      <w:smallCaps/>
      <w:sz w:val="20"/>
      <w:szCs w:val="20"/>
    </w:rPr>
  </w:style>
  <w:style w:type="paragraph" w:styleId="39">
    <w:name w:val="toc 9"/>
    <w:basedOn w:val="1"/>
    <w:next w:val="1"/>
    <w:unhideWhenUsed/>
    <w:uiPriority w:val="39"/>
    <w:pPr>
      <w:ind w:left="1680"/>
      <w:jc w:val="left"/>
    </w:pPr>
    <w:rPr>
      <w:rFonts w:ascii="Calibri" w:hAnsi="Calibri"/>
      <w:sz w:val="18"/>
      <w:szCs w:val="18"/>
    </w:rPr>
  </w:style>
  <w:style w:type="paragraph" w:styleId="40">
    <w:name w:val="Body Text 2"/>
    <w:basedOn w:val="1"/>
    <w:link w:val="84"/>
    <w:uiPriority w:val="0"/>
    <w:pPr>
      <w:jc w:val="center"/>
    </w:pPr>
    <w:rPr>
      <w:rFonts w:eastAsia="黑体"/>
      <w:bCs/>
      <w:sz w:val="72"/>
    </w:rPr>
  </w:style>
  <w:style w:type="paragraph" w:styleId="41">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2">
    <w:name w:val="index 1"/>
    <w:basedOn w:val="1"/>
    <w:next w:val="1"/>
    <w:semiHidden/>
    <w:qFormat/>
    <w:uiPriority w:val="0"/>
    <w:pPr>
      <w:spacing w:line="220" w:lineRule="exact"/>
      <w:jc w:val="center"/>
    </w:pPr>
    <w:rPr>
      <w:rFonts w:ascii="仿宋_GB2312" w:eastAsia="仿宋_GB2312"/>
      <w:szCs w:val="21"/>
    </w:rPr>
  </w:style>
  <w:style w:type="paragraph" w:styleId="43">
    <w:name w:val="Title"/>
    <w:basedOn w:val="1"/>
    <w:link w:val="85"/>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4">
    <w:name w:val="annotation subject"/>
    <w:basedOn w:val="16"/>
    <w:next w:val="16"/>
    <w:link w:val="86"/>
    <w:semiHidden/>
    <w:uiPriority w:val="0"/>
    <w:rPr>
      <w:b/>
      <w:bCs/>
    </w:rPr>
  </w:style>
  <w:style w:type="paragraph" w:styleId="45">
    <w:name w:val="Body Text First Indent"/>
    <w:basedOn w:val="18"/>
    <w:link w:val="87"/>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table" w:styleId="47">
    <w:name w:val="Table Grid"/>
    <w:basedOn w:val="4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endnote reference"/>
    <w:qFormat/>
    <w:uiPriority w:val="0"/>
    <w:rPr>
      <w:vertAlign w:val="superscript"/>
    </w:rPr>
  </w:style>
  <w:style w:type="character" w:styleId="51">
    <w:name w:val="page number"/>
    <w:uiPriority w:val="0"/>
  </w:style>
  <w:style w:type="character" w:styleId="52">
    <w:name w:val="FollowedHyperlink"/>
    <w:uiPriority w:val="0"/>
    <w:rPr>
      <w:color w:val="333333"/>
      <w:u w:val="none"/>
    </w:rPr>
  </w:style>
  <w:style w:type="character" w:styleId="53">
    <w:name w:val="HTML Definition"/>
    <w:uiPriority w:val="0"/>
    <w:rPr>
      <w:i/>
      <w:iCs/>
    </w:rPr>
  </w:style>
  <w:style w:type="character" w:styleId="54">
    <w:name w:val="HTML Acronym"/>
    <w:uiPriority w:val="0"/>
    <w:rPr>
      <w:color w:val="222E3A"/>
      <w:sz w:val="25"/>
      <w:szCs w:val="25"/>
    </w:rPr>
  </w:style>
  <w:style w:type="character" w:styleId="55">
    <w:name w:val="Hyperlink"/>
    <w:qFormat/>
    <w:uiPriority w:val="99"/>
    <w:rPr>
      <w:color w:val="333333"/>
      <w:u w:val="none"/>
    </w:rPr>
  </w:style>
  <w:style w:type="character" w:styleId="56">
    <w:name w:val="HTML Code"/>
    <w:uiPriority w:val="0"/>
    <w:rPr>
      <w:rFonts w:hint="default" w:ascii="monospace" w:hAnsi="monospace" w:eastAsia="monospace" w:cs="monospace"/>
      <w:sz w:val="21"/>
      <w:szCs w:val="21"/>
    </w:rPr>
  </w:style>
  <w:style w:type="character" w:styleId="57">
    <w:name w:val="annotation reference"/>
    <w:uiPriority w:val="0"/>
    <w:rPr>
      <w:sz w:val="21"/>
      <w:szCs w:val="21"/>
    </w:rPr>
  </w:style>
  <w:style w:type="character" w:styleId="58">
    <w:name w:val="footnote reference"/>
    <w:uiPriority w:val="99"/>
    <w:rPr>
      <w:vertAlign w:val="superscript"/>
    </w:rPr>
  </w:style>
  <w:style w:type="character" w:styleId="59">
    <w:name w:val="HTML Keyboard"/>
    <w:uiPriority w:val="0"/>
    <w:rPr>
      <w:rFonts w:ascii="monospace" w:hAnsi="monospace" w:eastAsia="monospace" w:cs="monospace"/>
      <w:sz w:val="21"/>
      <w:szCs w:val="21"/>
    </w:rPr>
  </w:style>
  <w:style w:type="character" w:styleId="60">
    <w:name w:val="HTML Sample"/>
    <w:qFormat/>
    <w:uiPriority w:val="0"/>
    <w:rPr>
      <w:rFonts w:hint="default" w:ascii="monospace" w:hAnsi="monospace" w:eastAsia="monospace" w:cs="monospace"/>
      <w:sz w:val="21"/>
      <w:szCs w:val="21"/>
    </w:rPr>
  </w:style>
  <w:style w:type="character" w:customStyle="1" w:styleId="61">
    <w:name w:val="标题 1 字符"/>
    <w:link w:val="2"/>
    <w:qFormat/>
    <w:uiPriority w:val="9"/>
    <w:rPr>
      <w:rFonts w:eastAsia="宋体"/>
      <w:b/>
      <w:bCs/>
      <w:kern w:val="44"/>
      <w:sz w:val="44"/>
      <w:szCs w:val="44"/>
      <w:lang w:val="en-US" w:eastAsia="zh-CN" w:bidi="ar-SA"/>
    </w:rPr>
  </w:style>
  <w:style w:type="character" w:customStyle="1" w:styleId="62">
    <w:name w:val="标题 2 字符"/>
    <w:link w:val="3"/>
    <w:uiPriority w:val="9"/>
    <w:rPr>
      <w:rFonts w:ascii="Cambria" w:hAnsi="Cambria" w:eastAsia="宋体"/>
      <w:b/>
      <w:bCs/>
      <w:kern w:val="2"/>
      <w:sz w:val="32"/>
      <w:szCs w:val="32"/>
      <w:lang w:val="en-US" w:eastAsia="zh-CN" w:bidi="ar-SA"/>
    </w:rPr>
  </w:style>
  <w:style w:type="character" w:customStyle="1" w:styleId="63">
    <w:name w:val="标题 3 字符1"/>
    <w:link w:val="4"/>
    <w:qFormat/>
    <w:uiPriority w:val="0"/>
    <w:rPr>
      <w:rFonts w:ascii="宋体" w:hAnsi="宋体"/>
      <w:b/>
      <w:bCs/>
      <w:sz w:val="28"/>
      <w:szCs w:val="24"/>
      <w:lang w:eastAsia="en-US" w:bidi="en-US"/>
    </w:rPr>
  </w:style>
  <w:style w:type="character" w:customStyle="1" w:styleId="64">
    <w:name w:val="标题 4 字符"/>
    <w:link w:val="5"/>
    <w:uiPriority w:val="0"/>
    <w:rPr>
      <w:rFonts w:ascii="Cambria" w:hAnsi="Cambria" w:eastAsia="宋体"/>
      <w:b/>
      <w:bCs/>
      <w:iCs/>
      <w:color w:val="4F81BD"/>
      <w:sz w:val="22"/>
      <w:szCs w:val="24"/>
      <w:lang w:val="en-US" w:eastAsia="en-US" w:bidi="en-US"/>
    </w:rPr>
  </w:style>
  <w:style w:type="character" w:customStyle="1" w:styleId="65">
    <w:name w:val="标题 5 字符"/>
    <w:link w:val="6"/>
    <w:qFormat/>
    <w:uiPriority w:val="0"/>
    <w:rPr>
      <w:rFonts w:ascii="Cambria" w:hAnsi="Cambria" w:eastAsia="宋体"/>
      <w:color w:val="243F60"/>
      <w:sz w:val="22"/>
      <w:szCs w:val="24"/>
      <w:lang w:val="en-US" w:eastAsia="en-US" w:bidi="en-US"/>
    </w:rPr>
  </w:style>
  <w:style w:type="character" w:customStyle="1" w:styleId="66">
    <w:name w:val="标题 6 字符"/>
    <w:link w:val="7"/>
    <w:uiPriority w:val="0"/>
    <w:rPr>
      <w:rFonts w:ascii="Arial" w:hAnsi="Arial" w:eastAsia="黑体"/>
      <w:b/>
      <w:sz w:val="24"/>
      <w:lang w:val="en-US" w:eastAsia="zh-CN" w:bidi="ar-SA"/>
    </w:rPr>
  </w:style>
  <w:style w:type="character" w:customStyle="1" w:styleId="67">
    <w:name w:val="标题 7 字符"/>
    <w:link w:val="8"/>
    <w:qFormat/>
    <w:uiPriority w:val="0"/>
    <w:rPr>
      <w:rFonts w:eastAsia="宋体"/>
      <w:b/>
      <w:sz w:val="24"/>
      <w:lang w:val="en-US" w:eastAsia="zh-CN" w:bidi="ar-SA"/>
    </w:rPr>
  </w:style>
  <w:style w:type="character" w:customStyle="1" w:styleId="68">
    <w:name w:val="标题 8 字符"/>
    <w:link w:val="9"/>
    <w:qFormat/>
    <w:uiPriority w:val="0"/>
    <w:rPr>
      <w:rFonts w:ascii="Arial" w:hAnsi="Arial" w:eastAsia="黑体"/>
      <w:sz w:val="24"/>
      <w:lang w:val="en-US" w:eastAsia="zh-CN" w:bidi="ar-SA"/>
    </w:rPr>
  </w:style>
  <w:style w:type="character" w:customStyle="1" w:styleId="69">
    <w:name w:val="标题 9 字符"/>
    <w:link w:val="10"/>
    <w:uiPriority w:val="0"/>
    <w:rPr>
      <w:rFonts w:ascii="Arial" w:hAnsi="Arial" w:eastAsia="黑体"/>
      <w:sz w:val="21"/>
      <w:lang w:val="en-US" w:eastAsia="zh-CN" w:bidi="ar-SA"/>
    </w:rPr>
  </w:style>
  <w:style w:type="character" w:customStyle="1" w:styleId="70">
    <w:name w:val="文档结构图 字符"/>
    <w:link w:val="14"/>
    <w:semiHidden/>
    <w:qFormat/>
    <w:uiPriority w:val="0"/>
    <w:rPr>
      <w:rFonts w:eastAsia="宋体"/>
      <w:kern w:val="2"/>
      <w:sz w:val="21"/>
      <w:szCs w:val="24"/>
      <w:lang w:val="en-US" w:eastAsia="zh-CN" w:bidi="ar-SA"/>
    </w:rPr>
  </w:style>
  <w:style w:type="character" w:customStyle="1" w:styleId="71">
    <w:name w:val="批注文字 字符"/>
    <w:link w:val="16"/>
    <w:semiHidden/>
    <w:uiPriority w:val="0"/>
    <w:rPr>
      <w:rFonts w:eastAsia="宋体"/>
      <w:kern w:val="2"/>
      <w:sz w:val="21"/>
      <w:szCs w:val="24"/>
      <w:lang w:val="en-US" w:eastAsia="zh-CN" w:bidi="ar-SA"/>
    </w:rPr>
  </w:style>
  <w:style w:type="character" w:customStyle="1" w:styleId="72">
    <w:name w:val="正文文本 3 字符"/>
    <w:link w:val="17"/>
    <w:uiPriority w:val="0"/>
    <w:rPr>
      <w:rFonts w:eastAsia="宋体"/>
      <w:kern w:val="2"/>
      <w:sz w:val="16"/>
      <w:szCs w:val="16"/>
      <w:lang w:val="en-US" w:eastAsia="zh-CN" w:bidi="ar-SA"/>
    </w:rPr>
  </w:style>
  <w:style w:type="character" w:customStyle="1" w:styleId="73">
    <w:name w:val="正文文本 字符"/>
    <w:link w:val="18"/>
    <w:uiPriority w:val="0"/>
    <w:rPr>
      <w:rFonts w:eastAsia="黑体"/>
      <w:kern w:val="2"/>
      <w:sz w:val="36"/>
      <w:szCs w:val="24"/>
      <w:lang w:val="en-US" w:eastAsia="zh-CN" w:bidi="ar-SA"/>
    </w:rPr>
  </w:style>
  <w:style w:type="character" w:customStyle="1" w:styleId="74">
    <w:name w:val="正文文本缩进 字符"/>
    <w:link w:val="19"/>
    <w:uiPriority w:val="0"/>
    <w:rPr>
      <w:rFonts w:eastAsia="宋体"/>
      <w:kern w:val="2"/>
      <w:sz w:val="21"/>
      <w:szCs w:val="24"/>
      <w:lang w:val="en-US" w:eastAsia="zh-CN" w:bidi="ar-SA"/>
    </w:rPr>
  </w:style>
  <w:style w:type="character" w:customStyle="1" w:styleId="75">
    <w:name w:val="纯文本 字符"/>
    <w:link w:val="24"/>
    <w:qFormat/>
    <w:uiPriority w:val="0"/>
    <w:rPr>
      <w:rFonts w:ascii="宋体" w:hAnsi="Courier New" w:eastAsia="宋体"/>
      <w:kern w:val="2"/>
      <w:sz w:val="21"/>
      <w:szCs w:val="21"/>
      <w:lang w:val="en-US" w:eastAsia="zh-CN" w:bidi="ar-SA"/>
    </w:rPr>
  </w:style>
  <w:style w:type="character" w:customStyle="1" w:styleId="76">
    <w:name w:val="日期 字符"/>
    <w:link w:val="26"/>
    <w:uiPriority w:val="0"/>
    <w:rPr>
      <w:rFonts w:ascii="宋体" w:eastAsia="宋体"/>
      <w:sz w:val="24"/>
      <w:lang w:val="en-US" w:eastAsia="zh-CN" w:bidi="ar-SA"/>
    </w:rPr>
  </w:style>
  <w:style w:type="character" w:customStyle="1" w:styleId="77">
    <w:name w:val="正文文本缩进 2 字符"/>
    <w:link w:val="27"/>
    <w:uiPriority w:val="0"/>
    <w:rPr>
      <w:rFonts w:eastAsia="宋体"/>
      <w:kern w:val="2"/>
      <w:sz w:val="21"/>
      <w:szCs w:val="24"/>
      <w:lang w:val="en-US" w:eastAsia="zh-CN" w:bidi="ar-SA"/>
    </w:rPr>
  </w:style>
  <w:style w:type="character" w:customStyle="1" w:styleId="78">
    <w:name w:val="尾注文本 字符"/>
    <w:link w:val="28"/>
    <w:qFormat/>
    <w:uiPriority w:val="0"/>
    <w:rPr>
      <w:kern w:val="2"/>
      <w:sz w:val="21"/>
      <w:szCs w:val="24"/>
    </w:rPr>
  </w:style>
  <w:style w:type="character" w:customStyle="1" w:styleId="79">
    <w:name w:val="批注框文本 字符"/>
    <w:link w:val="29"/>
    <w:semiHidden/>
    <w:uiPriority w:val="0"/>
    <w:rPr>
      <w:rFonts w:eastAsia="宋体"/>
      <w:kern w:val="2"/>
      <w:sz w:val="18"/>
      <w:szCs w:val="18"/>
      <w:lang w:val="en-US" w:eastAsia="zh-CN" w:bidi="ar-SA"/>
    </w:rPr>
  </w:style>
  <w:style w:type="character" w:customStyle="1" w:styleId="80">
    <w:name w:val="页脚 字符"/>
    <w:link w:val="30"/>
    <w:qFormat/>
    <w:uiPriority w:val="99"/>
    <w:rPr>
      <w:rFonts w:eastAsia="宋体"/>
      <w:sz w:val="18"/>
      <w:szCs w:val="18"/>
      <w:lang w:val="en-US" w:eastAsia="zh-CN" w:bidi="ar-SA"/>
    </w:rPr>
  </w:style>
  <w:style w:type="character" w:customStyle="1" w:styleId="81">
    <w:name w:val="页眉 字符"/>
    <w:link w:val="31"/>
    <w:qFormat/>
    <w:uiPriority w:val="0"/>
    <w:rPr>
      <w:rFonts w:eastAsia="宋体"/>
      <w:sz w:val="18"/>
      <w:szCs w:val="18"/>
      <w:lang w:val="en-US" w:eastAsia="zh-CN" w:bidi="ar-SA"/>
    </w:rPr>
  </w:style>
  <w:style w:type="character" w:customStyle="1" w:styleId="82">
    <w:name w:val="脚注文本 字符"/>
    <w:link w:val="35"/>
    <w:qFormat/>
    <w:uiPriority w:val="99"/>
    <w:rPr>
      <w:kern w:val="2"/>
      <w:sz w:val="18"/>
      <w:szCs w:val="18"/>
    </w:rPr>
  </w:style>
  <w:style w:type="character" w:customStyle="1" w:styleId="83">
    <w:name w:val="正文文本缩进 3 字符"/>
    <w:link w:val="37"/>
    <w:qFormat/>
    <w:uiPriority w:val="0"/>
    <w:rPr>
      <w:rFonts w:eastAsia="宋体"/>
      <w:kern w:val="2"/>
      <w:sz w:val="16"/>
      <w:szCs w:val="16"/>
      <w:lang w:val="en-US" w:eastAsia="zh-CN" w:bidi="ar-SA"/>
    </w:rPr>
  </w:style>
  <w:style w:type="character" w:customStyle="1" w:styleId="84">
    <w:name w:val="正文文本 2 字符"/>
    <w:link w:val="40"/>
    <w:qFormat/>
    <w:uiPriority w:val="0"/>
    <w:rPr>
      <w:rFonts w:eastAsia="黑体"/>
      <w:bCs/>
      <w:kern w:val="2"/>
      <w:sz w:val="72"/>
      <w:szCs w:val="24"/>
      <w:lang w:val="en-US" w:eastAsia="zh-CN" w:bidi="ar-SA"/>
    </w:rPr>
  </w:style>
  <w:style w:type="character" w:customStyle="1" w:styleId="85">
    <w:name w:val="标题 字符"/>
    <w:link w:val="43"/>
    <w:qFormat/>
    <w:uiPriority w:val="0"/>
    <w:rPr>
      <w:rFonts w:ascii="Arial" w:hAnsi="Arial" w:eastAsia="宋体"/>
      <w:b/>
      <w:sz w:val="32"/>
      <w:lang w:val="en-US" w:eastAsia="zh-CN" w:bidi="ar-SA"/>
    </w:rPr>
  </w:style>
  <w:style w:type="character" w:customStyle="1" w:styleId="86">
    <w:name w:val="批注主题 字符"/>
    <w:link w:val="44"/>
    <w:semiHidden/>
    <w:qFormat/>
    <w:uiPriority w:val="0"/>
    <w:rPr>
      <w:rFonts w:eastAsia="宋体"/>
      <w:b/>
      <w:bCs/>
      <w:kern w:val="2"/>
      <w:sz w:val="21"/>
      <w:szCs w:val="24"/>
      <w:lang w:val="en-US" w:eastAsia="zh-CN" w:bidi="ar-SA"/>
    </w:rPr>
  </w:style>
  <w:style w:type="character" w:customStyle="1" w:styleId="87">
    <w:name w:val="正文首行缩进 字符"/>
    <w:link w:val="45"/>
    <w:qFormat/>
    <w:uiPriority w:val="0"/>
    <w:rPr>
      <w:rFonts w:eastAsia="PMingLiU"/>
      <w:kern w:val="2"/>
      <w:sz w:val="36"/>
      <w:szCs w:val="24"/>
      <w:lang w:val="en-US" w:eastAsia="zh-TW" w:bidi="ar-SA"/>
    </w:rPr>
  </w:style>
  <w:style w:type="character" w:customStyle="1" w:styleId="88">
    <w:name w:val="标题 3 字符"/>
    <w:link w:val="4"/>
    <w:qFormat/>
    <w:uiPriority w:val="0"/>
    <w:rPr>
      <w:b/>
      <w:bCs/>
      <w:kern w:val="2"/>
      <w:sz w:val="32"/>
      <w:szCs w:val="32"/>
    </w:rPr>
  </w:style>
  <w:style w:type="paragraph" w:customStyle="1" w:styleId="89">
    <w:name w:val="列出段落1"/>
    <w:basedOn w:val="1"/>
    <w:qFormat/>
    <w:uiPriority w:val="0"/>
    <w:pPr>
      <w:ind w:firstLine="420" w:firstLineChars="200"/>
    </w:pPr>
  </w:style>
  <w:style w:type="character" w:customStyle="1" w:styleId="90">
    <w:name w:val="脚注文本 字符1"/>
    <w:qFormat/>
    <w:uiPriority w:val="0"/>
    <w:rPr>
      <w:kern w:val="2"/>
      <w:sz w:val="18"/>
      <w:szCs w:val="18"/>
    </w:rPr>
  </w:style>
  <w:style w:type="character" w:customStyle="1" w:styleId="91">
    <w:name w:val="font161"/>
    <w:qFormat/>
    <w:uiPriority w:val="0"/>
    <w:rPr>
      <w:b/>
      <w:bCs/>
      <w:sz w:val="32"/>
      <w:szCs w:val="32"/>
    </w:rPr>
  </w:style>
  <w:style w:type="character" w:customStyle="1" w:styleId="92">
    <w:name w:val="Char Char11"/>
    <w:qFormat/>
    <w:uiPriority w:val="0"/>
    <w:rPr>
      <w:rFonts w:ascii="宋体" w:eastAsia="宋体" w:cs="Times New Roman"/>
      <w:sz w:val="24"/>
      <w:lang w:val="en-US" w:eastAsia="zh-CN" w:bidi="ar-SA"/>
    </w:rPr>
  </w:style>
  <w:style w:type="character" w:customStyle="1" w:styleId="93">
    <w:name w:val="Heading 1 Char"/>
    <w:qFormat/>
    <w:locked/>
    <w:uiPriority w:val="0"/>
    <w:rPr>
      <w:rFonts w:ascii="Times New Roman" w:hAnsi="Times New Roman" w:eastAsia="宋体" w:cs="Times New Roman"/>
      <w:b/>
      <w:bCs/>
      <w:kern w:val="44"/>
      <w:sz w:val="44"/>
      <w:szCs w:val="44"/>
    </w:rPr>
  </w:style>
  <w:style w:type="character" w:customStyle="1" w:styleId="94">
    <w:name w:val="Footer Char"/>
    <w:qFormat/>
    <w:locked/>
    <w:uiPriority w:val="0"/>
    <w:rPr>
      <w:rFonts w:ascii="宋体" w:cs="Times New Roman"/>
      <w:sz w:val="24"/>
      <w:szCs w:val="24"/>
    </w:rPr>
  </w:style>
  <w:style w:type="character" w:customStyle="1" w:styleId="95">
    <w:name w:val="Char Char1"/>
    <w:qFormat/>
    <w:uiPriority w:val="0"/>
    <w:rPr>
      <w:rFonts w:eastAsia="宋体"/>
      <w:kern w:val="2"/>
      <w:sz w:val="24"/>
      <w:lang w:val="en-US" w:eastAsia="zh-CN" w:bidi="ar-SA"/>
    </w:rPr>
  </w:style>
  <w:style w:type="character" w:customStyle="1" w:styleId="96">
    <w:name w:val="f14b1"/>
    <w:qFormat/>
    <w:uiPriority w:val="0"/>
    <w:rPr>
      <w:rFonts w:cs="Times New Roman"/>
      <w:b/>
      <w:bCs/>
      <w:sz w:val="21"/>
      <w:szCs w:val="21"/>
    </w:rPr>
  </w:style>
  <w:style w:type="character" w:customStyle="1" w:styleId="97">
    <w:name w:val="Plain Text Char"/>
    <w:qFormat/>
    <w:locked/>
    <w:uiPriority w:val="0"/>
    <w:rPr>
      <w:rFonts w:ascii="宋体" w:hAnsi="宋体" w:eastAsia="宋体" w:cs="宋体"/>
      <w:kern w:val="0"/>
      <w:sz w:val="24"/>
      <w:szCs w:val="24"/>
    </w:rPr>
  </w:style>
  <w:style w:type="character" w:customStyle="1" w:styleId="98">
    <w:name w:val="apple-converted-space"/>
    <w:qFormat/>
    <w:uiPriority w:val="0"/>
  </w:style>
  <w:style w:type="character" w:customStyle="1" w:styleId="99">
    <w:name w:val="Heading 2 Char"/>
    <w:qFormat/>
    <w:locked/>
    <w:uiPriority w:val="0"/>
    <w:rPr>
      <w:rFonts w:ascii="宋体" w:hAnsi="宋体" w:eastAsia="宋体" w:cs="Times New Roman"/>
      <w:kern w:val="0"/>
      <w:sz w:val="20"/>
      <w:szCs w:val="20"/>
    </w:rPr>
  </w:style>
  <w:style w:type="character" w:customStyle="1" w:styleId="100">
    <w:name w:val="Char Char"/>
    <w:qFormat/>
    <w:uiPriority w:val="0"/>
    <w:rPr>
      <w:rFonts w:ascii="Arial" w:hAnsi="Arial" w:eastAsia="黑体"/>
      <w:b/>
      <w:bCs/>
      <w:kern w:val="2"/>
      <w:sz w:val="32"/>
      <w:szCs w:val="32"/>
      <w:lang w:val="en-US" w:eastAsia="zh-CN" w:bidi="ar-SA"/>
    </w:rPr>
  </w:style>
  <w:style w:type="character" w:customStyle="1" w:styleId="101">
    <w:name w:val="Date Char"/>
    <w:qFormat/>
    <w:locked/>
    <w:uiPriority w:val="0"/>
    <w:rPr>
      <w:rFonts w:eastAsia="宋体"/>
      <w:sz w:val="24"/>
    </w:rPr>
  </w:style>
  <w:style w:type="character" w:customStyle="1" w:styleId="102">
    <w:name w:val="样式 粉红"/>
    <w:qFormat/>
    <w:uiPriority w:val="0"/>
    <w:rPr>
      <w:color w:val="auto"/>
      <w:u w:val="none"/>
    </w:rPr>
  </w:style>
  <w:style w:type="character" w:customStyle="1" w:styleId="103">
    <w:name w:val="标题 2 Char Char"/>
    <w:qFormat/>
    <w:uiPriority w:val="0"/>
    <w:rPr>
      <w:rFonts w:ascii="Arial" w:hAnsi="Arial" w:eastAsia="黑体" w:cs="Times New Roman"/>
      <w:b/>
      <w:bCs/>
      <w:kern w:val="2"/>
      <w:sz w:val="32"/>
      <w:szCs w:val="32"/>
      <w:lang w:val="en-US" w:eastAsia="zh-CN" w:bidi="ar-SA"/>
    </w:rPr>
  </w:style>
  <w:style w:type="character" w:customStyle="1" w:styleId="104">
    <w:name w:val="缩进正文 Char"/>
    <w:link w:val="105"/>
    <w:qFormat/>
    <w:locked/>
    <w:uiPriority w:val="0"/>
    <w:rPr>
      <w:rFonts w:ascii="宋体" w:hAnsi="宋体"/>
      <w:spacing w:val="30"/>
      <w:sz w:val="24"/>
      <w:szCs w:val="24"/>
      <w:lang w:val="en-GB" w:eastAsia="zh-CN" w:bidi="ar-SA"/>
    </w:rPr>
  </w:style>
  <w:style w:type="paragraph" w:customStyle="1" w:styleId="105">
    <w:name w:val="缩进正文"/>
    <w:link w:val="104"/>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06">
    <w:name w:val="样式3 Char Char"/>
    <w:link w:val="107"/>
    <w:qFormat/>
    <w:locked/>
    <w:uiPriority w:val="0"/>
    <w:rPr>
      <w:rFonts w:ascii="宋体" w:hAnsi="宋体" w:eastAsia="黑体"/>
      <w:sz w:val="36"/>
      <w:szCs w:val="36"/>
      <w:lang w:bidi="ar-SA"/>
    </w:rPr>
  </w:style>
  <w:style w:type="paragraph" w:customStyle="1" w:styleId="107">
    <w:name w:val="样式3"/>
    <w:basedOn w:val="1"/>
    <w:link w:val="106"/>
    <w:qFormat/>
    <w:uiPriority w:val="0"/>
    <w:pPr>
      <w:spacing w:line="940" w:lineRule="exact"/>
      <w:jc w:val="center"/>
    </w:pPr>
    <w:rPr>
      <w:rFonts w:ascii="宋体" w:hAnsi="宋体" w:eastAsia="黑体"/>
      <w:kern w:val="0"/>
      <w:sz w:val="36"/>
      <w:szCs w:val="36"/>
    </w:rPr>
  </w:style>
  <w:style w:type="character" w:customStyle="1" w:styleId="108">
    <w:name w:val="普通文字1 Char"/>
    <w:qFormat/>
    <w:uiPriority w:val="0"/>
    <w:rPr>
      <w:rFonts w:ascii="宋体" w:hAnsi="Courier New" w:eastAsia="宋体"/>
      <w:kern w:val="2"/>
      <w:sz w:val="21"/>
      <w:lang w:val="en-US" w:eastAsia="zh-CN" w:bidi="ar-SA"/>
    </w:rPr>
  </w:style>
  <w:style w:type="character" w:customStyle="1" w:styleId="109">
    <w:name w:val="Char Char6"/>
    <w:qFormat/>
    <w:uiPriority w:val="0"/>
    <w:rPr>
      <w:rFonts w:eastAsia="宋体"/>
      <w:b/>
      <w:bCs/>
      <w:kern w:val="2"/>
      <w:sz w:val="32"/>
      <w:szCs w:val="32"/>
      <w:lang w:val="en-US" w:eastAsia="zh-CN" w:bidi="ar-SA"/>
    </w:rPr>
  </w:style>
  <w:style w:type="character" w:customStyle="1" w:styleId="110">
    <w:name w:val="Heading 3 Char"/>
    <w:qFormat/>
    <w:locked/>
    <w:uiPriority w:val="0"/>
    <w:rPr>
      <w:rFonts w:ascii="Cambria" w:hAnsi="Cambria" w:eastAsia="宋体" w:cs="Times New Roman"/>
      <w:b/>
      <w:bCs/>
      <w:color w:val="4F81BD"/>
      <w:kern w:val="0"/>
      <w:sz w:val="22"/>
      <w:lang w:eastAsia="en-US"/>
    </w:rPr>
  </w:style>
  <w:style w:type="character" w:customStyle="1" w:styleId="111">
    <w:name w:val="Header Char"/>
    <w:qFormat/>
    <w:locked/>
    <w:uiPriority w:val="0"/>
    <w:rPr>
      <w:rFonts w:ascii="宋体" w:cs="Times New Roman"/>
      <w:sz w:val="24"/>
      <w:szCs w:val="24"/>
    </w:rPr>
  </w:style>
  <w:style w:type="paragraph" w:customStyle="1" w:styleId="112">
    <w:name w:val="2"/>
    <w:basedOn w:val="1"/>
    <w:next w:val="19"/>
    <w:qFormat/>
    <w:uiPriority w:val="0"/>
    <w:pPr>
      <w:ind w:left="432"/>
    </w:pPr>
    <w:rPr>
      <w:szCs w:val="20"/>
    </w:rPr>
  </w:style>
  <w:style w:type="paragraph" w:customStyle="1" w:styleId="113">
    <w:name w:val="样式 标题 2 + (西文) 方正书宋简体 (中文) 方正黑体简体 非加粗 黑色 段前: 0 磅 段后: 0 磅 行..."/>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4">
    <w:name w:val="Char Char Char Char"/>
    <w:basedOn w:val="1"/>
    <w:qFormat/>
    <w:uiPriority w:val="0"/>
    <w:rPr>
      <w:rFonts w:ascii="Tahoma" w:hAnsi="Tahoma"/>
      <w:sz w:val="24"/>
      <w:szCs w:val="20"/>
    </w:rPr>
  </w:style>
  <w:style w:type="paragraph" w:customStyle="1" w:styleId="115">
    <w:name w:val="1"/>
    <w:basedOn w:val="1"/>
    <w:qFormat/>
    <w:uiPriority w:val="0"/>
  </w:style>
  <w:style w:type="paragraph" w:customStyle="1" w:styleId="116">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17">
    <w:name w:val="3"/>
    <w:basedOn w:val="1"/>
    <w:next w:val="17"/>
    <w:qFormat/>
    <w:uiPriority w:val="0"/>
    <w:rPr>
      <w:rFonts w:ascii="宋体"/>
      <w:sz w:val="24"/>
      <w:szCs w:val="20"/>
    </w:rPr>
  </w:style>
  <w:style w:type="paragraph" w:customStyle="1" w:styleId="118">
    <w:name w:val="Char Char Char1"/>
    <w:basedOn w:val="1"/>
    <w:qFormat/>
    <w:uiPriority w:val="0"/>
    <w:rPr>
      <w:szCs w:val="20"/>
    </w:rPr>
  </w:style>
  <w:style w:type="paragraph" w:customStyle="1" w:styleId="119">
    <w:name w:val="。"/>
    <w:basedOn w:val="1"/>
    <w:qFormat/>
    <w:uiPriority w:val="0"/>
    <w:pPr>
      <w:adjustRightInd w:val="0"/>
      <w:spacing w:line="360" w:lineRule="atLeast"/>
      <w:ind w:right="679"/>
      <w:jc w:val="left"/>
      <w:textAlignment w:val="baseline"/>
    </w:pPr>
    <w:rPr>
      <w:rFonts w:ascii="宋体"/>
      <w:sz w:val="24"/>
    </w:rPr>
  </w:style>
  <w:style w:type="paragraph" w:customStyle="1" w:styleId="120">
    <w:name w:val="Char1"/>
    <w:basedOn w:val="1"/>
    <w:qFormat/>
    <w:uiPriority w:val="0"/>
    <w:rPr>
      <w:rFonts w:ascii="Tahoma" w:hAnsi="Tahoma"/>
      <w:sz w:val="24"/>
      <w:szCs w:val="20"/>
    </w:rPr>
  </w:style>
  <w:style w:type="paragraph" w:customStyle="1" w:styleId="121">
    <w:name w:val="p17"/>
    <w:basedOn w:val="1"/>
    <w:qFormat/>
    <w:uiPriority w:val="0"/>
    <w:pPr>
      <w:widowControl/>
    </w:pPr>
    <w:rPr>
      <w:kern w:val="0"/>
      <w:szCs w:val="21"/>
    </w:rPr>
  </w:style>
  <w:style w:type="paragraph" w:customStyle="1" w:styleId="122">
    <w:name w:val="5"/>
    <w:basedOn w:val="1"/>
    <w:qFormat/>
    <w:uiPriority w:val="0"/>
    <w:rPr>
      <w:rFonts w:ascii="Tahoma" w:hAnsi="Tahoma"/>
      <w:sz w:val="24"/>
      <w:szCs w:val="20"/>
    </w:rPr>
  </w:style>
  <w:style w:type="paragraph" w:customStyle="1" w:styleId="123">
    <w:name w:val="样式1"/>
    <w:basedOn w:val="1"/>
    <w:next w:val="12"/>
    <w:qFormat/>
    <w:uiPriority w:val="0"/>
    <w:rPr>
      <w:rFonts w:ascii="宋体" w:hAnsi="Arial Unicode MS"/>
      <w:color w:val="000000"/>
      <w:kern w:val="0"/>
      <w:sz w:val="24"/>
      <w:szCs w:val="36"/>
    </w:rPr>
  </w:style>
  <w:style w:type="paragraph" w:customStyle="1" w:styleId="124">
    <w:name w:val="列出段落2"/>
    <w:basedOn w:val="1"/>
    <w:qFormat/>
    <w:uiPriority w:val="0"/>
    <w:pPr>
      <w:ind w:firstLine="420" w:firstLineChars="200"/>
    </w:pPr>
  </w:style>
  <w:style w:type="paragraph" w:customStyle="1" w:styleId="125">
    <w:name w:val="Char Char Char"/>
    <w:basedOn w:val="1"/>
    <w:qFormat/>
    <w:uiPriority w:val="0"/>
    <w:rPr>
      <w:szCs w:val="20"/>
    </w:rPr>
  </w:style>
  <w:style w:type="paragraph" w:customStyle="1" w:styleId="126">
    <w:name w:val="表格"/>
    <w:basedOn w:val="1"/>
    <w:qFormat/>
    <w:uiPriority w:val="0"/>
    <w:pPr>
      <w:jc w:val="center"/>
      <w:textAlignment w:val="center"/>
    </w:pPr>
    <w:rPr>
      <w:rFonts w:ascii="华文细黑" w:hAnsi="华文细黑"/>
      <w:kern w:val="0"/>
      <w:szCs w:val="20"/>
    </w:rPr>
  </w:style>
  <w:style w:type="paragraph" w:customStyle="1" w:styleId="127">
    <w:name w:val="Char Char Char Char Char Char2 Char1"/>
    <w:basedOn w:val="1"/>
    <w:qFormat/>
    <w:uiPriority w:val="0"/>
    <w:pPr>
      <w:spacing w:line="360" w:lineRule="auto"/>
      <w:ind w:firstLine="200" w:firstLineChars="200"/>
    </w:pPr>
    <w:rPr>
      <w:rFonts w:ascii="宋体" w:hAnsi="宋体" w:cs="宋体"/>
      <w:sz w:val="24"/>
    </w:rPr>
  </w:style>
  <w:style w:type="paragraph" w:styleId="128">
    <w:name w:val="List Paragraph"/>
    <w:basedOn w:val="1"/>
    <w:qFormat/>
    <w:uiPriority w:val="34"/>
    <w:pPr>
      <w:ind w:firstLine="420" w:firstLineChars="200"/>
    </w:pPr>
  </w:style>
  <w:style w:type="paragraph" w:customStyle="1" w:styleId="129">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0">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1">
    <w:name w:val="Char Char Char Char Char Char Char Char Char Char Char Char Char"/>
    <w:basedOn w:val="1"/>
    <w:qFormat/>
    <w:uiPriority w:val="0"/>
    <w:rPr>
      <w:rFonts w:ascii="仿宋_GB2312" w:eastAsia="仿宋_GB2312"/>
      <w:b/>
      <w:sz w:val="32"/>
      <w:szCs w:val="32"/>
    </w:rPr>
  </w:style>
  <w:style w:type="paragraph" w:customStyle="1" w:styleId="132">
    <w:name w:val="表格文字"/>
    <w:basedOn w:val="1"/>
    <w:qFormat/>
    <w:uiPriority w:val="0"/>
    <w:pPr>
      <w:adjustRightInd w:val="0"/>
      <w:spacing w:line="420" w:lineRule="atLeast"/>
      <w:jc w:val="left"/>
      <w:textAlignment w:val="baseline"/>
    </w:pPr>
    <w:rPr>
      <w:kern w:val="0"/>
      <w:szCs w:val="20"/>
    </w:rPr>
  </w:style>
  <w:style w:type="paragraph" w:customStyle="1" w:styleId="133">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4">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5">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36">
    <w:name w:val="_Style 135"/>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37">
    <w:name w:val="列出段落3"/>
    <w:basedOn w:val="1"/>
    <w:qFormat/>
    <w:uiPriority w:val="0"/>
    <w:pPr>
      <w:ind w:firstLine="420" w:firstLineChars="200"/>
    </w:pPr>
  </w:style>
  <w:style w:type="paragraph" w:customStyle="1" w:styleId="13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0">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41">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2">
    <w:name w:val="金安桥正文"/>
    <w:basedOn w:val="19"/>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3">
    <w:name w:val="cntrt"/>
    <w:basedOn w:val="1"/>
    <w:qFormat/>
    <w:uiPriority w:val="0"/>
    <w:pPr>
      <w:widowControl/>
      <w:jc w:val="left"/>
    </w:pPr>
    <w:rPr>
      <w:rFonts w:ascii="Arial" w:hAnsi="Arial" w:cs="Arial"/>
      <w:kern w:val="0"/>
      <w:sz w:val="20"/>
      <w:szCs w:val="20"/>
      <w:lang w:val="en-AU"/>
    </w:rPr>
  </w:style>
  <w:style w:type="paragraph" w:customStyle="1" w:styleId="144">
    <w:name w:val="Char"/>
    <w:basedOn w:val="1"/>
    <w:qFormat/>
    <w:uiPriority w:val="0"/>
  </w:style>
  <w:style w:type="paragraph" w:customStyle="1" w:styleId="145">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46">
    <w:name w:val="默认段落字体 Para Char"/>
    <w:basedOn w:val="1"/>
    <w:qFormat/>
    <w:uiPriority w:val="0"/>
    <w:rPr>
      <w:szCs w:val="20"/>
    </w:rPr>
  </w:style>
  <w:style w:type="paragraph" w:customStyle="1" w:styleId="147">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48">
    <w:name w:val="4"/>
    <w:basedOn w:val="1"/>
    <w:qFormat/>
    <w:uiPriority w:val="0"/>
    <w:rPr>
      <w:rFonts w:ascii="Tahoma" w:hAnsi="Tahoma"/>
      <w:sz w:val="24"/>
      <w:szCs w:val="20"/>
    </w:rPr>
  </w:style>
  <w:style w:type="paragraph" w:customStyle="1" w:styleId="149">
    <w:name w:val="Char2"/>
    <w:basedOn w:val="1"/>
    <w:qFormat/>
    <w:uiPriority w:val="0"/>
    <w:rPr>
      <w:rFonts w:ascii="Tahoma" w:hAnsi="Tahoma"/>
      <w:sz w:val="24"/>
      <w:szCs w:val="20"/>
    </w:rPr>
  </w:style>
  <w:style w:type="paragraph" w:customStyle="1" w:styleId="150">
    <w:name w:val="List Paragraph1"/>
    <w:basedOn w:val="1"/>
    <w:qFormat/>
    <w:uiPriority w:val="0"/>
    <w:pPr>
      <w:ind w:firstLine="420" w:firstLineChars="200"/>
    </w:pPr>
  </w:style>
  <w:style w:type="paragraph" w:customStyle="1" w:styleId="151">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2">
    <w:name w:val="p0"/>
    <w:basedOn w:val="1"/>
    <w:qFormat/>
    <w:uiPriority w:val="0"/>
    <w:pPr>
      <w:widowControl/>
    </w:pPr>
    <w:rPr>
      <w:kern w:val="0"/>
      <w:szCs w:val="21"/>
    </w:rPr>
  </w:style>
  <w:style w:type="paragraph" w:customStyle="1" w:styleId="153">
    <w:name w:val="p15"/>
    <w:basedOn w:val="1"/>
    <w:qFormat/>
    <w:uiPriority w:val="0"/>
    <w:pPr>
      <w:widowControl/>
      <w:spacing w:before="100" w:line="400" w:lineRule="atLeast"/>
    </w:pPr>
    <w:rPr>
      <w:kern w:val="0"/>
      <w:sz w:val="28"/>
      <w:szCs w:val="28"/>
    </w:rPr>
  </w:style>
  <w:style w:type="paragraph" w:customStyle="1" w:styleId="154">
    <w:name w:val="p18"/>
    <w:basedOn w:val="1"/>
    <w:qFormat/>
    <w:uiPriority w:val="0"/>
    <w:pPr>
      <w:widowControl/>
    </w:pPr>
    <w:rPr>
      <w:rFonts w:ascii="宋体" w:hAnsi="宋体" w:cs="宋体"/>
      <w:kern w:val="0"/>
      <w:szCs w:val="21"/>
    </w:rPr>
  </w:style>
  <w:style w:type="paragraph" w:customStyle="1" w:styleId="155">
    <w:name w:val="Default Paragraph Char Char Char Char"/>
    <w:basedOn w:val="1"/>
    <w:next w:val="1"/>
    <w:qFormat/>
    <w:uiPriority w:val="0"/>
    <w:pPr>
      <w:widowControl/>
      <w:spacing w:line="360" w:lineRule="auto"/>
      <w:jc w:val="left"/>
    </w:pPr>
    <w:rPr>
      <w:kern w:val="0"/>
      <w:szCs w:val="20"/>
      <w:lang w:eastAsia="en-US"/>
    </w:rPr>
  </w:style>
  <w:style w:type="character" w:customStyle="1" w:styleId="156">
    <w:name w:val="正文文本缩进 2 Char1"/>
    <w:semiHidden/>
    <w:qFormat/>
    <w:uiPriority w:val="99"/>
    <w:rPr>
      <w:kern w:val="2"/>
      <w:sz w:val="21"/>
      <w:szCs w:val="22"/>
    </w:rPr>
  </w:style>
  <w:style w:type="character" w:customStyle="1" w:styleId="157">
    <w:name w:val="页脚 Char1"/>
    <w:semiHidden/>
    <w:qFormat/>
    <w:uiPriority w:val="99"/>
    <w:rPr>
      <w:kern w:val="2"/>
      <w:sz w:val="18"/>
      <w:szCs w:val="18"/>
    </w:rPr>
  </w:style>
  <w:style w:type="character" w:customStyle="1" w:styleId="158">
    <w:name w:val="正文文本缩进 Char1"/>
    <w:semiHidden/>
    <w:qFormat/>
    <w:uiPriority w:val="99"/>
    <w:rPr>
      <w:kern w:val="2"/>
      <w:sz w:val="21"/>
      <w:szCs w:val="22"/>
    </w:rPr>
  </w:style>
  <w:style w:type="character" w:customStyle="1" w:styleId="159">
    <w:name w:val="正文文本 3 Char1"/>
    <w:semiHidden/>
    <w:qFormat/>
    <w:uiPriority w:val="99"/>
    <w:rPr>
      <w:kern w:val="2"/>
      <w:sz w:val="16"/>
      <w:szCs w:val="16"/>
    </w:rPr>
  </w:style>
  <w:style w:type="character" w:customStyle="1" w:styleId="160">
    <w:name w:val="批注文字 Char1"/>
    <w:semiHidden/>
    <w:qFormat/>
    <w:uiPriority w:val="0"/>
    <w:rPr>
      <w:rFonts w:ascii="Times New Roman" w:hAnsi="Times New Roman"/>
      <w:kern w:val="2"/>
      <w:sz w:val="21"/>
      <w:szCs w:val="24"/>
    </w:rPr>
  </w:style>
  <w:style w:type="character" w:customStyle="1" w:styleId="161">
    <w:name w:val="批注主题 Char1"/>
    <w:semiHidden/>
    <w:qFormat/>
    <w:uiPriority w:val="99"/>
    <w:rPr>
      <w:rFonts w:ascii="Times New Roman" w:hAnsi="Times New Roman"/>
      <w:b/>
      <w:bCs/>
      <w:kern w:val="2"/>
      <w:sz w:val="21"/>
      <w:szCs w:val="24"/>
    </w:rPr>
  </w:style>
  <w:style w:type="character" w:customStyle="1" w:styleId="162">
    <w:name w:val="正文文本缩进 3 Char1"/>
    <w:semiHidden/>
    <w:qFormat/>
    <w:uiPriority w:val="99"/>
    <w:rPr>
      <w:kern w:val="2"/>
      <w:sz w:val="16"/>
      <w:szCs w:val="16"/>
    </w:rPr>
  </w:style>
  <w:style w:type="character" w:customStyle="1" w:styleId="163">
    <w:name w:val="批注框文本 Char1"/>
    <w:semiHidden/>
    <w:uiPriority w:val="99"/>
    <w:rPr>
      <w:kern w:val="2"/>
      <w:sz w:val="18"/>
      <w:szCs w:val="18"/>
    </w:rPr>
  </w:style>
  <w:style w:type="character" w:customStyle="1" w:styleId="164">
    <w:name w:val="正文文本 Char1"/>
    <w:semiHidden/>
    <w:qFormat/>
    <w:uiPriority w:val="99"/>
    <w:rPr>
      <w:kern w:val="2"/>
      <w:sz w:val="21"/>
      <w:szCs w:val="22"/>
    </w:rPr>
  </w:style>
  <w:style w:type="character" w:customStyle="1" w:styleId="165">
    <w:name w:val="文档结构图 Char1"/>
    <w:semiHidden/>
    <w:qFormat/>
    <w:uiPriority w:val="99"/>
    <w:rPr>
      <w:rFonts w:ascii="宋体"/>
      <w:kern w:val="2"/>
      <w:sz w:val="18"/>
      <w:szCs w:val="18"/>
    </w:rPr>
  </w:style>
  <w:style w:type="character" w:customStyle="1" w:styleId="166">
    <w:name w:val="页眉 Char1"/>
    <w:semiHidden/>
    <w:qFormat/>
    <w:uiPriority w:val="99"/>
    <w:rPr>
      <w:kern w:val="2"/>
      <w:sz w:val="18"/>
      <w:szCs w:val="18"/>
    </w:rPr>
  </w:style>
  <w:style w:type="character" w:customStyle="1" w:styleId="167">
    <w:name w:val="日期 Char1"/>
    <w:semiHidden/>
    <w:qFormat/>
    <w:uiPriority w:val="99"/>
    <w:rPr>
      <w:kern w:val="2"/>
      <w:sz w:val="21"/>
      <w:szCs w:val="22"/>
    </w:rPr>
  </w:style>
  <w:style w:type="character" w:customStyle="1" w:styleId="168">
    <w:name w:val="标题 Char1"/>
    <w:qFormat/>
    <w:uiPriority w:val="10"/>
    <w:rPr>
      <w:rFonts w:ascii="Cambria" w:hAnsi="Cambria" w:cs="Times New Roman"/>
      <w:b/>
      <w:bCs/>
      <w:kern w:val="2"/>
      <w:sz w:val="32"/>
      <w:szCs w:val="32"/>
    </w:rPr>
  </w:style>
  <w:style w:type="character" w:customStyle="1" w:styleId="169">
    <w:name w:val="纯文本 Char1"/>
    <w:semiHidden/>
    <w:qFormat/>
    <w:uiPriority w:val="99"/>
    <w:rPr>
      <w:rFonts w:ascii="宋体" w:hAnsi="Courier New" w:cs="Courier New"/>
      <w:kern w:val="2"/>
      <w:sz w:val="21"/>
      <w:szCs w:val="21"/>
    </w:rPr>
  </w:style>
  <w:style w:type="character" w:customStyle="1" w:styleId="170">
    <w:name w:val="正文首行缩进 Char1"/>
    <w:semiHidden/>
    <w:qFormat/>
    <w:uiPriority w:val="99"/>
  </w:style>
  <w:style w:type="character" w:customStyle="1" w:styleId="171">
    <w:name w:val="正文文本 2 Char1"/>
    <w:semiHidden/>
    <w:qFormat/>
    <w:uiPriority w:val="99"/>
    <w:rPr>
      <w:kern w:val="2"/>
      <w:sz w:val="21"/>
      <w:szCs w:val="22"/>
    </w:rPr>
  </w:style>
  <w:style w:type="paragraph" w:customStyle="1" w:styleId="172">
    <w:name w:val="paragraphindent"/>
    <w:basedOn w:val="1"/>
    <w:qFormat/>
    <w:uiPriority w:val="0"/>
    <w:pPr>
      <w:widowControl/>
      <w:spacing w:before="75" w:after="75"/>
      <w:jc w:val="left"/>
    </w:pPr>
    <w:rPr>
      <w:rFonts w:ascii="宋体" w:hAnsi="宋体" w:cs="宋体"/>
      <w:kern w:val="0"/>
      <w:sz w:val="24"/>
    </w:rPr>
  </w:style>
  <w:style w:type="character" w:customStyle="1" w:styleId="173">
    <w:name w:val="正文2 Char"/>
    <w:link w:val="174"/>
    <w:qFormat/>
    <w:uiPriority w:val="0"/>
    <w:rPr>
      <w:rFonts w:ascii="宋体" w:eastAsia="楷体"/>
      <w:b/>
      <w:color w:val="0000FF"/>
      <w:kern w:val="2"/>
      <w:sz w:val="21"/>
      <w:szCs w:val="22"/>
      <w:lang w:val="en-US" w:eastAsia="zh-CN" w:bidi="ar-SA"/>
    </w:rPr>
  </w:style>
  <w:style w:type="paragraph" w:customStyle="1" w:styleId="174">
    <w:name w:val="正文2"/>
    <w:link w:val="173"/>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5">
    <w:name w:val="_Style 174"/>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77">
    <w:name w:val="button"/>
    <w:qFormat/>
    <w:uiPriority w:val="0"/>
  </w:style>
  <w:style w:type="paragraph" w:customStyle="1" w:styleId="178">
    <w:name w:val="D&amp;L"/>
    <w:basedOn w:val="31"/>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179">
    <w:name w:val="font31"/>
    <w:qFormat/>
    <w:uiPriority w:val="0"/>
    <w:rPr>
      <w:rFonts w:hint="eastAsia" w:ascii="宋体" w:hAnsi="宋体" w:eastAsia="宋体" w:cs="宋体"/>
      <w:color w:val="000000"/>
      <w:sz w:val="22"/>
      <w:szCs w:val="22"/>
      <w:u w:val="none"/>
    </w:rPr>
  </w:style>
  <w:style w:type="character" w:customStyle="1" w:styleId="180">
    <w:name w:val="font41"/>
    <w:qFormat/>
    <w:uiPriority w:val="0"/>
    <w:rPr>
      <w:rFonts w:hint="eastAsia" w:ascii="宋体" w:hAnsi="宋体" w:eastAsia="宋体" w:cs="宋体"/>
      <w:b/>
      <w:bCs/>
      <w:color w:val="000000"/>
      <w:sz w:val="22"/>
      <w:szCs w:val="22"/>
      <w:u w:val="none"/>
    </w:rPr>
  </w:style>
  <w:style w:type="paragraph" w:customStyle="1" w:styleId="18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2">
    <w:name w:val="批注文字_0"/>
    <w:basedOn w:val="181"/>
    <w:qFormat/>
    <w:uiPriority w:val="0"/>
    <w:pPr>
      <w:jc w:val="left"/>
    </w:pPr>
  </w:style>
  <w:style w:type="paragraph" w:customStyle="1" w:styleId="183">
    <w:name w:val="样式 首行缩进:  2 字符"/>
    <w:basedOn w:val="1"/>
    <w:qFormat/>
    <w:uiPriority w:val="0"/>
    <w:pPr>
      <w:ind w:firstLine="600" w:firstLineChars="200"/>
    </w:pPr>
    <w:rPr>
      <w:rFonts w:cs="宋体"/>
      <w:sz w:val="28"/>
    </w:rPr>
  </w:style>
  <w:style w:type="character" w:customStyle="1" w:styleId="184">
    <w:name w:val="font101"/>
    <w:basedOn w:val="48"/>
    <w:qFormat/>
    <w:uiPriority w:val="0"/>
    <w:rPr>
      <w:rFonts w:hint="eastAsia" w:ascii="宋体" w:hAnsi="宋体" w:eastAsia="宋体" w:cs="宋体"/>
      <w:color w:val="000000"/>
      <w:sz w:val="21"/>
      <w:szCs w:val="21"/>
      <w:u w:val="none"/>
    </w:rPr>
  </w:style>
  <w:style w:type="character" w:customStyle="1" w:styleId="185">
    <w:name w:val="font121"/>
    <w:basedOn w:val="48"/>
    <w:qFormat/>
    <w:uiPriority w:val="0"/>
    <w:rPr>
      <w:rFonts w:ascii="Arial" w:hAnsi="Arial" w:cs="Arial"/>
      <w:color w:val="000000"/>
      <w:sz w:val="21"/>
      <w:szCs w:val="21"/>
      <w:u w:val="none"/>
    </w:rPr>
  </w:style>
  <w:style w:type="character" w:customStyle="1" w:styleId="186">
    <w:name w:val="font131"/>
    <w:basedOn w:val="48"/>
    <w:qFormat/>
    <w:uiPriority w:val="0"/>
    <w:rPr>
      <w:rFonts w:hint="default" w:ascii="Arial" w:hAnsi="Arial" w:cs="Arial"/>
      <w:color w:val="000000"/>
      <w:sz w:val="21"/>
      <w:szCs w:val="21"/>
      <w:u w:val="none"/>
    </w:rPr>
  </w:style>
  <w:style w:type="character" w:customStyle="1" w:styleId="187">
    <w:name w:val="font141"/>
    <w:basedOn w:val="4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90</Pages>
  <Words>14823</Words>
  <Characters>16276</Characters>
  <Lines>405</Lines>
  <Paragraphs>114</Paragraphs>
  <TotalTime>1</TotalTime>
  <ScaleCrop>false</ScaleCrop>
  <LinksUpToDate>false</LinksUpToDate>
  <CharactersWithSpaces>16503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2023-02-28T09:16:00Z</dcterms:created>
  <dc:creator>孟凡金</dc:creator>
  <cp:lastModifiedBy>代理</cp:lastModifiedBy>
  <cp:lastPrinted>2025-02-07T07:26:00Z</cp:lastPrinted>
  <dcterms:modified xsi:type="dcterms:W3CDTF">2025-12-19T11:01:56Z</dcterms:modified>
  <dc:title>项目名称</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21B0A0A208D141219D6D9708FE51BA21_13</vt:lpwstr>
  </property>
  <property fmtid="{D5CDD505-2E9C-101B-9397-08002B2CF9AE}" pid="4" name="KSOTemplateDocerSaveRecord">
    <vt:lpwstr>eyJoZGlkIjoiOGRlZTYyZTIzNmNlYWFjOWUzMjVhYWU1Y2JiMGFhOGQiLCJ1c2VySWQiOiIyODQyMDI3NDcifQ==</vt:lpwstr>
  </property>
</Properties>
</file>