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0E789">
      <w:pPr>
        <w:pStyle w:val="2"/>
        <w:jc w:val="center"/>
        <w:rPr>
          <w:rFonts w:hint="eastAsia" w:ascii="宋体" w:hAnsi="宋体"/>
        </w:rPr>
      </w:pPr>
      <w:r>
        <w:rPr>
          <w:rFonts w:hint="eastAsia" w:ascii="宋体" w:hAnsi="宋体"/>
          <w:szCs w:val="36"/>
        </w:rPr>
        <w:t>2024年蚌埠医科大学药物工程中心科研设备采购项目采购需求</w:t>
      </w:r>
      <w:bookmarkStart w:id="7" w:name="_GoBack"/>
      <w:bookmarkEnd w:id="7"/>
    </w:p>
    <w:p w14:paraId="10D1701A">
      <w:pPr>
        <w:spacing w:before="124" w:beforeLines="40" w:after="124" w:afterLines="40" w:line="400" w:lineRule="exact"/>
        <w:ind w:firstLine="420" w:firstLineChars="200"/>
        <w:jc w:val="left"/>
        <w:rPr>
          <w:rFonts w:hint="eastAsia" w:ascii="宋体" w:hAnsi="宋体"/>
          <w:szCs w:val="21"/>
        </w:rPr>
      </w:pPr>
    </w:p>
    <w:p w14:paraId="38D4416E">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0C829FC8">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3F39CA08">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330D13A">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4.本章中标注“▲”的产品为主要标的（包括核心产品）。</w:t>
      </w:r>
      <w:bookmarkStart w:id="0" w:name="_Hlk33586079"/>
      <w:r>
        <w:rPr>
          <w:rFonts w:hint="eastAsia" w:ascii="宋体" w:hAnsi="宋体"/>
          <w:szCs w:val="21"/>
        </w:rPr>
        <w:t>采购人（代理机构）在编制招标文件时必须将采购的主要标的（包括核心产品）标注“▲”</w:t>
      </w:r>
      <w:bookmarkEnd w:id="0"/>
      <w:r>
        <w:rPr>
          <w:rFonts w:hint="eastAsia" w:ascii="宋体" w:hAnsi="宋体"/>
          <w:szCs w:val="21"/>
        </w:rPr>
        <w:t>。</w:t>
      </w:r>
    </w:p>
    <w:p w14:paraId="2CFE36CC">
      <w:pPr>
        <w:adjustRightInd w:val="0"/>
        <w:snapToGrid w:val="0"/>
        <w:spacing w:line="360" w:lineRule="auto"/>
        <w:jc w:val="left"/>
        <w:rPr>
          <w:rFonts w:hint="eastAsia" w:ascii="宋体" w:hAnsi="宋体" w:cs="宋体"/>
          <w:b/>
          <w:szCs w:val="21"/>
        </w:rPr>
      </w:pPr>
      <w:bookmarkStart w:id="1" w:name="_Toc2554"/>
      <w:bookmarkStart w:id="2" w:name="_Toc32151"/>
      <w:r>
        <w:rPr>
          <w:rFonts w:hint="eastAsia" w:ascii="宋体" w:hAnsi="宋体" w:cs="宋体"/>
          <w:b/>
          <w:szCs w:val="21"/>
        </w:rPr>
        <w:br w:type="page"/>
      </w:r>
      <w:r>
        <w:rPr>
          <w:rFonts w:hint="eastAsia" w:ascii="宋体" w:hAnsi="宋体" w:cs="宋体"/>
          <w:b/>
          <w:szCs w:val="21"/>
        </w:rPr>
        <w:t>一、采购需求前附表</w:t>
      </w:r>
      <w:bookmarkEnd w:id="1"/>
      <w:bookmarkEnd w:id="2"/>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2037"/>
        <w:gridCol w:w="5055"/>
      </w:tblGrid>
      <w:tr w14:paraId="321B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9" w:type="pct"/>
            <w:noWrap w:val="0"/>
            <w:vAlign w:val="center"/>
          </w:tcPr>
          <w:p w14:paraId="1E8596B5">
            <w:pPr>
              <w:widowControl/>
              <w:jc w:val="center"/>
              <w:rPr>
                <w:rFonts w:hint="eastAsia" w:ascii="宋体" w:hAnsi="宋体" w:cs="宋体"/>
                <w:b/>
                <w:bCs/>
                <w:szCs w:val="21"/>
              </w:rPr>
            </w:pPr>
            <w:bookmarkStart w:id="3" w:name="_Toc7671"/>
            <w:bookmarkStart w:id="4" w:name="_Toc5944"/>
            <w:r>
              <w:rPr>
                <w:rFonts w:hint="eastAsia" w:ascii="宋体" w:hAnsi="宋体" w:cs="宋体"/>
                <w:b/>
                <w:bCs/>
                <w:snapToGrid w:val="0"/>
                <w:color w:val="000000"/>
                <w:kern w:val="0"/>
                <w:szCs w:val="21"/>
                <w:lang w:bidi="ar"/>
              </w:rPr>
              <w:t>标识符号</w:t>
            </w:r>
          </w:p>
        </w:tc>
        <w:tc>
          <w:tcPr>
            <w:tcW w:w="1195" w:type="pct"/>
            <w:noWrap w:val="0"/>
            <w:vAlign w:val="center"/>
          </w:tcPr>
          <w:p w14:paraId="2CDF3829">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标识含义</w:t>
            </w:r>
          </w:p>
        </w:tc>
        <w:tc>
          <w:tcPr>
            <w:tcW w:w="2965" w:type="pct"/>
            <w:noWrap w:val="0"/>
            <w:vAlign w:val="center"/>
          </w:tcPr>
          <w:p w14:paraId="5DC40861">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相关要求</w:t>
            </w:r>
          </w:p>
        </w:tc>
      </w:tr>
      <w:tr w14:paraId="3331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52ABB2D3">
            <w:pPr>
              <w:spacing w:line="360" w:lineRule="auto"/>
              <w:jc w:val="center"/>
              <w:rPr>
                <w:rFonts w:hint="eastAsia" w:ascii="宋体" w:hAnsi="宋体" w:cs="宋体"/>
                <w:szCs w:val="21"/>
              </w:rPr>
            </w:pPr>
            <w:r>
              <w:rPr>
                <w:rFonts w:hint="eastAsia" w:ascii="宋体" w:hAnsi="宋体" w:cs="宋体"/>
                <w:sz w:val="24"/>
                <w:szCs w:val="24"/>
              </w:rPr>
              <w:t>●</w:t>
            </w:r>
          </w:p>
        </w:tc>
        <w:tc>
          <w:tcPr>
            <w:tcW w:w="1195" w:type="pct"/>
            <w:noWrap w:val="0"/>
            <w:vAlign w:val="center"/>
          </w:tcPr>
          <w:p w14:paraId="2F76ADC0">
            <w:pPr>
              <w:spacing w:line="360" w:lineRule="auto"/>
              <w:jc w:val="center"/>
              <w:rPr>
                <w:rFonts w:hint="eastAsia" w:ascii="宋体" w:hAnsi="宋体" w:cs="宋体"/>
                <w:szCs w:val="21"/>
              </w:rPr>
            </w:pPr>
            <w:r>
              <w:rPr>
                <w:rFonts w:hint="eastAsia" w:ascii="宋体" w:hAnsi="宋体" w:cs="宋体"/>
                <w:szCs w:val="21"/>
              </w:rPr>
              <w:t>实质性参数</w:t>
            </w:r>
          </w:p>
        </w:tc>
        <w:tc>
          <w:tcPr>
            <w:tcW w:w="2965" w:type="pct"/>
            <w:noWrap w:val="0"/>
            <w:vAlign w:val="center"/>
          </w:tcPr>
          <w:p w14:paraId="41BCE35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必须实质性满足并按规定提供相应证明材料，否则做无效响应处理。</w:t>
            </w:r>
          </w:p>
        </w:tc>
      </w:tr>
      <w:tr w14:paraId="44C6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0E50C569">
            <w:pPr>
              <w:spacing w:line="360" w:lineRule="auto"/>
              <w:jc w:val="center"/>
              <w:rPr>
                <w:rFonts w:hint="eastAsia" w:ascii="宋体" w:hAnsi="宋体" w:cs="宋体"/>
                <w:szCs w:val="21"/>
              </w:rPr>
            </w:pPr>
            <w:r>
              <w:rPr>
                <w:rFonts w:hint="eastAsia" w:ascii="宋体" w:hAnsi="宋体" w:cs="宋体"/>
                <w:szCs w:val="21"/>
              </w:rPr>
              <w:t>★</w:t>
            </w:r>
          </w:p>
        </w:tc>
        <w:tc>
          <w:tcPr>
            <w:tcW w:w="1195" w:type="pct"/>
            <w:noWrap w:val="0"/>
            <w:vAlign w:val="center"/>
          </w:tcPr>
          <w:p w14:paraId="47A01BE5">
            <w:pPr>
              <w:spacing w:line="360" w:lineRule="auto"/>
              <w:jc w:val="center"/>
              <w:rPr>
                <w:rFonts w:hint="eastAsia" w:ascii="宋体" w:hAnsi="宋体" w:cs="宋体"/>
                <w:szCs w:val="21"/>
              </w:rPr>
            </w:pPr>
            <w:r>
              <w:rPr>
                <w:rFonts w:hint="eastAsia" w:ascii="宋体" w:hAnsi="宋体" w:cs="宋体"/>
                <w:szCs w:val="21"/>
              </w:rPr>
              <w:t>重要技术参数</w:t>
            </w:r>
          </w:p>
        </w:tc>
        <w:tc>
          <w:tcPr>
            <w:tcW w:w="2965" w:type="pct"/>
            <w:noWrap w:val="0"/>
            <w:vAlign w:val="center"/>
          </w:tcPr>
          <w:p w14:paraId="51F0F07F">
            <w:pPr>
              <w:spacing w:line="360" w:lineRule="auto"/>
              <w:jc w:val="center"/>
              <w:rPr>
                <w:rFonts w:hint="eastAsia" w:ascii="宋体" w:hAnsi="宋体" w:cs="宋体"/>
                <w:szCs w:val="21"/>
              </w:rPr>
            </w:pPr>
            <w:r>
              <w:rPr>
                <w:rFonts w:hint="eastAsia" w:ascii="宋体" w:hAnsi="宋体" w:cs="宋体"/>
                <w:szCs w:val="21"/>
              </w:rPr>
              <w:t>每满足一项得 5分，共11项，合计55分</w:t>
            </w:r>
          </w:p>
        </w:tc>
      </w:tr>
      <w:tr w14:paraId="19D7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9" w:type="pct"/>
            <w:noWrap w:val="0"/>
            <w:vAlign w:val="center"/>
          </w:tcPr>
          <w:p w14:paraId="171C4A23">
            <w:pPr>
              <w:spacing w:line="360" w:lineRule="auto"/>
              <w:jc w:val="center"/>
              <w:rPr>
                <w:rFonts w:hint="eastAsia" w:ascii="宋体" w:hAnsi="宋体" w:cs="宋体"/>
                <w:szCs w:val="21"/>
              </w:rPr>
            </w:pPr>
          </w:p>
        </w:tc>
        <w:tc>
          <w:tcPr>
            <w:tcW w:w="1195" w:type="pct"/>
            <w:noWrap w:val="0"/>
            <w:vAlign w:val="center"/>
          </w:tcPr>
          <w:p w14:paraId="787C51CA">
            <w:pPr>
              <w:spacing w:line="360" w:lineRule="auto"/>
              <w:jc w:val="center"/>
              <w:rPr>
                <w:rFonts w:hint="eastAsia" w:ascii="宋体" w:hAnsi="宋体" w:cs="宋体"/>
                <w:szCs w:val="21"/>
              </w:rPr>
            </w:pPr>
            <w:r>
              <w:rPr>
                <w:rFonts w:hint="eastAsia" w:ascii="宋体" w:hAnsi="宋体" w:cs="宋体"/>
                <w:szCs w:val="21"/>
              </w:rPr>
              <w:t>无标识项</w:t>
            </w:r>
          </w:p>
        </w:tc>
        <w:tc>
          <w:tcPr>
            <w:tcW w:w="2965" w:type="pct"/>
            <w:noWrap w:val="0"/>
            <w:vAlign w:val="center"/>
          </w:tcPr>
          <w:p w14:paraId="1A92A19F">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负偏离达到5项及以上的做无效响应处理</w:t>
            </w:r>
          </w:p>
        </w:tc>
      </w:tr>
    </w:tbl>
    <w:p w14:paraId="6F7426DD">
      <w:pPr>
        <w:spacing w:line="360" w:lineRule="auto"/>
        <w:outlineLvl w:val="1"/>
        <w:rPr>
          <w:rFonts w:hint="eastAsia" w:ascii="宋体" w:hAnsi="宋体" w:cs="宋体"/>
          <w:b/>
          <w:bCs/>
          <w:szCs w:val="21"/>
        </w:rPr>
      </w:pPr>
    </w:p>
    <w:p w14:paraId="7BE6A75E">
      <w:pPr>
        <w:spacing w:line="360" w:lineRule="auto"/>
        <w:ind w:firstLine="437"/>
        <w:outlineLvl w:val="1"/>
        <w:rPr>
          <w:rFonts w:hint="eastAsia" w:ascii="宋体" w:hAnsi="宋体" w:cs="宋体"/>
          <w:b/>
          <w:bCs/>
          <w:szCs w:val="21"/>
        </w:rPr>
      </w:pPr>
      <w:r>
        <w:rPr>
          <w:rFonts w:hint="eastAsia" w:ascii="宋体" w:hAnsi="宋体" w:cs="宋体"/>
          <w:b/>
          <w:bCs/>
          <w:szCs w:val="21"/>
        </w:rPr>
        <w:t>二、</w:t>
      </w:r>
      <w:r>
        <w:rPr>
          <w:rFonts w:hint="eastAsia" w:ascii="宋体" w:hAnsi="宋体" w:cs="宋体"/>
          <w:b/>
          <w:szCs w:val="21"/>
        </w:rPr>
        <w:t>货物</w:t>
      </w:r>
      <w:r>
        <w:rPr>
          <w:rFonts w:hint="eastAsia" w:ascii="宋体" w:hAnsi="宋体" w:cs="宋体"/>
          <w:b/>
          <w:bCs/>
          <w:szCs w:val="21"/>
        </w:rPr>
        <w:t>需求</w:t>
      </w:r>
      <w:bookmarkEnd w:id="3"/>
      <w:bookmarkEnd w:id="4"/>
    </w:p>
    <w:tbl>
      <w:tblPr>
        <w:tblStyle w:val="4"/>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4"/>
        <w:gridCol w:w="5311"/>
        <w:gridCol w:w="1059"/>
        <w:gridCol w:w="878"/>
      </w:tblGrid>
      <w:tr w14:paraId="3AE4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6" w:type="pct"/>
            <w:vMerge w:val="restart"/>
            <w:noWrap w:val="0"/>
            <w:vAlign w:val="center"/>
          </w:tcPr>
          <w:p w14:paraId="3A1B09D4">
            <w:pPr>
              <w:spacing w:line="360" w:lineRule="auto"/>
              <w:jc w:val="center"/>
              <w:rPr>
                <w:rFonts w:hint="eastAsia" w:ascii="宋体" w:hAnsi="宋体" w:cs="宋体"/>
                <w:b/>
                <w:bCs/>
                <w:szCs w:val="21"/>
              </w:rPr>
            </w:pPr>
            <w:r>
              <w:rPr>
                <w:rFonts w:hint="eastAsia" w:ascii="宋体" w:hAnsi="宋体" w:cs="宋体"/>
                <w:b/>
                <w:bCs/>
                <w:szCs w:val="21"/>
              </w:rPr>
              <w:t>序号</w:t>
            </w:r>
          </w:p>
        </w:tc>
        <w:tc>
          <w:tcPr>
            <w:tcW w:w="398" w:type="pct"/>
            <w:vMerge w:val="restart"/>
            <w:noWrap w:val="0"/>
            <w:vAlign w:val="center"/>
          </w:tcPr>
          <w:p w14:paraId="0C0DCBEA">
            <w:pPr>
              <w:spacing w:line="360" w:lineRule="auto"/>
              <w:jc w:val="center"/>
              <w:rPr>
                <w:rFonts w:hint="eastAsia" w:ascii="宋体" w:hAnsi="宋体" w:cs="宋体"/>
                <w:b/>
                <w:bCs/>
                <w:szCs w:val="21"/>
              </w:rPr>
            </w:pPr>
            <w:r>
              <w:rPr>
                <w:rFonts w:hint="eastAsia" w:ascii="宋体" w:hAnsi="宋体" w:cs="宋体"/>
                <w:b/>
                <w:bCs/>
                <w:szCs w:val="21"/>
              </w:rPr>
              <w:t>货物名称</w:t>
            </w:r>
          </w:p>
        </w:tc>
        <w:tc>
          <w:tcPr>
            <w:tcW w:w="3096" w:type="pct"/>
            <w:vMerge w:val="restart"/>
            <w:noWrap w:val="0"/>
            <w:vAlign w:val="center"/>
          </w:tcPr>
          <w:p w14:paraId="1635A9A1">
            <w:pPr>
              <w:spacing w:line="360" w:lineRule="auto"/>
              <w:jc w:val="center"/>
              <w:rPr>
                <w:rFonts w:hint="eastAsia" w:ascii="宋体" w:hAnsi="宋体" w:cs="宋体"/>
                <w:b/>
                <w:bCs/>
                <w:szCs w:val="21"/>
              </w:rPr>
            </w:pPr>
            <w:r>
              <w:rPr>
                <w:rFonts w:hint="eastAsia" w:ascii="宋体" w:hAnsi="宋体" w:cs="宋体"/>
                <w:b/>
                <w:bCs/>
                <w:szCs w:val="21"/>
              </w:rPr>
              <w:t>技术参数及要求</w:t>
            </w:r>
          </w:p>
        </w:tc>
        <w:tc>
          <w:tcPr>
            <w:tcW w:w="617" w:type="pct"/>
            <w:vMerge w:val="restart"/>
            <w:noWrap w:val="0"/>
            <w:vAlign w:val="center"/>
          </w:tcPr>
          <w:p w14:paraId="3BE8E631">
            <w:pPr>
              <w:spacing w:line="360" w:lineRule="auto"/>
              <w:jc w:val="center"/>
              <w:rPr>
                <w:rFonts w:hint="eastAsia" w:ascii="宋体" w:hAnsi="宋体" w:cs="宋体"/>
                <w:b/>
                <w:bCs/>
                <w:szCs w:val="21"/>
              </w:rPr>
            </w:pPr>
            <w:r>
              <w:rPr>
                <w:rFonts w:hint="eastAsia" w:ascii="宋体" w:hAnsi="宋体" w:cs="宋体"/>
                <w:b/>
                <w:bCs/>
                <w:szCs w:val="21"/>
              </w:rPr>
              <w:t>数量</w:t>
            </w:r>
          </w:p>
          <w:p w14:paraId="7F18744E">
            <w:pPr>
              <w:spacing w:line="360" w:lineRule="auto"/>
              <w:jc w:val="center"/>
              <w:rPr>
                <w:rFonts w:hint="eastAsia" w:ascii="宋体" w:hAnsi="宋体" w:cs="宋体"/>
                <w:b/>
                <w:bCs/>
                <w:szCs w:val="21"/>
              </w:rPr>
            </w:pPr>
            <w:r>
              <w:rPr>
                <w:rFonts w:hint="eastAsia" w:ascii="宋体" w:hAnsi="宋体" w:cs="宋体"/>
                <w:b/>
                <w:bCs/>
                <w:szCs w:val="21"/>
              </w:rPr>
              <w:t>（单位）</w:t>
            </w:r>
          </w:p>
        </w:tc>
        <w:tc>
          <w:tcPr>
            <w:tcW w:w="511" w:type="pct"/>
            <w:vMerge w:val="restart"/>
            <w:noWrap w:val="0"/>
            <w:vAlign w:val="center"/>
          </w:tcPr>
          <w:p w14:paraId="6DA0A93E">
            <w:pPr>
              <w:spacing w:line="360" w:lineRule="auto"/>
              <w:jc w:val="center"/>
              <w:rPr>
                <w:rFonts w:hint="eastAsia" w:ascii="宋体" w:hAnsi="宋体" w:cs="宋体"/>
                <w:b/>
                <w:bCs/>
                <w:szCs w:val="21"/>
              </w:rPr>
            </w:pPr>
            <w:r>
              <w:rPr>
                <w:rFonts w:hint="eastAsia" w:ascii="宋体" w:hAnsi="宋体" w:cs="宋体"/>
                <w:b/>
                <w:bCs/>
                <w:szCs w:val="21"/>
              </w:rPr>
              <w:t>所属</w:t>
            </w:r>
          </w:p>
          <w:p w14:paraId="014D1C6D">
            <w:pPr>
              <w:spacing w:line="360" w:lineRule="auto"/>
              <w:jc w:val="center"/>
              <w:rPr>
                <w:rFonts w:hint="eastAsia" w:ascii="宋体" w:hAnsi="宋体" w:cs="宋体"/>
                <w:b/>
                <w:bCs/>
                <w:szCs w:val="21"/>
              </w:rPr>
            </w:pPr>
            <w:r>
              <w:rPr>
                <w:rFonts w:hint="eastAsia" w:ascii="宋体" w:hAnsi="宋体" w:cs="宋体"/>
                <w:b/>
                <w:bCs/>
                <w:szCs w:val="21"/>
              </w:rPr>
              <w:t>行业</w:t>
            </w:r>
          </w:p>
        </w:tc>
      </w:tr>
      <w:tr w14:paraId="4D70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6" w:type="pct"/>
            <w:vMerge w:val="continue"/>
            <w:noWrap w:val="0"/>
            <w:vAlign w:val="center"/>
          </w:tcPr>
          <w:p w14:paraId="7E4BA64C">
            <w:pPr>
              <w:spacing w:line="360" w:lineRule="auto"/>
              <w:jc w:val="center"/>
              <w:rPr>
                <w:rFonts w:hint="eastAsia" w:ascii="宋体" w:hAnsi="宋体" w:cs="宋体"/>
                <w:b/>
                <w:bCs/>
                <w:szCs w:val="21"/>
              </w:rPr>
            </w:pPr>
          </w:p>
        </w:tc>
        <w:tc>
          <w:tcPr>
            <w:tcW w:w="398" w:type="pct"/>
            <w:vMerge w:val="continue"/>
            <w:noWrap w:val="0"/>
            <w:vAlign w:val="center"/>
          </w:tcPr>
          <w:p w14:paraId="2A825ED4">
            <w:pPr>
              <w:spacing w:line="360" w:lineRule="auto"/>
              <w:jc w:val="center"/>
              <w:rPr>
                <w:rFonts w:hint="eastAsia" w:ascii="宋体" w:hAnsi="宋体" w:cs="宋体"/>
                <w:b/>
                <w:bCs/>
                <w:szCs w:val="21"/>
              </w:rPr>
            </w:pPr>
          </w:p>
        </w:tc>
        <w:tc>
          <w:tcPr>
            <w:tcW w:w="3096" w:type="pct"/>
            <w:vMerge w:val="continue"/>
            <w:noWrap w:val="0"/>
            <w:vAlign w:val="center"/>
          </w:tcPr>
          <w:p w14:paraId="4BC70DAF">
            <w:pPr>
              <w:spacing w:line="360" w:lineRule="auto"/>
              <w:rPr>
                <w:rFonts w:hint="eastAsia" w:ascii="宋体" w:hAnsi="宋体" w:cs="宋体"/>
                <w:b/>
                <w:bCs/>
                <w:szCs w:val="21"/>
              </w:rPr>
            </w:pPr>
          </w:p>
        </w:tc>
        <w:tc>
          <w:tcPr>
            <w:tcW w:w="617" w:type="pct"/>
            <w:vMerge w:val="continue"/>
            <w:noWrap w:val="0"/>
            <w:vAlign w:val="center"/>
          </w:tcPr>
          <w:p w14:paraId="2A659024">
            <w:pPr>
              <w:spacing w:line="360" w:lineRule="auto"/>
              <w:jc w:val="center"/>
              <w:rPr>
                <w:rFonts w:hint="eastAsia" w:ascii="宋体" w:hAnsi="宋体" w:cs="宋体"/>
                <w:b/>
                <w:bCs/>
                <w:szCs w:val="21"/>
              </w:rPr>
            </w:pPr>
          </w:p>
        </w:tc>
        <w:tc>
          <w:tcPr>
            <w:tcW w:w="511" w:type="pct"/>
            <w:vMerge w:val="continue"/>
            <w:noWrap w:val="0"/>
            <w:vAlign w:val="center"/>
          </w:tcPr>
          <w:p w14:paraId="3F94A842">
            <w:pPr>
              <w:spacing w:line="360" w:lineRule="auto"/>
              <w:jc w:val="center"/>
              <w:rPr>
                <w:rFonts w:hint="eastAsia" w:ascii="宋体" w:hAnsi="宋体" w:cs="宋体"/>
                <w:b/>
                <w:bCs/>
                <w:szCs w:val="21"/>
              </w:rPr>
            </w:pPr>
          </w:p>
        </w:tc>
      </w:tr>
      <w:tr w14:paraId="6907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76" w:type="pct"/>
            <w:noWrap w:val="0"/>
            <w:vAlign w:val="center"/>
          </w:tcPr>
          <w:p w14:paraId="673FD587">
            <w:pPr>
              <w:spacing w:line="360" w:lineRule="auto"/>
              <w:jc w:val="center"/>
              <w:rPr>
                <w:rFonts w:hint="eastAsia" w:ascii="宋体" w:hAnsi="宋体" w:cs="宋体"/>
                <w:szCs w:val="21"/>
              </w:rPr>
            </w:pPr>
            <w:r>
              <w:rPr>
                <w:rFonts w:hint="eastAsia" w:ascii="宋体" w:hAnsi="宋体" w:cs="宋体"/>
                <w:szCs w:val="21"/>
              </w:rPr>
              <w:t>1</w:t>
            </w:r>
          </w:p>
        </w:tc>
        <w:tc>
          <w:tcPr>
            <w:tcW w:w="398" w:type="pct"/>
            <w:noWrap w:val="0"/>
            <w:vAlign w:val="center"/>
          </w:tcPr>
          <w:p w14:paraId="09106893">
            <w:pPr>
              <w:spacing w:line="360" w:lineRule="auto"/>
              <w:jc w:val="center"/>
              <w:rPr>
                <w:rFonts w:ascii="宋体" w:hAnsi="宋体" w:cs="宋体"/>
                <w:bCs/>
                <w:szCs w:val="21"/>
              </w:rPr>
            </w:pPr>
            <w:r>
              <w:rPr>
                <w:rFonts w:hint="eastAsia" w:ascii="宋体" w:hAnsi="宋体" w:cs="宋体"/>
                <w:bCs/>
                <w:szCs w:val="21"/>
              </w:rPr>
              <w:t>细胞能量代谢分析系统（进口）</w:t>
            </w:r>
          </w:p>
        </w:tc>
        <w:tc>
          <w:tcPr>
            <w:tcW w:w="3096" w:type="pct"/>
            <w:noWrap w:val="0"/>
            <w:vAlign w:val="center"/>
          </w:tcPr>
          <w:p w14:paraId="3C6E284B">
            <w:pPr>
              <w:spacing w:line="240" w:lineRule="auto"/>
              <w:jc w:val="left"/>
              <w:rPr>
                <w:rFonts w:hint="eastAsia" w:ascii="宋体" w:hAnsi="宋体" w:cs="宋体"/>
                <w:bCs/>
                <w:szCs w:val="21"/>
              </w:rPr>
            </w:pPr>
            <w:r>
              <w:rPr>
                <w:rFonts w:hint="eastAsia" w:ascii="宋体" w:hAnsi="宋体" w:cs="宋体"/>
                <w:bCs/>
                <w:szCs w:val="21"/>
              </w:rPr>
              <w:t>1.设备用途和系统性能</w:t>
            </w:r>
          </w:p>
          <w:p w14:paraId="66CDFF8A">
            <w:pPr>
              <w:spacing w:line="240" w:lineRule="auto"/>
              <w:jc w:val="left"/>
              <w:rPr>
                <w:rFonts w:hint="eastAsia" w:ascii="宋体" w:hAnsi="宋体" w:cs="宋体"/>
                <w:bCs/>
                <w:szCs w:val="21"/>
              </w:rPr>
            </w:pPr>
            <w:r>
              <w:rPr>
                <w:rFonts w:hint="eastAsia" w:ascii="宋体" w:hAnsi="宋体" w:cs="宋体"/>
                <w:bCs/>
                <w:szCs w:val="21"/>
              </w:rPr>
              <w:t>细胞能量代谢分析系统使用高灵敏度微型传感器及创新的检测原理，在不破坏样本、不侵入细胞、实验条件无生物危害性的前提下实现实时、高通量、多样本来源的细胞有氧呼吸以及糖酵解作用的检测。在一次实验中能够得到样本的基础呼吸能力、ATP转换、质子渗漏、极限呼吸能力、储备呼吸能力、糖酵解通量、最大糖酵解能力及糖酵解储备能力等细胞代谢主要指标的检测值，并得到细胞生物能量的变化图。并通过这两大能量生成途径的实时对比，揭示它们之间的动态互动变化。</w:t>
            </w:r>
          </w:p>
          <w:p w14:paraId="648782F4">
            <w:pPr>
              <w:spacing w:line="240" w:lineRule="auto"/>
              <w:jc w:val="left"/>
              <w:rPr>
                <w:rFonts w:hint="eastAsia" w:ascii="宋体" w:hAnsi="宋体" w:cs="宋体"/>
                <w:bCs/>
                <w:szCs w:val="21"/>
              </w:rPr>
            </w:pPr>
            <w:r>
              <w:rPr>
                <w:rFonts w:hint="eastAsia" w:ascii="宋体" w:hAnsi="宋体" w:cs="宋体"/>
                <w:bCs/>
                <w:szCs w:val="21"/>
              </w:rPr>
              <w:t>2.仪器工作条件</w:t>
            </w:r>
          </w:p>
          <w:p w14:paraId="09B871CB">
            <w:pPr>
              <w:spacing w:line="240" w:lineRule="auto"/>
              <w:jc w:val="left"/>
              <w:rPr>
                <w:rFonts w:hint="eastAsia" w:ascii="宋体" w:hAnsi="宋体" w:cs="宋体"/>
                <w:bCs/>
                <w:szCs w:val="21"/>
              </w:rPr>
            </w:pPr>
            <w:r>
              <w:rPr>
                <w:rFonts w:hint="eastAsia" w:ascii="宋体" w:hAnsi="宋体" w:cs="宋体"/>
                <w:bCs/>
                <w:szCs w:val="21"/>
              </w:rPr>
              <w:t>2.1.工作温度范围：15℃-30℃;</w:t>
            </w:r>
          </w:p>
          <w:p w14:paraId="3887A463">
            <w:pPr>
              <w:spacing w:line="240" w:lineRule="auto"/>
              <w:jc w:val="left"/>
              <w:rPr>
                <w:rFonts w:hint="eastAsia" w:ascii="宋体" w:hAnsi="宋体" w:cs="宋体"/>
                <w:bCs/>
                <w:szCs w:val="21"/>
              </w:rPr>
            </w:pPr>
            <w:r>
              <w:rPr>
                <w:rFonts w:hint="eastAsia" w:ascii="宋体" w:hAnsi="宋体" w:cs="宋体"/>
                <w:bCs/>
                <w:szCs w:val="21"/>
              </w:rPr>
              <w:t>2.2.工作湿度范围：60% 以下；</w:t>
            </w:r>
          </w:p>
          <w:p w14:paraId="52AF27C7">
            <w:pPr>
              <w:spacing w:line="240" w:lineRule="auto"/>
              <w:jc w:val="left"/>
              <w:rPr>
                <w:rFonts w:hint="eastAsia" w:ascii="宋体" w:hAnsi="宋体" w:cs="宋体"/>
                <w:bCs/>
                <w:szCs w:val="21"/>
              </w:rPr>
            </w:pPr>
            <w:r>
              <w:rPr>
                <w:rFonts w:hint="eastAsia" w:ascii="宋体" w:hAnsi="宋体" w:cs="宋体"/>
                <w:bCs/>
                <w:szCs w:val="21"/>
              </w:rPr>
              <w:t>2.3.电源要求：220-230V，50/60Hz。</w:t>
            </w:r>
          </w:p>
          <w:p w14:paraId="41830D23">
            <w:pPr>
              <w:spacing w:line="240" w:lineRule="auto"/>
              <w:jc w:val="left"/>
              <w:rPr>
                <w:rFonts w:hint="eastAsia" w:ascii="宋体" w:hAnsi="宋体" w:cs="宋体"/>
                <w:bCs/>
                <w:szCs w:val="21"/>
              </w:rPr>
            </w:pPr>
            <w:r>
              <w:rPr>
                <w:rFonts w:hint="eastAsia" w:ascii="宋体" w:hAnsi="宋体" w:cs="宋体"/>
                <w:bCs/>
                <w:szCs w:val="21"/>
              </w:rPr>
              <w:t>3.主要技术参数</w:t>
            </w:r>
          </w:p>
          <w:p w14:paraId="7D9BAE0E">
            <w:pPr>
              <w:spacing w:line="240" w:lineRule="auto"/>
              <w:jc w:val="left"/>
              <w:rPr>
                <w:rFonts w:hint="eastAsia" w:ascii="宋体" w:hAnsi="宋体" w:cs="宋体"/>
                <w:bCs/>
                <w:szCs w:val="21"/>
              </w:rPr>
            </w:pPr>
            <w:r>
              <w:rPr>
                <w:rFonts w:hint="eastAsia" w:ascii="宋体" w:hAnsi="宋体" w:cs="宋体"/>
                <w:bCs/>
                <w:szCs w:val="21"/>
              </w:rPr>
              <w:t>★3.1.平行检测样品量：单次可满足&gt;20个样品的平行检测。</w:t>
            </w:r>
          </w:p>
          <w:p w14:paraId="1CF1D4B5">
            <w:pPr>
              <w:spacing w:line="240" w:lineRule="auto"/>
              <w:jc w:val="left"/>
              <w:rPr>
                <w:rFonts w:hint="eastAsia" w:ascii="宋体" w:hAnsi="宋体" w:cs="宋体"/>
                <w:bCs/>
                <w:szCs w:val="21"/>
              </w:rPr>
            </w:pPr>
            <w:r>
              <w:rPr>
                <w:rFonts w:hint="eastAsia" w:ascii="宋体" w:hAnsi="宋体" w:cs="宋体"/>
                <w:bCs/>
                <w:szCs w:val="21"/>
              </w:rPr>
              <w:t>3.2.数据采集：可同时检测线粒体功能与无氧代谢，即时反 应细胞生理状态变化，单次检测时间间隔≤20 秒。</w:t>
            </w:r>
          </w:p>
          <w:p w14:paraId="4C7EF732">
            <w:pPr>
              <w:spacing w:line="240" w:lineRule="auto"/>
              <w:jc w:val="left"/>
              <w:rPr>
                <w:rFonts w:hint="eastAsia" w:ascii="宋体" w:hAnsi="宋体" w:cs="宋体"/>
                <w:bCs/>
                <w:szCs w:val="21"/>
              </w:rPr>
            </w:pPr>
            <w:r>
              <w:rPr>
                <w:rFonts w:hint="eastAsia" w:ascii="宋体" w:hAnsi="宋体" w:cs="宋体"/>
                <w:bCs/>
                <w:szCs w:val="21"/>
              </w:rPr>
              <w:t>★3.3.非电解法检测，对样品无损伤，无需外加试剂，无需电解，对样本无破坏，实时动态分析。</w:t>
            </w:r>
          </w:p>
          <w:p w14:paraId="07D99FB8">
            <w:pPr>
              <w:spacing w:line="240" w:lineRule="auto"/>
              <w:jc w:val="left"/>
              <w:rPr>
                <w:rFonts w:hint="eastAsia" w:ascii="宋体" w:hAnsi="宋体" w:cs="宋体"/>
                <w:bCs/>
                <w:szCs w:val="21"/>
              </w:rPr>
            </w:pPr>
            <w:r>
              <w:rPr>
                <w:rFonts w:hint="eastAsia" w:ascii="宋体" w:hAnsi="宋体" w:cs="宋体"/>
                <w:bCs/>
                <w:szCs w:val="21"/>
              </w:rPr>
              <w:t xml:space="preserve">★3.4.实时多因子参数检测 : 同时分析 </w:t>
            </w:r>
            <w:r>
              <w:rPr>
                <w:rFonts w:hint="eastAsia" w:ascii="宋体" w:hAnsi="宋体" w:cs="宋体"/>
                <w:bCs/>
                <w:szCs w:val="21"/>
                <w:lang w:val="en-US" w:eastAsia="zh-CN"/>
              </w:rPr>
              <w:t>O2-</w:t>
            </w:r>
            <w:r>
              <w:rPr>
                <w:rFonts w:hint="eastAsia" w:ascii="宋体" w:hAnsi="宋体" w:cs="宋体"/>
                <w:bCs/>
                <w:szCs w:val="21"/>
              </w:rPr>
              <w:t>/H+，得到实时 0CR/ECAR 值 ,侦测有氧与无氧代谢途径。</w:t>
            </w:r>
          </w:p>
          <w:p w14:paraId="6CABB101">
            <w:pPr>
              <w:spacing w:line="240" w:lineRule="auto"/>
              <w:jc w:val="left"/>
              <w:rPr>
                <w:rFonts w:hint="eastAsia" w:ascii="宋体" w:hAnsi="宋体" w:cs="宋体"/>
                <w:bCs/>
                <w:szCs w:val="21"/>
              </w:rPr>
            </w:pPr>
            <w:r>
              <w:rPr>
                <w:rFonts w:hint="eastAsia" w:ascii="宋体" w:hAnsi="宋体" w:cs="宋体"/>
                <w:bCs/>
                <w:szCs w:val="21"/>
              </w:rPr>
              <w:t>★3.5.可检测项目：基础代谢率、极限呼吸率、呼吸储备能力、质子漏水平、产氧自由基等有害物的情况等参数。</w:t>
            </w:r>
          </w:p>
          <w:p w14:paraId="03D8D61A">
            <w:pPr>
              <w:spacing w:line="240" w:lineRule="auto"/>
              <w:jc w:val="left"/>
              <w:rPr>
                <w:rFonts w:hint="eastAsia" w:ascii="宋体" w:hAnsi="宋体" w:cs="宋体"/>
                <w:bCs/>
                <w:szCs w:val="21"/>
              </w:rPr>
            </w:pPr>
            <w:r>
              <w:rPr>
                <w:rFonts w:hint="eastAsia" w:ascii="宋体" w:hAnsi="宋体" w:cs="宋体"/>
                <w:bCs/>
                <w:szCs w:val="21"/>
              </w:rPr>
              <w:t>★3.6.探针类型：检测探针为专利的固态荧光探针，两种独立反应底物。</w:t>
            </w:r>
          </w:p>
          <w:p w14:paraId="502AD7D0">
            <w:pPr>
              <w:spacing w:line="240" w:lineRule="auto"/>
              <w:jc w:val="left"/>
              <w:rPr>
                <w:rFonts w:hint="eastAsia" w:ascii="宋体" w:hAnsi="宋体" w:cs="宋体"/>
                <w:bCs/>
                <w:szCs w:val="21"/>
              </w:rPr>
            </w:pPr>
            <w:r>
              <w:rPr>
                <w:rFonts w:hint="eastAsia" w:ascii="宋体" w:hAnsi="宋体" w:cs="宋体"/>
                <w:bCs/>
                <w:szCs w:val="21"/>
              </w:rPr>
              <w:t>★3.7.检测器：配有</w:t>
            </w:r>
            <w:r>
              <w:rPr>
                <w:rFonts w:hint="eastAsia" w:ascii="宋体" w:hAnsi="宋体" w:cs="宋体"/>
                <w:bCs/>
                <w:szCs w:val="21"/>
                <w:lang w:val="en-US" w:eastAsia="zh-CN"/>
              </w:rPr>
              <w:t>不少于</w:t>
            </w:r>
            <w:r>
              <w:rPr>
                <w:rFonts w:hint="eastAsia" w:ascii="宋体" w:hAnsi="宋体" w:cs="宋体"/>
                <w:bCs/>
                <w:szCs w:val="21"/>
              </w:rPr>
              <w:t>24个独立的光电二极管检测器，可同时对样品孔进行数据采集；而非采用单个检测器逐孔扫描的方式进行检测，避免因逐孔扫描产生的时间差对实验结果的影响。</w:t>
            </w:r>
          </w:p>
          <w:p w14:paraId="0E496923">
            <w:pPr>
              <w:spacing w:line="240" w:lineRule="auto"/>
              <w:jc w:val="left"/>
              <w:rPr>
                <w:rFonts w:hint="eastAsia" w:ascii="宋体" w:hAnsi="宋体" w:cs="宋体"/>
                <w:bCs/>
                <w:szCs w:val="21"/>
              </w:rPr>
            </w:pPr>
            <w:r>
              <w:rPr>
                <w:rFonts w:hint="eastAsia" w:ascii="宋体" w:hAnsi="宋体" w:cs="宋体"/>
                <w:bCs/>
                <w:szCs w:val="21"/>
              </w:rPr>
              <w:t>★3.8.传感器：传感器为独立于24孔的固态光纤传感器。</w:t>
            </w:r>
          </w:p>
          <w:p w14:paraId="5CA65BF4">
            <w:pPr>
              <w:spacing w:line="240" w:lineRule="auto"/>
              <w:jc w:val="left"/>
              <w:rPr>
                <w:rFonts w:hint="eastAsia" w:ascii="宋体" w:hAnsi="宋体" w:cs="宋体"/>
                <w:bCs/>
                <w:szCs w:val="21"/>
              </w:rPr>
            </w:pPr>
            <w:r>
              <w:rPr>
                <w:rFonts w:hint="eastAsia" w:ascii="宋体" w:hAnsi="宋体" w:cs="宋体"/>
                <w:bCs/>
                <w:szCs w:val="21"/>
              </w:rPr>
              <w:t>★3.9.自动加药槽：每个样品孔配有4通道自动加药槽，可按需设定加药程序。</w:t>
            </w:r>
          </w:p>
          <w:p w14:paraId="3ECA4D77">
            <w:pPr>
              <w:spacing w:line="240" w:lineRule="auto"/>
              <w:jc w:val="left"/>
              <w:rPr>
                <w:rFonts w:hint="eastAsia" w:ascii="宋体" w:hAnsi="宋体" w:cs="宋体"/>
                <w:bCs/>
                <w:szCs w:val="21"/>
              </w:rPr>
            </w:pPr>
            <w:r>
              <w:rPr>
                <w:rFonts w:hint="eastAsia" w:ascii="宋体" w:hAnsi="宋体" w:cs="宋体"/>
                <w:bCs/>
                <w:szCs w:val="21"/>
              </w:rPr>
              <w:t>★3.10.可在实验进程中加药，可调的混合系统，气体驱动的药物传递，自动混匀。整合了自动化药物注入系统，实验进程中可定时定量加入</w:t>
            </w:r>
            <w:r>
              <w:rPr>
                <w:rFonts w:hint="eastAsia" w:ascii="宋体" w:hAnsi="宋体" w:cs="宋体"/>
                <w:bCs/>
                <w:szCs w:val="21"/>
                <w:lang w:val="en-US" w:eastAsia="zh-CN"/>
              </w:rPr>
              <w:t>不少于</w:t>
            </w:r>
            <w:r>
              <w:rPr>
                <w:rFonts w:hint="eastAsia" w:ascii="宋体" w:hAnsi="宋体" w:cs="宋体"/>
                <w:bCs/>
                <w:szCs w:val="21"/>
              </w:rPr>
              <w:t>4种不同药物，容积不小于 50ul。可调的混合系统，气体驱动的药物传递，自动混匀。</w:t>
            </w:r>
          </w:p>
          <w:p w14:paraId="4066D939">
            <w:pPr>
              <w:spacing w:line="240" w:lineRule="auto"/>
              <w:jc w:val="left"/>
              <w:rPr>
                <w:rFonts w:hint="eastAsia" w:ascii="宋体" w:hAnsi="宋体" w:cs="宋体"/>
                <w:bCs/>
                <w:szCs w:val="21"/>
              </w:rPr>
            </w:pPr>
            <w:r>
              <w:rPr>
                <w:rFonts w:hint="eastAsia" w:ascii="宋体" w:hAnsi="宋体" w:cs="宋体"/>
                <w:bCs/>
                <w:szCs w:val="21"/>
              </w:rPr>
              <w:t>3.11.检测体积：500-1000ul/孔。</w:t>
            </w:r>
          </w:p>
          <w:p w14:paraId="37442888">
            <w:pPr>
              <w:spacing w:line="240" w:lineRule="auto"/>
              <w:jc w:val="left"/>
              <w:rPr>
                <w:rFonts w:hint="eastAsia" w:ascii="宋体" w:hAnsi="宋体" w:cs="宋体"/>
                <w:bCs/>
                <w:szCs w:val="21"/>
              </w:rPr>
            </w:pPr>
            <w:r>
              <w:rPr>
                <w:rFonts w:hint="eastAsia" w:ascii="宋体" w:hAnsi="宋体" w:cs="宋体"/>
                <w:bCs/>
                <w:szCs w:val="21"/>
              </w:rPr>
              <w:t>3.12.相同板重复误差≤ 5%。</w:t>
            </w:r>
          </w:p>
          <w:p w14:paraId="1387C06F">
            <w:pPr>
              <w:spacing w:line="240" w:lineRule="auto"/>
              <w:jc w:val="left"/>
              <w:rPr>
                <w:rFonts w:hint="eastAsia" w:ascii="宋体" w:hAnsi="宋体" w:cs="宋体"/>
                <w:bCs/>
                <w:szCs w:val="21"/>
              </w:rPr>
            </w:pPr>
            <w:r>
              <w:rPr>
                <w:rFonts w:hint="eastAsia" w:ascii="宋体" w:hAnsi="宋体" w:cs="宋体"/>
                <w:bCs/>
                <w:szCs w:val="21"/>
              </w:rPr>
              <w:t>3.13.可检测样品类型：可检测悬浮细胞、贴壁细胞、组织样品及分离线粒体样品</w:t>
            </w:r>
          </w:p>
          <w:p w14:paraId="18559978">
            <w:pPr>
              <w:spacing w:line="240" w:lineRule="auto"/>
              <w:jc w:val="left"/>
              <w:rPr>
                <w:rFonts w:hint="eastAsia" w:ascii="宋体" w:hAnsi="宋体" w:cs="宋体"/>
                <w:bCs/>
                <w:szCs w:val="21"/>
              </w:rPr>
            </w:pPr>
            <w:r>
              <w:rPr>
                <w:rFonts w:hint="eastAsia" w:ascii="宋体" w:hAnsi="宋体" w:cs="宋体"/>
                <w:bCs/>
                <w:szCs w:val="21"/>
              </w:rPr>
              <w:t>3.14.每孔需要样本量：每孔样本需要大鼠肝脏细胞数：≤ 60 × 10³ , 成肌细胞数：≤ 80 × 10³ , 神经元细胞数：≤ 150 × 10³ , 粒线体：≤ 30 μg。</w:t>
            </w:r>
          </w:p>
          <w:p w14:paraId="1905633E">
            <w:pPr>
              <w:spacing w:line="240" w:lineRule="auto"/>
              <w:jc w:val="left"/>
              <w:rPr>
                <w:rFonts w:hint="eastAsia" w:ascii="宋体" w:hAnsi="宋体" w:cs="宋体"/>
                <w:bCs/>
                <w:szCs w:val="21"/>
              </w:rPr>
            </w:pPr>
            <w:r>
              <w:rPr>
                <w:rFonts w:hint="eastAsia" w:ascii="宋体" w:hAnsi="宋体" w:cs="宋体"/>
                <w:bCs/>
                <w:szCs w:val="21"/>
              </w:rPr>
              <w:t>★3.15.仪器控制：整合电脑和触摸屏界面实现实验设计，仪器控制和数据分析。</w:t>
            </w:r>
          </w:p>
          <w:p w14:paraId="2B217F01">
            <w:pPr>
              <w:spacing w:line="240" w:lineRule="auto"/>
              <w:jc w:val="left"/>
              <w:rPr>
                <w:rFonts w:hint="eastAsia" w:ascii="宋体" w:hAnsi="宋体" w:cs="宋体"/>
                <w:bCs/>
                <w:szCs w:val="21"/>
              </w:rPr>
            </w:pPr>
            <w:r>
              <w:rPr>
                <w:rFonts w:hint="eastAsia" w:ascii="宋体" w:hAnsi="宋体" w:cs="宋体"/>
                <w:bCs/>
                <w:szCs w:val="21"/>
              </w:rPr>
              <w:t>★3.16.本设备要求为一体机（非多个模块拼凑组成），可在正常实验室环境中独立运行使用，无需放置在二氧化碳培养箱中或者其他特殊环境设备里才能使用。</w:t>
            </w:r>
          </w:p>
          <w:p w14:paraId="38D1B304">
            <w:pPr>
              <w:spacing w:line="240" w:lineRule="auto"/>
              <w:jc w:val="left"/>
              <w:rPr>
                <w:rFonts w:hint="eastAsia" w:ascii="宋体" w:hAnsi="宋体" w:cs="宋体"/>
                <w:bCs/>
                <w:szCs w:val="21"/>
              </w:rPr>
            </w:pPr>
            <w:r>
              <w:rPr>
                <w:rFonts w:hint="eastAsia" w:ascii="宋体" w:hAnsi="宋体" w:cs="宋体"/>
                <w:bCs/>
                <w:szCs w:val="21"/>
              </w:rPr>
              <w:t>3.17.配备数据工作站及分析系统：数据获取和分析软件，实时的数据获取和分析，耗氧率评估，胞外酸化速率评估，质子产率评估，耗氧率/酸化速率比值评估，中间点数据展示，点对点数据展示，，基础代谢分析运算,条形码保护系统。</w:t>
            </w:r>
          </w:p>
          <w:p w14:paraId="41117780">
            <w:pPr>
              <w:spacing w:line="240" w:lineRule="auto"/>
              <w:jc w:val="left"/>
              <w:rPr>
                <w:rFonts w:hint="eastAsia" w:ascii="宋体" w:hAnsi="宋体" w:cs="宋体"/>
                <w:bCs/>
                <w:szCs w:val="21"/>
              </w:rPr>
            </w:pPr>
            <w:r>
              <w:rPr>
                <w:rFonts w:hint="eastAsia" w:ascii="宋体" w:hAnsi="宋体" w:cs="宋体"/>
                <w:bCs/>
                <w:szCs w:val="21"/>
              </w:rPr>
              <w:t>4、配置清单：</w:t>
            </w:r>
          </w:p>
          <w:p w14:paraId="003B0324">
            <w:pPr>
              <w:spacing w:line="240" w:lineRule="auto"/>
              <w:jc w:val="left"/>
              <w:rPr>
                <w:rFonts w:hint="eastAsia" w:ascii="宋体" w:hAnsi="宋体" w:cs="宋体"/>
                <w:bCs/>
                <w:szCs w:val="21"/>
              </w:rPr>
            </w:pPr>
            <w:r>
              <w:rPr>
                <w:rFonts w:hint="eastAsia" w:ascii="宋体" w:hAnsi="宋体" w:cs="宋体"/>
                <w:bCs/>
                <w:szCs w:val="21"/>
              </w:rPr>
              <w:t>4.1 主机一台，标配能满足仪器运行的工作站电脑，正版操作系统及厂方标配操作及分析软件。</w:t>
            </w:r>
          </w:p>
          <w:p w14:paraId="3A2BEBF0">
            <w:pPr>
              <w:spacing w:line="240" w:lineRule="auto"/>
              <w:jc w:val="left"/>
              <w:rPr>
                <w:rFonts w:hint="eastAsia" w:ascii="宋体" w:hAnsi="宋体" w:cs="宋体"/>
                <w:bCs/>
                <w:szCs w:val="21"/>
              </w:rPr>
            </w:pPr>
            <w:r>
              <w:rPr>
                <w:rFonts w:hint="eastAsia" w:ascii="宋体" w:hAnsi="宋体" w:cs="宋体"/>
                <w:bCs/>
                <w:szCs w:val="21"/>
              </w:rPr>
              <w:t>4.2 配套耗材:</w:t>
            </w:r>
          </w:p>
          <w:p w14:paraId="21200A0D">
            <w:pPr>
              <w:spacing w:line="240" w:lineRule="auto"/>
              <w:jc w:val="left"/>
              <w:rPr>
                <w:rFonts w:hint="eastAsia" w:ascii="宋体" w:hAnsi="宋体" w:cs="宋体"/>
                <w:bCs/>
                <w:szCs w:val="21"/>
              </w:rPr>
            </w:pPr>
            <w:r>
              <w:rPr>
                <w:rFonts w:hint="eastAsia" w:ascii="宋体" w:hAnsi="宋体" w:cs="宋体"/>
                <w:bCs/>
                <w:szCs w:val="21"/>
                <w:lang w:val="en-US" w:eastAsia="zh-CN"/>
              </w:rPr>
              <w:t>仪器配套探针板细胞板</w:t>
            </w:r>
            <w:r>
              <w:rPr>
                <w:rFonts w:hint="eastAsia" w:ascii="宋体" w:hAnsi="宋体" w:cs="宋体"/>
                <w:bCs/>
                <w:szCs w:val="21"/>
              </w:rPr>
              <w:t xml:space="preserve"> 耗材包 2 箱；ATP 测试试剂盒 1 盒；线粒体压力测试试剂盒 1盒；糖酵解速率测试试剂盒  1盒；</w:t>
            </w:r>
            <w:r>
              <w:rPr>
                <w:rFonts w:hint="eastAsia" w:ascii="宋体" w:hAnsi="宋体" w:cs="宋体"/>
                <w:bCs/>
                <w:szCs w:val="21"/>
                <w:lang w:val="en-US" w:eastAsia="zh-CN"/>
              </w:rPr>
              <w:t>免调</w:t>
            </w:r>
            <w:r>
              <w:rPr>
                <w:rFonts w:hint="eastAsia" w:ascii="宋体" w:hAnsi="宋体" w:cs="宋体"/>
                <w:bCs/>
                <w:szCs w:val="21"/>
              </w:rPr>
              <w:t>PH 检测液套装 1套</w:t>
            </w:r>
          </w:p>
          <w:p w14:paraId="5E90FF47">
            <w:pPr>
              <w:spacing w:line="240" w:lineRule="auto"/>
              <w:jc w:val="left"/>
              <w:rPr>
                <w:rFonts w:hint="eastAsia" w:ascii="宋体" w:hAnsi="宋体" w:cs="宋体"/>
                <w:bCs/>
                <w:szCs w:val="21"/>
              </w:rPr>
            </w:pPr>
            <w:r>
              <w:rPr>
                <w:rFonts w:hint="eastAsia" w:ascii="宋体" w:hAnsi="宋体" w:cs="宋体"/>
                <w:bCs/>
                <w:szCs w:val="21"/>
              </w:rPr>
              <w:t xml:space="preserve">4.3 数据工作站及分析系统一套 </w:t>
            </w:r>
          </w:p>
          <w:p w14:paraId="46F7797D">
            <w:pPr>
              <w:spacing w:line="240" w:lineRule="auto"/>
              <w:jc w:val="left"/>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5</w:t>
            </w:r>
            <w:r>
              <w:rPr>
                <w:rFonts w:hint="eastAsia" w:ascii="宋体" w:hAnsi="宋体" w:cs="宋体"/>
                <w:bCs/>
                <w:szCs w:val="21"/>
              </w:rPr>
              <w:t>.投标人所投产品如为进口产品，投标文件内必须提供生产厂家（或国内合法总代理）针对本采购项目（标注项目编号）的授权书，否则投标无效。</w:t>
            </w:r>
          </w:p>
        </w:tc>
        <w:tc>
          <w:tcPr>
            <w:tcW w:w="617" w:type="pct"/>
            <w:noWrap w:val="0"/>
            <w:vAlign w:val="center"/>
          </w:tcPr>
          <w:p w14:paraId="0D7FFA7B">
            <w:pPr>
              <w:spacing w:line="360" w:lineRule="auto"/>
              <w:jc w:val="center"/>
              <w:rPr>
                <w:rFonts w:hint="eastAsia" w:ascii="宋体" w:hAnsi="宋体" w:cs="宋体"/>
                <w:bCs/>
                <w:szCs w:val="21"/>
              </w:rPr>
            </w:pPr>
            <w:r>
              <w:rPr>
                <w:rFonts w:hint="eastAsia" w:ascii="宋体" w:hAnsi="宋体"/>
                <w:sz w:val="24"/>
                <w:szCs w:val="28"/>
              </w:rPr>
              <w:t>1台</w:t>
            </w:r>
          </w:p>
        </w:tc>
        <w:tc>
          <w:tcPr>
            <w:tcW w:w="511" w:type="pct"/>
            <w:noWrap w:val="0"/>
            <w:vAlign w:val="center"/>
          </w:tcPr>
          <w:p w14:paraId="4DC9DCCA">
            <w:pPr>
              <w:spacing w:line="360" w:lineRule="auto"/>
              <w:jc w:val="center"/>
              <w:rPr>
                <w:rFonts w:hint="eastAsia" w:ascii="宋体" w:hAnsi="宋体" w:eastAsia="宋体" w:cs="宋体"/>
                <w:bCs/>
                <w:szCs w:val="21"/>
                <w:lang w:val="en-US" w:eastAsia="zh-CN"/>
              </w:rPr>
            </w:pPr>
            <w:r>
              <w:rPr>
                <w:rFonts w:hint="eastAsia" w:ascii="宋体" w:hAnsi="宋体" w:cs="宋体"/>
                <w:bCs/>
                <w:szCs w:val="21"/>
                <w:lang w:val="en-US" w:eastAsia="zh-CN"/>
              </w:rPr>
              <w:t>工业</w:t>
            </w:r>
          </w:p>
        </w:tc>
      </w:tr>
      <w:tr w14:paraId="7295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000" w:type="pct"/>
            <w:gridSpan w:val="5"/>
            <w:noWrap w:val="0"/>
            <w:vAlign w:val="center"/>
          </w:tcPr>
          <w:p w14:paraId="62E5A306">
            <w:pPr>
              <w:spacing w:line="360" w:lineRule="auto"/>
              <w:jc w:val="center"/>
              <w:rPr>
                <w:rFonts w:hint="eastAsia" w:ascii="宋体" w:hAnsi="宋体" w:cs="宋体"/>
                <w:bCs/>
                <w:szCs w:val="21"/>
                <w:lang w:val="en-US" w:eastAsia="zh-CN"/>
              </w:rPr>
            </w:pPr>
            <w:bookmarkStart w:id="5" w:name="_Toc7421"/>
            <w:bookmarkStart w:id="6" w:name="_Toc4843"/>
            <w:r>
              <w:rPr>
                <w:rFonts w:hint="eastAsia" w:ascii="宋体" w:hAnsi="宋体" w:eastAsia="宋体" w:cs="宋体"/>
                <w:bCs/>
                <w:szCs w:val="21"/>
                <w:lang w:val="en-US" w:eastAsia="zh-CN"/>
              </w:rPr>
              <w:t>备注：上述参数允许正偏离</w:t>
            </w:r>
          </w:p>
        </w:tc>
      </w:tr>
      <w:bookmarkEnd w:id="5"/>
      <w:bookmarkEnd w:id="6"/>
    </w:tbl>
    <w:p w14:paraId="71B6CC0E"/>
    <w:p w14:paraId="774F172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mU2NjY5NjU3OTdkMzdiNTRiMjI4MDgxYWE5YWYifQ=="/>
  </w:docVars>
  <w:rsids>
    <w:rsidRoot w:val="00000000"/>
    <w:rsid w:val="3EC0437E"/>
    <w:rsid w:val="60EC14EA"/>
    <w:rsid w:val="7624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jc w:val="center"/>
      <w:outlineLvl w:val="0"/>
    </w:pPr>
    <w:rPr>
      <w:rFonts w:ascii="Arial" w:hAnsi="Arial" w:eastAsia="宋体" w:cs="Arial"/>
      <w:b/>
      <w:snapToGrid w:val="0"/>
      <w:color w:val="000000"/>
      <w:kern w:val="44"/>
      <w:sz w:val="36"/>
      <w:szCs w:val="21"/>
      <w:lang w:eastAsia="en-US"/>
    </w:rPr>
  </w:style>
  <w:style w:type="paragraph" w:styleId="3">
    <w:name w:val="heading 3"/>
    <w:basedOn w:val="1"/>
    <w:next w:val="1"/>
    <w:semiHidden/>
    <w:unhideWhenUsed/>
    <w:qFormat/>
    <w:uiPriority w:val="0"/>
    <w:pPr>
      <w:spacing w:before="2"/>
      <w:ind w:left="1162"/>
      <w:outlineLvl w:val="2"/>
    </w:pPr>
    <w:rPr>
      <w:rFonts w:ascii="Arial" w:hAnsi="Arial" w:eastAsia="宋体" w:cs="Arial"/>
      <w:b/>
      <w:bCs/>
      <w:snapToGrid w:val="0"/>
      <w:color w:val="000000"/>
      <w:kern w:val="0"/>
      <w:sz w:val="24"/>
      <w:szCs w:val="24"/>
      <w:lang w:eastAsia="en-US"/>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1 Char"/>
    <w:link w:val="2"/>
    <w:uiPriority w:val="0"/>
    <w:rPr>
      <w:rFonts w:ascii="Arial" w:hAnsi="Arial" w:eastAsia="宋体" w:cs="Arial"/>
      <w:b/>
      <w:snapToGrid w:val="0"/>
      <w:color w:val="000000"/>
      <w:kern w:val="44"/>
      <w:sz w:val="36"/>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2024-01-09T13:45:00Z</dcterms:created>
  <dc:creator>DELL</dc:creator>
  <cp:lastModifiedBy>张飞</cp:lastModifiedBy>
  <dcterms:modified xsi:type="dcterms:W3CDTF">2024-09-23T06:10:38Z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EAD469E0072847D2ACD29D822949A3D5_12</vt:lpwstr>
  </property>
</Properties>
</file>