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497E7">
      <w:pPr>
        <w:pStyle w:val="4"/>
        <w:widowControl/>
        <w:snapToGrid w:val="0"/>
        <w:spacing w:before="0" w:after="0" w:line="360" w:lineRule="auto"/>
        <w:jc w:val="center"/>
        <w:rPr>
          <w:rFonts w:hint="eastAsia" w:ascii="宋体" w:hAnsi="宋体" w:eastAsia="仿宋"/>
        </w:rPr>
      </w:pPr>
      <w:bookmarkStart w:id="4" w:name="_GoBack"/>
      <w:bookmarkEnd w:id="4"/>
      <w:bookmarkStart w:id="0" w:name="_Toc28978"/>
      <w:bookmarkStart w:id="1" w:name="_Toc445554746"/>
      <w:bookmarkStart w:id="2" w:name="_Toc466024555"/>
      <w:r>
        <w:rPr>
          <w:rFonts w:hint="eastAsia" w:ascii="宋体" w:hAnsi="宋体" w:eastAsia="仿宋"/>
        </w:rPr>
        <w:t>采购需求</w:t>
      </w:r>
      <w:bookmarkEnd w:id="0"/>
      <w:bookmarkEnd w:id="1"/>
      <w:bookmarkEnd w:id="2"/>
    </w:p>
    <w:p w14:paraId="7A824956">
      <w:pPr>
        <w:pStyle w:val="19"/>
        <w:spacing w:line="360" w:lineRule="auto"/>
        <w:rPr>
          <w:rFonts w:hint="eastAsia" w:hAnsi="宋体" w:eastAsia="仿宋"/>
          <w:bCs/>
          <w:sz w:val="24"/>
          <w:szCs w:val="24"/>
        </w:rPr>
      </w:pPr>
      <w:r>
        <w:rPr>
          <w:rFonts w:hint="eastAsia" w:hAnsi="宋体" w:eastAsia="仿宋"/>
          <w:bCs/>
          <w:sz w:val="24"/>
          <w:szCs w:val="24"/>
        </w:rPr>
        <w:t>前注：</w:t>
      </w:r>
    </w:p>
    <w:p w14:paraId="7659AA5E">
      <w:pPr>
        <w:pStyle w:val="19"/>
        <w:spacing w:line="360" w:lineRule="auto"/>
        <w:ind w:firstLine="480" w:firstLineChars="200"/>
        <w:rPr>
          <w:rFonts w:hAnsi="宋体" w:eastAsia="仿宋"/>
          <w:bCs/>
          <w:sz w:val="24"/>
          <w:szCs w:val="24"/>
        </w:rPr>
      </w:pPr>
      <w:r>
        <w:rPr>
          <w:rFonts w:hint="eastAsia" w:hAnsi="宋体" w:eastAsia="仿宋"/>
          <w:bCs/>
          <w:sz w:val="24"/>
          <w:szCs w:val="24"/>
        </w:rPr>
        <w:t>本说明中提出的技术方案仅为参考，如无明确限制，供应商可以进行优化，提供满足用户实际需要的更优(或者性能实质上不低于的)服务方案，且此方案须经磋商小组评审认可。</w:t>
      </w:r>
    </w:p>
    <w:p w14:paraId="49CCAF67">
      <w:pPr>
        <w:pStyle w:val="19"/>
        <w:spacing w:line="360" w:lineRule="auto"/>
        <w:ind w:firstLine="480" w:firstLineChars="200"/>
        <w:rPr>
          <w:rFonts w:hAnsi="宋体" w:eastAsia="仿宋"/>
          <w:bCs/>
          <w:sz w:val="24"/>
          <w:szCs w:val="24"/>
        </w:rPr>
      </w:pPr>
      <w:r>
        <w:rPr>
          <w:rFonts w:hint="eastAsia" w:hAnsi="宋体" w:eastAsia="仿宋"/>
          <w:bCs/>
          <w:sz w:val="24"/>
          <w:szCs w:val="24"/>
        </w:rPr>
        <w:t>1.</w:t>
      </w:r>
      <w:r>
        <w:rPr>
          <w:rFonts w:hint="eastAsia"/>
        </w:rPr>
        <w:t xml:space="preserve"> </w:t>
      </w:r>
      <w:r>
        <w:rPr>
          <w:rFonts w:hint="eastAsia" w:hAnsi="宋体" w:eastAsia="仿宋"/>
          <w:bCs/>
          <w:sz w:val="24"/>
          <w:szCs w:val="24"/>
        </w:rPr>
        <w:t>本章所提出的技术要求是对本次采购服务的基本要求，并未涉及所有技术细节，也未充分引述有关标准、规范的全部条款。供应商应保证其提供的服务除了满足本技术要求外，还应符合中国国家、行业、地方或服务提供商所在国的有关强制性标准、规范。当上述标准、规范的有关规定之间存在差异时，应以要求高的为准。</w:t>
      </w:r>
    </w:p>
    <w:p w14:paraId="6F189BC2">
      <w:pPr>
        <w:pStyle w:val="19"/>
        <w:spacing w:line="360" w:lineRule="auto"/>
        <w:ind w:firstLine="480" w:firstLineChars="200"/>
        <w:rPr>
          <w:rFonts w:hAnsi="宋体" w:eastAsia="仿宋"/>
          <w:bCs/>
          <w:sz w:val="24"/>
          <w:szCs w:val="24"/>
        </w:rPr>
      </w:pPr>
      <w:r>
        <w:rPr>
          <w:rFonts w:hint="eastAsia" w:hAnsi="宋体" w:eastAsia="仿宋"/>
          <w:bCs/>
          <w:sz w:val="24"/>
          <w:szCs w:val="24"/>
        </w:rPr>
        <w:t>2.</w:t>
      </w:r>
      <w:r>
        <w:rPr>
          <w:rFonts w:hint="eastAsia"/>
        </w:rPr>
        <w:t xml:space="preserve"> </w:t>
      </w:r>
      <w:r>
        <w:rPr>
          <w:rFonts w:hint="eastAsia" w:hAnsi="宋体" w:eastAsia="仿宋"/>
          <w:bCs/>
          <w:sz w:val="24"/>
          <w:szCs w:val="24"/>
        </w:rPr>
        <w:t>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074023D6">
      <w:pPr>
        <w:pStyle w:val="19"/>
        <w:spacing w:line="360" w:lineRule="auto"/>
        <w:ind w:firstLine="480" w:firstLineChars="200"/>
        <w:rPr>
          <w:rFonts w:hAnsi="宋体" w:eastAsia="仿宋"/>
          <w:bCs/>
          <w:sz w:val="24"/>
          <w:szCs w:val="24"/>
        </w:rPr>
      </w:pPr>
      <w:r>
        <w:rPr>
          <w:rFonts w:hint="eastAsia" w:hAnsi="宋体" w:eastAsia="仿宋"/>
          <w:bCs/>
          <w:sz w:val="24"/>
          <w:szCs w:val="24"/>
        </w:rPr>
        <w:t>3.</w:t>
      </w:r>
      <w:r>
        <w:rPr>
          <w:rFonts w:hint="eastAsia"/>
        </w:rPr>
        <w:t xml:space="preserve"> </w:t>
      </w:r>
      <w:r>
        <w:rPr>
          <w:rFonts w:hint="eastAsia" w:hAnsi="宋体" w:eastAsia="仿宋"/>
          <w:bCs/>
          <w:sz w:val="24"/>
          <w:szCs w:val="24"/>
        </w:rPr>
        <w:t>除非有特别说明，本章中所列的具体参数或参数范围，均理解为采购人可接受的最低要求。</w:t>
      </w:r>
    </w:p>
    <w:p w14:paraId="62DF2A0F">
      <w:pPr>
        <w:pStyle w:val="19"/>
        <w:spacing w:line="360" w:lineRule="auto"/>
        <w:ind w:firstLine="480" w:firstLineChars="200"/>
        <w:rPr>
          <w:rFonts w:hint="eastAsia" w:hAnsi="宋体" w:eastAsia="仿宋"/>
          <w:bCs/>
          <w:sz w:val="24"/>
          <w:szCs w:val="24"/>
        </w:rPr>
      </w:pPr>
      <w:r>
        <w:rPr>
          <w:rFonts w:hint="eastAsia" w:hAnsi="宋体" w:eastAsia="仿宋"/>
          <w:bCs/>
          <w:sz w:val="24"/>
          <w:szCs w:val="24"/>
        </w:rPr>
        <w:t>4.</w:t>
      </w:r>
      <w:r>
        <w:rPr>
          <w:rFonts w:hint="eastAsia"/>
        </w:rPr>
        <w:t xml:space="preserve"> </w:t>
      </w:r>
      <w:r>
        <w:rPr>
          <w:rFonts w:hint="eastAsia" w:hAnsi="宋体" w:eastAsia="仿宋"/>
          <w:bCs/>
          <w:sz w:val="24"/>
          <w:szCs w:val="24"/>
        </w:rPr>
        <w:t>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0BFFA31A">
      <w:pPr>
        <w:pStyle w:val="5"/>
      </w:pPr>
      <w:r>
        <w:rPr>
          <w:rFonts w:hint="eastAsia"/>
        </w:rPr>
        <w:t>一、采购需求前附表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678"/>
        <w:gridCol w:w="5761"/>
      </w:tblGrid>
      <w:tr w14:paraId="5CB9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281A0E2">
            <w:pPr>
              <w:pStyle w:val="19"/>
              <w:spacing w:line="360" w:lineRule="auto"/>
              <w:jc w:val="center"/>
              <w:rPr>
                <w:rFonts w:hint="eastAsia" w:hAnsi="宋体" w:eastAsia="仿宋"/>
                <w:bCs/>
                <w:sz w:val="24"/>
                <w:szCs w:val="24"/>
              </w:rPr>
            </w:pPr>
            <w:r>
              <w:rPr>
                <w:rFonts w:hint="eastAsia" w:hAnsi="宋体" w:eastAsia="仿宋"/>
                <w:bCs/>
                <w:sz w:val="24"/>
                <w:szCs w:val="24"/>
              </w:rPr>
              <w:t>序号</w:t>
            </w:r>
          </w:p>
        </w:tc>
        <w:tc>
          <w:tcPr>
            <w:tcW w:w="1985" w:type="dxa"/>
            <w:noWrap w:val="0"/>
            <w:vAlign w:val="center"/>
          </w:tcPr>
          <w:p w14:paraId="0AE9B3E2">
            <w:pPr>
              <w:pStyle w:val="19"/>
              <w:spacing w:line="360" w:lineRule="auto"/>
              <w:jc w:val="center"/>
              <w:rPr>
                <w:rFonts w:hint="eastAsia" w:hAnsi="宋体" w:eastAsia="仿宋"/>
                <w:bCs/>
                <w:sz w:val="24"/>
                <w:szCs w:val="24"/>
              </w:rPr>
            </w:pPr>
            <w:r>
              <w:rPr>
                <w:rFonts w:hint="eastAsia" w:hAnsi="宋体" w:eastAsia="仿宋"/>
                <w:bCs/>
                <w:sz w:val="24"/>
                <w:szCs w:val="24"/>
              </w:rPr>
              <w:t>条款名称</w:t>
            </w:r>
          </w:p>
        </w:tc>
        <w:tc>
          <w:tcPr>
            <w:tcW w:w="6627" w:type="dxa"/>
            <w:noWrap w:val="0"/>
            <w:vAlign w:val="center"/>
          </w:tcPr>
          <w:p w14:paraId="54D6CEFA">
            <w:pPr>
              <w:pStyle w:val="19"/>
              <w:spacing w:line="360" w:lineRule="auto"/>
              <w:jc w:val="center"/>
              <w:rPr>
                <w:rFonts w:hint="eastAsia" w:hAnsi="宋体" w:eastAsia="仿宋"/>
                <w:bCs/>
                <w:sz w:val="24"/>
                <w:szCs w:val="24"/>
              </w:rPr>
            </w:pPr>
            <w:r>
              <w:rPr>
                <w:rFonts w:hint="eastAsia" w:hAnsi="宋体" w:eastAsia="仿宋"/>
                <w:bCs/>
                <w:sz w:val="24"/>
                <w:szCs w:val="24"/>
              </w:rPr>
              <w:t>内容、说明与要求</w:t>
            </w:r>
          </w:p>
        </w:tc>
      </w:tr>
      <w:tr w14:paraId="698C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282A68F">
            <w:pPr>
              <w:pStyle w:val="19"/>
              <w:spacing w:line="360" w:lineRule="auto"/>
              <w:jc w:val="center"/>
              <w:rPr>
                <w:rFonts w:hint="eastAsia" w:hAnsi="宋体" w:eastAsia="仿宋"/>
                <w:bCs/>
                <w:sz w:val="24"/>
                <w:szCs w:val="24"/>
              </w:rPr>
            </w:pPr>
            <w:r>
              <w:rPr>
                <w:rFonts w:hint="eastAsia" w:hAnsi="宋体" w:eastAsia="仿宋"/>
                <w:bCs/>
                <w:sz w:val="24"/>
                <w:szCs w:val="24"/>
              </w:rPr>
              <w:t>1</w:t>
            </w:r>
          </w:p>
        </w:tc>
        <w:tc>
          <w:tcPr>
            <w:tcW w:w="1985" w:type="dxa"/>
            <w:noWrap w:val="0"/>
            <w:vAlign w:val="center"/>
          </w:tcPr>
          <w:p w14:paraId="27CC6A5B">
            <w:pPr>
              <w:pStyle w:val="19"/>
              <w:spacing w:line="360" w:lineRule="auto"/>
              <w:jc w:val="center"/>
              <w:rPr>
                <w:rFonts w:hint="eastAsia" w:hAnsi="宋体" w:eastAsia="仿宋"/>
                <w:bCs/>
                <w:sz w:val="24"/>
                <w:szCs w:val="24"/>
              </w:rPr>
            </w:pPr>
            <w:r>
              <w:rPr>
                <w:rFonts w:hint="eastAsia" w:hAnsi="宋体" w:eastAsia="仿宋"/>
                <w:bCs/>
                <w:sz w:val="24"/>
                <w:szCs w:val="24"/>
                <w:highlight w:val="none"/>
              </w:rPr>
              <w:t>付款方式</w:t>
            </w:r>
          </w:p>
        </w:tc>
        <w:tc>
          <w:tcPr>
            <w:tcW w:w="6627" w:type="dxa"/>
            <w:noWrap w:val="0"/>
            <w:vAlign w:val="center"/>
          </w:tcPr>
          <w:p w14:paraId="43A307AF">
            <w:pPr>
              <w:pStyle w:val="19"/>
              <w:spacing w:line="360" w:lineRule="auto"/>
              <w:jc w:val="left"/>
              <w:rPr>
                <w:rFonts w:hAnsi="宋体" w:eastAsia="仿宋"/>
                <w:bCs/>
                <w:sz w:val="24"/>
                <w:szCs w:val="24"/>
              </w:rPr>
            </w:pPr>
            <w:r>
              <w:rPr>
                <w:rFonts w:hint="eastAsia" w:hAnsi="宋体" w:eastAsia="仿宋"/>
                <w:b/>
                <w:sz w:val="24"/>
                <w:szCs w:val="24"/>
              </w:rPr>
              <w:t>成交供应商需提供预付款保函，</w:t>
            </w:r>
            <w:r>
              <w:rPr>
                <w:rFonts w:hint="eastAsia" w:hAnsi="宋体" w:eastAsia="仿宋"/>
                <w:bCs/>
                <w:sz w:val="24"/>
                <w:szCs w:val="24"/>
              </w:rPr>
              <w:t>成交供应商须向采购人提交合同金额40%预付款保函或其他担保措施作为担保，采购人将在合同、相关担保措施生效以及具备实施</w:t>
            </w:r>
            <w:r>
              <w:rPr>
                <w:rFonts w:hint="eastAsia" w:hAnsi="宋体" w:eastAsia="仿宋"/>
                <w:bCs/>
                <w:color w:val="auto"/>
                <w:sz w:val="24"/>
                <w:szCs w:val="24"/>
                <w:lang w:val="en-US" w:eastAsia="zh-CN"/>
              </w:rPr>
              <w:t>和支付</w:t>
            </w:r>
            <w:r>
              <w:rPr>
                <w:rFonts w:hint="eastAsia" w:hAnsi="宋体" w:eastAsia="仿宋"/>
                <w:bCs/>
                <w:sz w:val="24"/>
                <w:szCs w:val="24"/>
              </w:rPr>
              <w:t>条件后5个工作日内向成交供应商支付合同金额的40%作为预付款；在签订合同时，供应商书面明确表示无需预付款或者主动要求降低预付款比例的，采购人可不适用前述规定。</w:t>
            </w:r>
          </w:p>
          <w:p w14:paraId="06134AA1">
            <w:pPr>
              <w:pStyle w:val="19"/>
              <w:spacing w:line="360" w:lineRule="auto"/>
              <w:jc w:val="left"/>
              <w:rPr>
                <w:rFonts w:hint="eastAsia" w:hAnsi="宋体" w:eastAsia="仿宋"/>
                <w:bCs/>
                <w:sz w:val="24"/>
                <w:szCs w:val="24"/>
              </w:rPr>
            </w:pPr>
            <w:r>
              <w:rPr>
                <w:rFonts w:hint="eastAsia" w:hAnsi="宋体" w:eastAsia="仿宋"/>
                <w:bCs/>
                <w:sz w:val="24"/>
                <w:szCs w:val="24"/>
              </w:rPr>
              <w:t>备注：</w:t>
            </w:r>
          </w:p>
          <w:p w14:paraId="6B72C747">
            <w:pPr>
              <w:pStyle w:val="19"/>
              <w:spacing w:line="360" w:lineRule="auto"/>
              <w:jc w:val="left"/>
              <w:rPr>
                <w:rFonts w:hint="eastAsia" w:hAnsi="宋体" w:eastAsia="仿宋"/>
                <w:bCs/>
                <w:sz w:val="24"/>
                <w:szCs w:val="24"/>
              </w:rPr>
            </w:pPr>
            <w:r>
              <w:rPr>
                <w:rFonts w:hint="eastAsia" w:hAnsi="宋体" w:eastAsia="仿宋"/>
                <w:bCs/>
                <w:sz w:val="24"/>
                <w:szCs w:val="24"/>
              </w:rPr>
              <w:t>（1）预付款支付前，成交供应商须提交银行、保险公司、担保公司等金融机构出具的预付款保函(见索即付)或其他担保措施；成交供应商提供保函的受益人和收取单位须为采购人，担保期限不少于合同履约期限。</w:t>
            </w:r>
          </w:p>
          <w:p w14:paraId="21ABBD2E">
            <w:pPr>
              <w:pStyle w:val="19"/>
              <w:spacing w:line="360" w:lineRule="auto"/>
              <w:jc w:val="left"/>
              <w:rPr>
                <w:rFonts w:hAnsi="宋体" w:eastAsia="仿宋"/>
                <w:bCs/>
                <w:sz w:val="24"/>
                <w:szCs w:val="24"/>
              </w:rPr>
            </w:pPr>
            <w:r>
              <w:rPr>
                <w:rFonts w:hint="eastAsia" w:hAnsi="宋体" w:eastAsia="仿宋"/>
                <w:bCs/>
                <w:sz w:val="24"/>
                <w:szCs w:val="24"/>
              </w:rPr>
              <w:t>（2）</w:t>
            </w:r>
            <w:r>
              <w:rPr>
                <w:rFonts w:hint="eastAsia" w:ascii="宋体" w:hAnsi="宋体" w:eastAsia="仿宋" w:cs="Calibri"/>
                <w:sz w:val="24"/>
              </w:rPr>
              <w:t>保函形式：☑银行保函☑担保机构担保</w:t>
            </w:r>
            <w:r>
              <w:rPr>
                <w:rFonts w:hint="eastAsia" w:ascii="MS Mincho" w:hAnsi="MS Mincho" w:eastAsia="MS Mincho" w:cs="MS Mincho"/>
                <w:sz w:val="24"/>
              </w:rPr>
              <w:t>☑</w:t>
            </w:r>
            <w:r>
              <w:rPr>
                <w:rFonts w:hint="eastAsia" w:ascii="宋体" w:hAnsi="宋体" w:eastAsia="仿宋" w:cs="Calibri"/>
                <w:sz w:val="24"/>
              </w:rPr>
              <w:t>保证保险</w:t>
            </w:r>
            <w:r>
              <w:rPr>
                <w:rFonts w:hint="eastAsia" w:ascii="MS Mincho" w:hAnsi="MS Mincho" w:eastAsia="MS Mincho" w:cs="MS Mincho"/>
                <w:sz w:val="24"/>
              </w:rPr>
              <w:t>☑</w:t>
            </w:r>
            <w:r>
              <w:rPr>
                <w:rFonts w:hint="eastAsia" w:ascii="宋体" w:hAnsi="宋体" w:eastAsia="仿宋" w:cs="Calibri"/>
                <w:sz w:val="24"/>
              </w:rPr>
              <w:t>电子保函</w:t>
            </w:r>
          </w:p>
          <w:p w14:paraId="1A2D3C98">
            <w:pPr>
              <w:pStyle w:val="19"/>
              <w:spacing w:line="360" w:lineRule="auto"/>
              <w:jc w:val="left"/>
              <w:rPr>
                <w:rFonts w:hAnsi="宋体" w:eastAsia="仿宋"/>
                <w:bCs/>
                <w:sz w:val="24"/>
                <w:szCs w:val="24"/>
              </w:rPr>
            </w:pPr>
            <w:r>
              <w:rPr>
                <w:rFonts w:hint="eastAsia" w:ascii="宋体" w:hAnsi="宋体" w:eastAsia="仿宋" w:cs="Calibri"/>
                <w:sz w:val="24"/>
              </w:rPr>
              <w:t>（3）</w:t>
            </w:r>
            <w:r>
              <w:rPr>
                <w:rFonts w:hint="eastAsia" w:hAnsi="宋体" w:eastAsia="仿宋"/>
                <w:bCs/>
                <w:sz w:val="24"/>
                <w:szCs w:val="24"/>
              </w:rPr>
              <w:t>在签订合同时，成交供应商书面明确表示无需预 付款，即成交供应商无需提供预付款担保，按皖财购[2022]556号规定，采购人可不再支付预付款；</w:t>
            </w:r>
          </w:p>
          <w:p w14:paraId="0F9DF129">
            <w:pPr>
              <w:pStyle w:val="19"/>
              <w:spacing w:line="360" w:lineRule="auto"/>
              <w:jc w:val="left"/>
              <w:rPr>
                <w:rFonts w:hint="eastAsia" w:hAnsi="宋体" w:eastAsia="仿宋"/>
                <w:bCs/>
                <w:sz w:val="24"/>
                <w:szCs w:val="24"/>
              </w:rPr>
            </w:pPr>
            <w:r>
              <w:rPr>
                <w:rFonts w:hint="eastAsia" w:hAnsi="宋体" w:eastAsia="仿宋"/>
                <w:bCs/>
                <w:sz w:val="24"/>
                <w:szCs w:val="24"/>
              </w:rPr>
              <w:t>（4）保函递交要求：</w:t>
            </w:r>
          </w:p>
          <w:p w14:paraId="13E606DF">
            <w:pPr>
              <w:pStyle w:val="19"/>
              <w:spacing w:line="360" w:lineRule="auto"/>
              <w:jc w:val="left"/>
              <w:rPr>
                <w:rFonts w:hint="eastAsia" w:hAnsi="宋体" w:eastAsia="仿宋"/>
                <w:bCs/>
                <w:sz w:val="24"/>
                <w:szCs w:val="24"/>
              </w:rPr>
            </w:pPr>
            <w:r>
              <w:rPr>
                <w:rFonts w:hint="eastAsia" w:hAnsi="宋体" w:eastAsia="仿宋"/>
                <w:bCs/>
                <w:sz w:val="24"/>
                <w:szCs w:val="24"/>
              </w:rPr>
              <w:t>①如采用银行保函，银行保函应为见索即付无条件独立保函，且应将原件交至采购人保管。</w:t>
            </w:r>
          </w:p>
          <w:p w14:paraId="7B1BCE2F">
            <w:pPr>
              <w:pStyle w:val="19"/>
              <w:spacing w:line="360" w:lineRule="auto"/>
              <w:jc w:val="left"/>
              <w:rPr>
                <w:rFonts w:hint="eastAsia" w:hAnsi="宋体" w:eastAsia="仿宋"/>
                <w:bCs/>
                <w:sz w:val="24"/>
                <w:szCs w:val="24"/>
              </w:rPr>
            </w:pPr>
            <w:r>
              <w:rPr>
                <w:rFonts w:hint="eastAsia" w:hAnsi="宋体" w:eastAsia="仿宋"/>
                <w:bCs/>
                <w:sz w:val="24"/>
                <w:szCs w:val="24"/>
              </w:rPr>
              <w:t>②采用担保机构担保的，应为依法取得融资担保业务经营许可证的融资担保机构出具的不可撤销、不可转让的见索即付独立保函。</w:t>
            </w:r>
          </w:p>
          <w:p w14:paraId="75D7045E">
            <w:pPr>
              <w:pStyle w:val="19"/>
              <w:spacing w:line="360" w:lineRule="auto"/>
              <w:jc w:val="left"/>
              <w:rPr>
                <w:rFonts w:hint="eastAsia" w:hAnsi="宋体" w:eastAsia="仿宋"/>
                <w:bCs/>
                <w:sz w:val="24"/>
                <w:szCs w:val="24"/>
              </w:rPr>
            </w:pPr>
            <w:r>
              <w:rPr>
                <w:rFonts w:hint="eastAsia" w:hAnsi="宋体" w:eastAsia="仿宋"/>
                <w:bCs/>
                <w:sz w:val="24"/>
                <w:szCs w:val="24"/>
              </w:rPr>
              <w:t>③采用保证保险的，应为保险公司出具的不可撤销、不可转让的见索即付保证保险。</w:t>
            </w:r>
          </w:p>
          <w:p w14:paraId="7E323EB9">
            <w:pPr>
              <w:pStyle w:val="19"/>
              <w:spacing w:line="360" w:lineRule="auto"/>
              <w:jc w:val="left"/>
              <w:rPr>
                <w:rFonts w:hAnsi="宋体" w:eastAsia="仿宋"/>
                <w:bCs/>
                <w:sz w:val="24"/>
                <w:szCs w:val="24"/>
              </w:rPr>
            </w:pPr>
            <w:r>
              <w:rPr>
                <w:rFonts w:hint="eastAsia" w:hAnsi="宋体" w:eastAsia="仿宋"/>
                <w:bCs/>
                <w:sz w:val="24"/>
                <w:szCs w:val="24"/>
              </w:rPr>
              <w:t>④采用电子保函的，可访问安徽省政府采购网“融资/保函”栏目进行申请。</w:t>
            </w:r>
          </w:p>
          <w:p w14:paraId="680BB075">
            <w:pPr>
              <w:pStyle w:val="19"/>
              <w:spacing w:line="360" w:lineRule="auto"/>
              <w:ind w:firstLine="480" w:firstLineChars="200"/>
              <w:jc w:val="left"/>
              <w:rPr>
                <w:rFonts w:hAnsi="宋体" w:eastAsia="仿宋"/>
                <w:bCs/>
                <w:sz w:val="24"/>
                <w:szCs w:val="24"/>
              </w:rPr>
            </w:pPr>
            <w:r>
              <w:rPr>
                <w:rFonts w:hint="eastAsia" w:hAnsi="宋体" w:eastAsia="仿宋"/>
                <w:bCs/>
                <w:sz w:val="24"/>
                <w:szCs w:val="24"/>
              </w:rPr>
              <w:t>余款支付方式为：合同任务完成后，提交符合规程及技术规范的服务成果，通过主管部门审查通过后， 一次性支付至合同金额的100%（含预付款），如项目实施过程中供应商有支付要求，可视主要成果提交情况据实结算。</w:t>
            </w:r>
          </w:p>
          <w:p w14:paraId="39ACF8FD">
            <w:pPr>
              <w:pStyle w:val="19"/>
              <w:spacing w:line="360" w:lineRule="auto"/>
              <w:ind w:firstLine="480" w:firstLineChars="200"/>
              <w:jc w:val="left"/>
              <w:rPr>
                <w:rFonts w:ascii="宋体" w:hAnsi="宋体" w:eastAsia="仿宋" w:cs="Calibri"/>
                <w:sz w:val="24"/>
              </w:rPr>
            </w:pPr>
            <w:r>
              <w:rPr>
                <w:rFonts w:hint="eastAsia" w:hAnsi="宋体" w:eastAsia="仿宋"/>
                <w:bCs/>
                <w:sz w:val="24"/>
                <w:szCs w:val="24"/>
              </w:rPr>
              <w:t>采购人应当在收到发票后及时将资金支付到合同约定的供应商账户，原则上不得晚于7个工作日。</w:t>
            </w:r>
          </w:p>
          <w:p w14:paraId="1DB15532">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宋体" w:hAnsi="宋体" w:eastAsia="仿宋"/>
                <w:bCs/>
                <w:sz w:val="24"/>
              </w:rPr>
              <w:sym w:font="Wingdings" w:char="F0FE"/>
            </w:r>
            <w:r>
              <w:rPr>
                <w:rFonts w:hint="eastAsia" w:ascii="楷体" w:hAnsi="楷体" w:eastAsia="仿宋" w:cs="Calibri"/>
                <w:sz w:val="24"/>
              </w:rPr>
              <w:t>不接受</w:t>
            </w:r>
          </w:p>
          <w:p w14:paraId="1B0B6C00">
            <w:pPr>
              <w:widowControl/>
              <w:adjustRightInd w:val="0"/>
              <w:snapToGrid w:val="0"/>
              <w:spacing w:line="288" w:lineRule="auto"/>
              <w:rPr>
                <w:rFonts w:hint="eastAsia" w:ascii="楷体" w:hAnsi="楷体" w:eastAsia="仿宋" w:cs="Calibri"/>
                <w:sz w:val="24"/>
              </w:rPr>
            </w:pPr>
            <w:r>
              <w:rPr>
                <w:rFonts w:hint="eastAsia" w:ascii="楷体" w:hAnsi="楷体" w:eastAsia="仿宋" w:cs="Calibri"/>
                <w:sz w:val="24"/>
              </w:rPr>
              <w:t xml:space="preserve">                □接受：</w:t>
            </w:r>
          </w:p>
          <w:p w14:paraId="02AF79D7">
            <w:pPr>
              <w:pStyle w:val="19"/>
              <w:spacing w:line="360" w:lineRule="auto"/>
              <w:ind w:firstLine="1920" w:firstLineChars="800"/>
              <w:jc w:val="left"/>
              <w:rPr>
                <w:rFonts w:hint="eastAsia" w:hAnsi="宋体" w:eastAsia="仿宋"/>
                <w:bCs/>
                <w:sz w:val="24"/>
                <w:szCs w:val="24"/>
              </w:rPr>
            </w:pPr>
            <w:r>
              <w:rPr>
                <w:rFonts w:hint="eastAsia" w:ascii="楷体" w:hAnsi="楷体" w:eastAsia="仿宋" w:cs="Calibri"/>
                <w:sz w:val="24"/>
              </w:rPr>
              <w:t>允许偏离的幅度：</w:t>
            </w:r>
          </w:p>
        </w:tc>
      </w:tr>
      <w:tr w14:paraId="3E69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5AEBFC4">
            <w:pPr>
              <w:pStyle w:val="19"/>
              <w:spacing w:line="360" w:lineRule="auto"/>
              <w:jc w:val="center"/>
              <w:rPr>
                <w:rFonts w:hint="eastAsia" w:hAnsi="宋体" w:eastAsia="仿宋"/>
                <w:bCs/>
                <w:sz w:val="24"/>
                <w:szCs w:val="24"/>
              </w:rPr>
            </w:pPr>
            <w:r>
              <w:rPr>
                <w:rFonts w:hint="eastAsia" w:hAnsi="宋体" w:eastAsia="仿宋"/>
                <w:bCs/>
                <w:sz w:val="24"/>
                <w:szCs w:val="24"/>
              </w:rPr>
              <w:t>2</w:t>
            </w:r>
          </w:p>
        </w:tc>
        <w:tc>
          <w:tcPr>
            <w:tcW w:w="1985" w:type="dxa"/>
            <w:noWrap w:val="0"/>
            <w:vAlign w:val="center"/>
          </w:tcPr>
          <w:p w14:paraId="1919F77A">
            <w:pPr>
              <w:pStyle w:val="19"/>
              <w:spacing w:line="360" w:lineRule="auto"/>
              <w:jc w:val="center"/>
              <w:rPr>
                <w:rFonts w:hint="eastAsia" w:ascii="仿宋" w:hAnsi="仿宋" w:eastAsia="仿宋"/>
                <w:bCs/>
                <w:sz w:val="24"/>
                <w:szCs w:val="24"/>
              </w:rPr>
            </w:pPr>
            <w:r>
              <w:rPr>
                <w:rFonts w:ascii="仿宋" w:hAnsi="仿宋" w:eastAsia="仿宋"/>
                <w:spacing w:val="5"/>
                <w:sz w:val="24"/>
                <w:szCs w:val="24"/>
              </w:rPr>
              <w:t>服务地点</w:t>
            </w:r>
          </w:p>
        </w:tc>
        <w:tc>
          <w:tcPr>
            <w:tcW w:w="6627" w:type="dxa"/>
            <w:noWrap w:val="0"/>
            <w:vAlign w:val="top"/>
          </w:tcPr>
          <w:p w14:paraId="4B772949">
            <w:pPr>
              <w:pStyle w:val="19"/>
              <w:spacing w:line="360" w:lineRule="auto"/>
              <w:jc w:val="left"/>
              <w:rPr>
                <w:rFonts w:hint="eastAsia" w:ascii="仿宋" w:hAnsi="仿宋" w:eastAsia="仿宋"/>
                <w:bCs/>
                <w:sz w:val="24"/>
                <w:szCs w:val="24"/>
              </w:rPr>
            </w:pPr>
            <w:bookmarkStart w:id="3" w:name="_Hlk162957451"/>
            <w:r>
              <w:rPr>
                <w:rFonts w:ascii="仿宋" w:hAnsi="仿宋" w:eastAsia="仿宋"/>
                <w:spacing w:val="1"/>
                <w:sz w:val="24"/>
                <w:szCs w:val="24"/>
              </w:rPr>
              <w:t>安徽省六安市</w:t>
            </w:r>
            <w:r>
              <w:rPr>
                <w:rFonts w:hint="eastAsia" w:ascii="仿宋" w:hAnsi="仿宋" w:eastAsia="仿宋"/>
                <w:spacing w:val="1"/>
                <w:sz w:val="24"/>
                <w:szCs w:val="24"/>
              </w:rPr>
              <w:t>舒城县</w:t>
            </w:r>
            <w:bookmarkEnd w:id="3"/>
          </w:p>
        </w:tc>
      </w:tr>
      <w:tr w14:paraId="498C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F99833C">
            <w:pPr>
              <w:pStyle w:val="19"/>
              <w:spacing w:line="360" w:lineRule="auto"/>
              <w:jc w:val="center"/>
              <w:rPr>
                <w:rFonts w:hint="eastAsia" w:hAnsi="宋体" w:eastAsia="仿宋"/>
                <w:bCs/>
                <w:sz w:val="24"/>
                <w:szCs w:val="24"/>
              </w:rPr>
            </w:pPr>
            <w:r>
              <w:rPr>
                <w:rFonts w:hint="eastAsia" w:hAnsi="宋体" w:eastAsia="仿宋"/>
                <w:bCs/>
                <w:sz w:val="24"/>
                <w:szCs w:val="24"/>
              </w:rPr>
              <w:t>3</w:t>
            </w:r>
          </w:p>
        </w:tc>
        <w:tc>
          <w:tcPr>
            <w:tcW w:w="1985" w:type="dxa"/>
            <w:noWrap w:val="0"/>
            <w:vAlign w:val="center"/>
          </w:tcPr>
          <w:p w14:paraId="5AE2DF31">
            <w:pPr>
              <w:pStyle w:val="19"/>
              <w:spacing w:line="360" w:lineRule="auto"/>
              <w:jc w:val="center"/>
              <w:rPr>
                <w:rFonts w:hint="eastAsia" w:ascii="仿宋" w:hAnsi="仿宋" w:eastAsia="仿宋"/>
                <w:bCs/>
                <w:sz w:val="24"/>
                <w:szCs w:val="24"/>
              </w:rPr>
            </w:pPr>
            <w:r>
              <w:rPr>
                <w:rFonts w:ascii="仿宋" w:hAnsi="仿宋" w:eastAsia="仿宋"/>
                <w:spacing w:val="3"/>
                <w:sz w:val="24"/>
                <w:szCs w:val="24"/>
              </w:rPr>
              <w:t>服务期限</w:t>
            </w:r>
          </w:p>
        </w:tc>
        <w:tc>
          <w:tcPr>
            <w:tcW w:w="6627" w:type="dxa"/>
            <w:noWrap w:val="0"/>
            <w:vAlign w:val="top"/>
          </w:tcPr>
          <w:p w14:paraId="57AA0169">
            <w:pPr>
              <w:pStyle w:val="19"/>
              <w:spacing w:line="360" w:lineRule="auto"/>
              <w:jc w:val="left"/>
              <w:rPr>
                <w:rFonts w:ascii="仿宋" w:hAnsi="仿宋" w:eastAsia="仿宋"/>
                <w:spacing w:val="-1"/>
                <w:sz w:val="24"/>
                <w:szCs w:val="24"/>
              </w:rPr>
            </w:pPr>
            <w:r>
              <w:rPr>
                <w:rFonts w:hint="eastAsia" w:ascii="仿宋" w:hAnsi="仿宋" w:eastAsia="仿宋"/>
                <w:spacing w:val="-1"/>
                <w:sz w:val="24"/>
                <w:szCs w:val="24"/>
              </w:rPr>
              <w:t>2025年4月30日之前提交调查成果</w:t>
            </w:r>
            <w:r>
              <w:rPr>
                <w:rFonts w:ascii="仿宋" w:hAnsi="仿宋" w:eastAsia="仿宋"/>
                <w:spacing w:val="-1"/>
                <w:sz w:val="24"/>
                <w:szCs w:val="24"/>
              </w:rPr>
              <w:t>。</w:t>
            </w:r>
          </w:p>
          <w:p w14:paraId="27EA7EA1">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宋体" w:hAnsi="宋体" w:eastAsia="仿宋"/>
                <w:bCs/>
                <w:sz w:val="24"/>
              </w:rPr>
              <w:sym w:font="Wingdings" w:char="F0FE"/>
            </w:r>
            <w:r>
              <w:rPr>
                <w:rFonts w:hint="eastAsia" w:ascii="楷体" w:hAnsi="楷体" w:eastAsia="仿宋" w:cs="Calibri"/>
                <w:sz w:val="24"/>
              </w:rPr>
              <w:t>不接受</w:t>
            </w:r>
          </w:p>
          <w:p w14:paraId="7BBF118C">
            <w:pPr>
              <w:pStyle w:val="20"/>
              <w:ind w:firstLine="480"/>
              <w:rPr>
                <w:rFonts w:hint="eastAsia" w:ascii="楷体" w:hAnsi="楷体" w:eastAsia="仿宋" w:cs="Calibri"/>
                <w:sz w:val="24"/>
              </w:rPr>
            </w:pPr>
            <w:r>
              <w:rPr>
                <w:rFonts w:hint="eastAsia" w:ascii="楷体" w:hAnsi="楷体" w:eastAsia="仿宋" w:cs="Calibri"/>
                <w:sz w:val="24"/>
              </w:rPr>
              <w:t xml:space="preserve">            □接受：</w:t>
            </w:r>
          </w:p>
          <w:p w14:paraId="47F017B2">
            <w:pPr>
              <w:pStyle w:val="19"/>
              <w:spacing w:line="360" w:lineRule="auto"/>
              <w:ind w:firstLine="2160" w:firstLineChars="900"/>
              <w:jc w:val="left"/>
              <w:rPr>
                <w:rFonts w:hint="eastAsia" w:ascii="仿宋" w:hAnsi="仿宋" w:eastAsia="仿宋"/>
                <w:bCs/>
                <w:sz w:val="24"/>
                <w:szCs w:val="24"/>
              </w:rPr>
            </w:pPr>
            <w:r>
              <w:rPr>
                <w:rFonts w:hint="eastAsia" w:ascii="楷体" w:hAnsi="楷体" w:eastAsia="仿宋" w:cs="Calibri"/>
                <w:sz w:val="24"/>
              </w:rPr>
              <w:t>允许偏离的幅度：</w:t>
            </w:r>
          </w:p>
        </w:tc>
      </w:tr>
      <w:tr w14:paraId="765B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185279D">
            <w:pPr>
              <w:pStyle w:val="19"/>
              <w:spacing w:line="360" w:lineRule="auto"/>
              <w:jc w:val="center"/>
              <w:rPr>
                <w:rFonts w:hint="eastAsia" w:hAnsi="宋体" w:eastAsia="仿宋"/>
                <w:bCs/>
                <w:sz w:val="24"/>
                <w:szCs w:val="24"/>
              </w:rPr>
            </w:pPr>
            <w:r>
              <w:rPr>
                <w:rFonts w:hint="eastAsia" w:hAnsi="宋体" w:eastAsia="仿宋"/>
                <w:bCs/>
                <w:sz w:val="24"/>
                <w:szCs w:val="24"/>
              </w:rPr>
              <w:t>4</w:t>
            </w:r>
          </w:p>
        </w:tc>
        <w:tc>
          <w:tcPr>
            <w:tcW w:w="1985" w:type="dxa"/>
            <w:noWrap w:val="0"/>
            <w:vAlign w:val="center"/>
          </w:tcPr>
          <w:p w14:paraId="4FB79757">
            <w:pPr>
              <w:pStyle w:val="19"/>
              <w:spacing w:line="360" w:lineRule="auto"/>
              <w:jc w:val="center"/>
              <w:rPr>
                <w:rFonts w:hint="eastAsia" w:ascii="仿宋" w:hAnsi="仿宋" w:eastAsia="仿宋"/>
                <w:bCs/>
                <w:sz w:val="24"/>
                <w:szCs w:val="24"/>
              </w:rPr>
            </w:pPr>
            <w:r>
              <w:rPr>
                <w:rFonts w:ascii="仿宋" w:hAnsi="仿宋" w:eastAsia="仿宋"/>
                <w:spacing w:val="-2"/>
                <w:sz w:val="24"/>
                <w:szCs w:val="24"/>
              </w:rPr>
              <w:t>服务质量</w:t>
            </w:r>
          </w:p>
        </w:tc>
        <w:tc>
          <w:tcPr>
            <w:tcW w:w="6627" w:type="dxa"/>
            <w:noWrap w:val="0"/>
            <w:vAlign w:val="top"/>
          </w:tcPr>
          <w:p w14:paraId="5B06C2AF">
            <w:pPr>
              <w:pStyle w:val="19"/>
              <w:spacing w:line="360" w:lineRule="auto"/>
              <w:jc w:val="left"/>
              <w:rPr>
                <w:rFonts w:hint="eastAsia" w:ascii="仿宋" w:hAnsi="仿宋" w:eastAsia="仿宋"/>
                <w:bCs/>
                <w:sz w:val="24"/>
                <w:szCs w:val="24"/>
              </w:rPr>
            </w:pPr>
            <w:r>
              <w:rPr>
                <w:rFonts w:ascii="仿宋" w:hAnsi="仿宋" w:eastAsia="仿宋"/>
                <w:spacing w:val="-1"/>
                <w:sz w:val="24"/>
                <w:szCs w:val="24"/>
              </w:rPr>
              <w:t>应符合中华人民共和国相关标准及相应的技术规</w:t>
            </w:r>
            <w:r>
              <w:rPr>
                <w:rFonts w:hint="eastAsia" w:ascii="仿宋" w:hAnsi="仿宋" w:eastAsia="仿宋"/>
                <w:spacing w:val="-1"/>
                <w:sz w:val="24"/>
                <w:szCs w:val="24"/>
              </w:rPr>
              <w:t>范，本次采购相关文件中的全部相关要求中之较高者。</w:t>
            </w:r>
          </w:p>
        </w:tc>
      </w:tr>
      <w:tr w14:paraId="1737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CEC7FAB">
            <w:pPr>
              <w:pStyle w:val="19"/>
              <w:spacing w:line="360" w:lineRule="auto"/>
              <w:jc w:val="center"/>
              <w:rPr>
                <w:rFonts w:hint="eastAsia" w:hAnsi="宋体" w:eastAsia="仿宋"/>
                <w:bCs/>
                <w:sz w:val="24"/>
                <w:szCs w:val="24"/>
              </w:rPr>
            </w:pPr>
            <w:r>
              <w:rPr>
                <w:rFonts w:hint="eastAsia" w:hAnsi="宋体" w:eastAsia="仿宋"/>
                <w:bCs/>
                <w:sz w:val="24"/>
                <w:szCs w:val="24"/>
              </w:rPr>
              <w:t>5</w:t>
            </w:r>
          </w:p>
        </w:tc>
        <w:tc>
          <w:tcPr>
            <w:tcW w:w="1985" w:type="dxa"/>
            <w:noWrap w:val="0"/>
            <w:vAlign w:val="center"/>
          </w:tcPr>
          <w:p w14:paraId="1D78B5C7">
            <w:pPr>
              <w:pStyle w:val="19"/>
              <w:spacing w:line="360" w:lineRule="auto"/>
              <w:jc w:val="center"/>
              <w:rPr>
                <w:rFonts w:hint="eastAsia" w:hAnsi="宋体" w:eastAsia="仿宋"/>
                <w:bCs/>
                <w:sz w:val="24"/>
                <w:szCs w:val="24"/>
              </w:rPr>
            </w:pPr>
            <w:r>
              <w:rPr>
                <w:rFonts w:hint="eastAsia" w:hAnsi="宋体" w:eastAsia="仿宋"/>
                <w:bCs/>
                <w:sz w:val="24"/>
                <w:szCs w:val="24"/>
              </w:rPr>
              <w:t>本项目采购标的所属行业</w:t>
            </w:r>
          </w:p>
        </w:tc>
        <w:tc>
          <w:tcPr>
            <w:tcW w:w="6627" w:type="dxa"/>
            <w:noWrap w:val="0"/>
            <w:vAlign w:val="center"/>
          </w:tcPr>
          <w:p w14:paraId="080C4794">
            <w:pPr>
              <w:pStyle w:val="19"/>
              <w:spacing w:line="360" w:lineRule="auto"/>
              <w:jc w:val="left"/>
              <w:rPr>
                <w:rFonts w:hint="eastAsia" w:hAnsi="宋体" w:eastAsia="仿宋"/>
                <w:bCs/>
                <w:sz w:val="24"/>
                <w:szCs w:val="24"/>
              </w:rPr>
            </w:pPr>
            <w:r>
              <w:rPr>
                <w:rFonts w:hint="eastAsia" w:hAnsi="宋体" w:eastAsia="仿宋"/>
                <w:bCs/>
                <w:sz w:val="24"/>
                <w:szCs w:val="24"/>
              </w:rPr>
              <w:t>其他未列明行业</w:t>
            </w:r>
          </w:p>
        </w:tc>
      </w:tr>
    </w:tbl>
    <w:p w14:paraId="50993484">
      <w:pPr>
        <w:pStyle w:val="5"/>
        <w:rPr>
          <w:rFonts w:hint="eastAsia" w:hAnsi="宋体" w:eastAsia="仿宋"/>
          <w:sz w:val="24"/>
          <w:szCs w:val="24"/>
        </w:rPr>
      </w:pPr>
      <w:r>
        <w:rPr>
          <w:rFonts w:hint="eastAsia"/>
        </w:rPr>
        <w:t>二、项目概况</w:t>
      </w:r>
    </w:p>
    <w:p w14:paraId="1DD5C2AD">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龙河口水库位于六安市境内杭埠河上游，属长江流域巢湖水系；大坝位于舒城县万佛湖镇，距下游舒城县城约25km。坝址以上控制流域面积1120km2，占杭埠河全流域面积2122km2的53%。</w:t>
      </w:r>
    </w:p>
    <w:p w14:paraId="3C1263CC">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水库于1958年11月动工兴建，1961年4月停工，1966年12月复工续建，1970年5月基本建成。2002年～2010年，水库实施了除险加固工程，2019年～2021年进行了安全隐患处理。</w:t>
      </w:r>
    </w:p>
    <w:p w14:paraId="02E8AC54">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水库按100年一遇洪水标准设计，10000年一遇洪水标准校核，设计洪水位72.64m（吴淞高程系①，下同），校核洪水位75.04m，设计起调水位和正常蓄水位均为68.30m，死水位53.00m。</w:t>
      </w:r>
    </w:p>
    <w:p w14:paraId="26A32B73">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龙河口水库是一座以防洪、灌溉为主，结合供水、发电、养殖、旅游等综合利用的年调节大（2）型水库。设计灌溉舒城、庐江、金安三县（区）151万亩农田。水库下游防洪保护舒城县城、万佛湖镇、三河镇等城镇和合九铁路、G3高速公路、206国道等重要基础设施。水库枢纽工程由大坝（东大坝、西大坝），斗笠冲溢洪道，凤凰冲、门坎石非常溢洪道，梅岭、牛角冲进水闸以及杜小房、马蹄岗、牛角冲、关口、寺冲、落花冲、大塘埂、磨枪冲等8座副坝组成。</w:t>
      </w:r>
    </w:p>
    <w:p w14:paraId="67B54D9F">
      <w:pPr>
        <w:pStyle w:val="19"/>
        <w:spacing w:line="360" w:lineRule="auto"/>
        <w:ind w:firstLine="480" w:firstLineChars="200"/>
        <w:jc w:val="left"/>
        <w:rPr>
          <w:rFonts w:hint="eastAsia" w:hAnsi="宋体" w:eastAsia="仿宋"/>
          <w:bCs/>
          <w:sz w:val="24"/>
          <w:szCs w:val="24"/>
        </w:rPr>
      </w:pPr>
    </w:p>
    <w:p w14:paraId="1E0F5A18">
      <w:pPr>
        <w:pStyle w:val="5"/>
        <w:rPr>
          <w:rFonts w:hint="eastAsia"/>
        </w:rPr>
      </w:pPr>
      <w:r>
        <w:rPr>
          <w:rFonts w:hint="eastAsia"/>
        </w:rPr>
        <w:t>三、服务要求</w:t>
      </w:r>
    </w:p>
    <w:p w14:paraId="24AD8771">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1、服务范围</w:t>
      </w:r>
    </w:p>
    <w:p w14:paraId="114822C9">
      <w:pPr>
        <w:pStyle w:val="19"/>
        <w:wordWrap w:val="0"/>
        <w:spacing w:line="360" w:lineRule="auto"/>
        <w:ind w:firstLine="480" w:firstLineChars="200"/>
        <w:jc w:val="left"/>
        <w:rPr>
          <w:rFonts w:hint="default" w:hAnsi="宋体" w:eastAsia="仿宋"/>
          <w:bCs/>
          <w:sz w:val="24"/>
          <w:szCs w:val="24"/>
          <w:lang w:val="en-US" w:eastAsia="zh-CN"/>
        </w:rPr>
      </w:pPr>
      <w:r>
        <w:rPr>
          <w:rFonts w:hint="eastAsia" w:hAnsi="宋体" w:eastAsia="仿宋"/>
          <w:bCs/>
          <w:sz w:val="24"/>
          <w:szCs w:val="24"/>
          <w:lang w:val="en-US" w:eastAsia="zh-CN"/>
        </w:rPr>
        <w:t>为落实水利部加快构建现代化水库运行管理矩阵的安排部署，按照《水利部办公厅关于印发&lt;构建现代化水库运行管理矩阵先行先试工作方案&gt;的通知》（办运管[2023]245号），选取一批试点水库和先行区域开展矩阵建设，2025年底前完成试点水库和先行区域开展矩阵建设。</w:t>
      </w:r>
    </w:p>
    <w:p w14:paraId="3EB95E4A">
      <w:pPr>
        <w:pStyle w:val="19"/>
        <w:wordWrap w:val="0"/>
        <w:spacing w:line="360" w:lineRule="auto"/>
        <w:ind w:firstLine="480" w:firstLineChars="200"/>
        <w:jc w:val="left"/>
        <w:rPr>
          <w:rFonts w:hint="eastAsia" w:hAnsi="宋体" w:eastAsia="仿宋"/>
          <w:bCs/>
          <w:sz w:val="24"/>
          <w:szCs w:val="24"/>
        </w:rPr>
      </w:pPr>
      <w:r>
        <w:rPr>
          <w:rFonts w:hint="eastAsia" w:hAnsi="宋体" w:eastAsia="仿宋"/>
          <w:bCs/>
          <w:sz w:val="24"/>
          <w:szCs w:val="24"/>
          <w:lang w:val="en-US" w:eastAsia="zh-CN"/>
        </w:rPr>
        <w:t>为</w:t>
      </w:r>
      <w:r>
        <w:rPr>
          <w:rFonts w:hint="eastAsia" w:hAnsi="宋体" w:eastAsia="仿宋"/>
          <w:bCs/>
          <w:sz w:val="24"/>
          <w:szCs w:val="24"/>
        </w:rPr>
        <w:t>响应国家智慧水利建设总体部署，依据行业相关法律法规、标准规范和政策文件，按照“需求牵引、应用至上、数字赋能、提升能力”要求，梳理龙河口水库智慧化建设任务和需求，立足于龙河口水库已有的信息化基础，</w:t>
      </w:r>
      <w:r>
        <w:rPr>
          <w:rFonts w:hint="eastAsia" w:hAnsi="宋体" w:eastAsia="仿宋"/>
          <w:bCs/>
          <w:sz w:val="24"/>
          <w:szCs w:val="24"/>
          <w:lang w:val="en-US" w:eastAsia="zh-CN"/>
        </w:rPr>
        <w:t>开展</w:t>
      </w:r>
      <w:r>
        <w:rPr>
          <w:rFonts w:hint="eastAsia" w:hAnsi="宋体" w:eastAsia="仿宋"/>
          <w:bCs/>
          <w:sz w:val="24"/>
          <w:szCs w:val="24"/>
        </w:rPr>
        <w:t>龙河口水库关键要素及淹没实物调查</w:t>
      </w:r>
      <w:r>
        <w:rPr>
          <w:rFonts w:hint="eastAsia" w:hAnsi="宋体" w:eastAsia="仿宋"/>
          <w:bCs/>
          <w:sz w:val="24"/>
          <w:szCs w:val="24"/>
          <w:lang w:eastAsia="zh-CN"/>
        </w:rPr>
        <w:t>，</w:t>
      </w:r>
      <w:r>
        <w:rPr>
          <w:rFonts w:hint="eastAsia" w:hAnsi="宋体" w:eastAsia="仿宋"/>
          <w:bCs/>
          <w:sz w:val="24"/>
          <w:szCs w:val="24"/>
        </w:rPr>
        <w:t>建立库区临时淹没区实物档案，进行下游洪水影响区关键要素调查，全面掌握水库库区及下游的各要素情况，为龙河口水库进行预案、预演提供调查的数据信息基础。</w:t>
      </w:r>
    </w:p>
    <w:p w14:paraId="6119C179">
      <w:pPr>
        <w:pStyle w:val="19"/>
        <w:spacing w:line="360" w:lineRule="auto"/>
        <w:ind w:firstLine="480" w:firstLineChars="200"/>
        <w:jc w:val="left"/>
        <w:rPr>
          <w:rFonts w:hint="default" w:hAnsi="宋体" w:eastAsia="仿宋"/>
          <w:bCs/>
          <w:sz w:val="24"/>
          <w:szCs w:val="24"/>
          <w:lang w:val="en-US" w:eastAsia="zh-CN"/>
        </w:rPr>
      </w:pPr>
      <w:r>
        <w:rPr>
          <w:rFonts w:hint="eastAsia" w:hAnsi="宋体" w:eastAsia="仿宋"/>
          <w:bCs/>
          <w:sz w:val="24"/>
          <w:szCs w:val="24"/>
        </w:rPr>
        <w:t>2、</w:t>
      </w:r>
      <w:r>
        <w:rPr>
          <w:rFonts w:hint="eastAsia" w:hAnsi="宋体" w:eastAsia="仿宋"/>
          <w:bCs/>
          <w:sz w:val="24"/>
          <w:szCs w:val="24"/>
          <w:lang w:val="en-US" w:eastAsia="zh-CN"/>
        </w:rPr>
        <w:t>服务内容</w:t>
      </w:r>
    </w:p>
    <w:p w14:paraId="6973A6DD">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（1）全面摸清正常蓄水位（68.30m）、征地高程线（69.00m）、移民迁移线（71.95m）、设计洪水位（72.64m）、校核洪水位（75.04m）之间，以及正常蓄水位以下库区淹没实物情况，建立完善淹没实物档案。</w:t>
      </w:r>
    </w:p>
    <w:p w14:paraId="5B44621B">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（2）掌握</w:t>
      </w:r>
      <w:r>
        <w:rPr>
          <w:rFonts w:hint="eastAsia" w:ascii="仿宋" w:hAnsi="仿宋" w:eastAsia="仿宋" w:cs="宋体"/>
          <w:snapToGrid w:val="0"/>
          <w:color w:val="000000"/>
          <w:kern w:val="0"/>
          <w:sz w:val="24"/>
          <w:lang w:val="en-US" w:eastAsia="zh-CN"/>
        </w:rPr>
        <w:t>杭埠河行洪能力、掌握</w:t>
      </w:r>
      <w:r>
        <w:rPr>
          <w:rFonts w:hint="eastAsia" w:ascii="仿宋" w:hAnsi="仿宋" w:eastAsia="仿宋" w:cs="宋体"/>
          <w:snapToGrid w:val="0"/>
          <w:color w:val="000000"/>
          <w:kern w:val="0"/>
          <w:sz w:val="24"/>
        </w:rPr>
        <w:t>杭埠河龙河口水库至巢湖段、阙店乡龙潭河大桥至杭埠河段</w:t>
      </w:r>
      <w:r>
        <w:rPr>
          <w:rFonts w:hint="eastAsia" w:ascii="仿宋" w:hAnsi="仿宋" w:eastAsia="仿宋" w:cs="宋体"/>
          <w:snapToGrid w:val="0"/>
          <w:color w:val="000000"/>
          <w:kern w:val="0"/>
          <w:sz w:val="24"/>
          <w:lang w:val="en-US" w:eastAsia="zh-CN"/>
        </w:rPr>
        <w:t>堤防安全信息等。</w:t>
      </w:r>
      <w:r>
        <w:rPr>
          <w:rFonts w:hint="eastAsia" w:ascii="仿宋" w:hAnsi="仿宋" w:eastAsia="仿宋" w:cs="宋体"/>
          <w:snapToGrid w:val="0"/>
          <w:color w:val="000000"/>
          <w:kern w:val="0"/>
          <w:sz w:val="24"/>
        </w:rPr>
        <w:t>结合洪水影响范围，对水库库区、下游河道（杭埠河龙河口水库至巢湖段、阙店乡龙潭河大桥至杭埠河段）关键要素进行调查。</w:t>
      </w:r>
    </w:p>
    <w:p w14:paraId="2FBE9C98">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（3）调查水库区及下游河道已建、在建工程情况。</w:t>
      </w:r>
    </w:p>
    <w:p w14:paraId="0D305FBC">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eastAsia="zh-CN"/>
        </w:rPr>
      </w:pPr>
      <w:r>
        <w:rPr>
          <w:rFonts w:hint="eastAsia" w:ascii="仿宋" w:hAnsi="仿宋" w:eastAsia="仿宋" w:cs="宋体"/>
          <w:snapToGrid w:val="0"/>
          <w:color w:val="000000"/>
          <w:kern w:val="0"/>
          <w:sz w:val="24"/>
          <w:lang w:val="en-US" w:eastAsia="zh-CN"/>
        </w:rPr>
        <w:t>3</w:t>
      </w:r>
      <w:r>
        <w:rPr>
          <w:rFonts w:hint="eastAsia" w:ascii="仿宋" w:hAnsi="仿宋" w:eastAsia="仿宋" w:cs="宋体"/>
          <w:snapToGrid w:val="0"/>
          <w:color w:val="000000"/>
          <w:kern w:val="0"/>
          <w:sz w:val="24"/>
        </w:rPr>
        <w:t>、成果</w:t>
      </w:r>
      <w:r>
        <w:rPr>
          <w:rFonts w:hint="eastAsia" w:ascii="仿宋" w:hAnsi="仿宋" w:eastAsia="仿宋" w:cs="宋体"/>
          <w:snapToGrid w:val="0"/>
          <w:color w:val="000000"/>
          <w:kern w:val="0"/>
          <w:sz w:val="24"/>
          <w:lang w:val="en-US" w:eastAsia="zh-CN"/>
        </w:rPr>
        <w:t>要求</w:t>
      </w:r>
    </w:p>
    <w:p w14:paraId="20226DE3">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eastAsia="zh-CN"/>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lang w:val="en-US" w:eastAsia="zh-CN"/>
        </w:rPr>
        <w:t>1</w:t>
      </w:r>
      <w:r>
        <w:rPr>
          <w:rFonts w:hint="eastAsia" w:ascii="仿宋" w:hAnsi="仿宋" w:eastAsia="仿宋" w:cs="宋体"/>
          <w:snapToGrid w:val="0"/>
          <w:color w:val="000000"/>
          <w:kern w:val="0"/>
          <w:sz w:val="24"/>
          <w:lang w:eastAsia="zh-CN"/>
        </w:rPr>
        <w:t>）库区淹没实物档案；库区、下游河道关键要素调查表</w:t>
      </w:r>
    </w:p>
    <w:p w14:paraId="219AA13A">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lang w:val="en-US" w:eastAsia="zh-CN"/>
        </w:rPr>
        <w:t>2</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质量控制严格按照“两级检查、 一级验收”制度这项基本原则执行，由成交供 应商负责两级检查。在质检过程中要严格遵循项目技术文件中的技术指标、规格和要求，确保成果质量合格。成果使用过程中，采购人会同相关部门(或单位)对测绘成果质量进行监督检查，成交供应商予以配合。</w:t>
      </w:r>
    </w:p>
    <w:p w14:paraId="67B025A1">
      <w:pPr>
        <w:pStyle w:val="5"/>
        <w:rPr>
          <w:rFonts w:hint="eastAsia" w:eastAsia="宋体" w:cs="Times New Roman"/>
          <w:b/>
          <w:bCs/>
          <w:lang w:val="en-US" w:eastAsia="zh-CN"/>
        </w:rPr>
      </w:pPr>
      <w:r>
        <w:rPr>
          <w:rFonts w:hint="eastAsia" w:eastAsia="宋体" w:cs="Times New Roman"/>
          <w:b/>
          <w:bCs/>
          <w:lang w:val="en-US" w:eastAsia="zh-CN"/>
        </w:rPr>
        <w:t>四、技术要求</w:t>
      </w:r>
    </w:p>
    <w:p w14:paraId="305A0B86">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1、总则</w:t>
      </w:r>
    </w:p>
    <w:p w14:paraId="320DD53F">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（1）本技术要求适用于龙河口水库库区及下游洪水影响区实物及关键要素调查项目。</w:t>
      </w:r>
    </w:p>
    <w:p w14:paraId="33BB0403">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（2）应按国家有关规程规范要求对施工环境、危险源等因素进行风险识别，采取妥善的措施确保安全作业和文明作业，并注意职业健康和环境保护，尤其确保按国家相关强制性标准要求实施。</w:t>
      </w:r>
    </w:p>
    <w:p w14:paraId="058D8DDB">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（3）本技术要求未作规定的按如下规范、规程执行：</w:t>
      </w:r>
    </w:p>
    <w:p w14:paraId="62768FFA">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1）《水利水电工程测量规范》（SL197-2013）；</w:t>
      </w:r>
    </w:p>
    <w:p w14:paraId="37956D52">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2）《全球定位系统（GPS）测量规范》（GBT18314）；</w:t>
      </w:r>
    </w:p>
    <w:p w14:paraId="7909939E">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3）《国家三、四等水准测量规范》（GBT 12898）；</w:t>
      </w:r>
    </w:p>
    <w:p w14:paraId="7929FEBA">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4）《全球定位系统实时动态测量（RTK）技术规范》（CH/T2009-2010）；</w:t>
      </w:r>
    </w:p>
    <w:p w14:paraId="44E629DE">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5）《航空摄影技术设计规范》（GB/T19294-2003）；</w:t>
      </w:r>
    </w:p>
    <w:p w14:paraId="1680CE4D">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6）《1:500 1:1000 1:2000地形图航空摄影外业规范》（GB/T7931-2008）；</w:t>
      </w:r>
    </w:p>
    <w:p w14:paraId="5AE009FE">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7）《1:500 1:1000 1:2000地形图航空摄影内业规范》（GB/T7930-2008）；</w:t>
      </w:r>
    </w:p>
    <w:p w14:paraId="2EB4EE6D">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8）《低空数字航空摄影测量外业规范》（CH/Z3004-2010）；</w:t>
      </w:r>
    </w:p>
    <w:p w14:paraId="6F3F6FFF">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9）《低空数字航空摄影测量内业规范》（CH/Z3005-2010）；</w:t>
      </w:r>
    </w:p>
    <w:p w14:paraId="23212171">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10）《IMU/GPS辅助航空摄影技术规范》（GB/T27919-2011）；</w:t>
      </w:r>
    </w:p>
    <w:p w14:paraId="4428ED70">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11）《机载LiDAR数据获取技术规范》（CH/T8024-2011）；</w:t>
      </w:r>
    </w:p>
    <w:p w14:paraId="38EB658F">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12）《机载LiDAR数据处理技术规范》（CH/T8023-2011）；</w:t>
      </w:r>
    </w:p>
    <w:p w14:paraId="60003142">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13）《机载LiDAR点云数据质量评价指标及计算方法》（GB∕T36100-2018）；</w:t>
      </w:r>
    </w:p>
    <w:p w14:paraId="5D692343">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14）《基础地理信息数字成果1:500、1:1000、1:2000数字高程模型》（GB/T9008.2-2010）；</w:t>
      </w:r>
    </w:p>
    <w:p w14:paraId="373808F6">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15）《基础地理信息数字成果1:500、1:1000、1:2000数字正射影像图》（GB/T9008.3-2010）；</w:t>
      </w:r>
    </w:p>
    <w:p w14:paraId="59800FDD">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16）《基础地理信息数字成果1:500、1:1000、1:2000数字线划图》（GB/T9008.1-2010）；</w:t>
      </w:r>
    </w:p>
    <w:p w14:paraId="6B9916B4">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17）《国家基本比例尺地图图式第1部分：1:500、1:1000、1:2000地形图图式》（GB/T20257.1-2017）；</w:t>
      </w:r>
    </w:p>
    <w:p w14:paraId="19488868">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18）《国家基本比例尺地形图分幅与编号》（GB/T13989-2012）；</w:t>
      </w:r>
    </w:p>
    <w:p w14:paraId="55393142">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19）《测绘技术总结编写规定》（CH/T 1001-2005）；</w:t>
      </w:r>
    </w:p>
    <w:p w14:paraId="58248059">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20）其它相关规程规范。</w:t>
      </w:r>
    </w:p>
    <w:p w14:paraId="297702C9">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2、库区淹没实物档案建立要求</w:t>
      </w:r>
    </w:p>
    <w:p w14:paraId="49FB7995">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库区采用无人机获取分辨率不低于0.5m的数字正射影像，作为实物调查工作底图。</w:t>
      </w:r>
    </w:p>
    <w:p w14:paraId="4EFA7E21">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（1）调查范围</w:t>
      </w:r>
    </w:p>
    <w:p w14:paraId="6DDBD3E8">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正常蓄水位（68.30m）、征地高程线（69.00m）、移民迁移线（71.95m）、设计洪水位（72.64m）、校核洪水位（75.04m）之间实物情况。</w:t>
      </w:r>
    </w:p>
    <w:p w14:paraId="17DCE55F">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（2）基本要求</w:t>
      </w:r>
    </w:p>
    <w:p w14:paraId="67422A6D">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全面摸清正常蓄水位、征地高程线、移民迁移线、设计洪水位、校核洪水位之间，以及正常蓄水位以下库区淹没实物情况，建立完善淹没实物档案</w:t>
      </w:r>
      <w:r>
        <w:rPr>
          <w:rFonts w:hint="eastAsia" w:ascii="仿宋" w:hAnsi="仿宋" w:eastAsia="仿宋" w:cs="宋体"/>
          <w:snapToGrid w:val="0"/>
          <w:color w:val="000000"/>
          <w:kern w:val="0"/>
          <w:sz w:val="24"/>
          <w:lang w:val="en-US" w:eastAsia="zh-CN"/>
        </w:rPr>
        <w:t>，并通过相关部门审查确认。</w:t>
      </w:r>
    </w:p>
    <w:p w14:paraId="479C3624">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3、水库库区、下游河道关键要素调查要求</w:t>
      </w:r>
    </w:p>
    <w:p w14:paraId="0F72DE5A">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下游洪水影响范围采用无人机或遥感卫星获取精度不低于1m的数字正射影像，作为实物调查工作底图。</w:t>
      </w:r>
    </w:p>
    <w:p w14:paraId="04A8111E">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（1）调查范围</w:t>
      </w:r>
    </w:p>
    <w:p w14:paraId="6992874C">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校核洪水位以下库区洪水淹没范围、下游洪水（万年一遇洪水）影响范围（杭埠河龙河口水库至巢湖段及阙店乡龙潭河大桥至杭埠河段）。</w:t>
      </w:r>
    </w:p>
    <w:p w14:paraId="476FEB67">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（2）基本要求</w:t>
      </w:r>
    </w:p>
    <w:p w14:paraId="51C95AD5">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1）调查与测量相结合，准确掌握库区正常蓄水位、征地高程范围、移民迁移线、设计洪水位、校核洪水位等典型特征水位淹没范围；</w:t>
      </w:r>
    </w:p>
    <w:p w14:paraId="17C18A0C">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2）调查校核洪水位以下库区洪水淹没范围内的人员、城（集）镇、村庄、文旅设施、基础设施、耕（园）地、文物分布等信息，以及其他特征水位时的淹没分布情况；</w:t>
      </w:r>
    </w:p>
    <w:p w14:paraId="36C34577">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3）根据水库下泄洪水频次50年一遇、100年一遇、2000年一遇、10000一遇洪水的淹没范围，调查下泄洪水影响范围内的人员、城（集）镇、村庄、基础设施、耕（园）地、文物分布等信息。</w:t>
      </w:r>
    </w:p>
    <w:p w14:paraId="232BD241">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eastAsia="zh-CN"/>
        </w:rPr>
      </w:pPr>
      <w:r>
        <w:rPr>
          <w:rFonts w:hint="default" w:ascii="仿宋" w:hAnsi="仿宋" w:eastAsia="仿宋" w:cs="宋体"/>
          <w:snapToGrid w:val="0"/>
          <w:color w:val="000000"/>
          <w:kern w:val="0"/>
          <w:sz w:val="24"/>
          <w:lang w:val="en-US" w:eastAsia="zh-CN"/>
        </w:rPr>
        <w:t>4）</w:t>
      </w:r>
      <w:r>
        <w:rPr>
          <w:rFonts w:hint="eastAsia" w:ascii="仿宋" w:hAnsi="仿宋" w:eastAsia="仿宋" w:cs="宋体"/>
          <w:snapToGrid w:val="0"/>
          <w:color w:val="000000"/>
          <w:kern w:val="0"/>
          <w:sz w:val="24"/>
        </w:rPr>
        <w:t>掌握</w:t>
      </w:r>
      <w:r>
        <w:rPr>
          <w:rFonts w:hint="eastAsia" w:ascii="仿宋" w:hAnsi="仿宋" w:eastAsia="仿宋" w:cs="宋体"/>
          <w:snapToGrid w:val="0"/>
          <w:color w:val="000000"/>
          <w:kern w:val="0"/>
          <w:sz w:val="24"/>
          <w:lang w:val="en-US" w:eastAsia="zh-CN"/>
        </w:rPr>
        <w:t>杭埠河行洪能力、掌握</w:t>
      </w:r>
      <w:r>
        <w:rPr>
          <w:rFonts w:hint="eastAsia" w:ascii="仿宋" w:hAnsi="仿宋" w:eastAsia="仿宋" w:cs="宋体"/>
          <w:snapToGrid w:val="0"/>
          <w:color w:val="000000"/>
          <w:kern w:val="0"/>
          <w:sz w:val="24"/>
        </w:rPr>
        <w:t>杭埠河龙河口水库至巢湖段、阙店乡龙潭河大桥至杭埠河段</w:t>
      </w:r>
      <w:r>
        <w:rPr>
          <w:rFonts w:hint="eastAsia" w:ascii="仿宋" w:hAnsi="仿宋" w:eastAsia="仿宋" w:cs="宋体"/>
          <w:snapToGrid w:val="0"/>
          <w:color w:val="000000"/>
          <w:kern w:val="0"/>
          <w:sz w:val="24"/>
          <w:lang w:val="en-US" w:eastAsia="zh-CN"/>
        </w:rPr>
        <w:t>堤防安全信息等。</w:t>
      </w:r>
      <w:r>
        <w:rPr>
          <w:rFonts w:hint="eastAsia" w:ascii="仿宋" w:hAnsi="仿宋" w:eastAsia="仿宋" w:cs="宋体"/>
          <w:snapToGrid w:val="0"/>
          <w:color w:val="000000"/>
          <w:kern w:val="0"/>
          <w:sz w:val="24"/>
        </w:rPr>
        <w:t>结合洪水影响范围，对水库库区、下游河道（杭埠河龙河口水库至巢湖段、阙店乡龙潭河大桥至杭埠河段）关键要素进行调查。</w:t>
      </w:r>
    </w:p>
    <w:p w14:paraId="61DDAC48">
      <w:pPr>
        <w:pStyle w:val="3"/>
        <w:spacing w:line="360" w:lineRule="auto"/>
        <w:ind w:firstLine="480" w:firstLineChars="200"/>
        <w:rPr>
          <w:rFonts w:hint="default"/>
          <w:lang w:val="en-US" w:eastAsia="zh-CN"/>
        </w:rPr>
      </w:pPr>
      <w:r>
        <w:rPr>
          <w:rFonts w:hint="eastAsia" w:ascii="仿宋" w:hAnsi="仿宋" w:eastAsia="仿宋" w:cs="宋体"/>
          <w:snapToGrid w:val="0"/>
          <w:color w:val="000000"/>
          <w:kern w:val="0"/>
          <w:sz w:val="24"/>
          <w:lang w:val="en-US" w:eastAsia="zh-CN"/>
        </w:rPr>
        <w:t>5）</w:t>
      </w:r>
      <w:r>
        <w:rPr>
          <w:rFonts w:hint="eastAsia" w:ascii="仿宋" w:hAnsi="仿宋" w:eastAsia="仿宋" w:cs="宋体"/>
          <w:snapToGrid w:val="0"/>
          <w:color w:val="000000"/>
          <w:kern w:val="0"/>
          <w:sz w:val="24"/>
        </w:rPr>
        <w:t>调查水库区及下游河道已建、在建工程情况。</w:t>
      </w:r>
    </w:p>
    <w:p w14:paraId="31E50EF0">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4、</w:t>
      </w:r>
      <w:r>
        <w:rPr>
          <w:rFonts w:hint="eastAsia" w:ascii="仿宋" w:hAnsi="仿宋" w:eastAsia="仿宋" w:cs="宋体"/>
          <w:snapToGrid w:val="0"/>
          <w:color w:val="000000"/>
          <w:kern w:val="0"/>
          <w:sz w:val="24"/>
          <w:lang w:val="en-US" w:eastAsia="zh-CN"/>
        </w:rPr>
        <w:t>成果技术</w:t>
      </w:r>
      <w:r>
        <w:rPr>
          <w:rFonts w:hint="default" w:ascii="仿宋" w:hAnsi="仿宋" w:eastAsia="仿宋" w:cs="宋体"/>
          <w:snapToGrid w:val="0"/>
          <w:color w:val="000000"/>
          <w:kern w:val="0"/>
          <w:sz w:val="24"/>
          <w:lang w:val="en-US" w:eastAsia="zh-CN"/>
        </w:rPr>
        <w:t>要求</w:t>
      </w:r>
    </w:p>
    <w:p w14:paraId="5A6EFA3D">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（1）技术设计书；</w:t>
      </w:r>
    </w:p>
    <w:p w14:paraId="502E8F31">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（2）控制点成果，以xls格式存储；</w:t>
      </w:r>
    </w:p>
    <w:p w14:paraId="6BFF7E04">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（3）数字正射影像（DOM），以tif+tfw格式存储；</w:t>
      </w:r>
    </w:p>
    <w:p w14:paraId="7DC41185">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w:t>
      </w:r>
      <w:r>
        <w:rPr>
          <w:rFonts w:hint="eastAsia" w:ascii="仿宋" w:hAnsi="仿宋" w:eastAsia="仿宋" w:cs="宋体"/>
          <w:snapToGrid w:val="0"/>
          <w:color w:val="000000"/>
          <w:kern w:val="0"/>
          <w:sz w:val="24"/>
          <w:lang w:val="en-US" w:eastAsia="zh-CN"/>
        </w:rPr>
        <w:t>4</w:t>
      </w:r>
      <w:r>
        <w:rPr>
          <w:rFonts w:hint="default" w:ascii="仿宋" w:hAnsi="仿宋" w:eastAsia="仿宋" w:cs="宋体"/>
          <w:snapToGrid w:val="0"/>
          <w:color w:val="000000"/>
          <w:kern w:val="0"/>
          <w:sz w:val="24"/>
          <w:lang w:val="en-US" w:eastAsia="zh-CN"/>
        </w:rPr>
        <w:t>）淹没实物档案及关键要</w:t>
      </w:r>
      <w:r>
        <w:rPr>
          <w:rFonts w:hint="eastAsia" w:ascii="仿宋" w:hAnsi="仿宋" w:eastAsia="仿宋" w:cs="宋体"/>
          <w:snapToGrid w:val="0"/>
          <w:color w:val="000000"/>
          <w:kern w:val="0"/>
          <w:sz w:val="24"/>
          <w:lang w:val="en-US" w:eastAsia="zh-CN"/>
        </w:rPr>
        <w:t>素矢量数据</w:t>
      </w:r>
      <w:r>
        <w:rPr>
          <w:rFonts w:hint="default" w:ascii="仿宋" w:hAnsi="仿宋" w:eastAsia="仿宋" w:cs="宋体"/>
          <w:snapToGrid w:val="0"/>
          <w:color w:val="000000"/>
          <w:kern w:val="0"/>
          <w:sz w:val="24"/>
          <w:lang w:val="en-US" w:eastAsia="zh-CN"/>
        </w:rPr>
        <w:t>，以</w:t>
      </w:r>
      <w:r>
        <w:rPr>
          <w:rFonts w:hint="eastAsia" w:ascii="仿宋" w:hAnsi="仿宋" w:eastAsia="仿宋" w:cs="宋体"/>
          <w:snapToGrid w:val="0"/>
          <w:color w:val="000000"/>
          <w:kern w:val="0"/>
          <w:sz w:val="24"/>
          <w:lang w:val="en-US" w:eastAsia="zh-CN"/>
        </w:rPr>
        <w:t>shp</w:t>
      </w:r>
      <w:r>
        <w:rPr>
          <w:rFonts w:hint="default" w:ascii="仿宋" w:hAnsi="仿宋" w:eastAsia="仿宋" w:cs="宋体"/>
          <w:snapToGrid w:val="0"/>
          <w:color w:val="000000"/>
          <w:kern w:val="0"/>
          <w:sz w:val="24"/>
          <w:lang w:val="en-US" w:eastAsia="zh-CN"/>
        </w:rPr>
        <w:t>格式存储；</w:t>
      </w:r>
    </w:p>
    <w:p w14:paraId="0CD86C70">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default" w:ascii="仿宋" w:hAnsi="仿宋" w:eastAsia="仿宋" w:cs="宋体"/>
          <w:snapToGrid w:val="0"/>
          <w:color w:val="000000"/>
          <w:kern w:val="0"/>
          <w:sz w:val="24"/>
          <w:lang w:val="en-US" w:eastAsia="zh-CN"/>
        </w:rPr>
        <w:t>（</w:t>
      </w:r>
      <w:r>
        <w:rPr>
          <w:rFonts w:hint="eastAsia" w:ascii="仿宋" w:hAnsi="仿宋" w:eastAsia="仿宋" w:cs="宋体"/>
          <w:snapToGrid w:val="0"/>
          <w:color w:val="000000"/>
          <w:kern w:val="0"/>
          <w:sz w:val="24"/>
          <w:lang w:val="en-US" w:eastAsia="zh-CN"/>
        </w:rPr>
        <w:t>5</w:t>
      </w:r>
      <w:r>
        <w:rPr>
          <w:rFonts w:hint="default" w:ascii="仿宋" w:hAnsi="仿宋" w:eastAsia="仿宋" w:cs="宋体"/>
          <w:snapToGrid w:val="0"/>
          <w:color w:val="000000"/>
          <w:kern w:val="0"/>
          <w:sz w:val="24"/>
          <w:lang w:val="en-US" w:eastAsia="zh-CN"/>
        </w:rPr>
        <w:t>）淹没实物档案及关键要素调查表，以xls格式与docx格式储存。</w:t>
      </w:r>
    </w:p>
    <w:p w14:paraId="00D70B13">
      <w:pPr>
        <w:pStyle w:val="5"/>
        <w:rPr>
          <w:rFonts w:hint="eastAsia"/>
        </w:rPr>
      </w:pPr>
      <w:r>
        <w:rPr>
          <w:rFonts w:hint="eastAsia"/>
          <w:lang w:val="en-US" w:eastAsia="zh-CN"/>
        </w:rPr>
        <w:t>五</w:t>
      </w:r>
      <w:r>
        <w:rPr>
          <w:rFonts w:hint="eastAsia"/>
        </w:rPr>
        <w:t>、报价要求</w:t>
      </w:r>
    </w:p>
    <w:p w14:paraId="085D406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本项目采用总价报价方式，报价应包含但不限于：人工费(含差旅费)、设备费、材料费、机械费、管理费、税金、措施费、利润、服务期限内的风险费用、前期资料的收集等完成本次采购范围内工作所发生的全部费用。</w:t>
      </w:r>
    </w:p>
    <w:p w14:paraId="71334F8C">
      <w:pPr>
        <w:pStyle w:val="5"/>
        <w:rPr>
          <w:rFonts w:hint="eastAsia"/>
        </w:rPr>
      </w:pPr>
      <w:r>
        <w:rPr>
          <w:rFonts w:hint="eastAsia"/>
          <w:lang w:val="en-US" w:eastAsia="zh-CN"/>
        </w:rPr>
        <w:t>六</w:t>
      </w:r>
      <w:r>
        <w:rPr>
          <w:rFonts w:hint="eastAsia"/>
        </w:rPr>
        <w:t>、其他要求</w:t>
      </w:r>
    </w:p>
    <w:p w14:paraId="3797425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w:t>
      </w:r>
      <w:r>
        <w:rPr>
          <w:rFonts w:hint="eastAsia" w:ascii="仿宋" w:hAnsi="仿宋" w:eastAsia="仿宋" w:cs="Arial"/>
          <w:snapToGrid w:val="0"/>
          <w:color w:val="000000"/>
          <w:kern w:val="0"/>
          <w:sz w:val="24"/>
          <w:lang w:val="en-US" w:eastAsia="zh-CN"/>
        </w:rPr>
        <w:t>技术服务</w:t>
      </w:r>
      <w:r>
        <w:rPr>
          <w:rFonts w:hint="eastAsia" w:ascii="仿宋" w:hAnsi="仿宋" w:eastAsia="仿宋" w:cs="Arial"/>
          <w:snapToGrid w:val="0"/>
          <w:color w:val="000000"/>
          <w:kern w:val="0"/>
          <w:sz w:val="24"/>
        </w:rPr>
        <w:t>要求</w:t>
      </w:r>
    </w:p>
    <w:p w14:paraId="43CAF1B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（1）质量保证措施</w:t>
      </w:r>
    </w:p>
    <w:p w14:paraId="1C8FD21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1）中标人对外业采集数据进行整理编辑，各道测量、调查工序在不同的阶段要进行质量控制。</w:t>
      </w:r>
    </w:p>
    <w:p w14:paraId="2E91494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2）针对各项检查中发现的问题，要及时进行处置，同时，整改要有监督、有验证。</w:t>
      </w:r>
    </w:p>
    <w:p w14:paraId="570D858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3）按规范要求进行测量与调查成果验收。</w:t>
      </w:r>
    </w:p>
    <w:p w14:paraId="15823F0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4）指定各分项质量保证负责人，并经常进行全员的安全生产教育，强化质量意识，以确保为采购人提供合格的成果。</w:t>
      </w:r>
    </w:p>
    <w:p w14:paraId="406F6F3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（2）作业安全措施</w:t>
      </w:r>
    </w:p>
    <w:p w14:paraId="2A39B6AF">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1）中标人应按本合同的有关规定履行其安全保护职责。</w:t>
      </w:r>
    </w:p>
    <w:p w14:paraId="472C0F5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2）中标人必须遵守国家颁布的有关安全规程。若中标人责任区内发生安全事故时，中标人应立即按相关安全生产事故应急预案要求进行抢险并通报采购人。</w:t>
      </w:r>
    </w:p>
    <w:p w14:paraId="071E3AC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3）中标人应加强对危险作业的安全检查，建立专门检查机构，配备专职的安检人员。</w:t>
      </w:r>
    </w:p>
    <w:p w14:paraId="5BB0C96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4）中标人应按照国家劳动保护法的规定，定期发给在现场作业的工作人员必需的劳动保护用品，如安全帽、水鞋、雨衣、手套、手灯、防护面具和安全带等。</w:t>
      </w:r>
    </w:p>
    <w:p w14:paraId="0A5806A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5）中标人应根据国家相关部门发布的水情和气象预报，做好洪水和气象灾害的防护工作。一旦发现有可能危及人身财产安全的洪水和气象灾害的预兆时，中标人应立即采取有效的防洪和防灾措施，以确保人员、财产的安全。</w:t>
      </w:r>
    </w:p>
    <w:p w14:paraId="4F57639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（3）文明、环保措施</w:t>
      </w:r>
    </w:p>
    <w:p w14:paraId="3322EA1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中标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14:paraId="40041564">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2）中标人应明确各级安全职责和安全控制重点，建立完整的安全保证体系和监督体系，制定完善的安全文明施工管理制度，并严格执行。</w:t>
      </w:r>
    </w:p>
    <w:p w14:paraId="0F26686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3）项目实施过程中，采购人有权对安全文明工作进行检查，有权对不规范的作业提出改进意见和考核，中标人应遵照执行。</w:t>
      </w:r>
    </w:p>
    <w:p w14:paraId="3586C01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（4）验收</w:t>
      </w:r>
    </w:p>
    <w:p w14:paraId="65F136E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在完工验收之前，中标人应根据采购人要求对采购人各个项目中的子环节进行检查。对于未达到采购人要求的作业精度和作业内容，卖方应及时补充和修复，并向采购人申请再次鉴定，直至达到采购人的要求。</w:t>
      </w:r>
    </w:p>
    <w:p w14:paraId="6A5CE0F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2）在成果移交时，中标人应同时向采购人移交根据采购人批准的设备和材料及其档案资料，包括实物调查表等原资料，并以电子文件方式提供整理后的全部资料。所有资料不得随意扩散。</w:t>
      </w:r>
    </w:p>
    <w:p w14:paraId="0B362DF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3）中标人向采购人提供或移交的验收或竣工资料的费用均包括在承包工程的工程款中，买方不另行支付费用。</w:t>
      </w:r>
    </w:p>
    <w:p w14:paraId="43A338C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（5）计量与支付</w:t>
      </w:r>
    </w:p>
    <w:p w14:paraId="1537D09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1）工程量以工程量报价清单中的计量单位计量，按工程量报价清单中所报的单价和采购人认可的工程量进行支付。任何工程量报价清单中未列出的辅助项目费用均视为已包含在工程量报价清单所明列的单价中。</w:t>
      </w:r>
    </w:p>
    <w:p w14:paraId="0694530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2）工程量由卖方计算，由采购人审核。工程量计算的副本应提交采购人。采购人有权检查工程量计算有关资料的记录原本。</w:t>
      </w:r>
    </w:p>
    <w:p w14:paraId="4157E1D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3）在施工过程中及卖方的保修责任期内，因卖方的责任而损坏的仪器设备的修复不予计量和支付。</w:t>
      </w:r>
    </w:p>
    <w:p w14:paraId="66E2940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4）本合同规定由卖方提供的文件、图纸、报告、数据电子文件等均包括在合同范围内，不单独支付费用。</w:t>
      </w:r>
    </w:p>
    <w:p w14:paraId="29A5B31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2、质保期服务要求</w:t>
      </w:r>
    </w:p>
    <w:p w14:paraId="3C8542A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（1）质保期</w:t>
      </w:r>
    </w:p>
    <w:p w14:paraId="34FDB7F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本项目质保期为成果提交之日起不低于2年，以报价人自我承诺年限为准。</w:t>
      </w:r>
    </w:p>
    <w:p w14:paraId="1C2049C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（2）售后服务</w:t>
      </w:r>
    </w:p>
    <w:p w14:paraId="24E780B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中标人同意在本合同规定的质保期内，如存在质量问题，中标人应立即赶往现场补测，在本合同规定的质保期结束后，如果采购人需要补充测量或调查，中标人承诺继续提供支持服务，具体费用届时由双方协商，另行签署相关合同约定。</w:t>
      </w:r>
    </w:p>
    <w:p w14:paraId="2ABF22C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2）中标人须向采购人提供其现场服务联系机构的电话和联系人姓名。并且提供全天候的热线电话响应服务。</w:t>
      </w:r>
    </w:p>
    <w:p w14:paraId="61D89A1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3）中标人有责任在保证安全和质量的前提下提供技术服务，包括：技术咨询、技术资料、技术说明书等。</w:t>
      </w:r>
    </w:p>
    <w:p w14:paraId="618E59A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lang w:val="en-US" w:eastAsia="zh-CN"/>
        </w:rPr>
        <w:t>2</w:t>
      </w:r>
      <w:r>
        <w:rPr>
          <w:rFonts w:hint="eastAsia" w:ascii="仿宋" w:hAnsi="仿宋" w:eastAsia="仿宋" w:cs="Arial"/>
          <w:snapToGrid w:val="0"/>
          <w:color w:val="000000"/>
          <w:kern w:val="0"/>
          <w:sz w:val="24"/>
        </w:rPr>
        <w:t>、本项目生产源数据及成果资料可能存在涉密，成交供应商应有完善的保密机制，对所有的生产资料不得外泄。</w:t>
      </w:r>
    </w:p>
    <w:p w14:paraId="612DF410">
      <w:r>
        <w:rPr>
          <w:rFonts w:hint="eastAsia" w:ascii="仿宋" w:hAnsi="仿宋" w:eastAsia="仿宋" w:cs="Arial"/>
          <w:snapToGrid w:val="0"/>
          <w:color w:val="000000"/>
          <w:kern w:val="0"/>
          <w:sz w:val="24"/>
          <w:lang w:val="en-US" w:eastAsia="zh-CN"/>
        </w:rPr>
        <w:t>3</w:t>
      </w:r>
      <w:r>
        <w:rPr>
          <w:rFonts w:hint="eastAsia" w:ascii="仿宋" w:hAnsi="仿宋" w:eastAsia="仿宋" w:cs="Arial"/>
          <w:snapToGrid w:val="0"/>
          <w:color w:val="000000"/>
          <w:kern w:val="0"/>
          <w:sz w:val="24"/>
        </w:rPr>
        <w:t>、本项目涉及野外作业，成交供应商须有完善的安全作业机制，在项目实施中须按照相关安全、保密措施执行。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22DA4"/>
    <w:rsid w:val="01CF3131"/>
    <w:rsid w:val="02EB4369"/>
    <w:rsid w:val="128357DA"/>
    <w:rsid w:val="12F54353"/>
    <w:rsid w:val="13BF1F9F"/>
    <w:rsid w:val="1BF8711B"/>
    <w:rsid w:val="23B57DCF"/>
    <w:rsid w:val="2BC02859"/>
    <w:rsid w:val="2E7912F8"/>
    <w:rsid w:val="374426E5"/>
    <w:rsid w:val="3D3018A9"/>
    <w:rsid w:val="44E97306"/>
    <w:rsid w:val="479E35DD"/>
    <w:rsid w:val="4DA8648A"/>
    <w:rsid w:val="4F5C475A"/>
    <w:rsid w:val="4FB87821"/>
    <w:rsid w:val="55E31AB4"/>
    <w:rsid w:val="583E601C"/>
    <w:rsid w:val="58DF0589"/>
    <w:rsid w:val="59E54BAC"/>
    <w:rsid w:val="5A9A56D9"/>
    <w:rsid w:val="5FDF3861"/>
    <w:rsid w:val="67D550BB"/>
    <w:rsid w:val="67E32A2B"/>
    <w:rsid w:val="6EB11DD4"/>
    <w:rsid w:val="6FDE6FC3"/>
    <w:rsid w:val="70CE214E"/>
    <w:rsid w:val="730A508B"/>
    <w:rsid w:val="7A122DA4"/>
    <w:rsid w:val="7C93323A"/>
    <w:rsid w:val="7F2A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line="360" w:lineRule="auto"/>
      <w:jc w:val="center"/>
      <w:outlineLvl w:val="0"/>
    </w:pPr>
    <w:rPr>
      <w:rFonts w:ascii="Calibri" w:hAnsi="Calibri" w:eastAsia="宋体" w:cs="Times New Roman"/>
      <w:b/>
      <w:bCs/>
      <w:kern w:val="44"/>
      <w:sz w:val="32"/>
      <w:szCs w:val="44"/>
    </w:rPr>
  </w:style>
  <w:style w:type="paragraph" w:styleId="5">
    <w:name w:val="heading 2"/>
    <w:basedOn w:val="1"/>
    <w:next w:val="1"/>
    <w:link w:val="14"/>
    <w:autoRedefine/>
    <w:semiHidden/>
    <w:unhideWhenUsed/>
    <w:qFormat/>
    <w:uiPriority w:val="0"/>
    <w:pPr>
      <w:keepNext/>
      <w:keepLines/>
      <w:spacing w:line="360" w:lineRule="auto"/>
      <w:jc w:val="left"/>
      <w:outlineLvl w:val="1"/>
    </w:pPr>
    <w:rPr>
      <w:rFonts w:ascii="Times New Roman" w:hAnsi="Times New Roman" w:eastAsiaTheme="majorEastAsia" w:cstheme="majorBidi"/>
      <w:b/>
      <w:sz w:val="28"/>
    </w:rPr>
  </w:style>
  <w:style w:type="paragraph" w:styleId="6">
    <w:name w:val="heading 3"/>
    <w:basedOn w:val="1"/>
    <w:next w:val="1"/>
    <w:link w:val="15"/>
    <w:semiHidden/>
    <w:unhideWhenUsed/>
    <w:qFormat/>
    <w:uiPriority w:val="0"/>
    <w:pPr>
      <w:autoSpaceDE/>
      <w:autoSpaceDN/>
      <w:spacing w:before="50" w:beforeLines="50" w:beforeAutospacing="0" w:afterAutospacing="0" w:line="360" w:lineRule="auto"/>
      <w:jc w:val="left"/>
      <w:outlineLvl w:val="2"/>
    </w:pPr>
    <w:rPr>
      <w:rFonts w:hint="eastAsia" w:ascii="Times New Roman" w:hAnsi="Times New Roman" w:eastAsia="宋体"/>
      <w:b/>
      <w:kern w:val="0"/>
      <w:sz w:val="24"/>
      <w:szCs w:val="24"/>
    </w:rPr>
  </w:style>
  <w:style w:type="paragraph" w:styleId="7">
    <w:name w:val="heading 4"/>
    <w:basedOn w:val="1"/>
    <w:next w:val="1"/>
    <w:link w:val="17"/>
    <w:semiHidden/>
    <w:unhideWhenUsed/>
    <w:qFormat/>
    <w:uiPriority w:val="0"/>
    <w:pPr>
      <w:keepNext/>
      <w:keepLines/>
      <w:spacing w:line="360" w:lineRule="auto"/>
      <w:outlineLvl w:val="3"/>
    </w:pPr>
    <w:rPr>
      <w:rFonts w:ascii="Times New Roman" w:hAnsi="Times New Roman" w:eastAsia="宋体" w:cs="Times New Roman"/>
      <w:kern w:val="0"/>
      <w:sz w:val="24"/>
    </w:rPr>
  </w:style>
  <w:style w:type="character" w:default="1" w:styleId="13">
    <w:name w:val="Default Paragraph Font"/>
    <w:autoRedefine/>
    <w:semiHidden/>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afterAutospacing="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uiPriority w:val="0"/>
    <w:pPr>
      <w:spacing w:after="120" w:afterLines="0" w:afterAutospacing="0"/>
      <w:ind w:left="420" w:leftChars="200"/>
    </w:pPr>
  </w:style>
  <w:style w:type="paragraph" w:styleId="9">
    <w:name w:val="Plain Text"/>
    <w:basedOn w:val="1"/>
    <w:link w:val="18"/>
    <w:qFormat/>
    <w:uiPriority w:val="0"/>
    <w:rPr>
      <w:rFonts w:ascii="Times New Roman" w:hAnsi="Times New Roman" w:eastAsia="宋体"/>
      <w:kern w:val="0"/>
      <w:sz w:val="20"/>
      <w:szCs w:val="20"/>
    </w:rPr>
  </w:style>
  <w:style w:type="paragraph" w:styleId="10">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Body Text First Indent 2"/>
    <w:basedOn w:val="8"/>
    <w:uiPriority w:val="0"/>
    <w:pPr>
      <w:spacing w:line="360" w:lineRule="auto"/>
      <w:ind w:left="0" w:leftChars="0" w:firstLine="420" w:firstLineChars="200"/>
    </w:pPr>
    <w:rPr>
      <w:rFonts w:ascii="Times New Roman" w:hAnsi="Times New Roman" w:eastAsia="宋体"/>
    </w:rPr>
  </w:style>
  <w:style w:type="character" w:customStyle="1" w:styleId="14">
    <w:name w:val="标题 2 字符"/>
    <w:basedOn w:val="13"/>
    <w:link w:val="5"/>
    <w:autoRedefine/>
    <w:qFormat/>
    <w:uiPriority w:val="9"/>
    <w:rPr>
      <w:rFonts w:ascii="Times New Roman" w:hAnsi="Times New Roman" w:eastAsiaTheme="majorEastAsia" w:cstheme="majorBidi"/>
      <w:b/>
      <w:kern w:val="2"/>
      <w:sz w:val="28"/>
      <w:szCs w:val="24"/>
    </w:rPr>
  </w:style>
  <w:style w:type="character" w:customStyle="1" w:styleId="15">
    <w:name w:val="标题 3 字符"/>
    <w:basedOn w:val="13"/>
    <w:link w:val="6"/>
    <w:autoRedefine/>
    <w:qFormat/>
    <w:uiPriority w:val="9"/>
    <w:rPr>
      <w:rFonts w:ascii="Times New Roman" w:hAnsi="Times New Roman" w:eastAsia="宋体"/>
      <w:b/>
      <w:sz w:val="24"/>
      <w:szCs w:val="24"/>
    </w:rPr>
  </w:style>
  <w:style w:type="character" w:customStyle="1" w:styleId="16">
    <w:name w:val="标题 1 字符"/>
    <w:link w:val="4"/>
    <w:autoRedefine/>
    <w:qFormat/>
    <w:uiPriority w:val="0"/>
    <w:rPr>
      <w:rFonts w:ascii="Calibri" w:hAnsi="Calibri" w:eastAsia="宋体" w:cs="Times New Roman"/>
      <w:b/>
      <w:bCs/>
      <w:kern w:val="44"/>
      <w:sz w:val="32"/>
      <w:szCs w:val="44"/>
    </w:rPr>
  </w:style>
  <w:style w:type="character" w:customStyle="1" w:styleId="17">
    <w:name w:val="标题 4 字符"/>
    <w:basedOn w:val="13"/>
    <w:link w:val="7"/>
    <w:autoRedefine/>
    <w:qFormat/>
    <w:uiPriority w:val="0"/>
    <w:rPr>
      <w:rFonts w:ascii="Times New Roman" w:hAnsi="Times New Roman" w:eastAsia="宋体" w:cs="Times New Roman"/>
      <w:sz w:val="24"/>
      <w:szCs w:val="24"/>
    </w:rPr>
  </w:style>
  <w:style w:type="character" w:customStyle="1" w:styleId="18">
    <w:name w:val="纯文本 字符"/>
    <w:link w:val="9"/>
    <w:autoRedefine/>
    <w:qFormat/>
    <w:locked/>
    <w:uiPriority w:val="0"/>
    <w:rPr>
      <w:rFonts w:ascii="Times New Roman" w:hAnsi="Times New Roman" w:eastAsia="宋体"/>
    </w:rPr>
  </w:style>
  <w:style w:type="paragraph" w:customStyle="1" w:styleId="1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2025-01-23T09:38:00Z</dcterms:created>
  <dc:creator>帅帅帅松</dc:creator>
  <cp:lastModifiedBy>帅帅帅松</cp:lastModifiedBy>
  <dcterms:modified xsi:type="dcterms:W3CDTF">2025-01-23T09:38:45Z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4F23252F6DEC47BFB12721A3AC42FCDA_11</vt:lpwstr>
  </property>
  <property fmtid="{D5CDD505-2E9C-101B-9397-08002B2CF9AE}" pid="4" name="KSOTemplateDocerSaveRecord">
    <vt:lpwstr>eyJoZGlkIjoiOTg5NDdhOTJiMWIyZThiZjhkYzc5MDNiODJjMGNkNmQiLCJ1c2VySWQiOiI2NDg3MzUyMDcifQ==</vt:lpwstr>
  </property>
</Properties>
</file>