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83894">
      <w:pPr>
        <w:spacing w:line="360" w:lineRule="auto"/>
        <w:jc w:val="center"/>
        <w:outlineLvl w:val="0"/>
        <w:rPr>
          <w:rFonts w:ascii="宋体" w:hAnsi="宋体" w:eastAsia="宋体" w:cs="宋体"/>
          <w:b/>
          <w:color w:val="auto"/>
          <w:sz w:val="28"/>
        </w:rPr>
      </w:pPr>
      <w:r>
        <w:rPr>
          <w:rFonts w:hint="eastAsia" w:ascii="宋体" w:hAnsi="宋体" w:eastAsia="宋体" w:cs="宋体"/>
          <w:b/>
          <w:color w:val="auto"/>
          <w:sz w:val="28"/>
        </w:rPr>
        <w:t>采购需求</w:t>
      </w:r>
    </w:p>
    <w:p w14:paraId="3AD2D527">
      <w:pPr>
        <w:adjustRightInd w:val="0"/>
        <w:snapToGrid w:val="0"/>
        <w:spacing w:line="360" w:lineRule="auto"/>
        <w:rPr>
          <w:rFonts w:ascii="宋体" w:hAnsi="宋体" w:eastAsia="宋体" w:cs="宋体"/>
          <w:b/>
          <w:color w:val="auto"/>
          <w:szCs w:val="21"/>
        </w:rPr>
      </w:pPr>
      <w:r>
        <w:rPr>
          <w:rFonts w:hint="eastAsia" w:ascii="宋体" w:hAnsi="宋体" w:eastAsia="宋体" w:cs="宋体"/>
          <w:b/>
          <w:color w:val="auto"/>
          <w:szCs w:val="21"/>
        </w:rPr>
        <w:t>前注：</w:t>
      </w:r>
    </w:p>
    <w:p w14:paraId="0BDDDB4A">
      <w:pPr>
        <w:adjustRightInd w:val="0"/>
        <w:snapToGrid w:val="0"/>
        <w:spacing w:line="360" w:lineRule="auto"/>
        <w:ind w:firstLine="435"/>
        <w:rPr>
          <w:rFonts w:ascii="宋体" w:hAnsi="宋体" w:eastAsia="宋体" w:cs="宋体"/>
          <w:color w:val="auto"/>
          <w:szCs w:val="21"/>
        </w:rPr>
      </w:pPr>
      <w:r>
        <w:rPr>
          <w:rFonts w:hint="eastAsia" w:ascii="宋体" w:hAnsi="宋体" w:eastAsia="宋体" w:cs="宋体"/>
          <w:color w:val="auto"/>
          <w:szCs w:val="21"/>
        </w:rPr>
        <w:t>1.本采购需求中提出的服务方案仅为参考，如无明确限制，供应商可以进行优化，提供满足采购人实际需要的更优（或者性能实质上不低于的）服务方案，且此方案须经磋商小组评审认可。</w:t>
      </w:r>
    </w:p>
    <w:p w14:paraId="4719B463">
      <w:pPr>
        <w:adjustRightInd w:val="0"/>
        <w:snapToGrid w:val="0"/>
        <w:spacing w:line="360" w:lineRule="auto"/>
        <w:ind w:firstLine="435"/>
        <w:rPr>
          <w:rFonts w:ascii="宋体" w:hAnsi="宋体" w:eastAsia="宋体" w:cs="宋体"/>
          <w:color w:val="auto"/>
          <w:szCs w:val="21"/>
        </w:rPr>
      </w:pPr>
      <w:r>
        <w:rPr>
          <w:rFonts w:hint="eastAsia" w:ascii="宋体" w:hAnsi="宋体" w:eastAsia="宋体" w:cs="宋体"/>
          <w:color w:val="auto"/>
          <w:szCs w:val="21"/>
        </w:rPr>
        <w:t>2.下列采购需求中（包括但不限于下列具体政策要求）：</w:t>
      </w:r>
    </w:p>
    <w:p w14:paraId="52085832">
      <w:pPr>
        <w:adjustRightInd w:val="0"/>
        <w:snapToGrid w:val="0"/>
        <w:spacing w:line="360" w:lineRule="auto"/>
        <w:ind w:firstLine="435"/>
        <w:rPr>
          <w:rFonts w:ascii="宋体" w:hAnsi="宋体" w:eastAsia="宋体" w:cs="宋体"/>
          <w:color w:val="auto"/>
          <w:szCs w:val="21"/>
        </w:rPr>
      </w:pPr>
      <w:r>
        <w:rPr>
          <w:rFonts w:hint="eastAsia" w:ascii="宋体" w:hAnsi="宋体" w:eastAsia="宋体" w:cs="宋体"/>
          <w:color w:val="auto"/>
          <w:szCs w:val="21"/>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76E2F10F">
      <w:pPr>
        <w:adjustRightInd w:val="0"/>
        <w:snapToGrid w:val="0"/>
        <w:spacing w:line="360" w:lineRule="auto"/>
        <w:ind w:firstLine="435"/>
        <w:rPr>
          <w:rFonts w:hint="eastAsia" w:ascii="宋体" w:hAnsi="宋体" w:eastAsia="宋体" w:cs="宋体"/>
          <w:color w:val="auto"/>
          <w:sz w:val="21"/>
          <w:szCs w:val="21"/>
        </w:rPr>
      </w:pPr>
      <w:r>
        <w:rPr>
          <w:rFonts w:hint="eastAsia" w:ascii="宋体" w:hAnsi="宋体" w:eastAsia="宋体" w:cs="宋体"/>
          <w:color w:val="auto"/>
          <w:szCs w:val="21"/>
        </w:rPr>
        <w:t>（2）如涉及商品包装和快递包装，供应商应当执行《关于印发〈商品包装政府采购需求标准（试行）〉、〈快递包装政府采购需求标准（试行）〉的通知》（财办库〔2020〕123 号）、《安徽省财政厅关于贯彻落实政府绿色采购有关政策的通知》（皖财购〔2023〕853号）的</w:t>
      </w:r>
      <w:r>
        <w:rPr>
          <w:rFonts w:hint="eastAsia" w:ascii="宋体" w:hAnsi="宋体" w:eastAsia="宋体" w:cs="宋体"/>
          <w:color w:val="auto"/>
          <w:sz w:val="21"/>
          <w:szCs w:val="21"/>
        </w:rPr>
        <w:t>要求，提供符合需求标准的绿色包装、绿色运输，同时，采购人将对包装材料和运输环节作为履约验收条款进行验收。</w:t>
      </w:r>
    </w:p>
    <w:p w14:paraId="56E95262">
      <w:pPr>
        <w:adjustRightInd w:val="0"/>
        <w:snapToGrid w:val="0"/>
        <w:spacing w:line="360" w:lineRule="auto"/>
        <w:ind w:firstLine="435"/>
        <w:rPr>
          <w:rFonts w:hint="eastAsia" w:ascii="宋体" w:hAnsi="宋体" w:eastAsia="宋体" w:cs="宋体"/>
          <w:color w:val="auto"/>
          <w:sz w:val="21"/>
          <w:szCs w:val="21"/>
        </w:rPr>
      </w:pPr>
      <w:r>
        <w:rPr>
          <w:rFonts w:hint="eastAsia" w:ascii="宋体" w:hAnsi="宋体" w:eastAsia="宋体" w:cs="宋体"/>
          <w:color w:val="auto"/>
          <w:sz w:val="21"/>
          <w:szCs w:val="21"/>
        </w:rPr>
        <w:t>3.如采购人允许采用分包方式履行合同的，应当明确可以分包履行的相关内容。</w:t>
      </w:r>
    </w:p>
    <w:p w14:paraId="7F240A6A">
      <w:pPr>
        <w:spacing w:line="360" w:lineRule="auto"/>
        <w:ind w:firstLine="437"/>
        <w:outlineLvl w:val="1"/>
        <w:rPr>
          <w:rFonts w:hint="eastAsia" w:ascii="宋体" w:hAnsi="宋体" w:eastAsia="宋体" w:cs="宋体"/>
          <w:b/>
          <w:color w:val="auto"/>
          <w:sz w:val="21"/>
          <w:szCs w:val="21"/>
        </w:rPr>
      </w:pPr>
      <w:bookmarkStart w:id="0" w:name="_Toc7562"/>
      <w:bookmarkStart w:id="1" w:name="_Toc7699"/>
      <w:bookmarkStart w:id="2" w:name="_Toc26349"/>
      <w:r>
        <w:rPr>
          <w:rFonts w:hint="eastAsia" w:ascii="宋体" w:hAnsi="宋体" w:eastAsia="宋体" w:cs="宋体"/>
          <w:b/>
          <w:color w:val="auto"/>
          <w:sz w:val="21"/>
          <w:szCs w:val="21"/>
        </w:rPr>
        <w:t>一、采购需求前附表</w:t>
      </w:r>
      <w:bookmarkEnd w:id="0"/>
      <w:bookmarkEnd w:id="1"/>
      <w:bookmarkEnd w:id="2"/>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766"/>
        <w:gridCol w:w="5750"/>
      </w:tblGrid>
      <w:tr w14:paraId="64A0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0" w:type="pct"/>
            <w:noWrap w:val="0"/>
            <w:vAlign w:val="center"/>
          </w:tcPr>
          <w:p w14:paraId="3D399EFD">
            <w:pPr>
              <w:pStyle w:val="5"/>
              <w:pBdr>
                <w:bottom w:val="none" w:color="auto" w:sz="0" w:space="0"/>
              </w:pBdr>
              <w:tabs>
                <w:tab w:val="clear" w:pos="4153"/>
                <w:tab w:val="clear" w:pos="8306"/>
              </w:tabs>
              <w:adjustRightInd/>
              <w:spacing w:line="300" w:lineRule="auto"/>
              <w:textAlignment w:val="auto"/>
              <w:rPr>
                <w:rFonts w:hint="eastAsia" w:ascii="宋体" w:hAnsi="宋体" w:eastAsia="宋体" w:cs="宋体"/>
                <w:b/>
                <w:color w:val="auto"/>
                <w:kern w:val="2"/>
                <w:sz w:val="21"/>
                <w:szCs w:val="21"/>
              </w:rPr>
            </w:pPr>
            <w:bookmarkStart w:id="3" w:name="_Hlk16461016"/>
            <w:r>
              <w:rPr>
                <w:rFonts w:hint="eastAsia" w:ascii="宋体" w:hAnsi="宋体" w:eastAsia="宋体" w:cs="宋体"/>
                <w:b/>
                <w:color w:val="auto"/>
                <w:kern w:val="2"/>
                <w:sz w:val="21"/>
                <w:szCs w:val="21"/>
              </w:rPr>
              <w:t>序号</w:t>
            </w:r>
          </w:p>
        </w:tc>
        <w:tc>
          <w:tcPr>
            <w:tcW w:w="1036" w:type="pct"/>
            <w:noWrap w:val="0"/>
            <w:vAlign w:val="center"/>
          </w:tcPr>
          <w:p w14:paraId="2143BF4F">
            <w:pPr>
              <w:pStyle w:val="6"/>
              <w:widowControl w:val="0"/>
              <w:spacing w:before="0" w:beforeAutospacing="0" w:after="0" w:afterAutospacing="0" w:line="300"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条款名称</w:t>
            </w:r>
          </w:p>
        </w:tc>
        <w:tc>
          <w:tcPr>
            <w:tcW w:w="3373" w:type="pct"/>
            <w:noWrap w:val="0"/>
            <w:vAlign w:val="center"/>
          </w:tcPr>
          <w:p w14:paraId="6883E936">
            <w:pPr>
              <w:pStyle w:val="6"/>
              <w:widowControl w:val="0"/>
              <w:spacing w:before="0" w:beforeAutospacing="0" w:after="0" w:afterAutospacing="0" w:line="300"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内容、说明与要求</w:t>
            </w:r>
          </w:p>
        </w:tc>
      </w:tr>
      <w:tr w14:paraId="57F2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0" w:type="pct"/>
            <w:noWrap w:val="0"/>
            <w:vAlign w:val="center"/>
          </w:tcPr>
          <w:p w14:paraId="4BB2E872">
            <w:pPr>
              <w:pStyle w:val="5"/>
              <w:pBdr>
                <w:bottom w:val="none" w:color="auto" w:sz="0" w:space="0"/>
              </w:pBdr>
              <w:tabs>
                <w:tab w:val="clear" w:pos="4153"/>
                <w:tab w:val="clear" w:pos="8306"/>
              </w:tabs>
              <w:adjustRightInd/>
              <w:spacing w:line="300" w:lineRule="auto"/>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w:t>
            </w:r>
          </w:p>
        </w:tc>
        <w:tc>
          <w:tcPr>
            <w:tcW w:w="1036" w:type="pct"/>
            <w:noWrap w:val="0"/>
            <w:vAlign w:val="center"/>
          </w:tcPr>
          <w:p w14:paraId="20B8AE35">
            <w:pPr>
              <w:pStyle w:val="6"/>
              <w:widowControl w:val="0"/>
              <w:spacing w:before="0" w:beforeAutospacing="0" w:after="0" w:afterAutospacing="0" w:line="30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付款方式</w:t>
            </w:r>
          </w:p>
        </w:tc>
        <w:tc>
          <w:tcPr>
            <w:tcW w:w="3373" w:type="pct"/>
            <w:noWrap w:val="0"/>
            <w:vAlign w:val="center"/>
          </w:tcPr>
          <w:p w14:paraId="108B920D">
            <w:pPr>
              <w:widowControl/>
              <w:jc w:val="left"/>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合同签订，项目具备实施条件后，采购人预付每标包预算金额的40%（成交供应商提供等额的预付款保函），项目履约完成并验收合格后，以实际评估的数量进行结算（结算金额=实际评估数量×评估费用单价×成交费率）。</w:t>
            </w:r>
          </w:p>
          <w:p w14:paraId="2844C16D">
            <w:pPr>
              <w:widowControl/>
              <w:jc w:val="left"/>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注：</w:t>
            </w:r>
          </w:p>
          <w:p w14:paraId="73EF772B">
            <w:pPr>
              <w:widowControl/>
              <w:jc w:val="left"/>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①在签订合同时，成交供应商书面明确表示无需预付款，即成交供应商无需提供预付款保函，按皖财购〔2022〕556 号规定，采购人可不再支付预付款。</w:t>
            </w:r>
          </w:p>
          <w:p w14:paraId="118433B5">
            <w:pPr>
              <w:widowControl/>
              <w:jc w:val="left"/>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②如采用银行保函、担保机构出具的保函（担保机构担保），均须满足无条件见索即付条件，须提供明确有效的查询途径(网址链接及查询方式)。</w:t>
            </w:r>
          </w:p>
        </w:tc>
      </w:tr>
      <w:tr w14:paraId="3BBE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0" w:type="pct"/>
            <w:noWrap w:val="0"/>
            <w:vAlign w:val="center"/>
          </w:tcPr>
          <w:p w14:paraId="55AA50B8">
            <w:pPr>
              <w:pStyle w:val="5"/>
              <w:pBdr>
                <w:bottom w:val="none" w:color="auto" w:sz="0" w:space="0"/>
              </w:pBdr>
              <w:tabs>
                <w:tab w:val="clear" w:pos="4153"/>
                <w:tab w:val="clear" w:pos="8306"/>
              </w:tabs>
              <w:adjustRightInd/>
              <w:spacing w:line="300" w:lineRule="auto"/>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w:t>
            </w:r>
          </w:p>
        </w:tc>
        <w:tc>
          <w:tcPr>
            <w:tcW w:w="1036" w:type="pct"/>
            <w:noWrap w:val="0"/>
            <w:vAlign w:val="center"/>
          </w:tcPr>
          <w:p w14:paraId="49FFA5C0">
            <w:pPr>
              <w:pStyle w:val="6"/>
              <w:widowControl w:val="0"/>
              <w:spacing w:before="0" w:beforeAutospacing="0" w:after="0" w:afterAutospacing="0" w:line="30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服务地点</w:t>
            </w:r>
          </w:p>
        </w:tc>
        <w:tc>
          <w:tcPr>
            <w:tcW w:w="3373" w:type="pct"/>
            <w:noWrap w:val="0"/>
            <w:vAlign w:val="center"/>
          </w:tcPr>
          <w:p w14:paraId="140EF339">
            <w:pPr>
              <w:pStyle w:val="6"/>
              <w:widowControl w:val="0"/>
              <w:spacing w:before="0" w:beforeAutospacing="0" w:after="0" w:afterAutospacing="0" w:line="30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安徽省，具体按采购人指定地点</w:t>
            </w:r>
          </w:p>
        </w:tc>
      </w:tr>
      <w:tr w14:paraId="65A5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0" w:type="pct"/>
            <w:noWrap w:val="0"/>
            <w:vAlign w:val="center"/>
          </w:tcPr>
          <w:p w14:paraId="3036928F">
            <w:pPr>
              <w:pStyle w:val="5"/>
              <w:pBdr>
                <w:bottom w:val="none" w:color="auto" w:sz="0" w:space="0"/>
              </w:pBdr>
              <w:tabs>
                <w:tab w:val="clear" w:pos="4153"/>
                <w:tab w:val="clear" w:pos="8306"/>
              </w:tabs>
              <w:adjustRightInd/>
              <w:spacing w:line="300" w:lineRule="auto"/>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3</w:t>
            </w:r>
          </w:p>
        </w:tc>
        <w:tc>
          <w:tcPr>
            <w:tcW w:w="1036" w:type="pct"/>
            <w:noWrap w:val="0"/>
            <w:vAlign w:val="center"/>
          </w:tcPr>
          <w:p w14:paraId="32CA2B29">
            <w:pPr>
              <w:pStyle w:val="6"/>
              <w:widowControl w:val="0"/>
              <w:spacing w:before="0" w:beforeAutospacing="0" w:after="0" w:afterAutospacing="0" w:line="30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服务期限</w:t>
            </w:r>
          </w:p>
        </w:tc>
        <w:tc>
          <w:tcPr>
            <w:tcW w:w="3373" w:type="pct"/>
            <w:noWrap w:val="0"/>
            <w:vAlign w:val="center"/>
          </w:tcPr>
          <w:p w14:paraId="1DE76F56">
            <w:pPr>
              <w:pStyle w:val="6"/>
              <w:widowControl w:val="0"/>
              <w:spacing w:before="0" w:beforeAutospacing="0" w:after="0" w:afterAutospacing="0" w:line="300" w:lineRule="auto"/>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自合同生效之日起至2025年12月31日。</w:t>
            </w:r>
          </w:p>
        </w:tc>
      </w:tr>
      <w:tr w14:paraId="0318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0" w:type="pct"/>
            <w:noWrap w:val="0"/>
            <w:vAlign w:val="center"/>
          </w:tcPr>
          <w:p w14:paraId="2A0B80E0">
            <w:pPr>
              <w:pStyle w:val="5"/>
              <w:pBdr>
                <w:bottom w:val="none" w:color="auto" w:sz="0" w:space="0"/>
              </w:pBdr>
              <w:tabs>
                <w:tab w:val="clear" w:pos="4153"/>
                <w:tab w:val="clear" w:pos="8306"/>
              </w:tabs>
              <w:adjustRightInd/>
              <w:spacing w:line="300" w:lineRule="auto"/>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4</w:t>
            </w:r>
          </w:p>
        </w:tc>
        <w:tc>
          <w:tcPr>
            <w:tcW w:w="1036" w:type="pct"/>
            <w:noWrap w:val="0"/>
            <w:vAlign w:val="center"/>
          </w:tcPr>
          <w:p w14:paraId="598D7779">
            <w:pPr>
              <w:pStyle w:val="6"/>
              <w:widowControl w:val="0"/>
              <w:spacing w:before="0" w:beforeAutospacing="0" w:after="0" w:afterAutospacing="0" w:line="30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本项目采购标的名称及所属行业</w:t>
            </w:r>
          </w:p>
        </w:tc>
        <w:tc>
          <w:tcPr>
            <w:tcW w:w="3373" w:type="pct"/>
            <w:noWrap w:val="0"/>
            <w:vAlign w:val="center"/>
          </w:tcPr>
          <w:p w14:paraId="24D167F8">
            <w:pPr>
              <w:spacing w:line="30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标的名称：</w:t>
            </w:r>
            <w:r>
              <w:rPr>
                <w:rFonts w:hint="eastAsia" w:ascii="宋体" w:hAnsi="宋体" w:eastAsia="宋体" w:cs="宋体"/>
                <w:color w:val="auto"/>
                <w:sz w:val="21"/>
                <w:szCs w:val="21"/>
                <w:lang w:eastAsia="zh-CN"/>
              </w:rPr>
              <w:t>安徽省自然资源厅2025年度矿业权出让收益评估</w:t>
            </w:r>
          </w:p>
          <w:p w14:paraId="52F72C2E">
            <w:pPr>
              <w:spacing w:line="30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所属行业：其他未列明行业</w:t>
            </w:r>
          </w:p>
        </w:tc>
      </w:tr>
    </w:tbl>
    <w:p w14:paraId="6381ADE1">
      <w:pPr>
        <w:spacing w:line="360" w:lineRule="auto"/>
        <w:outlineLvl w:val="1"/>
        <w:rPr>
          <w:rFonts w:hint="eastAsia" w:ascii="宋体" w:hAnsi="宋体" w:eastAsia="宋体" w:cs="宋体"/>
          <w:b/>
          <w:color w:val="auto"/>
          <w:sz w:val="21"/>
          <w:szCs w:val="21"/>
          <w:lang w:val="en-US" w:eastAsia="zh-CN"/>
        </w:rPr>
      </w:pPr>
      <w:bookmarkStart w:id="4" w:name="_Toc17089"/>
      <w:bookmarkStart w:id="5" w:name="_Toc21757"/>
      <w:bookmarkStart w:id="6" w:name="_Toc8586"/>
      <w:r>
        <w:rPr>
          <w:rFonts w:hint="eastAsia" w:ascii="宋体" w:hAnsi="宋体" w:eastAsia="宋体" w:cs="宋体"/>
          <w:b/>
          <w:color w:val="auto"/>
          <w:sz w:val="21"/>
          <w:szCs w:val="21"/>
          <w:lang w:val="en-US" w:eastAsia="zh-CN"/>
        </w:rPr>
        <w:br w:type="page"/>
      </w:r>
      <w:r>
        <w:rPr>
          <w:rFonts w:hint="eastAsia" w:ascii="宋体" w:hAnsi="宋体" w:eastAsia="宋体" w:cs="宋体"/>
          <w:b/>
          <w:color w:val="auto"/>
          <w:sz w:val="21"/>
          <w:szCs w:val="21"/>
          <w:lang w:val="en-US" w:eastAsia="zh-CN"/>
        </w:rPr>
        <w:t>二、项目概况</w:t>
      </w:r>
    </w:p>
    <w:p w14:paraId="79F02D32">
      <w:pPr>
        <w:spacing w:line="360" w:lineRule="auto"/>
        <w:ind w:firstLine="437"/>
        <w:outlineLvl w:val="1"/>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根据财政部 自然资源部 税务总局关于印发《矿业权出让收益征收办法》的通知（财综〔2023〕10号）相关要求，需对2025年度矿业权出让收益评估，保障矿产资源全民所有者权益。</w:t>
      </w:r>
    </w:p>
    <w:p w14:paraId="1A8F3593">
      <w:pPr>
        <w:spacing w:line="360" w:lineRule="auto"/>
        <w:outlineLvl w:val="1"/>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三</w:t>
      </w:r>
      <w:r>
        <w:rPr>
          <w:rFonts w:hint="eastAsia" w:ascii="宋体" w:hAnsi="宋体" w:eastAsia="宋体" w:cs="宋体"/>
          <w:b/>
          <w:color w:val="auto"/>
          <w:sz w:val="21"/>
          <w:szCs w:val="21"/>
        </w:rPr>
        <w:t>、服务</w:t>
      </w:r>
      <w:bookmarkEnd w:id="4"/>
      <w:bookmarkEnd w:id="5"/>
      <w:bookmarkEnd w:id="6"/>
      <w:r>
        <w:rPr>
          <w:rFonts w:hint="eastAsia" w:ascii="宋体" w:hAnsi="宋体" w:eastAsia="宋体" w:cs="宋体"/>
          <w:b/>
          <w:color w:val="auto"/>
          <w:sz w:val="21"/>
          <w:szCs w:val="21"/>
        </w:rPr>
        <w:t>内容及要求</w:t>
      </w:r>
    </w:p>
    <w:bookmarkEnd w:id="3"/>
    <w:p w14:paraId="6DF8948B">
      <w:pPr>
        <w:wordWrap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（一）服务内容</w:t>
      </w:r>
    </w:p>
    <w:p w14:paraId="4F63CC72">
      <w:pPr>
        <w:wordWrap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1、供应商需严格按照国家法律法规和矿产资源管理政策、出让收益评估相关规定及评估行业规范及安徽省自然资源厅矿业权出让收益（价款）评估工作项目单评估内容开展评估业务。</w:t>
      </w:r>
    </w:p>
    <w:p w14:paraId="6ACF064C">
      <w:pPr>
        <w:wordWrap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2、成交供应商完成评估测算后，需要提交符合合同约定及相关规范要求的评估报告（含主要参数表、附图、附表等）纸质件和电子版。</w:t>
      </w:r>
    </w:p>
    <w:p w14:paraId="7CF837DC">
      <w:pPr>
        <w:wordWrap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3、接受采购人组织的成果验收，并按验收意见对成果予以修改完善。</w:t>
      </w:r>
    </w:p>
    <w:p w14:paraId="2D9D5F80">
      <w:pPr>
        <w:wordWrap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（二）服务要求</w:t>
      </w:r>
    </w:p>
    <w:p w14:paraId="779A7D72">
      <w:pPr>
        <w:wordWrap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1、成交供应商应独立开展评估工作，充分进行市场调查和信息收集分析，并承担法律责任。</w:t>
      </w:r>
    </w:p>
    <w:p w14:paraId="57DC3BB3">
      <w:pPr>
        <w:wordWrap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为规范和促进本项目的正常实施和推进,需有序高效、安全稳定、常态化运行,成交供应商须针对本项目成立独立的项目组,安排足够专业技术人员参加本项目的实施,如项目需要，成交供应商须提供驻场技术支持服务。</w:t>
      </w:r>
    </w:p>
    <w:p w14:paraId="6749C7D4">
      <w:pPr>
        <w:wordWrap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3、成交供应商应有义务对采购人或第三方对评估报告提出的意见和质询进行解答或修改评估报告。</w:t>
      </w:r>
    </w:p>
    <w:p w14:paraId="78B5FB02">
      <w:pPr>
        <w:wordWrap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4、成交供应商提交的报告不符合合同约定及相关规定，或经采购人组织验收不合格的，应在5个工作日内予以完善并重新向采购人提交。</w:t>
      </w:r>
    </w:p>
    <w:p w14:paraId="5A0A6ADF">
      <w:pPr>
        <w:wordWrap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成交供应商在项目实施过程中,必须严格遵守采购人的相关管理制度,并有保密义务,不得有泄密、人为损坏采购人设备及工作成果、不遵守工作纪律等不法行为,由此造成的一切后果及法律责任由成交供应商承担。</w:t>
      </w:r>
    </w:p>
    <w:p w14:paraId="6411809E">
      <w:pPr>
        <w:wordWrap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（三）售后服务要求</w:t>
      </w:r>
    </w:p>
    <w:p w14:paraId="6010CB7C">
      <w:pPr>
        <w:wordWrap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成交供应商应提供7*24小时技术支持，在采购人遇到问题时，应在1小时内响应，如需现场服务的，需要确定具有解决故障能力的技术人员在规定的时间内到达现场(时间不超过24小时)。</w:t>
      </w:r>
    </w:p>
    <w:p w14:paraId="3CACA564">
      <w:pPr>
        <w:keepNext/>
        <w:keepLines/>
        <w:wordWrap w:val="0"/>
        <w:adjustRightInd w:val="0"/>
        <w:snapToGrid w:val="0"/>
        <w:spacing w:line="360" w:lineRule="auto"/>
        <w:outlineLvl w:val="0"/>
        <w:rPr>
          <w:rFonts w:hint="eastAsia" w:ascii="宋体" w:hAnsi="宋体" w:eastAsia="宋体" w:cs="宋体"/>
          <w:b/>
          <w:color w:val="auto"/>
          <w:kern w:val="44"/>
          <w:sz w:val="21"/>
          <w:szCs w:val="21"/>
        </w:rPr>
      </w:pPr>
      <w:r>
        <w:rPr>
          <w:rFonts w:hint="eastAsia" w:ascii="宋体" w:hAnsi="宋体" w:eastAsia="宋体" w:cs="宋体"/>
          <w:b/>
          <w:color w:val="auto"/>
          <w:kern w:val="44"/>
          <w:sz w:val="21"/>
          <w:szCs w:val="21"/>
          <w:lang w:val="en-US" w:eastAsia="zh-CN"/>
        </w:rPr>
        <w:t>四</w:t>
      </w:r>
      <w:r>
        <w:rPr>
          <w:rFonts w:hint="eastAsia" w:ascii="宋体" w:hAnsi="宋体" w:eastAsia="宋体" w:cs="宋体"/>
          <w:b/>
          <w:color w:val="auto"/>
          <w:kern w:val="44"/>
          <w:sz w:val="21"/>
          <w:szCs w:val="21"/>
        </w:rPr>
        <w:t>、服务期限</w:t>
      </w:r>
    </w:p>
    <w:p w14:paraId="1C098401">
      <w:pPr>
        <w:wordWrap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1.服务期限：自合同生效之日起至</w:t>
      </w:r>
      <w:r>
        <w:rPr>
          <w:rFonts w:hint="eastAsia" w:ascii="宋体" w:hAnsi="宋体" w:eastAsia="宋体" w:cs="宋体"/>
          <w:color w:val="auto"/>
          <w:sz w:val="21"/>
          <w:szCs w:val="21"/>
          <w:lang w:eastAsia="zh-CN"/>
        </w:rPr>
        <w:t>2025</w:t>
      </w:r>
      <w:r>
        <w:rPr>
          <w:rFonts w:hint="eastAsia" w:ascii="宋体" w:hAnsi="宋体" w:eastAsia="宋体" w:cs="宋体"/>
          <w:color w:val="auto"/>
          <w:sz w:val="21"/>
          <w:szCs w:val="21"/>
          <w:lang w:val="en-US" w:eastAsia="zh-CN"/>
        </w:rPr>
        <w:t>年</w:t>
      </w:r>
      <w:r>
        <w:rPr>
          <w:rFonts w:hint="eastAsia" w:ascii="宋体" w:hAnsi="宋体" w:eastAsia="宋体" w:cs="宋体"/>
          <w:color w:val="auto"/>
          <w:sz w:val="21"/>
          <w:szCs w:val="21"/>
        </w:rPr>
        <w:t>12月31日。</w:t>
      </w:r>
    </w:p>
    <w:p w14:paraId="3E895349">
      <w:pPr>
        <w:wordWrap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对于采购人委托的矿业权出让收益评估项目，供应商应严格按照具体项目的委托确认书下发之日起30个日历日内完成评估工作，并正式提交评估报告。若不能如期提交，供应商须提前10个日历日向采购人报告原因，采购人同意后方可延期，否则无故不能按期提交报告，视为超期。</w:t>
      </w:r>
    </w:p>
    <w:p w14:paraId="57FA1426">
      <w:pPr>
        <w:wordWrap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3.对于公示期内公众提出的意见和质询，由采购人转交给供应商，供应商应在20个日历日内完成出让收益评估报告必要的答复说明或修改补充并提交采购人。</w:t>
      </w:r>
    </w:p>
    <w:p w14:paraId="4FB6F628">
      <w:pPr>
        <w:keepNext/>
        <w:keepLines/>
        <w:wordWrap w:val="0"/>
        <w:adjustRightInd w:val="0"/>
        <w:snapToGrid w:val="0"/>
        <w:spacing w:line="360" w:lineRule="auto"/>
        <w:outlineLvl w:val="0"/>
        <w:rPr>
          <w:rFonts w:hint="eastAsia" w:ascii="宋体" w:hAnsi="宋体" w:eastAsia="宋体" w:cs="宋体"/>
          <w:b/>
          <w:color w:val="auto"/>
          <w:sz w:val="21"/>
          <w:szCs w:val="21"/>
        </w:rPr>
      </w:pPr>
      <w:r>
        <w:rPr>
          <w:rFonts w:hint="eastAsia" w:ascii="宋体" w:hAnsi="宋体" w:eastAsia="宋体" w:cs="宋体"/>
          <w:b/>
          <w:color w:val="auto"/>
          <w:kern w:val="44"/>
          <w:sz w:val="21"/>
          <w:szCs w:val="21"/>
          <w:lang w:val="en-US" w:eastAsia="zh-CN"/>
        </w:rPr>
        <w:t>五</w:t>
      </w:r>
      <w:r>
        <w:rPr>
          <w:rFonts w:hint="eastAsia" w:ascii="宋体" w:hAnsi="宋体" w:eastAsia="宋体" w:cs="宋体"/>
          <w:b/>
          <w:color w:val="auto"/>
          <w:kern w:val="44"/>
          <w:sz w:val="21"/>
          <w:szCs w:val="21"/>
        </w:rPr>
        <w:t>、</w:t>
      </w:r>
      <w:r>
        <w:rPr>
          <w:rFonts w:hint="eastAsia" w:ascii="宋体" w:hAnsi="宋体" w:eastAsia="宋体" w:cs="宋体"/>
          <w:b/>
          <w:color w:val="auto"/>
          <w:sz w:val="21"/>
          <w:szCs w:val="21"/>
        </w:rPr>
        <w:t>报价要求</w:t>
      </w:r>
    </w:p>
    <w:p w14:paraId="070C8542">
      <w:pPr>
        <w:wordWrap w:val="0"/>
        <w:adjustRightInd w:val="0"/>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1、本项目报费率，最高限价100%。</w:t>
      </w:r>
    </w:p>
    <w:p w14:paraId="38D81C59">
      <w:pPr>
        <w:wordWrap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2、结算金额=实际评估数量×评估费用单价×成交费率</w:t>
      </w:r>
    </w:p>
    <w:p w14:paraId="20999E61">
      <w:pPr>
        <w:wordWrap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评估费用单价如下：</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1"/>
        <w:gridCol w:w="4261"/>
      </w:tblGrid>
      <w:tr w14:paraId="537C2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261" w:type="dxa"/>
            <w:noWrap w:val="0"/>
            <w:vAlign w:val="center"/>
          </w:tcPr>
          <w:p w14:paraId="6F2FC116">
            <w:pPr>
              <w:adjustRightInd w:val="0"/>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矿产资源储量规模</w:t>
            </w:r>
          </w:p>
        </w:tc>
        <w:tc>
          <w:tcPr>
            <w:tcW w:w="4261" w:type="dxa"/>
            <w:noWrap w:val="0"/>
            <w:vAlign w:val="center"/>
          </w:tcPr>
          <w:p w14:paraId="675CC077">
            <w:pPr>
              <w:adjustRightInd w:val="0"/>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单价</w:t>
            </w:r>
          </w:p>
        </w:tc>
      </w:tr>
      <w:tr w14:paraId="5733E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261" w:type="dxa"/>
            <w:noWrap w:val="0"/>
            <w:vAlign w:val="center"/>
          </w:tcPr>
          <w:p w14:paraId="2F3BC8A2">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大型</w:t>
            </w:r>
          </w:p>
        </w:tc>
        <w:tc>
          <w:tcPr>
            <w:tcW w:w="4261" w:type="dxa"/>
            <w:noWrap w:val="0"/>
            <w:vAlign w:val="center"/>
          </w:tcPr>
          <w:p w14:paraId="6FD3A48C">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12万元/宗</w:t>
            </w:r>
          </w:p>
        </w:tc>
      </w:tr>
      <w:tr w14:paraId="72AD1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261" w:type="dxa"/>
            <w:noWrap w:val="0"/>
            <w:vAlign w:val="center"/>
          </w:tcPr>
          <w:p w14:paraId="7A8203A8">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中型</w:t>
            </w:r>
          </w:p>
        </w:tc>
        <w:tc>
          <w:tcPr>
            <w:tcW w:w="4261" w:type="dxa"/>
            <w:noWrap w:val="0"/>
            <w:vAlign w:val="center"/>
          </w:tcPr>
          <w:p w14:paraId="7DDA3F10">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10万元/宗</w:t>
            </w:r>
          </w:p>
        </w:tc>
      </w:tr>
      <w:tr w14:paraId="6900E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261" w:type="dxa"/>
            <w:noWrap w:val="0"/>
            <w:vAlign w:val="center"/>
          </w:tcPr>
          <w:p w14:paraId="5C661256">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小型</w:t>
            </w:r>
          </w:p>
        </w:tc>
        <w:tc>
          <w:tcPr>
            <w:tcW w:w="4261" w:type="dxa"/>
            <w:noWrap w:val="0"/>
            <w:vAlign w:val="center"/>
          </w:tcPr>
          <w:p w14:paraId="23994040">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7万元/宗</w:t>
            </w:r>
          </w:p>
        </w:tc>
      </w:tr>
      <w:tr w14:paraId="6A928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261" w:type="dxa"/>
            <w:noWrap w:val="0"/>
            <w:vAlign w:val="center"/>
          </w:tcPr>
          <w:p w14:paraId="2B225BFA">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简易</w:t>
            </w:r>
          </w:p>
        </w:tc>
        <w:tc>
          <w:tcPr>
            <w:tcW w:w="4261" w:type="dxa"/>
            <w:noWrap w:val="0"/>
            <w:vAlign w:val="center"/>
          </w:tcPr>
          <w:p w14:paraId="70B14D88">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1.5万元/宗</w:t>
            </w:r>
          </w:p>
        </w:tc>
      </w:tr>
    </w:tbl>
    <w:p w14:paraId="5723C867">
      <w:pPr>
        <w:wordWrap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3、供应商的响应报价为完成本项目所需的所有各项服务的全部费用，请谨慎报价。</w:t>
      </w:r>
    </w:p>
    <w:p w14:paraId="5E632774">
      <w:pPr>
        <w:keepNext/>
        <w:keepLines/>
        <w:wordWrap w:val="0"/>
        <w:adjustRightInd w:val="0"/>
        <w:snapToGrid w:val="0"/>
        <w:spacing w:line="360" w:lineRule="auto"/>
        <w:outlineLvl w:val="0"/>
        <w:rPr>
          <w:rFonts w:hint="eastAsia" w:ascii="宋体" w:hAnsi="宋体" w:eastAsia="宋体" w:cs="宋体"/>
          <w:b/>
          <w:color w:val="auto"/>
          <w:kern w:val="44"/>
          <w:sz w:val="21"/>
          <w:szCs w:val="21"/>
        </w:rPr>
      </w:pPr>
      <w:r>
        <w:rPr>
          <w:rFonts w:hint="eastAsia" w:ascii="宋体" w:hAnsi="宋体" w:eastAsia="宋体" w:cs="宋体"/>
          <w:b/>
          <w:color w:val="auto"/>
          <w:kern w:val="44"/>
          <w:sz w:val="21"/>
          <w:szCs w:val="21"/>
        </w:rPr>
        <w:t>四、其他要求</w:t>
      </w:r>
    </w:p>
    <w:p w14:paraId="527D5D62">
      <w:pPr>
        <w:wordWrap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按照各市矿产资源禀赋以及近三年矿业权出让收益评估数量将安徽省全域16个市分成4个包。</w:t>
      </w:r>
    </w:p>
    <w:p w14:paraId="0BF2C436">
      <w:pPr>
        <w:wordWrap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供应商须同时对本项目4个包同时进行响应，按以下原则确定成交供应商：</w:t>
      </w:r>
    </w:p>
    <w:p w14:paraId="24508411">
      <w:pPr>
        <w:wordWrap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1、记通过</w:t>
      </w:r>
      <w:r>
        <w:rPr>
          <w:rFonts w:hint="eastAsia" w:ascii="宋体" w:hAnsi="宋体" w:eastAsia="宋体" w:cs="宋体"/>
          <w:color w:val="auto"/>
          <w:sz w:val="21"/>
          <w:szCs w:val="21"/>
          <w:lang w:eastAsia="zh-CN"/>
        </w:rPr>
        <w:t>初审</w:t>
      </w:r>
      <w:r>
        <w:rPr>
          <w:rFonts w:hint="eastAsia" w:ascii="宋体" w:hAnsi="宋体" w:eastAsia="宋体" w:cs="宋体"/>
          <w:color w:val="auto"/>
          <w:sz w:val="21"/>
          <w:szCs w:val="21"/>
        </w:rPr>
        <w:t>的供应商数量为N：</w:t>
      </w:r>
    </w:p>
    <w:p w14:paraId="23DB6C81">
      <w:pPr>
        <w:wordWrap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①当N≥6名时，确定4名成交供应商；</w:t>
      </w:r>
    </w:p>
    <w:p w14:paraId="03E26B10">
      <w:pPr>
        <w:wordWrap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②N＜6名，本项目</w:t>
      </w:r>
      <w:r>
        <w:rPr>
          <w:rFonts w:hint="eastAsia" w:ascii="宋体" w:hAnsi="宋体" w:eastAsia="宋体" w:cs="宋体"/>
          <w:color w:val="auto"/>
          <w:sz w:val="21"/>
          <w:szCs w:val="21"/>
          <w:lang w:val="en-US" w:eastAsia="zh-CN"/>
        </w:rPr>
        <w:t>终止</w:t>
      </w:r>
      <w:bookmarkStart w:id="7" w:name="_GoBack"/>
      <w:bookmarkEnd w:id="7"/>
      <w:r>
        <w:rPr>
          <w:rFonts w:hint="eastAsia" w:ascii="宋体" w:hAnsi="宋体" w:eastAsia="宋体" w:cs="宋体"/>
          <w:color w:val="auto"/>
          <w:sz w:val="21"/>
          <w:szCs w:val="21"/>
        </w:rPr>
        <w:t>。</w:t>
      </w:r>
    </w:p>
    <w:p w14:paraId="09B201FB">
      <w:pPr>
        <w:wordWrap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2、标包分配原则：按照综合得分由高到低对成交供应商进行排序，每名成交供应商最多允许成交1个标包，第一成交供应商优先从4个标包中选择标包，第二成交供应商优先从余下3个标包中选择标包，以此类推。</w:t>
      </w:r>
    </w:p>
    <w:p w14:paraId="1C905EFF">
      <w:pPr>
        <w:wordWrap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注：若成交则承担该包1年内安徽省自然资源厅委托的矿业权出让收益评估项目，第2年响应时不得选择往年已经成交的标包。以此类推直到遍历完成，才可选择往年已成交过的标包。</w:t>
      </w:r>
    </w:p>
    <w:p w14:paraId="117F066F">
      <w:pPr>
        <w:adjustRightInd w:val="0"/>
        <w:snapToGrid w:val="0"/>
        <w:spacing w:line="360" w:lineRule="auto"/>
        <w:ind w:firstLine="420" w:firstLineChars="200"/>
        <w:rPr>
          <w:rFonts w:hint="eastAsia" w:ascii="宋体" w:hAnsi="宋体" w:eastAsia="宋体" w:cs="宋体"/>
          <w:color w:val="auto"/>
          <w:sz w:val="21"/>
          <w:szCs w:val="21"/>
        </w:rPr>
      </w:pPr>
    </w:p>
    <w:p w14:paraId="67E4DC65">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A4385"/>
    <w:rsid w:val="0FF16B96"/>
    <w:rsid w:val="516A4245"/>
    <w:rsid w:val="53BA4385"/>
    <w:rsid w:val="5B727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D&amp;L"/>
    <w:basedOn w:val="2"/>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6">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2133</Words>
  <Characters>2191</Characters>
  <Lines>0</Lines>
  <Paragraphs>0</Paragraphs>
  <TotalTime>0</TotalTime>
  <ScaleCrop>false</ScaleCrop>
  <LinksUpToDate>false</LinksUpToDate>
  <CharactersWithSpaces>2195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2024-12-31T07:58:00Z</dcterms:created>
  <dc:creator>校对-许美玥</dc:creator>
  <cp:lastModifiedBy>校对-许美玥</cp:lastModifiedBy>
  <dcterms:modified xsi:type="dcterms:W3CDTF">2024-12-31T10:28:43Z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A41CEF4C15BC47E8884C1EF8E84E89EB_11</vt:lpwstr>
  </property>
  <property fmtid="{D5CDD505-2E9C-101B-9397-08002B2CF9AE}" pid="4" name="KSOTemplateDocerSaveRecord">
    <vt:lpwstr>eyJoZGlkIjoiNWQxNDgwOWE2N2Y5MWIyN2U3NzI3YzFkMDFlYTRjYzkiLCJ1c2VySWQiOiIzMjQ4MTEwODkifQ==</vt:lpwstr>
  </property>
</Properties>
</file>