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napToGrid w:val="0"/>
        <w:spacing w:before="0" w:after="0" w:line="360" w:lineRule="auto"/>
        <w:jc w:val="center"/>
        <w:rPr>
          <w:rFonts w:hint="eastAsia" w:ascii="黑体" w:hAnsi="黑体" w:eastAsia="黑体"/>
          <w:b w:val="0"/>
          <w:color w:val="auto"/>
          <w:highlight w:val="none"/>
        </w:rPr>
      </w:pPr>
      <w:bookmarkStart w:id="0" w:name="_Toc28788"/>
      <w:bookmarkStart w:id="1" w:name="_Toc528829640"/>
      <w:bookmarkStart w:id="2" w:name="_Toc445554746"/>
      <w:bookmarkStart w:id="3" w:name="_Toc18550"/>
      <w:bookmarkStart w:id="4" w:name="_Toc466024555"/>
      <w:r>
        <w:rPr>
          <w:rFonts w:hint="eastAsia" w:ascii="宋体" w:hAnsi="宋体"/>
          <w:color w:val="auto"/>
          <w:highlight w:val="none"/>
        </w:rPr>
        <w:t>采购需求及技术规格要求</w:t>
      </w:r>
      <w:bookmarkEnd w:id="0"/>
      <w:bookmarkEnd w:id="1"/>
      <w:bookmarkEnd w:id="2"/>
      <w:bookmarkEnd w:id="3"/>
      <w:bookmarkEnd w:id="4"/>
    </w:p>
    <w:p>
      <w:pPr>
        <w:pStyle w:val="3"/>
        <w:widowControl/>
        <w:snapToGrid w:val="0"/>
        <w:spacing w:before="0" w:after="0" w:line="360" w:lineRule="auto"/>
        <w:jc w:val="center"/>
        <w:rPr>
          <w:rFonts w:hint="eastAsia" w:ascii="黑体" w:hAnsi="黑体" w:eastAsia="黑体"/>
          <w:b w:val="0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第三章  采购需求及技术规格要求</w:t>
      </w:r>
    </w:p>
    <w:p>
      <w:pPr>
        <w:jc w:val="left"/>
        <w:outlineLvl w:val="1"/>
        <w:rPr>
          <w:rFonts w:hint="eastAsia" w:ascii="黑体" w:hAnsi="黑体" w:eastAsia="黑体"/>
          <w:color w:val="auto"/>
          <w:sz w:val="28"/>
          <w:highlight w:val="none"/>
        </w:rPr>
      </w:pPr>
      <w:bookmarkStart w:id="5" w:name="_Toc13700"/>
      <w:r>
        <w:rPr>
          <w:rFonts w:hint="eastAsia" w:ascii="黑体" w:hAnsi="黑体" w:eastAsia="黑体"/>
          <w:color w:val="auto"/>
          <w:sz w:val="28"/>
          <w:highlight w:val="none"/>
        </w:rPr>
        <w:t>一、采购需求前附表</w:t>
      </w:r>
      <w:bookmarkEnd w:id="5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100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top"/>
          </w:tcPr>
          <w:p>
            <w:pPr>
              <w:spacing w:before="96" w:beforeLines="40" w:after="96" w:afterLines="40"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spacing w:before="96" w:beforeLines="40" w:after="96" w:afterLines="40" w:line="400" w:lineRule="exact"/>
              <w:jc w:val="center"/>
              <w:rPr>
                <w:rFonts w:hint="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条款名称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spacing w:before="96" w:beforeLines="40" w:after="96" w:afterLines="40" w:line="400" w:lineRule="exact"/>
              <w:jc w:val="center"/>
              <w:rPr>
                <w:rFonts w:hint="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内容、说明与要求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40" w:type="dxa"/>
            <w:noWrap w:val="0"/>
            <w:vAlign w:val="top"/>
          </w:tcPr>
          <w:p>
            <w:pPr>
              <w:spacing w:before="96" w:beforeLines="40" w:after="96" w:afterLines="40" w:line="40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="96" w:beforeLines="40" w:after="96" w:afterLines="40" w:line="40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付款方式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spacing w:before="96" w:beforeLines="40" w:after="96" w:afterLines="40" w:line="400" w:lineRule="exac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详见投标供应商须知前附表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top"/>
          </w:tcPr>
          <w:p>
            <w:pPr>
              <w:spacing w:before="96" w:beforeLines="40" w:after="96" w:afterLines="40" w:line="40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="96" w:beforeLines="40" w:after="96" w:afterLines="40" w:line="40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服务期限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spacing w:before="96" w:beforeLines="40" w:after="96" w:afterLines="40" w:line="40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详见投标供应商须知前附表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top"/>
          </w:tcPr>
          <w:p>
            <w:pPr>
              <w:spacing w:before="96" w:beforeLines="40" w:after="96" w:afterLines="40" w:line="40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="96" w:beforeLines="40" w:after="96" w:afterLines="40" w:line="400" w:lineRule="exact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本项目采购标的所属行业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spacing w:before="96" w:beforeLines="40" w:after="96" w:afterLines="40" w:line="40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其他未列明行业</w:t>
            </w:r>
          </w:p>
        </w:tc>
      </w:tr>
    </w:tbl>
    <w:p>
      <w:pPr>
        <w:jc w:val="left"/>
        <w:outlineLvl w:val="1"/>
        <w:rPr>
          <w:rFonts w:hint="eastAsia" w:ascii="黑体" w:hAnsi="黑体" w:eastAsia="黑体" w:cs="Times New Roman"/>
          <w:color w:val="auto"/>
          <w:sz w:val="28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28"/>
          <w:highlight w:val="none"/>
          <w:lang w:val="en-US" w:eastAsia="zh-CN"/>
        </w:rPr>
        <w:t>二、采购需求及技术规格要求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FFFFFF"/>
        </w:rPr>
        <w:t>为全面落实省委、省政府关于推进外贸高质量发展和“人才安徽行”部署要求，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深入实施“徽动全球”出海行动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FFFFFF"/>
          <w:lang w:val="en-US" w:eastAsia="zh-CN"/>
        </w:rPr>
        <w:t>，打造高水平专业化外向型人才队伍，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特制定本实施方案。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一、总体目标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FFFFFF"/>
          <w:lang w:val="en-US" w:eastAsia="zh-CN"/>
        </w:rPr>
        <w:t>全年线下培训企业数不少于1440家、人数不少于1680人；线上学习不少于20000人次。通过开展专题培训，落实落细外贸支持政策，推动外贸企业精准把握当前外贸形势，深化与贸易伙伴的合作，加快发展新业态新模式，促进外贸产业和供应链创新升级，加快出海拓市场、抓订单、稳份额步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二、培训安排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（一）线下培训（1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1.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国际市场开拓及国际营销网络建设专题培训班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拟安排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场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，地点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滁州、安庆、六安、马鞍山市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每场培训时间2.5天（第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天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午报到，第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天午餐后结束）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同时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以线上直播的方式面向全省；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培训企业数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不少于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120家，人数不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少于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1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0人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合计培训企业数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不少于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480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家、人数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不少于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560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培训对象：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（1）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我省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进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出口企业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已进行海关备案登记未发生进出口实绩的企业；（3）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有进出口潜力和意愿的其他企业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；（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市、县（市、区）商务部门外贸工作人员。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培训内容：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（1）全球贸易展望和形势分析；（2）2024年外贸促进政策解读；（3）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一带一路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新兴市场及欧美日经济走势分析；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（4）国际营销网络建设；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中美贸易摩擦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；（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RCEP政策运用和成员国市场开拓；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7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RCEP协定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对我省外贸企业的机遇和市场机会；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（8）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我省重点出口行业机遇分析；（9）绿色贸易和中间品贸易；（10）数字贸易现状与发展趋势；（11）内外贸一体化；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12）外贸新业态新模式；（13）“新三样”企业合规建设；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（14）“安徽出口名牌”培育、海关AEO认证和APEC商务旅行卡办理介绍；（15）汇率避险及人民币跨境结算；（16）境外知识产权保护；（17）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“单一窗口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”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介绍和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出口信保政策宣讲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；（18）国际物流与货代；（19）国际市场开拓及国际营销网络建设成功经验分享；（20）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组织省直外贸公司、沪苏浙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我省展览公司与企业现场对接。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师资安排：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邀请国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家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部委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国家相关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商协会、沪苏浙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外贸领域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、高校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相关专家学者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和我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省外贸领域相关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领导、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专家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学者，以及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外贸平台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企业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集团与展览公司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负责人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授课。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2.RCEP自贸协定及多边国际贸易协定利用专题培训班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拟安排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场，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地点合肥、芜湖市，每场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培训时间2.5天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（第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天上午报到，第3天午餐后结束）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同时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以线上直播的方式面向全省；线下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培训企业数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不少于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1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0家，人数不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少于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1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0人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，合计培训企业不少于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240家、人数不少于280人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bidi="ar"/>
        </w:rPr>
      </w:pP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</w:rPr>
        <w:t>培训对象：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我省RCEP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重点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进出口企业；（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已进行海关备案登记未发生进出口实绩的企业；（3）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有潜力和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意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愿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从事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RCEP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进出口的其他企业；（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市、县（市、区）商务部门外贸工作人员。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培训内容：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全球贸易展望和形势分析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；（2）2024年外贸促进政策解读；（3）RCEP政策运用和成员国市场开拓；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（4）全面与进步跨太平洋伙伴关系协定（CPTPP）和美墨加协定（USMCA）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对我省经贸发展、市场开放、产业安全等方面影响；（5）RCEP市场经济环境与贸易投资风险提示；（6）“安徽RCEP助企服务公共平台”及海关AEO认证介绍；（7）绿色贸易和中间品贸易；（8）汇率避险及人民币跨境结算；（9）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“单一窗口”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介绍和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出口信保政策宣讲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；（10）组织省直外贸公司、沪苏浙或我省展览公司与企业现场对接。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</w:rPr>
        <w:t>师资安排：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邀请国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家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部委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国家相关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商协会、沪苏浙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外贸领域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、高校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相关专家学者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和我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省外贸领域相关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领导、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专家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学者，以及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外贸平台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企业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集团与展览公司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负责人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授课。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“一带一路”经贸合作及新兴市场开拓专题培训班。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拟安排1场，地点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铜陵（池州）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培训时间2.5天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（第1天上午报到，第3天午餐后结束）；培训企业数不少于120家、人数不少于140人。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培训对象：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（1）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我省有意开拓“一带一路”市场的进出口企业；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已进行海关备案登记尚未发生外贸实绩的企业；（3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有进出口潜力和意愿的其他企业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；（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市、县（市、区）商务部门外贸工作人员。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培训内容：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  <w:t>（1）全球贸易展望和形势分析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；（2）2024年外贸促进政策解读；（3）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“一带一路”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战略与国家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政策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导向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；（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）“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一带一路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”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战略下我省企业发展新挑战和机遇；（5）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一带一路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新兴市场及欧美日经济走势分析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；（6）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绿色贸易和中间品贸易；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  <w:t>（7）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汇率避险及人民币跨境结算；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）省直外贸公司、沪苏浙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我省展览公司与企业现场对接。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师资安排：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邀请国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家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部委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国家相关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商协会、沪苏浙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外贸领域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、高校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相关专家学者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和我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省外贸领域相关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领导、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专家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学者，以及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外贸平台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企业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集团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负责人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授课。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bidi="ar"/>
        </w:rPr>
        <w:t>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外贸新业态及外贸供应链管理专题培训班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bidi="ar"/>
        </w:rPr>
        <w:t>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拟安排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场，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地点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淮北（宿州）、亳州（阜阳）、蚌埠（淮南）、黄山（宣城）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，每场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培训时间2.5天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（第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天上午报到，第3天午餐后结束）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同时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以线上直播的方式面向全省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培训企业数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不少于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0家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人数不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少于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0人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合计培训企业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数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不少于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480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家、人数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不少于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560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bidi="ar"/>
        </w:rPr>
      </w:pP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</w:rPr>
        <w:t>培训对象：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我省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进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出口企业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；（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已进行海关备案登记尚未发生外贸实绩的企业；（3）有进出口潜力和意愿的其他企业；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市、县（市、区）商务部门外贸工作人员。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bidi="ar"/>
        </w:rPr>
        <w:t>培训内容：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（1）全球贸易展望和形势分析；（2）2024年外贸促进政策解读；（3）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外贸新业态新模式；（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我省外贸综合服务平台建设情况；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（5）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全球跨境电商主流平台概况及相关实务操作；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（6）数字贸易发展现状与趋势；（7）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外贸供应链管理重点知识；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）全球产业链供应链演化趋势及应对；（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内外贸一体化和综合保税区简介；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（10）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一带一路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新兴市场及欧美日经济走势分析；（11）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RCEP政策运用和成员国市场开拓；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12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RCEP协定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对我省外贸企业的机遇和市场机会；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（13）出口退税、无纸化报检、外汇管理、海关通关最新政策；（14）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“单一窗口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”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和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出口信保政策宣讲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（15）汇率避险及人民币跨境结算；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16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境外知识产权保护；（17）“安徽出口名牌”培育、海关AEO认证和APEC商务旅行卡办理介绍；（18）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组织省直外贸公司、沪苏浙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我省展览公司与企业现场对接。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bidi="ar"/>
        </w:rPr>
        <w:t>师资安排：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邀请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省级外贸领域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和高等院校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相关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领导、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专家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学者，以及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外贸平台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企业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集团与展览公司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负责人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授课。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5.“新三样”企业国际化经营风险防范与合规发展专题培训班。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拟安排1场，地点合肥市，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培训时间2.5天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（第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天上午报到，第3天午餐后结束）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培训企业数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不少于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0家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人数不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少于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0人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培训对象：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（1）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我省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进</w:t>
      </w:r>
      <w:r>
        <w:rPr>
          <w:rFonts w:hint="eastAsia" w:ascii="宋体" w:hAnsi="宋体" w:eastAsia="宋体" w:cs="宋体"/>
          <w:color w:val="auto"/>
          <w:sz w:val="21"/>
          <w:szCs w:val="21"/>
          <w:lang w:bidi="ar"/>
        </w:rPr>
        <w:t>出口企业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已进行海关备案登记尚未发生外贸实绩的企业；（3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有进出口潜力和意愿的其他企业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；（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市、县（市、区）商务部门外贸工作人员。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培训内容：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  <w:t>（1）全球贸易展望和形势分析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；（2）2024年外贸促进政策解读；（3）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外贸新业态新模式；（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 w:bidi="ar"/>
        </w:rPr>
        <w:t>）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  <w:t>“新三样”国际贸易面临的形势（欧美产业政策、贸易保护措施、欧盟电池和废电池法规、碳中和等机制）；（5）我国及我省“新三样”产业发展情况；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"/>
        </w:rPr>
        <w:t>（6）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  <w:t>“新三样”企业合规建设建议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  <w:t>（7）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汇率避险及人民币跨境结算；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）省直外贸公司、沪苏浙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我省展览公司与企业现场对接。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  <w:t>师资安排：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邀请国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家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部委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国家相关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商协会、沪苏浙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外贸领域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、高校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相关专家学者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和我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省外贸领域相关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领导、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专家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学者，以及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外贸平台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企业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集团与展览公司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负责人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授课。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lang w:eastAsia="zh-CN"/>
        </w:rPr>
        <w:t>（二）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线上培训。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培训班开班后同步进行课程录制，原则上培训结束半个月内放入网络云平台在线培训系统，供全省外贸企业免费学习，全年学习不少于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20000人次。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培训进度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（一）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培训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安排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计划7-11月实施培训，11月底前完成培训；结合培训开展省直公司外贸业务员下基层现场会对接。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（二）教材编印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月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上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旬前完成1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000份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《外经贸谋略与合规》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暂定名，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2023年《外贸创新与发展》的基础上修订完善，内容包含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202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年度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我省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RCEP和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外贸促进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最新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政策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，不少于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20万字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编印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随培训免费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发放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给参训企业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四、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培训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 xml:space="preserve">方式 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分区域分地市相对集中举办，覆盖全省16个市。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五、经费安排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项目总预算200万元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,严格按照《安徽省财政厅、安徽省委组织部、安徽省公务员局关于印发&lt;安徽省省直机关培训费管理办法&gt;的通知》(财行﹝2017﹞1411号）执行，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主要用于培训场地租用、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学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员食宿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安排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、授课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教师邀请、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教材编印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和线上课程制作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等。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45FDCD"/>
    <w:multiLevelType w:val="singleLevel"/>
    <w:tmpl w:val="3E45FDCD"/>
    <w:lvl w:ilvl="0" w:tentative="0">
      <w:start w:val="3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WRiOGMwMGJjNGM2NmQwOGQwOGJmMTI5MGE0ZTIifQ=="/>
  </w:docVars>
  <w:rsids>
    <w:rsidRoot w:val="23911587"/>
    <w:rsid w:val="0AA91789"/>
    <w:rsid w:val="23911587"/>
    <w:rsid w:val="5FD2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黑体"/>
      <w:sz w:val="36"/>
    </w:r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3275</Words>
  <Characters>3451</Characters>
  <Lines>0</Lines>
  <Paragraphs>0</Paragraphs>
  <TotalTime>0</TotalTime>
  <ScaleCrop>false</ScaleCrop>
  <LinksUpToDate>false</LinksUpToDate>
  <CharactersWithSpaces>3460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2024-05-27T06:40:00Z</dcterms:created>
  <dc:creator>Bella</dc:creator>
  <cp:lastModifiedBy>Bella</cp:lastModifiedBy>
  <dcterms:modified xsi:type="dcterms:W3CDTF">2024-05-27T06:43:11Z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2BC0B9188A3E44A3AF367E1312915D39_11</vt:lpwstr>
  </property>
</Properties>
</file>