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napToGrid w:val="0"/>
        <w:spacing w:before="0" w:after="0" w:line="360" w:lineRule="auto"/>
        <w:jc w:val="center"/>
        <w:rPr>
          <w:rFonts w:hint="eastAsia" w:ascii="黑体" w:hAnsi="黑体" w:eastAsia="黑体"/>
          <w:b w:val="0"/>
          <w:color w:val="auto"/>
          <w:highlight w:val="none"/>
        </w:rPr>
      </w:pPr>
      <w:bookmarkStart w:id="0" w:name="_Toc28788"/>
      <w:bookmarkStart w:id="1" w:name="_Toc528829640"/>
      <w:bookmarkStart w:id="2" w:name="_Toc445554746"/>
      <w:bookmarkStart w:id="3" w:name="_Toc18550"/>
      <w:bookmarkStart w:id="4" w:name="_Toc466024555"/>
      <w:r>
        <w:rPr>
          <w:rFonts w:hint="eastAsia" w:ascii="宋体" w:hAnsi="宋体"/>
          <w:color w:val="auto"/>
          <w:highlight w:val="none"/>
        </w:rPr>
        <w:t>采购需求及技术规格要求</w:t>
      </w:r>
      <w:bookmarkEnd w:id="0"/>
      <w:bookmarkEnd w:id="1"/>
      <w:bookmarkEnd w:id="2"/>
      <w:bookmarkEnd w:id="3"/>
      <w:bookmarkEnd w:id="4"/>
    </w:p>
    <w:p>
      <w:pPr>
        <w:pStyle w:val="3"/>
        <w:widowControl/>
        <w:snapToGrid w:val="0"/>
        <w:spacing w:before="0" w:after="0" w:line="360" w:lineRule="auto"/>
        <w:jc w:val="center"/>
        <w:rPr>
          <w:rFonts w:hint="eastAsia" w:ascii="黑体" w:hAnsi="黑体" w:eastAsia="黑体"/>
          <w:b w:val="0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第三章  采购需求及技术规格要求</w:t>
      </w:r>
    </w:p>
    <w:p>
      <w:pPr>
        <w:jc w:val="left"/>
        <w:outlineLvl w:val="1"/>
        <w:rPr>
          <w:rFonts w:hint="eastAsia" w:ascii="黑体" w:hAnsi="黑体" w:eastAsia="黑体"/>
          <w:color w:val="auto"/>
          <w:sz w:val="28"/>
          <w:highlight w:val="none"/>
        </w:rPr>
      </w:pPr>
      <w:bookmarkStart w:id="5" w:name="_Toc13700"/>
      <w:r>
        <w:rPr>
          <w:rFonts w:hint="eastAsia" w:ascii="黑体" w:hAnsi="黑体" w:eastAsia="黑体"/>
          <w:color w:val="auto"/>
          <w:sz w:val="28"/>
          <w:highlight w:val="none"/>
        </w:rPr>
        <w:t>一、采购需求前附表</w:t>
      </w:r>
      <w:bookmarkEnd w:id="5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100"/>
        <w:gridCol w:w="5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条款名称</w:t>
            </w:r>
          </w:p>
        </w:tc>
        <w:tc>
          <w:tcPr>
            <w:tcW w:w="5985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内容、说明与要求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40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付款方式</w:t>
            </w:r>
          </w:p>
        </w:tc>
        <w:tc>
          <w:tcPr>
            <w:tcW w:w="5985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 xml:space="preserve">详见投标供应商须知前附表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服务期限</w:t>
            </w:r>
          </w:p>
        </w:tc>
        <w:tc>
          <w:tcPr>
            <w:tcW w:w="5985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 xml:space="preserve">详见投标供应商须知前附表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本项目采购标的所属行业</w:t>
            </w:r>
          </w:p>
        </w:tc>
        <w:tc>
          <w:tcPr>
            <w:tcW w:w="5985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其他未列明行业</w:t>
            </w:r>
          </w:p>
        </w:tc>
      </w:tr>
    </w:tbl>
    <w:p>
      <w:pPr>
        <w:jc w:val="left"/>
        <w:outlineLvl w:val="1"/>
        <w:rPr>
          <w:rFonts w:hint="eastAsia" w:ascii="黑体" w:hAnsi="黑体" w:eastAsia="黑体" w:cs="Times New Roman"/>
          <w:color w:val="auto"/>
          <w:sz w:val="28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28"/>
          <w:highlight w:val="none"/>
          <w:lang w:val="en-US" w:eastAsia="zh-CN"/>
        </w:rPr>
        <w:t>二、采购需求及技术规格要求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为全面落实省委、省政府关于推进外贸高质量发展和“人才安徽行”部署要求，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深入实施“徽动全球”出海行动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，打造高水平专业化外向型人才队伍，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特制定本实施方案。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一、总体目标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全年线下培训企业数不少于1440家、人数不少于1680人；线上学习不少于20000人次。通过开展专题培训，落实落细外贸支持政策，推动外贸企业精准把握当前外贸形势，深化与贸易伙伴的合作，加快发展新业态新模式，促进外贸产业和供应链创新升级，加快出海拓市场、抓订单、稳份额步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二、培训安排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（一）线下培训（1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1.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国际市场开拓及国际营销网络建设专题培训班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。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拟安排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场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，地点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滁州、安庆、六安、马鞍山市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每场培训时间2.5天（第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天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上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午报到，第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天午餐后结束）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同时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以线上直播的方式面向全省；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培训企业数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不少于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120家，人数不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少于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1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0人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合计培训企业数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不少于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480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家、人数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不少于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560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培训对象：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（1）</w:t>
      </w:r>
      <w:r>
        <w:rPr>
          <w:rFonts w:hint="eastAsia" w:ascii="宋体" w:hAnsi="宋体" w:eastAsia="宋体" w:cs="宋体"/>
          <w:color w:val="auto"/>
          <w:sz w:val="21"/>
          <w:szCs w:val="21"/>
          <w:lang w:bidi="ar"/>
        </w:rPr>
        <w:t>我省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 w:bidi="ar"/>
        </w:rPr>
        <w:t>进</w:t>
      </w:r>
      <w:r>
        <w:rPr>
          <w:rFonts w:hint="eastAsia" w:ascii="宋体" w:hAnsi="宋体" w:eastAsia="宋体" w:cs="宋体"/>
          <w:color w:val="auto"/>
          <w:sz w:val="21"/>
          <w:szCs w:val="21"/>
          <w:lang w:bidi="ar"/>
        </w:rPr>
        <w:t>出口企业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 w:bidi="ar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"/>
        </w:rPr>
        <w:t>已进行海关备案登记未发生进出口实绩的企业；（3）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有进出口潜力和意愿的其他企业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；（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市、县（市、区）商务部门外贸工作人员。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培训内容：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"/>
        </w:rPr>
        <w:t>（1）全球贸易展望和形势分析；（2）2024年外贸促进政策解读；（3）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一带一路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新兴市场及欧美日经济走势分析；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"/>
        </w:rPr>
        <w:t>（4）国际营销网络建设；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中美贸易摩擦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；（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"/>
        </w:rPr>
        <w:t>RCEP政策运用和成员国市场开拓；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 w:bidi="ar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 w:bidi="ar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RCEP协定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对我省外贸企业的机遇和市场机会；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（8）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"/>
        </w:rPr>
        <w:t>我省重点出口行业机遇分析；（9）绿色贸易和中间品贸易；（10）数字贸易现状与发展趋势；（11）内外贸一体化；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"/>
        </w:rPr>
        <w:t>12）外贸新业态新模式；（13）“新三样”企业合规建设；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（14）“安徽出口名牌”培育、海关AEO认证和APEC商务旅行卡办理介绍；（15）汇率避险及人民币跨境结算；（16）境外知识产权保护；（17）</w:t>
      </w:r>
      <w:r>
        <w:rPr>
          <w:rFonts w:hint="eastAsia" w:ascii="宋体" w:hAnsi="宋体" w:eastAsia="宋体" w:cs="宋体"/>
          <w:color w:val="auto"/>
          <w:sz w:val="21"/>
          <w:szCs w:val="21"/>
          <w:lang w:bidi="ar"/>
        </w:rPr>
        <w:t>“单一窗口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 w:bidi="ar"/>
        </w:rPr>
        <w:t>”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介绍和</w:t>
      </w:r>
      <w:r>
        <w:rPr>
          <w:rFonts w:hint="eastAsia" w:ascii="宋体" w:hAnsi="宋体" w:eastAsia="宋体" w:cs="宋体"/>
          <w:color w:val="auto"/>
          <w:sz w:val="21"/>
          <w:szCs w:val="21"/>
          <w:lang w:bidi="ar"/>
        </w:rPr>
        <w:t>出口信保政策宣讲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；（18）国际物流与货代；（19）国际市场开拓及国际营销网络建设成功经验分享；（20）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组织省直外贸公司、沪苏浙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或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我省展览公司与企业现场对接。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师资安排：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邀请国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家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部委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国家相关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商协会、沪苏浙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外贸领域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、高校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相关专家学者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和我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省外贸领域相关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领导、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专家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学者，以及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外贸平台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企业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集团与展览公司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负责人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授课。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2.RCEP自贸协定及多边国际贸易协定利用专题培训班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。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拟安排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场，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地点合肥、芜湖市，每场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培训时间2.5天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（第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天上午报到，第3天午餐后结束）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同时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以线上直播的方式面向全省；线下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培训企业数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不少于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1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0家，人数不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少于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1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0人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，合计培训企业不少于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240家、人数不少于280人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bidi="ar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  <w:t>培训对象：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lang w:bidi="ar"/>
        </w:rPr>
        <w:t>我省RCEP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重点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 w:bidi="ar"/>
        </w:rPr>
        <w:t>进出口企业；（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 w:bidi="ar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"/>
        </w:rPr>
        <w:t>已进行海关备案登记未发生进出口实绩的企业；（3）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有潜力和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 w:bidi="ar"/>
        </w:rPr>
        <w:t>意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愿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 w:bidi="ar"/>
        </w:rPr>
        <w:t>从事</w:t>
      </w:r>
      <w:r>
        <w:rPr>
          <w:rFonts w:hint="eastAsia" w:ascii="宋体" w:hAnsi="宋体" w:eastAsia="宋体" w:cs="宋体"/>
          <w:color w:val="auto"/>
          <w:sz w:val="21"/>
          <w:szCs w:val="21"/>
          <w:lang w:bidi="ar"/>
        </w:rPr>
        <w:t>RCEP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 w:bidi="ar"/>
        </w:rPr>
        <w:t>进出口的其他企业；（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 w:bidi="ar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市、县（市、区）商务部门外贸工作人员。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培训内容：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全球贸易展望和形势分析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"/>
        </w:rPr>
        <w:t>；（2）2024年外贸促进政策解读；（3）RCEP政策运用和成员国市场开拓；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（4）全面与进步跨太平洋伙伴关系协定（CPTPP）和美墨加协定（USMCA）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"/>
        </w:rPr>
        <w:t>对我省经贸发展、市场开放、产业安全等方面影响；（5）RCEP市场经济环境与贸易投资风险提示；（6）“安徽RCEP助企服务公共平台”及海关AEO认证介绍；（7）绿色贸易和中间品贸易；（8）汇率避险及人民币跨境结算；（9）</w:t>
      </w:r>
      <w:r>
        <w:rPr>
          <w:rFonts w:hint="eastAsia" w:ascii="宋体" w:hAnsi="宋体" w:eastAsia="宋体" w:cs="宋体"/>
          <w:color w:val="auto"/>
          <w:sz w:val="21"/>
          <w:szCs w:val="21"/>
          <w:lang w:bidi="ar"/>
        </w:rPr>
        <w:t>“单一窗口”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介绍和</w:t>
      </w:r>
      <w:r>
        <w:rPr>
          <w:rFonts w:hint="eastAsia" w:ascii="宋体" w:hAnsi="宋体" w:eastAsia="宋体" w:cs="宋体"/>
          <w:color w:val="auto"/>
          <w:sz w:val="21"/>
          <w:szCs w:val="21"/>
          <w:lang w:bidi="ar"/>
        </w:rPr>
        <w:t>出口信保政策宣讲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"/>
        </w:rPr>
        <w:t>；（10）组织省直外贸公司、沪苏浙或我省展览公司与企业现场对接。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  <w:t>师资安排：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邀请国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家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部委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国家相关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商协会、沪苏浙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外贸领域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、高校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相关专家学者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和我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省外贸领域相关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领导、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专家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学者，以及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外贸平台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企业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集团与展览公司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负责人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授课。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“一带一路”经贸合作及新兴市场开拓专题培训班。</w:t>
      </w:r>
      <w:r>
        <w:rPr>
          <w:rFonts w:hint="eastAsia" w:ascii="宋体" w:hAnsi="宋体" w:eastAsia="宋体" w:cs="宋体"/>
          <w:color w:val="auto"/>
          <w:sz w:val="21"/>
          <w:szCs w:val="21"/>
          <w:lang w:bidi="ar"/>
        </w:rPr>
        <w:t>拟安排1场，地点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铜陵（池州）</w:t>
      </w:r>
      <w:r>
        <w:rPr>
          <w:rFonts w:hint="eastAsia" w:ascii="宋体" w:hAnsi="宋体" w:eastAsia="宋体" w:cs="宋体"/>
          <w:color w:val="auto"/>
          <w:sz w:val="21"/>
          <w:szCs w:val="21"/>
          <w:lang w:bidi="ar"/>
        </w:rPr>
        <w:t>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培训时间2.5天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（第1天上午报到，第3天午餐后结束）；培训企业数不少于120家、人数不少于140人。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培训对象：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（1）</w:t>
      </w:r>
      <w:r>
        <w:rPr>
          <w:rFonts w:hint="eastAsia" w:ascii="宋体" w:hAnsi="宋体" w:eastAsia="宋体" w:cs="宋体"/>
          <w:color w:val="auto"/>
          <w:sz w:val="21"/>
          <w:szCs w:val="21"/>
          <w:lang w:bidi="ar"/>
        </w:rPr>
        <w:t>我省有意开拓“一带一路”市场的进出口企业；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已进行海关备案登记尚未发生外贸实绩的企业；（3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有进出口潜力和意愿的其他企业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；（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市、县（市、区）商务部门外贸工作人员。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bidi="ar"/>
        </w:rPr>
        <w:t>培训内容：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（1）全球贸易展望和形势分析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"/>
        </w:rPr>
        <w:t>；（2）2024年外贸促进政策解读；（3）</w:t>
      </w:r>
      <w:r>
        <w:rPr>
          <w:rFonts w:hint="eastAsia" w:ascii="宋体" w:hAnsi="宋体" w:eastAsia="宋体" w:cs="宋体"/>
          <w:color w:val="auto"/>
          <w:sz w:val="21"/>
          <w:szCs w:val="21"/>
          <w:lang w:bidi="ar"/>
        </w:rPr>
        <w:t>“一带一路”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战略与国家</w:t>
      </w:r>
      <w:r>
        <w:rPr>
          <w:rFonts w:hint="eastAsia" w:ascii="宋体" w:hAnsi="宋体" w:eastAsia="宋体" w:cs="宋体"/>
          <w:color w:val="auto"/>
          <w:sz w:val="21"/>
          <w:szCs w:val="21"/>
          <w:lang w:bidi="ar"/>
        </w:rPr>
        <w:t>政策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导向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 w:bidi="ar"/>
        </w:rPr>
        <w:t>；（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 w:bidi="ar"/>
        </w:rPr>
        <w:t>）“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一带一路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 w:bidi="ar"/>
        </w:rPr>
        <w:t>”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战略下我省企业发展新挑战和机遇；（5）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一带一路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新兴市场及欧美日经济走势分析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；（6）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"/>
        </w:rPr>
        <w:t>绿色贸易和中间品贸易；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（7）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汇率避险及人民币跨境结算；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）省直外贸公司、沪苏浙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或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我省展览公司与企业现场对接。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师资安排：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邀请国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家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部委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国家相关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商协会、沪苏浙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外贸领域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、高校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相关专家学者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和我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省外贸领域相关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领导、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专家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学者，以及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外贸平台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企业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集团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负责人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授课。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bidi="ar"/>
        </w:rPr>
        <w:t>.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外贸新业态及外贸供应链管理专题培训班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bidi="ar"/>
        </w:rPr>
        <w:t>。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拟安排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场，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地点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淮北（宿州）、亳州（阜阳）、蚌埠（淮南）、黄山（宣城）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，每场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培训时间2.5天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（第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天上午报到，第3天午餐后结束）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同时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以线上直播的方式面向全省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培训企业数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不少于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0家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人数不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少于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0人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合计培训企业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数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不少于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480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家、人数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不少于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560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bidi="ar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  <w:t>培训对象：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lang w:bidi="ar"/>
        </w:rPr>
        <w:t>我省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 w:bidi="ar"/>
        </w:rPr>
        <w:t>进</w:t>
      </w:r>
      <w:r>
        <w:rPr>
          <w:rFonts w:hint="eastAsia" w:ascii="宋体" w:hAnsi="宋体" w:eastAsia="宋体" w:cs="宋体"/>
          <w:color w:val="auto"/>
          <w:sz w:val="21"/>
          <w:szCs w:val="21"/>
          <w:lang w:bidi="ar"/>
        </w:rPr>
        <w:t>出口企业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 w:bidi="ar"/>
        </w:rPr>
        <w:t>；（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 w:bidi="ar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已进行海关备案登记尚未发生外贸实绩的企业；（3）有进出口潜力和意愿的其他企业；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市、县（市、区）商务部门外贸工作人员。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bidi="ar"/>
        </w:rPr>
        <w:t>培训内容：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"/>
        </w:rPr>
        <w:t>（1）全球贸易展望和形势分析；（2）2024年外贸促进政策解读；（3）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 w:bidi="ar"/>
        </w:rPr>
        <w:t>外贸新业态新模式；（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 w:bidi="ar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我省外贸综合服务平台建设情况；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（5）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全球跨境电商主流平台概况及相关实务操作；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"/>
        </w:rPr>
        <w:t>（6）数字贸易发展现状与趋势；（7）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外贸供应链管理重点知识；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）全球产业链供应链演化趋势及应对；（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内外贸一体化和综合保税区简介；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"/>
        </w:rPr>
        <w:t>（10）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一带一路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新兴市场及欧美日经济走势分析；（11）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"/>
        </w:rPr>
        <w:t>RCEP政策运用和成员国市场开拓；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 w:bidi="ar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12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 w:bidi="ar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RCEP协定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对我省外贸企业的机遇和市场机会；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（13）出口退税、无纸化报检、外汇管理、海关通关最新政策；（14）</w:t>
      </w:r>
      <w:r>
        <w:rPr>
          <w:rFonts w:hint="eastAsia" w:ascii="宋体" w:hAnsi="宋体" w:eastAsia="宋体" w:cs="宋体"/>
          <w:color w:val="auto"/>
          <w:sz w:val="21"/>
          <w:szCs w:val="21"/>
          <w:lang w:bidi="ar"/>
        </w:rPr>
        <w:t>“单一窗口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 w:bidi="ar"/>
        </w:rPr>
        <w:t>”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和</w:t>
      </w:r>
      <w:r>
        <w:rPr>
          <w:rFonts w:hint="eastAsia" w:ascii="宋体" w:hAnsi="宋体" w:eastAsia="宋体" w:cs="宋体"/>
          <w:color w:val="auto"/>
          <w:sz w:val="21"/>
          <w:szCs w:val="21"/>
          <w:lang w:bidi="ar"/>
        </w:rPr>
        <w:t>出口信保政策宣讲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 w:bidi="ar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（15）汇率避险及人民币跨境结算；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境外知识产权保护；（17）“安徽出口名牌”培育、海关AEO认证和APEC商务旅行卡办理介绍；（18）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组织省直外贸公司、沪苏浙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或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我省展览公司与企业现场对接。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bidi="ar"/>
        </w:rPr>
        <w:t>师资安排：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 w:bidi="ar"/>
        </w:rPr>
        <w:t>邀请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省级外贸领域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和高等院校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相关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领导、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专家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学者，以及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外贸平台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企业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集团与展览公司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负责人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授课。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5.“新三样”企业国际化经营风险防范与合规发展专题培训班。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"/>
        </w:rPr>
        <w:t>拟安排1场，地点合肥市，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培训时间2.5天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（第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天上午报到，第3天午餐后结束）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培训企业数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不少于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0家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人数不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少于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0人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培训对象：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（1）</w:t>
      </w:r>
      <w:r>
        <w:rPr>
          <w:rFonts w:hint="eastAsia" w:ascii="宋体" w:hAnsi="宋体" w:eastAsia="宋体" w:cs="宋体"/>
          <w:color w:val="auto"/>
          <w:sz w:val="21"/>
          <w:szCs w:val="21"/>
          <w:lang w:bidi="ar"/>
        </w:rPr>
        <w:t>我省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 w:bidi="ar"/>
        </w:rPr>
        <w:t>进</w:t>
      </w:r>
      <w:r>
        <w:rPr>
          <w:rFonts w:hint="eastAsia" w:ascii="宋体" w:hAnsi="宋体" w:eastAsia="宋体" w:cs="宋体"/>
          <w:color w:val="auto"/>
          <w:sz w:val="21"/>
          <w:szCs w:val="21"/>
          <w:lang w:bidi="ar"/>
        </w:rPr>
        <w:t>出口企业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 w:bidi="ar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已进行海关备案登记尚未发生外贸实绩的企业；（3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有进出口潜力和意愿的其他企业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；（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市、县（市、区）商务部门外贸工作人员。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培训内容：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（1）全球贸易展望和形势分析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"/>
        </w:rPr>
        <w:t>；（2）2024年外贸促进政策解读；（3）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 w:bidi="ar"/>
        </w:rPr>
        <w:t>外贸新业态新模式；（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 w:bidi="ar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“新三样”国际贸易面临的形势（欧美产业政策、贸易保护措施、欧盟电池和废电池法规、碳中和等机制）；（5）我国及我省“新三样”产业发展情况；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"/>
        </w:rPr>
        <w:t>（6）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“新三样”企业合规建设建议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（7）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汇率避险及人民币跨境结算；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）省直外贸公司、沪苏浙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或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我省展览公司与企业现场对接。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师资安排：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邀请国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家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部委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国家相关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商协会、沪苏浙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外贸领域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、高校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相关专家学者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和我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省外贸领域相关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领导、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专家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学者，以及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外贸平台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企业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集团与展览公司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负责人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授课。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  <w:t>（二）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线上培训。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培训班开班后同步进行课程录制，原则上培训结束半个月内放入网络云平台在线培训系统，供全省外贸企业免费学习，全年学习不少于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20000人次。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培训进度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（一）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培训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安排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计划7-11月实施培训，11月底前完成培训；结合培训开展省直公司外贸业务员下基层现场会对接。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（二）教材编印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。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上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旬前完成1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000份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《外经贸谋略与合规》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暂定名，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在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2023年《外贸创新与发展》的基础上修订完善，内容包含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202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年度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我省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RCEP和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外贸促进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最新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政策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，不少于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20万字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编印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随培训免费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发放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给参训企业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四、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培训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 xml:space="preserve">方式 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分区域分地市相对集中举办，覆盖全省16个市。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五、经费安排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项目总预算200万元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,严格按照《安徽省财政厅、安徽省委组织部、安徽省公务员局关于印发&lt;安徽省省直机关培训费管理办法&gt;的通知》(财行﹝2017﹞1411号）执行，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主要用于培训场地租用、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员食宿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安排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、授课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教师邀请、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教材编印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和线上课程制作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等。</w:t>
      </w: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45FDCD"/>
    <w:multiLevelType w:val="singleLevel"/>
    <w:tmpl w:val="3E45FDCD"/>
    <w:lvl w:ilvl="0" w:tentative="0">
      <w:start w:val="3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NWRiOGMwMGJjNGM2NmQwOGQwOGJmMTI5MGE0ZTIifQ=="/>
  </w:docVars>
  <w:rsids>
    <w:rsidRoot w:val="23911587"/>
    <w:rsid w:val="0AA91789"/>
    <w:rsid w:val="23911587"/>
    <w:rsid w:val="5FD2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黑体"/>
      <w:sz w:val="36"/>
    </w:rPr>
  </w:style>
  <w:style w:type="paragraph" w:styleId="4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3275</Words>
  <Characters>3451</Characters>
  <Lines>0</Lines>
  <Paragraphs>0</Paragraphs>
  <TotalTime>0</TotalTime>
  <ScaleCrop>false</ScaleCrop>
  <LinksUpToDate>false</LinksUpToDate>
  <CharactersWithSpaces>3460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2024-05-27T06:40:00Z</dcterms:created>
  <dc:creator>Bella</dc:creator>
  <cp:lastModifiedBy>Bella</cp:lastModifiedBy>
  <dcterms:modified xsi:type="dcterms:W3CDTF">2024-05-27T06:43:11Z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2BC0B9188A3E44A3AF367E1312915D39_11</vt:lpwstr>
  </property>
</Properties>
</file>