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napToGrid w:val="0"/>
        <w:spacing w:before="0" w:after="0" w:line="360" w:lineRule="auto"/>
        <w:jc w:val="center"/>
        <w:rPr>
          <w:b/>
          <w:color w:val="auto"/>
          <w:sz w:val="36"/>
          <w:highlight w:val="none"/>
        </w:rPr>
      </w:pPr>
      <w:bookmarkStart w:id="0" w:name="_Toc23104"/>
      <w:r>
        <w:rPr>
          <w:rFonts w:hint="eastAsia" w:ascii="宋体" w:hAnsi="宋体"/>
          <w:color w:val="auto"/>
          <w:highlight w:val="none"/>
        </w:rPr>
        <w:t>采购需求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272" w:right="352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bookmarkStart w:id="1" w:name="第四章  磋商和评审办法"/>
      <w:bookmarkEnd w:id="1"/>
      <w:bookmarkStart w:id="2" w:name="_bookmark3"/>
      <w:bookmarkEnd w:id="2"/>
    </w:p>
    <w:p>
      <w:pPr>
        <w:pStyle w:val="4"/>
        <w:ind w:firstLine="482" w:firstLineChars="200"/>
        <w:jc w:val="left"/>
        <w:rPr>
          <w:color w:val="auto"/>
          <w:sz w:val="24"/>
          <w:szCs w:val="22"/>
          <w:highlight w:val="none"/>
        </w:rPr>
      </w:pPr>
      <w:r>
        <w:rPr>
          <w:rFonts w:hint="eastAsia"/>
          <w:color w:val="auto"/>
          <w:sz w:val="24"/>
          <w:szCs w:val="22"/>
          <w:highlight w:val="none"/>
        </w:rPr>
        <w:t>一、采购需求前附表</w:t>
      </w:r>
    </w:p>
    <w:tbl>
      <w:tblPr>
        <w:tblStyle w:val="5"/>
        <w:tblW w:w="5019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2338"/>
        <w:gridCol w:w="52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468" w:type="pct"/>
            <w:noWrap w:val="0"/>
            <w:vAlign w:val="center"/>
          </w:tcPr>
          <w:p>
            <w:pPr>
              <w:pStyle w:val="7"/>
              <w:spacing w:before="96"/>
              <w:ind w:left="201" w:right="193"/>
              <w:jc w:val="center"/>
              <w:rPr>
                <w:b/>
                <w:color w:val="auto"/>
                <w:sz w:val="22"/>
                <w:szCs w:val="21"/>
                <w:highlight w:val="none"/>
              </w:rPr>
            </w:pPr>
            <w:r>
              <w:rPr>
                <w:b/>
                <w:color w:val="auto"/>
                <w:sz w:val="22"/>
                <w:szCs w:val="21"/>
                <w:highlight w:val="none"/>
              </w:rPr>
              <w:t>序号</w:t>
            </w:r>
          </w:p>
        </w:tc>
        <w:tc>
          <w:tcPr>
            <w:tcW w:w="1400" w:type="pct"/>
            <w:noWrap w:val="0"/>
            <w:vAlign w:val="center"/>
          </w:tcPr>
          <w:p>
            <w:pPr>
              <w:pStyle w:val="7"/>
              <w:spacing w:before="96"/>
              <w:ind w:left="399" w:right="392"/>
              <w:jc w:val="center"/>
              <w:rPr>
                <w:b/>
                <w:color w:val="auto"/>
                <w:sz w:val="22"/>
                <w:szCs w:val="21"/>
                <w:highlight w:val="none"/>
              </w:rPr>
            </w:pPr>
            <w:r>
              <w:rPr>
                <w:b/>
                <w:color w:val="auto"/>
                <w:sz w:val="22"/>
                <w:szCs w:val="21"/>
                <w:highlight w:val="none"/>
              </w:rPr>
              <w:t>条款名称</w:t>
            </w:r>
          </w:p>
        </w:tc>
        <w:tc>
          <w:tcPr>
            <w:tcW w:w="3131" w:type="pct"/>
            <w:noWrap w:val="0"/>
            <w:vAlign w:val="center"/>
          </w:tcPr>
          <w:p>
            <w:pPr>
              <w:pStyle w:val="7"/>
              <w:spacing w:before="96"/>
              <w:ind w:left="1754"/>
              <w:rPr>
                <w:b/>
                <w:color w:val="auto"/>
                <w:sz w:val="22"/>
                <w:szCs w:val="21"/>
                <w:highlight w:val="none"/>
              </w:rPr>
            </w:pPr>
            <w:r>
              <w:rPr>
                <w:b/>
                <w:color w:val="auto"/>
                <w:sz w:val="22"/>
                <w:szCs w:val="21"/>
                <w:highlight w:val="none"/>
              </w:rPr>
              <w:t>内容、说明与要求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68" w:type="pct"/>
            <w:noWrap w:val="0"/>
            <w:vAlign w:val="center"/>
          </w:tcPr>
          <w:p>
            <w:pPr>
              <w:pStyle w:val="7"/>
              <w:spacing w:before="97"/>
              <w:ind w:left="8"/>
              <w:jc w:val="center"/>
              <w:rPr>
                <w:color w:val="auto"/>
                <w:sz w:val="22"/>
                <w:szCs w:val="21"/>
                <w:highlight w:val="none"/>
              </w:rPr>
            </w:pPr>
            <w:r>
              <w:rPr>
                <w:color w:val="auto"/>
                <w:sz w:val="22"/>
                <w:szCs w:val="21"/>
                <w:highlight w:val="none"/>
              </w:rPr>
              <w:t>1</w:t>
            </w:r>
          </w:p>
        </w:tc>
        <w:tc>
          <w:tcPr>
            <w:tcW w:w="1400" w:type="pct"/>
            <w:noWrap w:val="0"/>
            <w:vAlign w:val="center"/>
          </w:tcPr>
          <w:p>
            <w:pPr>
              <w:pStyle w:val="7"/>
              <w:spacing w:before="97"/>
              <w:ind w:left="401" w:right="392"/>
              <w:jc w:val="center"/>
              <w:rPr>
                <w:color w:val="auto"/>
                <w:sz w:val="22"/>
                <w:szCs w:val="21"/>
                <w:highlight w:val="none"/>
              </w:rPr>
            </w:pPr>
            <w:r>
              <w:rPr>
                <w:color w:val="auto"/>
                <w:sz w:val="22"/>
                <w:szCs w:val="21"/>
                <w:highlight w:val="none"/>
              </w:rPr>
              <w:t>付款方式</w:t>
            </w:r>
          </w:p>
        </w:tc>
        <w:tc>
          <w:tcPr>
            <w:tcW w:w="3131" w:type="pct"/>
            <w:noWrap w:val="0"/>
            <w:vAlign w:val="center"/>
          </w:tcPr>
          <w:p>
            <w:pPr>
              <w:pStyle w:val="7"/>
              <w:spacing w:before="97"/>
              <w:ind w:left="108"/>
              <w:jc w:val="center"/>
              <w:rPr>
                <w:color w:val="auto"/>
                <w:sz w:val="22"/>
                <w:szCs w:val="21"/>
                <w:highlight w:val="none"/>
              </w:rPr>
            </w:pPr>
            <w:r>
              <w:rPr>
                <w:color w:val="auto"/>
                <w:sz w:val="22"/>
                <w:szCs w:val="21"/>
                <w:highlight w:val="none"/>
              </w:rPr>
              <w:t>详见供应商须知前附表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68" w:type="pct"/>
            <w:noWrap w:val="0"/>
            <w:vAlign w:val="center"/>
          </w:tcPr>
          <w:p>
            <w:pPr>
              <w:pStyle w:val="7"/>
              <w:spacing w:before="97"/>
              <w:ind w:left="8"/>
              <w:jc w:val="center"/>
              <w:rPr>
                <w:color w:val="auto"/>
                <w:sz w:val="22"/>
                <w:szCs w:val="21"/>
                <w:highlight w:val="none"/>
              </w:rPr>
            </w:pPr>
            <w:r>
              <w:rPr>
                <w:color w:val="auto"/>
                <w:sz w:val="22"/>
                <w:szCs w:val="21"/>
                <w:highlight w:val="none"/>
              </w:rPr>
              <w:t>2</w:t>
            </w:r>
          </w:p>
        </w:tc>
        <w:tc>
          <w:tcPr>
            <w:tcW w:w="1400" w:type="pct"/>
            <w:noWrap w:val="0"/>
            <w:vAlign w:val="center"/>
          </w:tcPr>
          <w:p>
            <w:pPr>
              <w:pStyle w:val="7"/>
              <w:spacing w:before="97"/>
              <w:ind w:left="401" w:right="392"/>
              <w:jc w:val="center"/>
              <w:rPr>
                <w:color w:val="auto"/>
                <w:sz w:val="22"/>
                <w:szCs w:val="21"/>
                <w:highlight w:val="none"/>
              </w:rPr>
            </w:pPr>
            <w:r>
              <w:rPr>
                <w:color w:val="auto"/>
                <w:sz w:val="22"/>
                <w:szCs w:val="21"/>
                <w:highlight w:val="none"/>
              </w:rPr>
              <w:t>服务期限</w:t>
            </w:r>
          </w:p>
        </w:tc>
        <w:tc>
          <w:tcPr>
            <w:tcW w:w="3131" w:type="pct"/>
            <w:noWrap w:val="0"/>
            <w:vAlign w:val="center"/>
          </w:tcPr>
          <w:p>
            <w:pPr>
              <w:pStyle w:val="7"/>
              <w:spacing w:before="97"/>
              <w:ind w:left="108"/>
              <w:jc w:val="center"/>
              <w:rPr>
                <w:color w:val="auto"/>
                <w:sz w:val="22"/>
                <w:szCs w:val="21"/>
                <w:highlight w:val="none"/>
              </w:rPr>
            </w:pPr>
            <w:r>
              <w:rPr>
                <w:color w:val="auto"/>
                <w:sz w:val="22"/>
                <w:szCs w:val="21"/>
                <w:highlight w:val="none"/>
              </w:rPr>
              <w:t>详见供应商须知前附表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468" w:type="pct"/>
            <w:noWrap w:val="0"/>
            <w:vAlign w:val="center"/>
          </w:tcPr>
          <w:p>
            <w:pPr>
              <w:pStyle w:val="7"/>
              <w:spacing w:before="97"/>
              <w:ind w:left="8"/>
              <w:jc w:val="center"/>
              <w:rPr>
                <w:rFonts w:hint="eastAsia"/>
                <w:color w:val="auto"/>
                <w:sz w:val="22"/>
                <w:szCs w:val="21"/>
                <w:highlight w:val="none"/>
                <w:lang w:val="en-US"/>
              </w:rPr>
            </w:pPr>
            <w:r>
              <w:rPr>
                <w:rFonts w:hint="eastAsia"/>
                <w:color w:val="auto"/>
                <w:sz w:val="22"/>
                <w:szCs w:val="21"/>
                <w:highlight w:val="none"/>
                <w:lang w:val="en-US"/>
              </w:rPr>
              <w:t>3</w:t>
            </w:r>
          </w:p>
        </w:tc>
        <w:tc>
          <w:tcPr>
            <w:tcW w:w="1400" w:type="pct"/>
            <w:noWrap w:val="0"/>
            <w:vAlign w:val="center"/>
          </w:tcPr>
          <w:p>
            <w:pPr>
              <w:pStyle w:val="7"/>
              <w:spacing w:before="187"/>
              <w:ind w:left="401" w:right="392"/>
              <w:jc w:val="center"/>
              <w:rPr>
                <w:color w:val="auto"/>
                <w:sz w:val="22"/>
                <w:szCs w:val="21"/>
                <w:highlight w:val="none"/>
              </w:rPr>
            </w:pPr>
            <w:r>
              <w:rPr>
                <w:color w:val="auto"/>
                <w:sz w:val="22"/>
                <w:szCs w:val="21"/>
                <w:highlight w:val="none"/>
              </w:rPr>
              <w:t>本项目采购标的</w:t>
            </w:r>
            <w:r>
              <w:rPr>
                <w:rFonts w:hint="eastAsia"/>
                <w:color w:val="auto"/>
                <w:sz w:val="22"/>
                <w:szCs w:val="21"/>
                <w:highlight w:val="none"/>
                <w:lang w:val="en-US"/>
              </w:rPr>
              <w:t>名称及</w:t>
            </w:r>
            <w:r>
              <w:rPr>
                <w:color w:val="auto"/>
                <w:sz w:val="22"/>
                <w:szCs w:val="21"/>
                <w:highlight w:val="none"/>
              </w:rPr>
              <w:t>所属行业</w:t>
            </w:r>
          </w:p>
        </w:tc>
        <w:tc>
          <w:tcPr>
            <w:tcW w:w="3131" w:type="pct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z w:val="20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标的名称：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2024年安徽省电子商务运行监测分析服务(二次）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所属行业：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其他未列明行业</w:t>
            </w:r>
          </w:p>
        </w:tc>
      </w:tr>
    </w:tbl>
    <w:p>
      <w:pPr>
        <w:pStyle w:val="4"/>
        <w:numPr>
          <w:ilvl w:val="0"/>
          <w:numId w:val="1"/>
        </w:numPr>
        <w:ind w:firstLine="482" w:firstLineChars="200"/>
        <w:jc w:val="left"/>
        <w:rPr>
          <w:rFonts w:hint="eastAsia" w:eastAsia="宋体" w:cs="Times New Roman"/>
          <w:b/>
          <w:bCs/>
          <w:color w:val="auto"/>
          <w:sz w:val="24"/>
          <w:szCs w:val="22"/>
          <w:highlight w:val="none"/>
        </w:rPr>
      </w:pPr>
      <w:r>
        <w:rPr>
          <w:rFonts w:hint="eastAsia" w:eastAsia="宋体" w:cs="Times New Roman"/>
          <w:b/>
          <w:bCs/>
          <w:color w:val="auto"/>
          <w:sz w:val="24"/>
          <w:szCs w:val="22"/>
          <w:highlight w:val="none"/>
        </w:rPr>
        <w:t>工作</w:t>
      </w:r>
      <w:r>
        <w:rPr>
          <w:rFonts w:hint="eastAsia" w:eastAsia="宋体" w:cs="Times New Roman"/>
          <w:b/>
          <w:bCs/>
          <w:color w:val="auto"/>
          <w:sz w:val="24"/>
          <w:szCs w:val="22"/>
          <w:highlight w:val="none"/>
          <w:lang w:eastAsia="zh-CN"/>
        </w:rPr>
        <w:t>内容</w:t>
      </w:r>
      <w:r>
        <w:rPr>
          <w:rFonts w:hint="eastAsia" w:eastAsia="宋体" w:cs="Times New Roman"/>
          <w:b/>
          <w:bCs/>
          <w:color w:val="auto"/>
          <w:sz w:val="24"/>
          <w:szCs w:val="2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272" w:right="352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对省市县三级电子商务运行数据进行监测，为省市县三级用户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提供分品类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（依据《网络零售监测指标规范》（SB/T 11236-2023）分类）、分月度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的网络零售相关数据查询服务，并进行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日常管理维护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。（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每月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15日前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对数据进行更新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272" w:right="352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（一）提供全省电子商务运行监测报告和全省直播电商监测报告。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全省电子商务运行监测报告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包括但不限于以下内容：全国及各省（自治区、直辖市）、安徽各市和县（市、区）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网络零售相关数据；各市分品类（依据《网络零售监测指标规范》（SB/T 11236-2023）分类）、分平台（网络零售额TOP20）、农产品（依据《网络零售监测指标规范》（SB/T 11236-2023）分类）、即时零售等网络零售相关数据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；全省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优势电商企业TOP20、优势店铺TOP20、畅销品类TOP20等网络零售相关数据；次月全省网络零售相关预测数据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全省直播电商监测报告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包括但不限于以下内容：全国及各省（自治区、直辖市）、安徽各市和县（市、区）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直播网络零售相关数据；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各市电商主播数量、直播场次、观看人次、直播销量、商品上架次数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、MCN机构数量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等相关数据；全省分品类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（依据《网络零售监测指标规范》（SB/T 11236-2023）分类）、分平台（直播网络零售额TOP10）和农产品（依据《网络零售监测指标规范》（SB/T 11236-2023）分类）的直播网络零售额、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电商主播数量、直播场次、观看人次、直播销量、商品上架次数等相关数据；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全省优势直播电商企业TOP20、直播电商店铺TOP20、电商主播TOP20、MCN机构TOP20等情况。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（每月20日前提供上一个月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监测报告，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2025年1月20日前提供2024年度监测报告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272" w:right="352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提供全省电子商务发展分析报告和全省直播电商发展分析报告。依据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全省电子商务运行监测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数据和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直播电商监测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数据，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详细分析行业发展状况、存在问题，提出工作建议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问题分析透彻、全面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，工作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建议切实可行并具有一定的前瞻性。每季度第一个月提供上一季度全省电子商务发展分析报告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全省直播电商发展分析报告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（2025年1月提供2024年度分析报告。）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272" w:right="352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）提供全省网上店铺变更监测报告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。报告包括但不限于以下内容：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变更店铺来源和去向、重点变更店铺网络零售情况、变更店铺对全省及各市网络零售影响等。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（分别于2024年7月20日和2025年1月20日前提供2024年上半年和2024年度报告。）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272" w:right="352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四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）提供“网上年货节”“双品网购节”“618”“双11”等热点消费时段全省网络零售数据监测报告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。报告包括但不限于以下内容：全国及各省（自治区、直辖市）、安徽各市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网络零售相关数据；全省分品类（依据《网络零售监测指标规范》（SB/T 11236-2023）分类）、分平台（网络零售额TOP20）、农产品（依据《网络零售监测指标规范》（SB/T 11236-2023）分类）、优势电商企业TOP20、优势店铺TOP20、畅销品类TOP20等网络零售相关数据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。（活动结束后1日内提供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272" w:right="352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五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提供调研报告。结合行业发展热点，组织开展调研活动不少于4次，并提供调研报告。报告包括但不限于以下内容：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详细分析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电商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行业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或细分领域的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发展状况、存在问题，提出工作建议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问题分析透彻、全面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，工作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建议切实可行并具有一定的前瞻性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协助做好典型案例和好经验、好做法的宣传推广。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272" w:right="352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六）人员服务。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至少1人驻点服务，服务时间为国家法定工作时间，服务地点为安徽省合肥市祁门路1569号，若人员配备不到位影响服务效果，供应商将承担相应的违约责任。</w:t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BCD002"/>
    <w:multiLevelType w:val="singleLevel"/>
    <w:tmpl w:val="CABCD00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xNWRiOGMwMGJjNGM2NmQwOGQwOGJmMTI5MGE0ZTIifQ=="/>
  </w:docVars>
  <w:rsids>
    <w:rsidRoot w:val="7B3B4CF7"/>
    <w:rsid w:val="7B3B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/>
      <w:snapToGrid w:val="0"/>
      <w:spacing w:line="360" w:lineRule="auto"/>
      <w:jc w:val="left"/>
      <w:outlineLvl w:val="2"/>
    </w:pPr>
    <w:rPr>
      <w:rFonts w:ascii="宋体" w:hAnsi="宋体"/>
      <w:b/>
      <w:bCs/>
      <w:kern w:val="0"/>
      <w:sz w:val="28"/>
      <w:lang w:eastAsia="en-US" w:bidi="en-US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2024-06-12T00:59:00Z</dcterms:created>
  <dc:creator>Bella</dc:creator>
  <cp:lastModifiedBy>Bella</cp:lastModifiedBy>
  <dcterms:modified xsi:type="dcterms:W3CDTF">2024-06-12T00:59:17Z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CC3A381A7EAF45FF8A7DDFE138563C7E_11</vt:lpwstr>
  </property>
</Properties>
</file>