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1EB1E">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采购需求</w:t>
      </w:r>
    </w:p>
    <w:p w14:paraId="5A405EE3">
      <w:pPr>
        <w:adjustRightInd w:val="0"/>
        <w:snapToGrid w:val="0"/>
        <w:spacing w:line="360" w:lineRule="auto"/>
        <w:ind w:firstLine="422"/>
        <w:rPr>
          <w:rFonts w:ascii="宋体" w:hAnsi="宋体" w:eastAsia="宋体"/>
          <w:b/>
          <w:color w:val="auto"/>
          <w:szCs w:val="21"/>
          <w:highlight w:val="none"/>
        </w:rPr>
      </w:pPr>
      <w:r>
        <w:rPr>
          <w:rFonts w:hint="eastAsia" w:ascii="宋体" w:hAnsi="宋体" w:eastAsia="宋体"/>
          <w:b/>
          <w:color w:val="auto"/>
          <w:szCs w:val="21"/>
          <w:highlight w:val="none"/>
        </w:rPr>
        <w:t>前注：</w:t>
      </w:r>
    </w:p>
    <w:p w14:paraId="1DFD411A">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根据《</w:t>
      </w:r>
      <w:r>
        <w:rPr>
          <w:rFonts w:hint="eastAsia" w:ascii="宋体" w:hAnsi="宋体" w:eastAsia="宋体"/>
          <w:color w:val="auto"/>
          <w:szCs w:val="21"/>
          <w:highlight w:val="none"/>
        </w:rPr>
        <w:t>政府采购进口产品管理办法</w:t>
      </w:r>
      <w:r>
        <w:rPr>
          <w:rFonts w:ascii="宋体" w:hAnsi="宋体" w:eastAsia="宋体"/>
          <w:color w:val="auto"/>
          <w:szCs w:val="21"/>
          <w:highlight w:val="none"/>
        </w:rPr>
        <w:t>》及政府采购管理部门的相关规定，下列采购需求中</w:t>
      </w:r>
      <w:r>
        <w:rPr>
          <w:rFonts w:hint="eastAsia" w:ascii="宋体" w:hAnsi="宋体" w:eastAsia="宋体"/>
          <w:color w:val="auto"/>
          <w:szCs w:val="21"/>
          <w:highlight w:val="none"/>
        </w:rPr>
        <w:t>标注进口产品的货物均</w:t>
      </w:r>
      <w:r>
        <w:rPr>
          <w:rFonts w:ascii="宋体" w:hAnsi="宋体" w:eastAsia="宋体"/>
          <w:color w:val="auto"/>
          <w:szCs w:val="21"/>
          <w:highlight w:val="none"/>
        </w:rPr>
        <w:t>已履行相关论证手续，经核准采购进口</w:t>
      </w:r>
      <w:r>
        <w:rPr>
          <w:rFonts w:hint="eastAsia" w:ascii="宋体" w:hAnsi="宋体" w:eastAsia="宋体"/>
          <w:color w:val="auto"/>
          <w:szCs w:val="21"/>
          <w:highlight w:val="none"/>
        </w:rPr>
        <w:t>产品</w:t>
      </w:r>
      <w:r>
        <w:rPr>
          <w:rFonts w:ascii="宋体" w:hAnsi="宋体" w:eastAsia="宋体"/>
          <w:color w:val="auto"/>
          <w:szCs w:val="21"/>
          <w:highlight w:val="none"/>
        </w:rPr>
        <w:t>，但不限制满足招标文件要求的国内产品参与竞争</w:t>
      </w:r>
      <w:r>
        <w:rPr>
          <w:rFonts w:hint="eastAsia" w:ascii="宋体" w:hAnsi="宋体" w:eastAsia="宋体"/>
          <w:color w:val="auto"/>
          <w:szCs w:val="21"/>
          <w:highlight w:val="none"/>
        </w:rPr>
        <w:t>。未标注进口产品的货物均</w:t>
      </w:r>
      <w:r>
        <w:rPr>
          <w:rFonts w:ascii="宋体" w:hAnsi="宋体" w:eastAsia="宋体"/>
          <w:color w:val="auto"/>
          <w:szCs w:val="21"/>
          <w:highlight w:val="none"/>
        </w:rPr>
        <w:t>为拒绝采</w:t>
      </w:r>
      <w:bookmarkStart w:id="22" w:name="_GoBack"/>
      <w:bookmarkEnd w:id="22"/>
      <w:r>
        <w:rPr>
          <w:rFonts w:ascii="宋体" w:hAnsi="宋体" w:eastAsia="宋体"/>
          <w:color w:val="auto"/>
          <w:szCs w:val="21"/>
          <w:highlight w:val="none"/>
        </w:rPr>
        <w:t>购进口产品</w:t>
      </w:r>
      <w:r>
        <w:rPr>
          <w:rFonts w:hint="eastAsia" w:ascii="宋体" w:hAnsi="宋体" w:eastAsia="宋体"/>
          <w:color w:val="auto"/>
          <w:szCs w:val="21"/>
          <w:highlight w:val="none"/>
        </w:rPr>
        <w:t>。</w:t>
      </w:r>
    </w:p>
    <w:p w14:paraId="108BAE44">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p>
    <w:p w14:paraId="0D921722">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98F63E5">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058746D">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olor w:val="auto"/>
          <w:szCs w:val="21"/>
          <w:highlight w:val="none"/>
        </w:rPr>
        <w:t>如采购人允许采用分包方式履行合同的，应当明确可以分包履行的相关内容</w:t>
      </w:r>
      <w:r>
        <w:rPr>
          <w:rFonts w:hint="eastAsia" w:ascii="宋体" w:hAnsi="宋体" w:eastAsia="宋体" w:cs="宋体"/>
          <w:color w:val="auto"/>
          <w:szCs w:val="21"/>
          <w:highlight w:val="none"/>
        </w:rPr>
        <w:t>。</w:t>
      </w:r>
    </w:p>
    <w:p w14:paraId="54AEFC97">
      <w:pPr>
        <w:adjustRightInd w:val="0"/>
        <w:snapToGrid w:val="0"/>
        <w:spacing w:line="360" w:lineRule="auto"/>
        <w:ind w:firstLine="420"/>
        <w:rPr>
          <w:color w:val="auto"/>
          <w:szCs w:val="21"/>
          <w:highlight w:val="none"/>
        </w:rPr>
      </w:pPr>
      <w:r>
        <w:rPr>
          <w:rFonts w:hint="eastAsia" w:ascii="宋体" w:hAnsi="宋体" w:eastAsia="宋体" w:cs="宋体"/>
          <w:color w:val="auto"/>
          <w:szCs w:val="21"/>
          <w:highlight w:val="none"/>
        </w:rPr>
        <w:t>4.下列采购需求中：标注▲的产品（核心产品），投标人在投标文件《主要中标标的承诺函》中填写名称、品牌、规格、型号、数量、单价等信息。</w:t>
      </w:r>
    </w:p>
    <w:p w14:paraId="55A06938">
      <w:pPr>
        <w:adjustRightInd w:val="0"/>
        <w:snapToGrid w:val="0"/>
        <w:spacing w:line="360" w:lineRule="auto"/>
        <w:ind w:firstLine="482"/>
        <w:outlineLvl w:val="1"/>
        <w:rPr>
          <w:rFonts w:ascii="宋体" w:hAnsi="宋体" w:eastAsia="宋体"/>
          <w:b/>
          <w:color w:val="auto"/>
          <w:szCs w:val="21"/>
          <w:highlight w:val="none"/>
        </w:rPr>
      </w:pPr>
      <w:bookmarkStart w:id="0" w:name="_Toc32151"/>
      <w:bookmarkStart w:id="1" w:name="_Toc178465410"/>
      <w:bookmarkStart w:id="2" w:name="_Toc2554"/>
      <w:r>
        <w:rPr>
          <w:rFonts w:hint="eastAsia" w:ascii="宋体" w:hAnsi="宋体" w:eastAsia="宋体"/>
          <w:b/>
          <w:color w:val="auto"/>
          <w:szCs w:val="21"/>
          <w:highlight w:val="none"/>
        </w:rPr>
        <w:t>一、采购需求前附表</w:t>
      </w:r>
      <w:bookmarkEnd w:id="0"/>
      <w:bookmarkEnd w:id="1"/>
      <w:bookmarkEnd w:id="2"/>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505F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615F13D2">
            <w:pPr>
              <w:pStyle w:val="7"/>
              <w:adjustRightInd w:val="0"/>
              <w:snapToGrid w:val="0"/>
              <w:spacing w:line="300" w:lineRule="auto"/>
              <w:rPr>
                <w:b/>
                <w:color w:val="auto"/>
                <w:sz w:val="21"/>
                <w:szCs w:val="21"/>
                <w:highlight w:val="none"/>
              </w:rPr>
            </w:pPr>
            <w:r>
              <w:rPr>
                <w:rFonts w:hint="eastAsia"/>
                <w:b/>
                <w:color w:val="auto"/>
                <w:sz w:val="21"/>
                <w:szCs w:val="21"/>
                <w:highlight w:val="none"/>
              </w:rPr>
              <w:t>序号</w:t>
            </w:r>
          </w:p>
        </w:tc>
        <w:tc>
          <w:tcPr>
            <w:tcW w:w="2032" w:type="dxa"/>
            <w:noWrap w:val="0"/>
            <w:vAlign w:val="center"/>
          </w:tcPr>
          <w:p w14:paraId="313EC525">
            <w:pPr>
              <w:pStyle w:val="8"/>
              <w:jc w:val="center"/>
              <w:rPr>
                <w:b/>
                <w:color w:val="auto"/>
                <w:highlight w:val="none"/>
              </w:rPr>
            </w:pPr>
            <w:r>
              <w:rPr>
                <w:rFonts w:hint="eastAsia"/>
                <w:b/>
                <w:color w:val="auto"/>
                <w:highlight w:val="none"/>
              </w:rPr>
              <w:t>条款名称</w:t>
            </w:r>
          </w:p>
        </w:tc>
        <w:tc>
          <w:tcPr>
            <w:tcW w:w="5483" w:type="dxa"/>
            <w:noWrap w:val="0"/>
            <w:vAlign w:val="center"/>
          </w:tcPr>
          <w:p w14:paraId="605CB6EF">
            <w:pPr>
              <w:pStyle w:val="8"/>
              <w:jc w:val="center"/>
              <w:rPr>
                <w:b/>
                <w:color w:val="auto"/>
                <w:highlight w:val="none"/>
              </w:rPr>
            </w:pPr>
            <w:r>
              <w:rPr>
                <w:rFonts w:hint="eastAsia"/>
                <w:b/>
                <w:color w:val="auto"/>
                <w:highlight w:val="none"/>
              </w:rPr>
              <w:t>内容、说明与要求</w:t>
            </w:r>
          </w:p>
        </w:tc>
      </w:tr>
      <w:tr w14:paraId="5C1D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5A4F1C39">
            <w:pPr>
              <w:pStyle w:val="7"/>
              <w:adjustRightInd w:val="0"/>
              <w:snapToGrid w:val="0"/>
              <w:spacing w:line="300" w:lineRule="auto"/>
              <w:rPr>
                <w:color w:val="auto"/>
                <w:sz w:val="21"/>
                <w:szCs w:val="21"/>
                <w:highlight w:val="none"/>
              </w:rPr>
            </w:pPr>
            <w:r>
              <w:rPr>
                <w:rFonts w:hint="eastAsia"/>
                <w:color w:val="auto"/>
                <w:sz w:val="21"/>
                <w:szCs w:val="21"/>
                <w:highlight w:val="none"/>
              </w:rPr>
              <w:t>1</w:t>
            </w:r>
          </w:p>
        </w:tc>
        <w:tc>
          <w:tcPr>
            <w:tcW w:w="2032" w:type="dxa"/>
            <w:noWrap w:val="0"/>
            <w:vAlign w:val="center"/>
          </w:tcPr>
          <w:p w14:paraId="0E17E131">
            <w:pPr>
              <w:pStyle w:val="8"/>
              <w:rPr>
                <w:b/>
                <w:color w:val="auto"/>
                <w:highlight w:val="none"/>
              </w:rPr>
            </w:pPr>
            <w:r>
              <w:rPr>
                <w:rFonts w:hint="eastAsia"/>
                <w:color w:val="auto"/>
                <w:highlight w:val="none"/>
              </w:rPr>
              <w:t>付款方式</w:t>
            </w:r>
          </w:p>
        </w:tc>
        <w:tc>
          <w:tcPr>
            <w:tcW w:w="5483" w:type="dxa"/>
            <w:noWrap w:val="0"/>
            <w:vAlign w:val="center"/>
          </w:tcPr>
          <w:p w14:paraId="3CB744FE">
            <w:pPr>
              <w:widowControl/>
              <w:wordWrap w:val="0"/>
              <w:adjustRightInd w:val="0"/>
              <w:snapToGrid w:val="0"/>
              <w:spacing w:line="288" w:lineRule="auto"/>
              <w:rPr>
                <w:rFonts w:ascii="宋体" w:hAnsi="宋体" w:eastAsia="宋体" w:cs="Calibri"/>
                <w:color w:val="auto"/>
                <w:szCs w:val="21"/>
                <w:highlight w:val="none"/>
              </w:rPr>
            </w:pPr>
            <w:r>
              <w:rPr>
                <w:rFonts w:hint="eastAsia" w:ascii="宋体" w:hAnsi="宋体" w:eastAsia="宋体" w:cs="Calibri"/>
                <w:color w:val="auto"/>
                <w:szCs w:val="21"/>
                <w:highlight w:val="none"/>
              </w:rPr>
              <w:t>合同生效并具备实施条件后，采购人支付合同价款的5</w:t>
            </w:r>
            <w:r>
              <w:rPr>
                <w:rFonts w:ascii="宋体" w:hAnsi="宋体" w:eastAsia="宋体" w:cs="Calibri"/>
                <w:color w:val="auto"/>
                <w:szCs w:val="21"/>
                <w:highlight w:val="none"/>
              </w:rPr>
              <w:t>0</w:t>
            </w:r>
            <w:r>
              <w:rPr>
                <w:rFonts w:hint="eastAsia" w:ascii="宋体" w:hAnsi="宋体" w:eastAsia="宋体" w:cs="Calibri"/>
                <w:color w:val="auto"/>
                <w:szCs w:val="21"/>
                <w:highlight w:val="none"/>
              </w:rPr>
              <w:t>%（中标人向采购人支付等额的预付款担保），</w:t>
            </w:r>
            <w:r>
              <w:rPr>
                <w:rFonts w:ascii="Times New Roman" w:hAnsi="宋体" w:eastAsia="宋体" w:cs="Times New Roman"/>
                <w:color w:val="auto"/>
                <w:szCs w:val="21"/>
                <w:highlight w:val="none"/>
              </w:rPr>
              <w:t>验收合格后一次性付清合同</w:t>
            </w:r>
            <w:r>
              <w:rPr>
                <w:rFonts w:hint="eastAsia" w:ascii="Times New Roman" w:hAnsi="宋体" w:eastAsia="宋体" w:cs="Times New Roman"/>
                <w:color w:val="auto"/>
                <w:szCs w:val="21"/>
                <w:highlight w:val="none"/>
              </w:rPr>
              <w:t>余</w:t>
            </w:r>
            <w:r>
              <w:rPr>
                <w:rFonts w:ascii="Times New Roman" w:hAnsi="宋体" w:eastAsia="宋体" w:cs="Times New Roman"/>
                <w:color w:val="auto"/>
                <w:szCs w:val="21"/>
                <w:highlight w:val="none"/>
              </w:rPr>
              <w:t>款</w:t>
            </w:r>
            <w:r>
              <w:rPr>
                <w:rFonts w:hint="eastAsia" w:ascii="宋体" w:hAnsi="宋体" w:eastAsia="宋体" w:cs="Calibri"/>
                <w:color w:val="auto"/>
                <w:szCs w:val="21"/>
                <w:highlight w:val="none"/>
              </w:rPr>
              <w:t>。</w:t>
            </w:r>
          </w:p>
          <w:p w14:paraId="62134A73">
            <w:pPr>
              <w:widowControl/>
              <w:wordWrap w:val="0"/>
              <w:adjustRightInd w:val="0"/>
              <w:snapToGrid w:val="0"/>
              <w:spacing w:line="288" w:lineRule="auto"/>
              <w:rPr>
                <w:rFonts w:ascii="宋体" w:hAnsi="宋体" w:eastAsia="宋体" w:cs="Calibri"/>
                <w:color w:val="auto"/>
                <w:szCs w:val="21"/>
                <w:highlight w:val="none"/>
              </w:rPr>
            </w:pPr>
            <w:r>
              <w:rPr>
                <w:rFonts w:hint="eastAsia" w:ascii="宋体" w:hAnsi="宋体" w:eastAsia="宋体" w:cs="Calibri"/>
                <w:color w:val="auto"/>
                <w:szCs w:val="21"/>
                <w:highlight w:val="none"/>
              </w:rPr>
              <w:t>注：</w:t>
            </w:r>
          </w:p>
          <w:p w14:paraId="5DDC6510">
            <w:pPr>
              <w:widowControl/>
              <w:wordWrap w:val="0"/>
              <w:adjustRightInd w:val="0"/>
              <w:snapToGrid w:val="0"/>
              <w:spacing w:line="288" w:lineRule="auto"/>
              <w:rPr>
                <w:rFonts w:ascii="宋体" w:hAnsi="宋体" w:eastAsia="宋体" w:cs="Calibri"/>
                <w:color w:val="auto"/>
                <w:szCs w:val="21"/>
                <w:highlight w:val="none"/>
              </w:rPr>
            </w:pPr>
            <w:r>
              <w:rPr>
                <w:rFonts w:hint="eastAsia" w:ascii="宋体" w:hAnsi="宋体" w:eastAsia="宋体" w:cs="Calibri"/>
                <w:color w:val="auto"/>
                <w:szCs w:val="21"/>
                <w:highlight w:val="none"/>
              </w:rPr>
              <w:t>①中标人未按规定提供预付款担保的，视为放弃预付款。</w:t>
            </w:r>
          </w:p>
          <w:p w14:paraId="3B16EB71">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cs="Calibri"/>
                <w:color w:val="auto"/>
                <w:szCs w:val="21"/>
                <w:highlight w:val="none"/>
              </w:rPr>
              <w:t>②如采用银行保函、担保机构出具的保函（担保机构担保），均须满足无条件见索即付条件，须提供明确有效的查询途径(网址链接及查询方式)。</w:t>
            </w:r>
          </w:p>
        </w:tc>
      </w:tr>
      <w:tr w14:paraId="3788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0904755E">
            <w:pPr>
              <w:pStyle w:val="7"/>
              <w:adjustRightInd w:val="0"/>
              <w:snapToGrid w:val="0"/>
              <w:spacing w:line="300" w:lineRule="auto"/>
              <w:rPr>
                <w:color w:val="auto"/>
                <w:sz w:val="21"/>
                <w:szCs w:val="21"/>
                <w:highlight w:val="none"/>
              </w:rPr>
            </w:pPr>
            <w:r>
              <w:rPr>
                <w:rFonts w:hint="eastAsia"/>
                <w:color w:val="auto"/>
                <w:sz w:val="21"/>
                <w:szCs w:val="21"/>
                <w:highlight w:val="none"/>
              </w:rPr>
              <w:t>2</w:t>
            </w:r>
          </w:p>
        </w:tc>
        <w:tc>
          <w:tcPr>
            <w:tcW w:w="2032" w:type="dxa"/>
            <w:noWrap w:val="0"/>
            <w:vAlign w:val="center"/>
          </w:tcPr>
          <w:p w14:paraId="770C097B">
            <w:pPr>
              <w:pStyle w:val="8"/>
              <w:rPr>
                <w:b/>
                <w:color w:val="auto"/>
                <w:highlight w:val="none"/>
              </w:rPr>
            </w:pPr>
            <w:r>
              <w:rPr>
                <w:rFonts w:hint="eastAsia"/>
                <w:color w:val="auto"/>
                <w:highlight w:val="none"/>
              </w:rPr>
              <w:t>供货及安装地点</w:t>
            </w:r>
          </w:p>
        </w:tc>
        <w:tc>
          <w:tcPr>
            <w:tcW w:w="5483" w:type="dxa"/>
            <w:noWrap w:val="0"/>
            <w:vAlign w:val="center"/>
          </w:tcPr>
          <w:p w14:paraId="6FE96678">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bCs/>
                <w:color w:val="auto"/>
                <w:kern w:val="0"/>
                <w:szCs w:val="21"/>
                <w:highlight w:val="none"/>
              </w:rPr>
              <w:t>安徽省农业科学院</w:t>
            </w:r>
            <w:r>
              <w:rPr>
                <w:rFonts w:ascii="宋体" w:hAnsi="宋体" w:eastAsia="宋体"/>
                <w:bCs/>
                <w:color w:val="auto"/>
                <w:kern w:val="0"/>
                <w:szCs w:val="21"/>
                <w:highlight w:val="none"/>
              </w:rPr>
              <w:t>，具体按采购人指定地点。</w:t>
            </w:r>
          </w:p>
        </w:tc>
      </w:tr>
      <w:tr w14:paraId="58F6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0683D428">
            <w:pPr>
              <w:pStyle w:val="7"/>
              <w:adjustRightInd w:val="0"/>
              <w:snapToGrid w:val="0"/>
              <w:spacing w:line="300" w:lineRule="auto"/>
              <w:rPr>
                <w:color w:val="auto"/>
                <w:sz w:val="21"/>
                <w:szCs w:val="21"/>
                <w:highlight w:val="none"/>
              </w:rPr>
            </w:pPr>
            <w:r>
              <w:rPr>
                <w:rFonts w:hint="eastAsia"/>
                <w:color w:val="auto"/>
                <w:sz w:val="21"/>
                <w:szCs w:val="21"/>
                <w:highlight w:val="none"/>
              </w:rPr>
              <w:t>3</w:t>
            </w:r>
          </w:p>
        </w:tc>
        <w:tc>
          <w:tcPr>
            <w:tcW w:w="2032" w:type="dxa"/>
            <w:noWrap w:val="0"/>
            <w:vAlign w:val="center"/>
          </w:tcPr>
          <w:p w14:paraId="08AE6D38">
            <w:pPr>
              <w:pStyle w:val="8"/>
              <w:rPr>
                <w:b/>
                <w:color w:val="auto"/>
                <w:highlight w:val="none"/>
              </w:rPr>
            </w:pPr>
            <w:r>
              <w:rPr>
                <w:rFonts w:hint="eastAsia"/>
                <w:color w:val="auto"/>
                <w:highlight w:val="none"/>
              </w:rPr>
              <w:t>供货及安装期限</w:t>
            </w:r>
          </w:p>
        </w:tc>
        <w:tc>
          <w:tcPr>
            <w:tcW w:w="5483" w:type="dxa"/>
            <w:noWrap w:val="0"/>
            <w:vAlign w:val="center"/>
          </w:tcPr>
          <w:p w14:paraId="6415F7D9">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bCs/>
                <w:color w:val="auto"/>
                <w:kern w:val="0"/>
                <w:szCs w:val="21"/>
                <w:highlight w:val="none"/>
              </w:rPr>
              <w:t>合同生效之日起，</w:t>
            </w:r>
            <w:r>
              <w:rPr>
                <w:rFonts w:hint="eastAsia" w:ascii="宋体" w:hAnsi="宋体" w:eastAsia="宋体"/>
                <w:bCs/>
                <w:color w:val="auto"/>
                <w:kern w:val="0"/>
                <w:szCs w:val="21"/>
                <w:highlight w:val="none"/>
                <w:lang w:eastAsia="zh-CN"/>
              </w:rPr>
              <w:t>30个日历日内完成供货、安装、调试、培训等所有工作内容</w:t>
            </w:r>
            <w:r>
              <w:rPr>
                <w:rFonts w:hint="eastAsia" w:ascii="宋体" w:hAnsi="宋体" w:eastAsia="宋体"/>
                <w:bCs/>
                <w:color w:val="auto"/>
                <w:kern w:val="0"/>
                <w:szCs w:val="21"/>
                <w:highlight w:val="none"/>
              </w:rPr>
              <w:t>。</w:t>
            </w:r>
          </w:p>
        </w:tc>
      </w:tr>
      <w:tr w14:paraId="4AA6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456F0584">
            <w:pPr>
              <w:pStyle w:val="7"/>
              <w:adjustRightInd w:val="0"/>
              <w:snapToGrid w:val="0"/>
              <w:spacing w:line="300" w:lineRule="auto"/>
              <w:rPr>
                <w:color w:val="auto"/>
                <w:sz w:val="21"/>
                <w:szCs w:val="21"/>
                <w:highlight w:val="none"/>
              </w:rPr>
            </w:pPr>
            <w:r>
              <w:rPr>
                <w:rFonts w:hint="eastAsia"/>
                <w:color w:val="auto"/>
                <w:sz w:val="21"/>
                <w:szCs w:val="21"/>
                <w:highlight w:val="none"/>
              </w:rPr>
              <w:t>4</w:t>
            </w:r>
          </w:p>
        </w:tc>
        <w:tc>
          <w:tcPr>
            <w:tcW w:w="2032" w:type="dxa"/>
            <w:noWrap w:val="0"/>
            <w:vAlign w:val="center"/>
          </w:tcPr>
          <w:p w14:paraId="5792A265">
            <w:pPr>
              <w:pStyle w:val="8"/>
              <w:rPr>
                <w:b/>
                <w:color w:val="auto"/>
                <w:highlight w:val="none"/>
              </w:rPr>
            </w:pPr>
            <w:r>
              <w:rPr>
                <w:rFonts w:hint="eastAsia"/>
                <w:color w:val="auto"/>
                <w:highlight w:val="none"/>
              </w:rPr>
              <w:t>免费质保期</w:t>
            </w:r>
          </w:p>
        </w:tc>
        <w:tc>
          <w:tcPr>
            <w:tcW w:w="5483" w:type="dxa"/>
            <w:noWrap w:val="0"/>
            <w:vAlign w:val="center"/>
          </w:tcPr>
          <w:p w14:paraId="308DC5D5">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bCs/>
                <w:color w:val="auto"/>
                <w:kern w:val="0"/>
                <w:szCs w:val="21"/>
                <w:highlight w:val="none"/>
              </w:rPr>
              <w:t>货物需求中未明确的，质保期为自验收合格之日起1年原厂质保，货物需求中明确的，质保期按货物需求执行。</w:t>
            </w:r>
          </w:p>
        </w:tc>
      </w:tr>
    </w:tbl>
    <w:p w14:paraId="4D60A0E1">
      <w:pPr>
        <w:adjustRightInd w:val="0"/>
        <w:snapToGrid w:val="0"/>
        <w:spacing w:beforeLines="50" w:line="360" w:lineRule="auto"/>
        <w:ind w:firstLine="482"/>
        <w:outlineLvl w:val="1"/>
        <w:rPr>
          <w:rFonts w:ascii="宋体" w:hAnsi="宋体" w:eastAsia="宋体"/>
          <w:b/>
          <w:color w:val="auto"/>
          <w:szCs w:val="21"/>
          <w:highlight w:val="none"/>
        </w:rPr>
      </w:pPr>
      <w:bookmarkStart w:id="3" w:name="_Toc7671"/>
      <w:bookmarkStart w:id="4" w:name="_Toc5944"/>
    </w:p>
    <w:p w14:paraId="3D05613C">
      <w:pPr>
        <w:widowControl/>
        <w:jc w:val="left"/>
        <w:rPr>
          <w:rFonts w:ascii="宋体" w:hAnsi="宋体" w:eastAsia="宋体"/>
          <w:b/>
          <w:color w:val="auto"/>
          <w:szCs w:val="21"/>
          <w:highlight w:val="none"/>
        </w:rPr>
      </w:pPr>
      <w:r>
        <w:rPr>
          <w:rFonts w:ascii="宋体" w:hAnsi="宋体" w:eastAsia="宋体"/>
          <w:b/>
          <w:color w:val="auto"/>
          <w:szCs w:val="21"/>
          <w:highlight w:val="none"/>
        </w:rPr>
        <w:br w:type="page"/>
      </w:r>
    </w:p>
    <w:p w14:paraId="0941BE7E">
      <w:pPr>
        <w:adjustRightInd w:val="0"/>
        <w:snapToGrid w:val="0"/>
        <w:spacing w:beforeLines="50" w:line="360" w:lineRule="auto"/>
        <w:ind w:firstLine="482"/>
        <w:outlineLvl w:val="1"/>
        <w:rPr>
          <w:rFonts w:ascii="宋体" w:hAnsi="宋体" w:eastAsia="宋体"/>
          <w:b/>
          <w:color w:val="auto"/>
          <w:szCs w:val="21"/>
          <w:highlight w:val="none"/>
        </w:rPr>
      </w:pPr>
      <w:bookmarkStart w:id="5" w:name="_Toc178465411"/>
      <w:r>
        <w:rPr>
          <w:rFonts w:hint="eastAsia" w:ascii="宋体" w:hAnsi="宋体" w:eastAsia="宋体"/>
          <w:b/>
          <w:color w:val="auto"/>
          <w:szCs w:val="21"/>
          <w:highlight w:val="none"/>
        </w:rPr>
        <w:t>二、货物需求</w:t>
      </w:r>
      <w:bookmarkEnd w:id="3"/>
      <w:bookmarkEnd w:id="4"/>
      <w:bookmarkEnd w:id="5"/>
    </w:p>
    <w:p w14:paraId="20335DB3">
      <w:pPr>
        <w:adjustRightInd w:val="0"/>
        <w:snapToGrid w:val="0"/>
        <w:spacing w:beforeLines="50" w:line="360" w:lineRule="auto"/>
        <w:ind w:firstLine="482"/>
        <w:outlineLvl w:val="1"/>
        <w:rPr>
          <w:rFonts w:ascii="宋体" w:hAnsi="宋体" w:eastAsia="宋体"/>
          <w:b/>
          <w:color w:val="auto"/>
          <w:szCs w:val="21"/>
          <w:highlight w:val="none"/>
        </w:rPr>
      </w:pPr>
      <w:bookmarkStart w:id="6" w:name="_Toc178465412"/>
      <w:r>
        <w:rPr>
          <w:rFonts w:hint="eastAsia" w:ascii="宋体" w:hAnsi="宋体" w:eastAsia="宋体"/>
          <w:b/>
          <w:color w:val="auto"/>
          <w:szCs w:val="21"/>
          <w:highlight w:val="none"/>
        </w:rPr>
        <w:t>（一）指标重要性表述</w:t>
      </w:r>
      <w:bookmarkEnd w:id="6"/>
    </w:p>
    <w:tbl>
      <w:tblPr>
        <w:tblStyle w:val="5"/>
        <w:tblpPr w:leftFromText="180" w:rightFromText="180" w:vertAnchor="text" w:horzAnchor="margin" w:tblpXSpec="center" w:tblpY="308"/>
        <w:tblOverlap w:val="never"/>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66"/>
        <w:gridCol w:w="5202"/>
      </w:tblGrid>
      <w:tr w14:paraId="38EF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85" w:type="dxa"/>
            <w:noWrap w:val="0"/>
            <w:vAlign w:val="center"/>
          </w:tcPr>
          <w:p w14:paraId="446AD413">
            <w:pPr>
              <w:adjustRightInd w:val="0"/>
              <w:snapToGrid w:val="0"/>
              <w:spacing w:line="30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标识重要性</w:t>
            </w:r>
          </w:p>
        </w:tc>
        <w:tc>
          <w:tcPr>
            <w:tcW w:w="1366" w:type="dxa"/>
            <w:noWrap w:val="0"/>
            <w:vAlign w:val="center"/>
          </w:tcPr>
          <w:p w14:paraId="7E98D349">
            <w:pPr>
              <w:adjustRightInd w:val="0"/>
              <w:snapToGrid w:val="0"/>
              <w:spacing w:line="30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标识符号</w:t>
            </w:r>
          </w:p>
        </w:tc>
        <w:tc>
          <w:tcPr>
            <w:tcW w:w="5202" w:type="dxa"/>
            <w:noWrap w:val="0"/>
            <w:vAlign w:val="center"/>
          </w:tcPr>
          <w:p w14:paraId="1C48DC63">
            <w:pPr>
              <w:adjustRightInd w:val="0"/>
              <w:snapToGrid w:val="0"/>
              <w:spacing w:line="30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代表意思</w:t>
            </w:r>
          </w:p>
        </w:tc>
      </w:tr>
      <w:tr w14:paraId="1A3B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85" w:type="dxa"/>
            <w:noWrap w:val="0"/>
            <w:vAlign w:val="center"/>
          </w:tcPr>
          <w:p w14:paraId="7CE7F48A">
            <w:pPr>
              <w:adjustRightInd w:val="0"/>
              <w:snapToGrid w:val="0"/>
              <w:spacing w:line="300" w:lineRule="auto"/>
              <w:jc w:val="center"/>
              <w:rPr>
                <w:rFonts w:hint="eastAsia" w:ascii="宋体" w:hAnsi="宋体" w:eastAsia="宋体" w:cs="Times New Roman"/>
                <w:color w:val="auto"/>
                <w:szCs w:val="21"/>
                <w:highlight w:val="none"/>
              </w:rPr>
            </w:pPr>
            <w:r>
              <w:rPr>
                <w:rFonts w:hint="eastAsia" w:ascii="宋体" w:hAnsi="宋体" w:eastAsia="宋体" w:cs="Times New Roman"/>
                <w:bCs/>
                <w:color w:val="auto"/>
                <w:szCs w:val="21"/>
                <w:highlight w:val="none"/>
              </w:rPr>
              <w:t>核心指标项</w:t>
            </w:r>
          </w:p>
        </w:tc>
        <w:tc>
          <w:tcPr>
            <w:tcW w:w="1366" w:type="dxa"/>
            <w:noWrap w:val="0"/>
            <w:vAlign w:val="center"/>
          </w:tcPr>
          <w:p w14:paraId="636FCD85">
            <w:pPr>
              <w:adjustRightInd w:val="0"/>
              <w:snapToGrid w:val="0"/>
              <w:spacing w:line="300" w:lineRule="auto"/>
              <w:jc w:val="center"/>
              <w:rPr>
                <w:rFonts w:hint="eastAsia" w:ascii="宋体" w:hAnsi="宋体" w:eastAsia="宋体" w:cs="Times New Roman"/>
                <w:color w:val="auto"/>
                <w:szCs w:val="21"/>
                <w:highlight w:val="none"/>
              </w:rPr>
            </w:pPr>
            <w:r>
              <w:rPr>
                <w:rFonts w:hint="eastAsia" w:ascii="宋体" w:hAnsi="宋体" w:eastAsia="宋体" w:cs="宋体"/>
                <w:bCs/>
                <w:color w:val="auto"/>
                <w:kern w:val="0"/>
                <w:szCs w:val="21"/>
                <w:highlight w:val="none"/>
              </w:rPr>
              <w:t>★</w:t>
            </w:r>
          </w:p>
        </w:tc>
        <w:tc>
          <w:tcPr>
            <w:tcW w:w="5202" w:type="dxa"/>
            <w:noWrap w:val="0"/>
            <w:vAlign w:val="center"/>
          </w:tcPr>
          <w:p w14:paraId="040DC773">
            <w:pPr>
              <w:adjustRightInd w:val="0"/>
              <w:snapToGrid w:val="0"/>
              <w:spacing w:line="300" w:lineRule="auto"/>
              <w:jc w:val="left"/>
              <w:rPr>
                <w:rFonts w:hint="eastAsia" w:ascii="宋体" w:hAnsi="宋体" w:eastAsia="宋体" w:cs="Times New Roman"/>
                <w:color w:val="auto"/>
                <w:szCs w:val="21"/>
                <w:highlight w:val="none"/>
              </w:rPr>
            </w:pPr>
            <w:r>
              <w:rPr>
                <w:rFonts w:hint="eastAsia" w:ascii="宋体" w:hAnsi="宋体" w:eastAsia="宋体" w:cs="Times New Roman"/>
                <w:bCs/>
                <w:color w:val="auto"/>
                <w:szCs w:val="21"/>
                <w:highlight w:val="none"/>
              </w:rPr>
              <w:t>不满足该指标将导致投标无效</w:t>
            </w:r>
          </w:p>
        </w:tc>
      </w:tr>
      <w:tr w14:paraId="1585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85" w:type="dxa"/>
            <w:noWrap w:val="0"/>
            <w:vAlign w:val="center"/>
          </w:tcPr>
          <w:p w14:paraId="55865609">
            <w:pPr>
              <w:adjustRightInd w:val="0"/>
              <w:snapToGrid w:val="0"/>
              <w:spacing w:line="300" w:lineRule="auto"/>
              <w:jc w:val="center"/>
              <w:rPr>
                <w:rFonts w:hint="eastAsia" w:ascii="宋体" w:hAnsi="宋体" w:eastAsia="宋体" w:cs="Times New Roman"/>
                <w:color w:val="auto"/>
                <w:szCs w:val="21"/>
                <w:highlight w:val="none"/>
                <w:lang w:eastAsia="zh-CN"/>
              </w:rPr>
            </w:pPr>
            <w:r>
              <w:rPr>
                <w:rFonts w:hint="eastAsia" w:ascii="宋体" w:hAnsi="宋体" w:eastAsia="宋体" w:cs="宋体"/>
                <w:color w:val="auto"/>
                <w:szCs w:val="21"/>
                <w:highlight w:val="none"/>
                <w:lang w:eastAsia="zh-CN"/>
              </w:rPr>
              <w:t>关键性指标项</w:t>
            </w:r>
          </w:p>
        </w:tc>
        <w:tc>
          <w:tcPr>
            <w:tcW w:w="1366" w:type="dxa"/>
            <w:noWrap w:val="0"/>
            <w:vAlign w:val="center"/>
          </w:tcPr>
          <w:p w14:paraId="46B8154D">
            <w:pPr>
              <w:adjustRightInd w:val="0"/>
              <w:snapToGrid w:val="0"/>
              <w:spacing w:line="300" w:lineRule="auto"/>
              <w:jc w:val="center"/>
              <w:rPr>
                <w:rFonts w:ascii="宋体" w:hAnsi="宋体" w:eastAsia="宋体" w:cs="Times New Roman"/>
                <w:bCs/>
                <w:color w:val="auto"/>
                <w:szCs w:val="21"/>
                <w:highlight w:val="none"/>
              </w:rPr>
            </w:pPr>
            <w:r>
              <w:rPr>
                <w:rFonts w:hint="eastAsia" w:ascii="宋体" w:hAnsi="宋体" w:eastAsia="宋体" w:cs="宋体"/>
                <w:color w:val="auto"/>
                <w:szCs w:val="21"/>
                <w:highlight w:val="none"/>
              </w:rPr>
              <w:t>■</w:t>
            </w:r>
          </w:p>
        </w:tc>
        <w:tc>
          <w:tcPr>
            <w:tcW w:w="5202" w:type="dxa"/>
            <w:noWrap w:val="0"/>
            <w:vAlign w:val="center"/>
          </w:tcPr>
          <w:p w14:paraId="26A5C22B">
            <w:pPr>
              <w:adjustRightInd w:val="0"/>
              <w:snapToGrid w:val="0"/>
              <w:spacing w:line="300" w:lineRule="auto"/>
              <w:jc w:val="left"/>
              <w:rPr>
                <w:rFonts w:ascii="宋体" w:hAnsi="宋体" w:eastAsia="宋体" w:cs="宋体"/>
                <w:color w:val="auto"/>
                <w:szCs w:val="21"/>
                <w:highlight w:val="none"/>
              </w:rPr>
            </w:pPr>
            <w:r>
              <w:rPr>
                <w:rFonts w:hint="eastAsia" w:ascii="宋体" w:hAnsi="宋体" w:eastAsia="宋体" w:cs="宋体"/>
                <w:bCs/>
                <w:color w:val="auto"/>
                <w:szCs w:val="21"/>
                <w:highlight w:val="none"/>
              </w:rPr>
              <w:t>作为评分项，每满足1项得0.8分，共50项。</w:t>
            </w:r>
          </w:p>
        </w:tc>
      </w:tr>
      <w:tr w14:paraId="62FE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noWrap w:val="0"/>
            <w:vAlign w:val="center"/>
          </w:tcPr>
          <w:p w14:paraId="50B52593">
            <w:pPr>
              <w:adjustRightInd w:val="0"/>
              <w:snapToGrid w:val="0"/>
              <w:spacing w:line="30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无标识项</w:t>
            </w:r>
          </w:p>
        </w:tc>
        <w:tc>
          <w:tcPr>
            <w:tcW w:w="1366" w:type="dxa"/>
            <w:noWrap w:val="0"/>
            <w:vAlign w:val="center"/>
          </w:tcPr>
          <w:p w14:paraId="4B4B46E0">
            <w:pPr>
              <w:adjustRightInd w:val="0"/>
              <w:snapToGrid w:val="0"/>
              <w:spacing w:line="300" w:lineRule="auto"/>
              <w:jc w:val="center"/>
              <w:rPr>
                <w:rFonts w:ascii="宋体" w:hAnsi="宋体" w:eastAsia="宋体" w:cs="Times New Roman"/>
                <w:b/>
                <w:bCs/>
                <w:color w:val="auto"/>
                <w:szCs w:val="21"/>
                <w:highlight w:val="none"/>
              </w:rPr>
            </w:pPr>
          </w:p>
        </w:tc>
        <w:tc>
          <w:tcPr>
            <w:tcW w:w="5202" w:type="dxa"/>
            <w:noWrap w:val="0"/>
            <w:vAlign w:val="center"/>
          </w:tcPr>
          <w:p w14:paraId="30F6629A">
            <w:pPr>
              <w:adjustRightInd w:val="0"/>
              <w:snapToGrid w:val="0"/>
              <w:spacing w:line="300" w:lineRule="auto"/>
              <w:jc w:val="left"/>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符合性审查项，10条（含）及以上负偏离的将导致投标无效。</w:t>
            </w:r>
          </w:p>
        </w:tc>
      </w:tr>
      <w:tr w14:paraId="173A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3" w:type="dxa"/>
            <w:gridSpan w:val="3"/>
            <w:noWrap w:val="0"/>
            <w:vAlign w:val="center"/>
          </w:tcPr>
          <w:p w14:paraId="5D6ADFD0">
            <w:pPr>
              <w:adjustRightInd w:val="0"/>
              <w:snapToGrid w:val="0"/>
              <w:spacing w:line="30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p>
          <w:p w14:paraId="26C96E5A">
            <w:pPr>
              <w:adjustRightInd w:val="0"/>
              <w:snapToGrid w:val="0"/>
              <w:spacing w:line="30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1、如某项标识中包含多条技术参数或要求，则该项标识所含内容均需满足或优于招标文件要求，否则不予认可。</w:t>
            </w:r>
          </w:p>
          <w:p w14:paraId="23C5B21D">
            <w:pPr>
              <w:adjustRightInd w:val="0"/>
              <w:snapToGrid w:val="0"/>
              <w:spacing w:line="300" w:lineRule="auto"/>
              <w:jc w:val="left"/>
              <w:rPr>
                <w:rFonts w:ascii="宋体" w:hAnsi="宋体" w:eastAsia="宋体" w:cs="宋体"/>
                <w:bCs/>
                <w:color w:val="auto"/>
                <w:szCs w:val="21"/>
                <w:highlight w:val="none"/>
              </w:rPr>
            </w:pPr>
            <w:r>
              <w:rPr>
                <w:rFonts w:hint="eastAsia" w:ascii="宋体" w:hAnsi="宋体" w:eastAsia="宋体" w:cs="宋体"/>
                <w:b/>
                <w:color w:val="auto"/>
                <w:szCs w:val="21"/>
                <w:highlight w:val="none"/>
              </w:rPr>
              <w:t>2、针对“技术参数及要求”中要求投标文件中提供证明材料的条款：技术参数中明确证明材料类型的，按技术参数中的要求</w:t>
            </w:r>
            <w:r>
              <w:rPr>
                <w:rFonts w:hint="eastAsia" w:ascii="宋体" w:hAnsi="宋体" w:eastAsia="宋体" w:cs="宋体"/>
                <w:b/>
                <w:color w:val="auto"/>
                <w:szCs w:val="21"/>
                <w:highlight w:val="none"/>
                <w:lang w:val="en-US" w:eastAsia="zh-CN"/>
              </w:rPr>
              <w:t>提供</w:t>
            </w:r>
            <w:r>
              <w:rPr>
                <w:rFonts w:hint="eastAsia" w:ascii="宋体" w:hAnsi="宋体" w:eastAsia="宋体" w:cs="宋体"/>
                <w:b/>
                <w:color w:val="auto"/>
                <w:szCs w:val="21"/>
                <w:highlight w:val="none"/>
              </w:rPr>
              <w:t>；技术参数中未明确证明材料类型的，证明材料包括：技术白皮书、产品彩页、官网截图、功能界面截图、说明书功能截图等,提供其中之一即可。未按以上要求提供证明材料的视为负偏离（为便于评审，建议投标人对证明材料中的关键参数进行标注）。</w:t>
            </w:r>
          </w:p>
        </w:tc>
      </w:tr>
    </w:tbl>
    <w:p w14:paraId="2E369172">
      <w:pPr>
        <w:pStyle w:val="3"/>
        <w:adjustRightInd w:val="0"/>
        <w:snapToGrid w:val="0"/>
        <w:ind w:firstLine="422" w:firstLineChars="200"/>
        <w:rPr>
          <w:rFonts w:ascii="宋体" w:hAnsi="宋体" w:eastAsia="宋体" w:cs="宋体"/>
          <w:b/>
          <w:bCs/>
          <w:color w:val="auto"/>
          <w:szCs w:val="21"/>
          <w:highlight w:val="none"/>
          <w:lang w:val="en-US"/>
        </w:rPr>
      </w:pPr>
    </w:p>
    <w:p w14:paraId="35726E24">
      <w:pPr>
        <w:adjustRightInd w:val="0"/>
        <w:snapToGrid w:val="0"/>
        <w:spacing w:beforeLines="50" w:line="360" w:lineRule="auto"/>
        <w:ind w:firstLine="482"/>
        <w:outlineLvl w:val="1"/>
        <w:rPr>
          <w:rFonts w:ascii="宋体" w:hAnsi="宋体" w:eastAsia="宋体"/>
          <w:b/>
          <w:color w:val="auto"/>
          <w:szCs w:val="21"/>
          <w:highlight w:val="none"/>
        </w:rPr>
      </w:pPr>
      <w:bookmarkStart w:id="7" w:name="_Toc178465413"/>
      <w:r>
        <w:rPr>
          <w:rFonts w:hint="eastAsia" w:ascii="宋体" w:hAnsi="宋体" w:eastAsia="宋体"/>
          <w:b/>
          <w:color w:val="auto"/>
          <w:szCs w:val="21"/>
          <w:highlight w:val="none"/>
        </w:rPr>
        <w:t>（二）货物技术参数及要求</w:t>
      </w:r>
      <w:bookmarkEnd w:id="7"/>
    </w:p>
    <w:tbl>
      <w:tblPr>
        <w:tblStyle w:val="5"/>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168"/>
        <w:gridCol w:w="4144"/>
        <w:gridCol w:w="974"/>
        <w:gridCol w:w="675"/>
        <w:gridCol w:w="805"/>
        <w:gridCol w:w="650"/>
      </w:tblGrid>
      <w:tr w14:paraId="6264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77BE65FF">
            <w:pPr>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序号</w:t>
            </w:r>
          </w:p>
        </w:tc>
        <w:tc>
          <w:tcPr>
            <w:tcW w:w="1168" w:type="dxa"/>
            <w:noWrap w:val="0"/>
            <w:vAlign w:val="center"/>
          </w:tcPr>
          <w:p w14:paraId="0ACBFD0C">
            <w:pPr>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货物名称</w:t>
            </w:r>
          </w:p>
        </w:tc>
        <w:tc>
          <w:tcPr>
            <w:tcW w:w="4144" w:type="dxa"/>
            <w:noWrap w:val="0"/>
            <w:vAlign w:val="center"/>
          </w:tcPr>
          <w:p w14:paraId="3B534B8F">
            <w:pPr>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技术参数及要求</w:t>
            </w:r>
          </w:p>
        </w:tc>
        <w:tc>
          <w:tcPr>
            <w:tcW w:w="974" w:type="dxa"/>
            <w:noWrap w:val="0"/>
            <w:vAlign w:val="center"/>
          </w:tcPr>
          <w:p w14:paraId="28575496">
            <w:pPr>
              <w:adjustRightInd w:val="0"/>
              <w:snapToGrid w:val="0"/>
              <w:spacing w:line="30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p w14:paraId="6FAC2B76">
            <w:pPr>
              <w:wordWrap w:val="0"/>
              <w:topLinePunct/>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（台/套）</w:t>
            </w:r>
          </w:p>
        </w:tc>
        <w:tc>
          <w:tcPr>
            <w:tcW w:w="675" w:type="dxa"/>
            <w:noWrap w:val="0"/>
            <w:vAlign w:val="center"/>
          </w:tcPr>
          <w:p w14:paraId="66EDAF4C">
            <w:pPr>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所属行业</w:t>
            </w:r>
          </w:p>
        </w:tc>
        <w:tc>
          <w:tcPr>
            <w:tcW w:w="805" w:type="dxa"/>
            <w:noWrap w:val="0"/>
            <w:vAlign w:val="center"/>
          </w:tcPr>
          <w:p w14:paraId="0F6D7120">
            <w:pPr>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是否为核心产品</w:t>
            </w:r>
          </w:p>
        </w:tc>
        <w:tc>
          <w:tcPr>
            <w:tcW w:w="650" w:type="dxa"/>
            <w:noWrap w:val="0"/>
            <w:vAlign w:val="center"/>
          </w:tcPr>
          <w:p w14:paraId="73192EC9">
            <w:pPr>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备注</w:t>
            </w:r>
          </w:p>
        </w:tc>
      </w:tr>
      <w:tr w14:paraId="5476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00730AEB">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50A15178">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大容量低速离心机</w:t>
            </w:r>
          </w:p>
        </w:tc>
        <w:tc>
          <w:tcPr>
            <w:tcW w:w="4144" w:type="dxa"/>
            <w:noWrap w:val="0"/>
            <w:vAlign w:val="center"/>
          </w:tcPr>
          <w:p w14:paraId="2D0C458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■1.最高转速：6000rpm以1rpm递增，最大相对离心力（rcf）：6231×g以1g递增。</w:t>
            </w:r>
          </w:p>
          <w:p w14:paraId="22FC27D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2.水平转子最大容量(ml)：≥1000ml（4×250ml）。</w:t>
            </w:r>
          </w:p>
          <w:p w14:paraId="7BDBDDB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3.转速精度：±10r/min。</w:t>
            </w:r>
          </w:p>
          <w:p w14:paraId="7797317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4.定时范围：1s-99min59s/瞬时离心/定时离心。</w:t>
            </w:r>
          </w:p>
          <w:p w14:paraId="481F2D8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■5.具有差时离心功能：可以自由设定升降速具体时间，升降速时间5s至9min任意设定时间。</w:t>
            </w:r>
            <w:r>
              <w:rPr>
                <w:rFonts w:hint="eastAsia" w:ascii="宋体" w:hAnsi="宋体" w:eastAsia="宋体" w:cs="宋体"/>
                <w:b/>
                <w:bCs/>
                <w:color w:val="auto"/>
                <w:kern w:val="0"/>
                <w:szCs w:val="21"/>
                <w:highlight w:val="none"/>
              </w:rPr>
              <w:t>（投标文件中提供证明材料）</w:t>
            </w:r>
          </w:p>
          <w:p w14:paraId="5AD8778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6.具有梯度离心功能：可以自由设定1至10个梯度的转速和离心时间。</w:t>
            </w:r>
          </w:p>
          <w:p w14:paraId="233DD6DB">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7.转子配置：水平转子8×50ml 1个，15ml水平吊篮一套。</w:t>
            </w:r>
          </w:p>
        </w:tc>
        <w:tc>
          <w:tcPr>
            <w:tcW w:w="974" w:type="dxa"/>
            <w:noWrap w:val="0"/>
            <w:vAlign w:val="center"/>
          </w:tcPr>
          <w:p w14:paraId="55DBD4B4">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1EFCE29C">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20873651">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599C2BDC">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共用</w:t>
            </w:r>
          </w:p>
        </w:tc>
      </w:tr>
      <w:tr w14:paraId="6627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0A2C1CA3">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6DEB181C">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超声裂解仪</w:t>
            </w:r>
          </w:p>
        </w:tc>
        <w:tc>
          <w:tcPr>
            <w:tcW w:w="4144" w:type="dxa"/>
            <w:noWrap w:val="0"/>
            <w:vAlign w:val="center"/>
          </w:tcPr>
          <w:p w14:paraId="7080512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1.采用中央微机集中控制软件。</w:t>
            </w:r>
          </w:p>
          <w:p w14:paraId="011EE26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2.不小于7英寸TFT触摸屏显示。</w:t>
            </w:r>
          </w:p>
          <w:p w14:paraId="38B9BE6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3.超声波功率步进以1%连续精细可调。</w:t>
            </w:r>
          </w:p>
          <w:p w14:paraId="426D0BFF">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4.具有脉冲和连续工作并带有测试功能。</w:t>
            </w:r>
          </w:p>
          <w:p w14:paraId="3145996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5.超声时间、间隙时间、总时间可精确到0.1秒。</w:t>
            </w:r>
          </w:p>
          <w:p w14:paraId="390FA0C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6.配备智能升降隔音箱。</w:t>
            </w:r>
          </w:p>
          <w:p w14:paraId="592D3AC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7.隔音箱装置采用钣金、喷塑、ABS材质，模具化设计。</w:t>
            </w:r>
          </w:p>
          <w:p w14:paraId="61E1522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8.频率:20-25 kHz。</w:t>
            </w:r>
          </w:p>
          <w:p w14:paraId="60A94CCE">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9.功率:650 W（1%-100%）。</w:t>
            </w:r>
          </w:p>
          <w:p w14:paraId="3D60DBC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10.随机变幅杆:6mm。</w:t>
            </w:r>
          </w:p>
          <w:p w14:paraId="2720328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11.可选配变幅杆:2,3,10mm。</w:t>
            </w:r>
          </w:p>
          <w:p w14:paraId="4C67D6CA">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12.配置：主机一台，6mm变幅杆一只，2mm变幅杆一只。</w:t>
            </w:r>
          </w:p>
        </w:tc>
        <w:tc>
          <w:tcPr>
            <w:tcW w:w="974" w:type="dxa"/>
            <w:noWrap w:val="0"/>
            <w:vAlign w:val="center"/>
          </w:tcPr>
          <w:p w14:paraId="06A2FD85">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3D1B0F6B">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305FFCDC">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2CAACA96">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共用</w:t>
            </w:r>
          </w:p>
        </w:tc>
      </w:tr>
      <w:tr w14:paraId="487C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shd w:val="clear" w:color="auto" w:fill="auto"/>
            <w:noWrap w:val="0"/>
            <w:vAlign w:val="center"/>
          </w:tcPr>
          <w:p w14:paraId="3304854F">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shd w:val="clear" w:color="auto" w:fill="FFFFFF"/>
            <w:noWrap w:val="0"/>
            <w:vAlign w:val="center"/>
          </w:tcPr>
          <w:p w14:paraId="31B2872B">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▲全自动动物精子分析仪</w:t>
            </w:r>
          </w:p>
        </w:tc>
        <w:tc>
          <w:tcPr>
            <w:tcW w:w="4144" w:type="dxa"/>
            <w:noWrap w:val="0"/>
            <w:vAlign w:val="center"/>
          </w:tcPr>
          <w:p w14:paraId="2955B00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■1.样品无需预处理直接上机全自动分析；具有无人值守功能，支持一键采集，自动分析图像，完成后自动停止。</w:t>
            </w:r>
            <w:r>
              <w:rPr>
                <w:rFonts w:hint="eastAsia" w:ascii="宋体" w:hAnsi="宋体" w:eastAsia="宋体" w:cs="宋体"/>
                <w:b/>
                <w:bCs/>
                <w:color w:val="auto"/>
                <w:kern w:val="0"/>
                <w:szCs w:val="21"/>
                <w:highlight w:val="none"/>
              </w:rPr>
              <w:t>（投标文件中提供证明材料）</w:t>
            </w:r>
          </w:p>
          <w:p w14:paraId="25E96BCB">
            <w:pPr>
              <w:widowControl/>
              <w:adjustRightInd w:val="0"/>
              <w:snapToGrid w:val="0"/>
              <w:spacing w:line="300" w:lineRule="auto"/>
              <w:jc w:val="left"/>
              <w:textAlignment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■2.控制显微镜平台横向（X）、纵向（Y）移动、上下(Z)运动自动调焦，XY轴精度＞0.25μm,Z轴精度＞0.025μm。控制物镜转换、显微镜灯光亮度调节,自动聚焦。</w:t>
            </w:r>
            <w:r>
              <w:rPr>
                <w:rFonts w:hint="eastAsia" w:ascii="宋体" w:hAnsi="宋体" w:eastAsia="宋体" w:cs="宋体"/>
                <w:b/>
                <w:bCs/>
                <w:color w:val="auto"/>
                <w:kern w:val="0"/>
                <w:szCs w:val="21"/>
                <w:highlight w:val="none"/>
              </w:rPr>
              <w:t>（投标文件中提供证明材料）</w:t>
            </w:r>
          </w:p>
          <w:p w14:paraId="7266A05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3.标配4通道，支持定制更多通道。</w:t>
            </w:r>
          </w:p>
          <w:p w14:paraId="0BBD6A25">
            <w:pPr>
              <w:widowControl/>
              <w:adjustRightInd w:val="0"/>
              <w:snapToGrid w:val="0"/>
              <w:spacing w:line="300" w:lineRule="auto"/>
              <w:jc w:val="left"/>
              <w:textAlignment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val="0"/>
                <w:bCs w:val="0"/>
                <w:color w:val="auto"/>
                <w:kern w:val="0"/>
                <w:szCs w:val="21"/>
                <w:highlight w:val="none"/>
              </w:rPr>
              <w:t>4.</w:t>
            </w:r>
            <w:r>
              <w:rPr>
                <w:rFonts w:hint="eastAsia" w:ascii="宋体" w:hAnsi="宋体" w:eastAsia="宋体" w:cs="宋体"/>
                <w:bCs/>
                <w:color w:val="auto"/>
                <w:kern w:val="0"/>
                <w:szCs w:val="21"/>
                <w:highlight w:val="none"/>
              </w:rPr>
              <w:t>标本动力学分析单视野分析时间≤3秒,单标本耗时≤30秒。</w:t>
            </w:r>
            <w:r>
              <w:rPr>
                <w:rFonts w:hint="eastAsia" w:ascii="宋体" w:hAnsi="宋体" w:eastAsia="宋体" w:cs="宋体"/>
                <w:b/>
                <w:bCs/>
                <w:color w:val="auto"/>
                <w:kern w:val="0"/>
                <w:szCs w:val="21"/>
                <w:highlight w:val="none"/>
              </w:rPr>
              <w:t>（投标文件中提供证明材料）</w:t>
            </w:r>
          </w:p>
          <w:p w14:paraId="7A20BF9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5.可设置动物每样品最大检测精子数，也可定义采集幅数，达到一方即自动停止检测。</w:t>
            </w:r>
          </w:p>
          <w:p w14:paraId="4D7777BD">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■6.包含全自动显微镜主机和控制终端2部分，分体式设计。不小于23英寸以上彩色显示器，主机内存16G以上。显微镜主机包含自动显微扫描、图像采集分析、温控系统。</w:t>
            </w:r>
          </w:p>
          <w:p w14:paraId="506F7A7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■7.有温度显示和报警提示功能：实时显示恒温板温度；显微镜载物台不低于37℃控温，控温精度为±0.1℃，当温度超过或低于规定值时会提示警告。</w:t>
            </w:r>
            <w:r>
              <w:rPr>
                <w:rFonts w:hint="eastAsia" w:ascii="宋体" w:hAnsi="宋体" w:eastAsia="宋体" w:cs="宋体"/>
                <w:b/>
                <w:bCs/>
                <w:color w:val="auto"/>
                <w:kern w:val="0"/>
                <w:szCs w:val="21"/>
                <w:highlight w:val="none"/>
              </w:rPr>
              <w:t>（投标文件中提供证明材料）</w:t>
            </w:r>
          </w:p>
          <w:p w14:paraId="7CD73210">
            <w:pPr>
              <w:widowControl/>
              <w:adjustRightInd w:val="0"/>
              <w:snapToGrid w:val="0"/>
              <w:spacing w:line="300" w:lineRule="auto"/>
              <w:jc w:val="left"/>
              <w:textAlignment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■8.配套动物精子轨迹学分析软件，可定量分析动物精子密度和活力。配备一次性专用精子计数板。</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所投软件具有计算机软件著作权登记证书，投标文件中提供</w:t>
            </w:r>
            <w:r>
              <w:rPr>
                <w:rFonts w:hint="eastAsia" w:ascii="宋体" w:hAnsi="宋体" w:eastAsia="宋体" w:cs="宋体"/>
                <w:b/>
                <w:bCs/>
                <w:color w:val="auto"/>
                <w:kern w:val="0"/>
                <w:szCs w:val="21"/>
                <w:highlight w:val="none"/>
                <w:lang w:val="en-US" w:eastAsia="zh-CN"/>
              </w:rPr>
              <w:t>证书</w:t>
            </w:r>
            <w:r>
              <w:rPr>
                <w:rFonts w:hint="eastAsia" w:ascii="宋体" w:hAnsi="宋体" w:eastAsia="宋体" w:cs="宋体"/>
                <w:b/>
                <w:bCs/>
                <w:color w:val="auto"/>
                <w:kern w:val="0"/>
                <w:szCs w:val="21"/>
                <w:highlight w:val="none"/>
              </w:rPr>
              <w:t>扫描件）。</w:t>
            </w:r>
          </w:p>
          <w:p w14:paraId="231FB84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9.显微镜，物镜倍数10～40X，高清晰度图像显示效果。可测试猪/牛/羊/马/驴/狗/鱼/大小鼠等动物精子。</w:t>
            </w:r>
          </w:p>
          <w:p w14:paraId="05AA824F">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10.高清数码摄像机：≥300万像素，最高≥100帧。</w:t>
            </w:r>
          </w:p>
          <w:p w14:paraId="06B0333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11.图象采集帧数（幅）：25－99。</w:t>
            </w:r>
          </w:p>
          <w:p w14:paraId="27EDB94E">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12.图像采集幅数：不限。</w:t>
            </w:r>
          </w:p>
          <w:p w14:paraId="1B16311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■13.每样品最大可检测视野数：不限。</w:t>
            </w:r>
          </w:p>
          <w:p w14:paraId="4C23752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14.每样品可自动识别精子数：不限。</w:t>
            </w:r>
          </w:p>
          <w:p w14:paraId="0C49DF4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15.采集图像幅面：≥1024×768像素。</w:t>
            </w:r>
          </w:p>
          <w:p w14:paraId="7F3D527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16.精子检测面积：不限。</w:t>
            </w:r>
          </w:p>
          <w:p w14:paraId="3E9B792F">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17.精子检测速度：0-500微米/秒。</w:t>
            </w:r>
          </w:p>
          <w:p w14:paraId="78F9EDE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18.系统标准完全符合WHO（世界卫生组织）第五版、KRUGER标准、农业部标准，且参考值可及时更新。</w:t>
            </w:r>
          </w:p>
          <w:p w14:paraId="452FF1AE">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19.独立数据库系统，一键式统计查询、导入导出、新建数据库。</w:t>
            </w:r>
          </w:p>
          <w:p w14:paraId="5AB85D6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20.检验项目包括但不限于：液理学性状类、精子显微镜动力学分析类、精子功能实验类、化学分析类及免疫分析类项目。</w:t>
            </w:r>
          </w:p>
          <w:p w14:paraId="2BBB747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21.精子动力学分析项目遵循WHO标准，活力级别分为PR、NP、IM三个级别，还可分析VCL、VSL、VAP、LIN、ALH、BCF等至少40项活力参数。</w:t>
            </w:r>
          </w:p>
          <w:p w14:paraId="402C5D7C">
            <w:pPr>
              <w:widowControl/>
              <w:adjustRightInd w:val="0"/>
              <w:snapToGrid w:val="0"/>
              <w:spacing w:line="300" w:lineRule="auto"/>
              <w:jc w:val="left"/>
              <w:textAlignment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■22.报告项目及检验项目可根据需求增添修改，打印报告格式可自定义设计。分析结果可用多种格式保存和打印，Excel, word，XML,PDF格式均可。</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投标文件中提供证明材料）</w:t>
            </w:r>
          </w:p>
          <w:p w14:paraId="6DEC782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23.可对精子图像进行文字及图形标注；在取的精子图像上对精子头部进行标识，可对精子进行编号并在列表里查看具体编号精子参数。</w:t>
            </w:r>
          </w:p>
          <w:p w14:paraId="5C1D2B0D">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24.精液分析功能界面及报告输出具有首页信息、精子镜下原始分布图及彩色动态轨迹图、标本特性数据和精子质量分析数据及形态分析数据、精子各种运动速度及活力分级及统计直方图。精子原始轨迹图功能、精子运动轨迹图功能、精子运动分级直方图功能。</w:t>
            </w:r>
          </w:p>
        </w:tc>
        <w:tc>
          <w:tcPr>
            <w:tcW w:w="974" w:type="dxa"/>
            <w:noWrap w:val="0"/>
            <w:vAlign w:val="center"/>
          </w:tcPr>
          <w:p w14:paraId="1601A978">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07724950">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2A83752D">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是</w:t>
            </w:r>
          </w:p>
        </w:tc>
        <w:tc>
          <w:tcPr>
            <w:tcW w:w="650" w:type="dxa"/>
            <w:noWrap w:val="0"/>
            <w:vAlign w:val="center"/>
          </w:tcPr>
          <w:p w14:paraId="6FD6A1C1">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共用</w:t>
            </w:r>
          </w:p>
        </w:tc>
      </w:tr>
      <w:tr w14:paraId="7F06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4B1841A3">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4AE32376">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台式大容量冷冻离心机</w:t>
            </w:r>
          </w:p>
        </w:tc>
        <w:tc>
          <w:tcPr>
            <w:tcW w:w="4144" w:type="dxa"/>
            <w:noWrap w:val="0"/>
            <w:vAlign w:val="center"/>
          </w:tcPr>
          <w:p w14:paraId="7F4685B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■1.最高转速：不低于21000rpm，最大离心力：不低于32040×g；定角转头最大容量(ml)：6×100ml、满载11000rpm升降速时间≤60s。</w:t>
            </w:r>
          </w:p>
          <w:p w14:paraId="7A15EC2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水平转头最大容量(ml)：≥4×750ml；转速精度：±10rpm/min。</w:t>
            </w:r>
          </w:p>
          <w:p w14:paraId="7407A91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3.温控范围 ：-20～40℃、控温精度：±1℃。</w:t>
            </w:r>
          </w:p>
          <w:p w14:paraId="4F0A67C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4.时间控制：1s-59min59s/1min-99h59min瞬时离心/定时离心。</w:t>
            </w:r>
          </w:p>
          <w:p w14:paraId="10DD55B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■5.具有差时离心、梯度离心功能：可以精准设定≥10个离心程序，每一个度程序可设置：升速降速时间5s至9min，温度-20～40℃、离心时间1s-59min59s，可根据实验需求，任意调用其中任意一个或几个程序连续运行。</w:t>
            </w:r>
            <w:r>
              <w:rPr>
                <w:rFonts w:hint="eastAsia" w:ascii="宋体" w:hAnsi="宋体" w:eastAsia="宋体" w:cs="宋体"/>
                <w:b/>
                <w:bCs/>
                <w:color w:val="auto"/>
                <w:kern w:val="0"/>
                <w:szCs w:val="21"/>
                <w:highlight w:val="none"/>
              </w:rPr>
              <w:t>（投标文件中提供证明材料）</w:t>
            </w:r>
          </w:p>
          <w:p w14:paraId="016FF6DE">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■6.采用制冷机组环保R404制冷剂和电磁阀，温控精度高。最高转速时转子温度＜4℃；有预制冷功能；快速制冷功能,8分钟从室温25℃降至4℃。</w:t>
            </w:r>
          </w:p>
          <w:p w14:paraId="5FCE0AA2">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7.配置：主机一台，50ml角转子一个，4*100ml 水平转子一个，15ml适配器一套。</w:t>
            </w:r>
          </w:p>
        </w:tc>
        <w:tc>
          <w:tcPr>
            <w:tcW w:w="974" w:type="dxa"/>
            <w:noWrap w:val="0"/>
            <w:vAlign w:val="center"/>
          </w:tcPr>
          <w:p w14:paraId="6E6005A0">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0AAF1B36">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48F46B19">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74963FD3">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共用</w:t>
            </w:r>
          </w:p>
        </w:tc>
      </w:tr>
      <w:tr w14:paraId="734A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4FCA6DF0">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086EE9D2">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高通量组织研磨仪</w:t>
            </w:r>
          </w:p>
        </w:tc>
        <w:tc>
          <w:tcPr>
            <w:tcW w:w="4144" w:type="dxa"/>
            <w:noWrap w:val="0"/>
            <w:vAlign w:val="center"/>
          </w:tcPr>
          <w:p w14:paraId="49C8356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■1.适配器处理样本量：（24-384）*2ml；24*（5-15ml）；16*50ml、192*1.2ml、4*100ml、2*200ml。（有≥24种适配器可供选配）</w:t>
            </w:r>
            <w:r>
              <w:rPr>
                <w:rFonts w:hint="eastAsia" w:ascii="宋体" w:hAnsi="宋体" w:eastAsia="宋体" w:cs="宋体"/>
                <w:b/>
                <w:bCs/>
                <w:color w:val="auto"/>
                <w:kern w:val="0"/>
                <w:szCs w:val="21"/>
                <w:highlight w:val="none"/>
              </w:rPr>
              <w:t>（投标文件中提供证明材料）</w:t>
            </w:r>
          </w:p>
          <w:p w14:paraId="4F9F07AD">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2.工作方式：上下震荡、研磨珠三维运动方式研磨。</w:t>
            </w:r>
          </w:p>
          <w:p w14:paraId="3427CCC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3.减震方式：双减震系统。</w:t>
            </w:r>
          </w:p>
          <w:p w14:paraId="1EE8A1F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4.程序：内置≥20个操作程序，包含毛发、骨骼、心脏、肝脏、植物组织等预设程序，具有使用时长、使用次数统计功能。</w:t>
            </w:r>
          </w:p>
          <w:p w14:paraId="059A4BE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5.工作时间：0秒-9999秒，用户可自行设定间隔时间(0-9999秒)，循环数(0-99)。</w:t>
            </w:r>
          </w:p>
          <w:p w14:paraId="5462B0B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6.运动方式：上下运动，研磨珠三维运动。</w:t>
            </w:r>
          </w:p>
          <w:p w14:paraId="3EC81CA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7.行程：≥34mm。</w:t>
            </w:r>
          </w:p>
          <w:p w14:paraId="40732C1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8.轴承尺寸：≥16mm。</w:t>
            </w:r>
          </w:p>
          <w:p w14:paraId="4F1C8F8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■9.模块化设计：轴承、轴等关键的机械结构采用模块化设计。</w:t>
            </w:r>
            <w:r>
              <w:rPr>
                <w:rFonts w:hint="eastAsia" w:ascii="宋体" w:hAnsi="宋体" w:eastAsia="宋体" w:cs="宋体"/>
                <w:b/>
                <w:bCs/>
                <w:color w:val="auto"/>
                <w:kern w:val="0"/>
                <w:szCs w:val="21"/>
                <w:highlight w:val="none"/>
              </w:rPr>
              <w:t>（投标文件中提供证明材料）</w:t>
            </w:r>
          </w:p>
          <w:p w14:paraId="3E824B4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10.均质速度：10—70 HZ/秒。</w:t>
            </w:r>
          </w:p>
          <w:p w14:paraId="19CB691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11.显示方式：不小于7英寸触摸屏。</w:t>
            </w:r>
          </w:p>
          <w:p w14:paraId="3C41358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12.适配器材质：聚四氟乙烯/铝合金。</w:t>
            </w:r>
          </w:p>
          <w:p w14:paraId="7D48B88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13.研磨方式：湿磨，干磨，液氮冷冻研磨均可。</w:t>
            </w:r>
          </w:p>
          <w:p w14:paraId="6ACA02EF">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14.安全锁：采用磁吸感应锁，开盖急停保护。</w:t>
            </w:r>
          </w:p>
          <w:p w14:paraId="3F7F31F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15.安全液氮低温适配器：底部微孔连通设计，液氮快速进入/流出。边缘台阶防滑设计。</w:t>
            </w:r>
          </w:p>
          <w:p w14:paraId="50ECF6AE">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■16.护轴紧固螺母：防止压盖对轴承磨损。</w:t>
            </w:r>
            <w:r>
              <w:rPr>
                <w:rFonts w:hint="eastAsia" w:ascii="宋体" w:hAnsi="宋体" w:eastAsia="宋体" w:cs="宋体"/>
                <w:b/>
                <w:bCs/>
                <w:color w:val="auto"/>
                <w:kern w:val="0"/>
                <w:szCs w:val="21"/>
                <w:highlight w:val="none"/>
              </w:rPr>
              <w:t>（投标文件中需提供证明材料）</w:t>
            </w:r>
          </w:p>
          <w:p w14:paraId="1B8F11E3">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17.配置：主机一台，2ml适配器一套，3mm研磨珠一瓶；离心管一袋。</w:t>
            </w:r>
          </w:p>
        </w:tc>
        <w:tc>
          <w:tcPr>
            <w:tcW w:w="974" w:type="dxa"/>
            <w:noWrap w:val="0"/>
            <w:vAlign w:val="center"/>
          </w:tcPr>
          <w:p w14:paraId="7A3B11AE">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4AA71177">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7B0F6E7B">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70CDCED8">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共用</w:t>
            </w:r>
          </w:p>
        </w:tc>
      </w:tr>
      <w:tr w14:paraId="4882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3DBE03B0">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2B00AD2E">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制冰机</w:t>
            </w:r>
          </w:p>
        </w:tc>
        <w:tc>
          <w:tcPr>
            <w:tcW w:w="4144" w:type="dxa"/>
            <w:noWrap w:val="0"/>
            <w:vAlign w:val="center"/>
          </w:tcPr>
          <w:p w14:paraId="2B49D5E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1.制冰量：≥130kg/24h；储冰量：≥35kg。</w:t>
            </w:r>
          </w:p>
          <w:p w14:paraId="5B72392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3.冷凝方式：风冷。</w:t>
            </w:r>
          </w:p>
          <w:p w14:paraId="55DD1D8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4.耗水量：＜5.4 L/h。</w:t>
            </w:r>
          </w:p>
          <w:p w14:paraId="3DA409E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5.压缩机、制冷剂：无氟R134a。</w:t>
            </w:r>
          </w:p>
          <w:p w14:paraId="7BB4BD2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6.箱体外壳：304／2B不锈钢。</w:t>
            </w:r>
          </w:p>
          <w:p w14:paraId="43C6185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7.输入功率：685W。</w:t>
            </w:r>
          </w:p>
          <w:p w14:paraId="64277F5D">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8.冰型：不规则的细小颗粒状的雪花碎冰。</w:t>
            </w:r>
          </w:p>
          <w:p w14:paraId="4CC0E7E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9.制冰方式；螺旋滚刀挤压式，可实现冰、水自动分离。</w:t>
            </w:r>
          </w:p>
          <w:p w14:paraId="47CB667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10.保护功能：有冰满显示，缺水显示，故障会显示故障代码等保护性停机功能。当来电来水时会自动开机，具有自动记忆恢复功能。</w:t>
            </w:r>
          </w:p>
          <w:p w14:paraId="5F44A168">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■11.采用直角中空减速器电机，噪音≤52db。制冰机顶部设有散热孔及风机。</w:t>
            </w:r>
          </w:p>
        </w:tc>
        <w:tc>
          <w:tcPr>
            <w:tcW w:w="974" w:type="dxa"/>
            <w:noWrap w:val="0"/>
            <w:vAlign w:val="center"/>
          </w:tcPr>
          <w:p w14:paraId="6C30CF86">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47506D2F">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57B5C555">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30F51FCA">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共用</w:t>
            </w:r>
          </w:p>
        </w:tc>
      </w:tr>
      <w:tr w14:paraId="4BD0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4934FFD1">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2B89E2B1">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纯水仪</w:t>
            </w:r>
          </w:p>
        </w:tc>
        <w:tc>
          <w:tcPr>
            <w:tcW w:w="4144" w:type="dxa"/>
            <w:noWrap w:val="0"/>
            <w:vAlign w:val="center"/>
          </w:tcPr>
          <w:p w14:paraId="0DE399D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1.以自来水为进水，同时制备三级纯水（RO纯水）和一级超纯水。</w:t>
            </w:r>
          </w:p>
          <w:p w14:paraId="79B6C07F">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2.纯水指标</w:t>
            </w:r>
          </w:p>
          <w:p w14:paraId="0F70E0C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 脱盐率：≥95%。</w:t>
            </w:r>
          </w:p>
          <w:p w14:paraId="5658DD3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 细菌去除率：≥99%。</w:t>
            </w:r>
          </w:p>
          <w:p w14:paraId="481D79A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 RO制水量30L/h@25℃。</w:t>
            </w:r>
          </w:p>
          <w:p w14:paraId="4B0A19F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3.超纯水指标：</w:t>
            </w:r>
          </w:p>
          <w:p w14:paraId="23664B1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 电阻率为18.2 MΩ-cm(@25℃)；TOC含量：≤10ppb，标配双波长（254/185nm）紫外灯；颗粒数（≥0.22μm）＜1个/ml；微生物数量＜1 cfu/ml；内毒素/热源含量＜0.001 Eu/ml。</w:t>
            </w:r>
          </w:p>
          <w:p w14:paraId="4A826BA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 超纯水流速：≤2L/min。</w:t>
            </w:r>
          </w:p>
          <w:p w14:paraId="296BFBC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4.功能特点</w:t>
            </w:r>
          </w:p>
          <w:p w14:paraId="4A93DC9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4.1全塑模具结构，主机外壳和机架为非金属材料。</w:t>
            </w:r>
          </w:p>
          <w:p w14:paraId="7A069F9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4.2模块化设计，主机两侧及前开门结构，可自行更换耗材。</w:t>
            </w:r>
          </w:p>
          <w:p w14:paraId="35D7C74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4.3智能设计，水机具有自动判别和提示预处理柱，反渗透膜，纯化柱，超纯柱，超滤、紫外灯等失效功能，具有断水自动停机功能。</w:t>
            </w:r>
          </w:p>
          <w:p w14:paraId="39D928AF">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4.4操作面板简单，配备液晶显示屏，可显示多种参数，包含电导率</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电阻率，温度，工作状态，水箱液位，定量取水及相关提示信息。</w:t>
            </w:r>
          </w:p>
          <w:p w14:paraId="501AA6E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■4.5 0.01常数电阻率传感器，带温度自动补偿功能，精确真实测量超纯水水质。</w:t>
            </w:r>
          </w:p>
          <w:p w14:paraId="77F92AA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■4.6配套不小于30L多功能纯水水箱，圆柱形锥底设计，可直接安装紫外灯灭菌，标配空气过滤器。</w:t>
            </w:r>
          </w:p>
          <w:p w14:paraId="6BB0137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4.7配套移动取水手柄，可通过移动取水手柄灵活取水；移动取水手柄可与主机联动，超纯水自动循环；可360度自由旋转，≥5档高度可调。</w:t>
            </w:r>
          </w:p>
          <w:p w14:paraId="5DB6D9F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4.8具有定质、定量取水功能，0.1－25L定量取水及任意量取水；定质取水，水质不达标将循环处理。</w:t>
            </w:r>
          </w:p>
          <w:p w14:paraId="1D886C5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4.9超滤具有反冲洗功能。</w:t>
            </w:r>
          </w:p>
          <w:p w14:paraId="71A756E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■4.10具有更换耗材时面板按键系统排空管路功能，内部不易形成气阻现象及更换耗材次数的记录功能（自动记录不低于1000次），保持历次更换耗材的原始档案。</w:t>
            </w:r>
          </w:p>
          <w:p w14:paraId="27B34DA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4.11标配RS232标准接口，整机符合GLP标准，所有参数和数据均可自动储存或传输。</w:t>
            </w:r>
          </w:p>
          <w:p w14:paraId="3E60CD7B">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4.12 配置：主机1套（包括纯化柱和终端过滤器），不小于30L水箱1个，取水手臂1个。</w:t>
            </w:r>
          </w:p>
        </w:tc>
        <w:tc>
          <w:tcPr>
            <w:tcW w:w="974" w:type="dxa"/>
            <w:noWrap w:val="0"/>
            <w:vAlign w:val="center"/>
          </w:tcPr>
          <w:p w14:paraId="5EDBC22B">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20A0ED83">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45D17916">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735E8B46">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畜牧水产共用1</w:t>
            </w:r>
          </w:p>
          <w:p w14:paraId="28D621DC">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微生物1</w:t>
            </w:r>
          </w:p>
        </w:tc>
      </w:tr>
      <w:tr w14:paraId="56A9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19076C4E">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733D0665">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核酸电泳系统</w:t>
            </w:r>
          </w:p>
        </w:tc>
        <w:tc>
          <w:tcPr>
            <w:tcW w:w="4144" w:type="dxa"/>
            <w:noWrap w:val="0"/>
            <w:vAlign w:val="center"/>
          </w:tcPr>
          <w:p w14:paraId="0D3DF2E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一、电泳仪：</w:t>
            </w:r>
          </w:p>
          <w:p w14:paraId="092EC52E">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1.稳压/稳流控制。</w:t>
            </w:r>
          </w:p>
          <w:p w14:paraId="2D8FEA3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2.4组输出（可同时连接四个电泳槽）。</w:t>
            </w:r>
          </w:p>
          <w:p w14:paraId="4C4165E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3.输出定时/计时控制。</w:t>
            </w:r>
          </w:p>
          <w:p w14:paraId="30FF7ADF">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4.自动无负载输出保护。</w:t>
            </w:r>
          </w:p>
          <w:p w14:paraId="6680403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5.自动过载和短路保护。</w:t>
            </w:r>
          </w:p>
          <w:p w14:paraId="10D1420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6.自动记忆工作状态。</w:t>
            </w:r>
          </w:p>
          <w:p w14:paraId="0666361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7.3位数显，1位状态显示。</w:t>
            </w:r>
          </w:p>
          <w:p w14:paraId="4975190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二、电泳槽2套：</w:t>
            </w:r>
          </w:p>
          <w:p w14:paraId="2CFD794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■1.电泳槽承载凝胶的最大面积：不小于12×12cm。</w:t>
            </w:r>
          </w:p>
          <w:p w14:paraId="59A1FEF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2.制胶托盘种类：6×6cm/6×12cm/12×6cm/12×12cm。</w:t>
            </w:r>
          </w:p>
          <w:p w14:paraId="617A671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3.最大电压负荷：500V。</w:t>
            </w:r>
          </w:p>
          <w:p w14:paraId="48E765BF">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4.容纳缓冲液总体积：≤1000ml。</w:t>
            </w:r>
          </w:p>
        </w:tc>
        <w:tc>
          <w:tcPr>
            <w:tcW w:w="974" w:type="dxa"/>
            <w:noWrap w:val="0"/>
            <w:vAlign w:val="center"/>
          </w:tcPr>
          <w:p w14:paraId="39A05269">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03C7A2C3">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1F7A1A7A">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44B4D56A">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共用</w:t>
            </w:r>
          </w:p>
        </w:tc>
      </w:tr>
      <w:tr w14:paraId="6AC4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32ADB386">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17B1A73D">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体视显微镜</w:t>
            </w:r>
          </w:p>
        </w:tc>
        <w:tc>
          <w:tcPr>
            <w:tcW w:w="4144" w:type="dxa"/>
            <w:noWrap w:val="0"/>
            <w:vAlign w:val="center"/>
          </w:tcPr>
          <w:p w14:paraId="77C32C2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1.光学系统：模块化积木式无穷远光学系统；实现明场，可升级荧光观察。</w:t>
            </w:r>
          </w:p>
          <w:p w14:paraId="173CA4A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■2.变倍体：0.8×-8×，10:1变倍比。</w:t>
            </w:r>
            <w:r>
              <w:rPr>
                <w:rFonts w:hint="eastAsia" w:ascii="宋体" w:hAnsi="宋体" w:eastAsia="宋体" w:cs="宋体"/>
                <w:b/>
                <w:color w:val="auto"/>
                <w:kern w:val="0"/>
                <w:szCs w:val="21"/>
                <w:highlight w:val="none"/>
              </w:rPr>
              <w:t>（投标文件中提供证明材料）</w:t>
            </w:r>
          </w:p>
          <w:p w14:paraId="785FC81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3.物镜：标配1×平场物镜。</w:t>
            </w:r>
          </w:p>
          <w:p w14:paraId="0A55BB0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4.工作距离：78mm。</w:t>
            </w:r>
          </w:p>
          <w:p w14:paraId="7420800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■5.目镜观察筒：可变角度双目头，倾角0-30度可变，方便操作观察</w:t>
            </w:r>
            <w:r>
              <w:rPr>
                <w:rFonts w:hint="eastAsia" w:ascii="宋体" w:hAnsi="宋体" w:eastAsia="宋体" w:cs="宋体"/>
                <w:b/>
                <w:color w:val="auto"/>
                <w:kern w:val="0"/>
                <w:szCs w:val="21"/>
                <w:highlight w:val="none"/>
              </w:rPr>
              <w:t>（投标文件中提供证明材料）</w:t>
            </w:r>
            <w:r>
              <w:rPr>
                <w:rFonts w:hint="eastAsia" w:ascii="宋体" w:hAnsi="宋体" w:eastAsia="宋体" w:cs="宋体"/>
                <w:b/>
                <w:bCs/>
                <w:color w:val="auto"/>
                <w:kern w:val="0"/>
                <w:szCs w:val="21"/>
                <w:highlight w:val="none"/>
              </w:rPr>
              <w:t>。</w:t>
            </w:r>
          </w:p>
          <w:p w14:paraId="6C0BB91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6.目镜：10×，视场数≥22。</w:t>
            </w:r>
          </w:p>
          <w:p w14:paraId="5D0E0C5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7.底座：LED光源透反射底座。</w:t>
            </w:r>
          </w:p>
          <w:p w14:paraId="2E2A720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8.焦点调节：旋钮旋转张力调节。</w:t>
            </w:r>
          </w:p>
          <w:p w14:paraId="3B6EE32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9.显微镜配备偏光部件，包括高性能起偏器、检偏器。</w:t>
            </w:r>
          </w:p>
          <w:p w14:paraId="60C1B36B">
            <w:pPr>
              <w:widowControl/>
              <w:adjustRightInd w:val="0"/>
              <w:snapToGrid w:val="0"/>
              <w:spacing w:line="300" w:lineRule="auto"/>
              <w:jc w:val="left"/>
              <w:textAlignment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■10.显微相机：不低于2100万超高像素相机，芯片尺寸≥4/3英寸；分辨率≥5280×3956、内置不低于128M缓存；像素点尺寸3.3μm×3.3μm；曝光控制12微秒到30秒，USB3.0接口。</w:t>
            </w:r>
            <w:r>
              <w:rPr>
                <w:rFonts w:hint="eastAsia" w:ascii="宋体" w:hAnsi="宋体" w:eastAsia="宋体" w:cs="宋体"/>
                <w:b/>
                <w:color w:val="auto"/>
                <w:kern w:val="0"/>
                <w:szCs w:val="21"/>
                <w:highlight w:val="none"/>
              </w:rPr>
              <w:t>（投标文件中提供证明材料）</w:t>
            </w:r>
          </w:p>
          <w:p w14:paraId="4CB3A25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■11.配</w:t>
            </w:r>
            <w:r>
              <w:rPr>
                <w:rFonts w:hint="eastAsia" w:ascii="宋体" w:hAnsi="宋体" w:eastAsia="宋体" w:cs="宋体"/>
                <w:color w:val="auto"/>
                <w:kern w:val="0"/>
                <w:szCs w:val="21"/>
                <w:highlight w:val="none"/>
                <w:lang w:val="en-US" w:eastAsia="zh-CN"/>
              </w:rPr>
              <w:t>备</w:t>
            </w:r>
            <w:r>
              <w:rPr>
                <w:rFonts w:hint="eastAsia" w:ascii="宋体" w:hAnsi="宋体" w:eastAsia="宋体" w:cs="宋体"/>
                <w:color w:val="auto"/>
                <w:kern w:val="0"/>
                <w:szCs w:val="21"/>
                <w:highlight w:val="none"/>
              </w:rPr>
              <w:t>软件整合图像处理软件动态图像采集处理以及静态图像处理的主要功能，并且在荧光合成和处理，动态图像测量，色彩校正方面具备可操作性。软件包含用户管理、权限分配及审计追踪功能。</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所投软件具有计算机软件著作权登记证书，投标文件中提供</w:t>
            </w:r>
            <w:r>
              <w:rPr>
                <w:rFonts w:hint="eastAsia" w:ascii="宋体" w:hAnsi="宋体" w:eastAsia="宋体" w:cs="宋体"/>
                <w:b/>
                <w:bCs/>
                <w:color w:val="auto"/>
                <w:kern w:val="0"/>
                <w:szCs w:val="21"/>
                <w:highlight w:val="none"/>
                <w:lang w:val="en-US" w:eastAsia="zh-CN"/>
              </w:rPr>
              <w:t>证书</w:t>
            </w:r>
            <w:r>
              <w:rPr>
                <w:rFonts w:hint="eastAsia" w:ascii="宋体" w:hAnsi="宋体" w:eastAsia="宋体" w:cs="宋体"/>
                <w:b/>
                <w:bCs/>
                <w:color w:val="auto"/>
                <w:kern w:val="0"/>
                <w:szCs w:val="21"/>
                <w:highlight w:val="none"/>
              </w:rPr>
              <w:t>扫描件</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t>。</w:t>
            </w:r>
          </w:p>
          <w:p w14:paraId="7B9B9AB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■12.配</w:t>
            </w:r>
            <w:r>
              <w:rPr>
                <w:rFonts w:hint="eastAsia" w:ascii="宋体" w:hAnsi="宋体" w:eastAsia="宋体" w:cs="宋体"/>
                <w:color w:val="auto"/>
                <w:kern w:val="0"/>
                <w:szCs w:val="21"/>
                <w:highlight w:val="none"/>
                <w:lang w:val="en-US" w:eastAsia="zh-CN"/>
              </w:rPr>
              <w:t>备</w:t>
            </w:r>
            <w:r>
              <w:rPr>
                <w:rFonts w:hint="eastAsia" w:ascii="宋体" w:hAnsi="宋体" w:eastAsia="宋体" w:cs="宋体"/>
                <w:color w:val="auto"/>
                <w:kern w:val="0"/>
                <w:szCs w:val="21"/>
                <w:highlight w:val="none"/>
              </w:rPr>
              <w:t>软件系统可以多种格式，多种时长方案对动态图像进行即时拍摄，定时拍照，实时拍照和录像，可通过Directshow接口兼容其他相机，一个软件可接多台相机。</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投标文件中提供软件截图加以证明上述功能</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t>。</w:t>
            </w:r>
          </w:p>
          <w:p w14:paraId="71873A8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功能模块包括曝光控制、图像处理、颜色控制、荧光处理（实时荧光合成）、直方图、图像设置、静态图像处理、测量八个功能模块可对静态动态图像进行参数设置，测量绘制，可支持多方面图像处理、色彩校正。</w:t>
            </w:r>
          </w:p>
          <w:p w14:paraId="26246F0E">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14.支持实时荧光多通道合成：支持荧光多通道合成操作，支持实时拍摄并实时多通道合成，最多支持≥5通道荧光合成，可单独调节各通道亮度、对比度及伽马值调节并实时预览合成效果，支持各通道信号位移校正，支持能量曲线测量（实时显示所选定线段上所有点强度），支持多重拍摄，最大支持7重拍摄，支持颜色矩阵设置，支持CPU、GPU设备加速，支持平场校正及彩点校正功能，支持实时单点RGB值以及灰度值获取，实时预览帧率显示，直方图均衡化。</w:t>
            </w:r>
          </w:p>
        </w:tc>
        <w:tc>
          <w:tcPr>
            <w:tcW w:w="974" w:type="dxa"/>
            <w:noWrap w:val="0"/>
            <w:vAlign w:val="center"/>
          </w:tcPr>
          <w:p w14:paraId="4F321F1F">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4ED3A082">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740AE51A">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4078593D">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共用</w:t>
            </w:r>
          </w:p>
        </w:tc>
      </w:tr>
      <w:tr w14:paraId="6EC3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4474533E">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0255E5B6">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冷藏冷冻冰箱</w:t>
            </w:r>
          </w:p>
        </w:tc>
        <w:tc>
          <w:tcPr>
            <w:tcW w:w="4144" w:type="dxa"/>
            <w:noWrap w:val="0"/>
            <w:vAlign w:val="center"/>
          </w:tcPr>
          <w:p w14:paraId="647B741E">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1.整体样式：立式，上下双门。</w:t>
            </w:r>
          </w:p>
          <w:p w14:paraId="668AACB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2.冷藏温度恒定控制在2～8℃；冷冻温度-10℃到-25℃可调；调节增量为0.1℃，显示精度0.1℃。</w:t>
            </w:r>
          </w:p>
          <w:p w14:paraId="6E8F0CE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3.有效容积(L)≥350L，其中冷藏室≥206L，冷冻室≥144L。</w:t>
            </w:r>
          </w:p>
          <w:p w14:paraId="5DDF0A5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4.采用LBA发泡体系，冷藏室发泡层厚度不低于45mm，冷冻室发泡层厚度不低于75mm。</w:t>
            </w:r>
          </w:p>
          <w:p w14:paraId="2F615B6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5.压缩机：采用专业压缩机，运行功率≤160W，采用风扇电机，无氟环保碳氢制冷剂。</w:t>
            </w:r>
          </w:p>
          <w:p w14:paraId="61100EA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6.双压机独立双系统：冷藏室和冷冻室可独立控制、运行。</w:t>
            </w:r>
          </w:p>
          <w:p w14:paraId="77335CB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kern w:val="0"/>
                <w:szCs w:val="21"/>
                <w:highlight w:val="none"/>
              </w:rPr>
              <w:t>7.冷冻室采用匀冷技术，温度均匀性≤3℃，温度波动度≤4℃。</w:t>
            </w:r>
            <w:r>
              <w:rPr>
                <w:rFonts w:hint="eastAsia" w:ascii="宋体" w:hAnsi="宋体" w:eastAsia="宋体" w:cs="宋体"/>
                <w:b/>
                <w:color w:val="auto"/>
                <w:kern w:val="0"/>
                <w:szCs w:val="21"/>
                <w:highlight w:val="none"/>
              </w:rPr>
              <w:t>（投标文件中提供证明材料）</w:t>
            </w:r>
          </w:p>
          <w:p w14:paraId="4F443BB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8.冷藏室配备3个搁架，冷冻室3个丝管蒸发器搁架，标配3个HIPS抽屉。</w:t>
            </w:r>
          </w:p>
          <w:p w14:paraId="2B834C3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9.整机运行噪音值≤45db(A)</w:t>
            </w:r>
          </w:p>
          <w:p w14:paraId="089F9F29">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10.整机原厂免费保修5年，终身维修。</w:t>
            </w:r>
          </w:p>
        </w:tc>
        <w:tc>
          <w:tcPr>
            <w:tcW w:w="974" w:type="dxa"/>
            <w:noWrap w:val="0"/>
            <w:vAlign w:val="center"/>
          </w:tcPr>
          <w:p w14:paraId="5D100529">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75B8E63C">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1185788B">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1524F3F8">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畜牧1</w:t>
            </w:r>
          </w:p>
          <w:p w14:paraId="66F6C66A">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水产1</w:t>
            </w:r>
          </w:p>
        </w:tc>
      </w:tr>
      <w:tr w14:paraId="635F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5DFE16AB">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66D4078C">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混匀仪</w:t>
            </w:r>
          </w:p>
        </w:tc>
        <w:tc>
          <w:tcPr>
            <w:tcW w:w="4144" w:type="dxa"/>
            <w:noWrap w:val="0"/>
            <w:vAlign w:val="center"/>
          </w:tcPr>
          <w:p w14:paraId="5618266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1.操控显示方式：触摸屏显示。</w:t>
            </w:r>
          </w:p>
          <w:p w14:paraId="6AC3EB3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2.圆周直径：3mm。</w:t>
            </w:r>
          </w:p>
          <w:p w14:paraId="1519DE9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3.振荡方式：圆周。</w:t>
            </w:r>
          </w:p>
          <w:p w14:paraId="1A3165D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4.运行方式：连续运转或点动。</w:t>
            </w:r>
          </w:p>
          <w:p w14:paraId="229E4AB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5.速度范围：0-3000rpm。</w:t>
            </w:r>
          </w:p>
          <w:p w14:paraId="04B848A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6.定时范围：0s-99min59s。</w:t>
            </w:r>
          </w:p>
          <w:p w14:paraId="32B8B6D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7.输入电源：AC220V 50/60Hz。</w:t>
            </w:r>
          </w:p>
          <w:p w14:paraId="5F73B23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8.功率：20W。</w:t>
            </w:r>
          </w:p>
          <w:p w14:paraId="231AB622">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9.可用配件：4种适配器。</w:t>
            </w:r>
          </w:p>
        </w:tc>
        <w:tc>
          <w:tcPr>
            <w:tcW w:w="974" w:type="dxa"/>
            <w:noWrap w:val="0"/>
            <w:vAlign w:val="center"/>
          </w:tcPr>
          <w:p w14:paraId="5F3857D7">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79458DC3">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3F7384AB">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4AFE87F0">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畜牧1</w:t>
            </w:r>
          </w:p>
          <w:p w14:paraId="42A6A7F1">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水产1</w:t>
            </w:r>
          </w:p>
        </w:tc>
      </w:tr>
      <w:tr w14:paraId="6F5F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57327EAC">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082D3AD4">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高速冷冻离心机</w:t>
            </w:r>
          </w:p>
        </w:tc>
        <w:tc>
          <w:tcPr>
            <w:tcW w:w="4144" w:type="dxa"/>
            <w:noWrap w:val="0"/>
            <w:vAlign w:val="center"/>
          </w:tcPr>
          <w:p w14:paraId="51BB596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1.最大容量：不低于400(100ml×4)。</w:t>
            </w:r>
          </w:p>
          <w:p w14:paraId="0CF4989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2.最高转速：</w:t>
            </w:r>
            <w:r>
              <w:rPr>
                <w:rFonts w:hint="eastAsia" w:ascii="Arial" w:hAnsi="Arial" w:eastAsia="宋体" w:cs="Arial"/>
                <w:color w:val="auto"/>
                <w:kern w:val="0"/>
                <w:szCs w:val="21"/>
                <w:highlight w:val="none"/>
              </w:rPr>
              <w:t>≥</w:t>
            </w:r>
            <w:r>
              <w:rPr>
                <w:rFonts w:hint="eastAsia" w:ascii="宋体" w:hAnsi="宋体" w:eastAsia="宋体" w:cs="宋体"/>
                <w:color w:val="auto"/>
                <w:kern w:val="0"/>
                <w:szCs w:val="21"/>
                <w:highlight w:val="none"/>
              </w:rPr>
              <w:t>20000rpm，最大相对离心力</w:t>
            </w:r>
            <w:r>
              <w:rPr>
                <w:rFonts w:hint="eastAsia" w:ascii="Arial" w:hAnsi="Arial" w:eastAsia="宋体" w:cs="Arial"/>
                <w:color w:val="auto"/>
                <w:kern w:val="0"/>
                <w:szCs w:val="21"/>
                <w:highlight w:val="none"/>
              </w:rPr>
              <w:t>≥</w:t>
            </w:r>
            <w:r>
              <w:rPr>
                <w:rFonts w:hint="eastAsia" w:ascii="宋体" w:hAnsi="宋体" w:eastAsia="宋体" w:cs="宋体"/>
                <w:color w:val="auto"/>
                <w:kern w:val="0"/>
                <w:szCs w:val="21"/>
                <w:highlight w:val="none"/>
              </w:rPr>
              <w:t>27820×g。</w:t>
            </w:r>
          </w:p>
          <w:p w14:paraId="6D9DE39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3.温度范围：-20℃~+40℃。</w:t>
            </w:r>
          </w:p>
          <w:p w14:paraId="013D288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4.有效离心时间：1-99小时/1-59分钟/1-59秒；三种模式可选；精度±1秒。</w:t>
            </w:r>
          </w:p>
          <w:p w14:paraId="25FE408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5.防水性 电机防水装置。</w:t>
            </w:r>
          </w:p>
          <w:p w14:paraId="5A20BE3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6.生物安全性：转头配备生物安全盖。</w:t>
            </w:r>
          </w:p>
          <w:p w14:paraId="522D8CB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7.不小于7英寸IPS全视角1600万色度真彩屏显示，亮度可调，多点触控+物理按键操作。</w:t>
            </w:r>
          </w:p>
          <w:p w14:paraId="74372D2E">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■8.支持多种离心要求运行中转速、离心力、同屏显示，离心力自动换算，内置启动计时和稳定计时2种方式可以有效的计算出离心效率。</w:t>
            </w:r>
          </w:p>
          <w:p w14:paraId="1E44792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9.具有自动失衡识别、超速保护、门盖保护、过压保护实时监测，声音提示+显示代码故障报警 。</w:t>
            </w:r>
          </w:p>
          <w:p w14:paraId="0E03038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■10.设有一键预冷和瞬时离心功能；升降速设有≥9档级升降速时间；门盖电控自动化吸入式双锁。</w:t>
            </w:r>
          </w:p>
          <w:p w14:paraId="5BA10F8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11.转子自动识别，自动匹配对应转子号，防止误操作。</w:t>
            </w:r>
          </w:p>
          <w:p w14:paraId="05724E70">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13.配置：主机一台，1.5/2.2ml×24孔角式转子一个，5ml×12孔角转子一个。</w:t>
            </w:r>
          </w:p>
        </w:tc>
        <w:tc>
          <w:tcPr>
            <w:tcW w:w="974" w:type="dxa"/>
            <w:noWrap w:val="0"/>
            <w:vAlign w:val="center"/>
          </w:tcPr>
          <w:p w14:paraId="1593E481">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386BF795">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75D8FF83">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6ACB3FAF">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畜牧1</w:t>
            </w:r>
          </w:p>
          <w:p w14:paraId="6FA9423F">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水产1</w:t>
            </w:r>
          </w:p>
        </w:tc>
      </w:tr>
      <w:tr w14:paraId="704F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0A2113D0">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4EED5878">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高压灭菌锅</w:t>
            </w:r>
          </w:p>
        </w:tc>
        <w:tc>
          <w:tcPr>
            <w:tcW w:w="4144" w:type="dxa"/>
            <w:noWrap w:val="0"/>
            <w:vAlign w:val="center"/>
          </w:tcPr>
          <w:p w14:paraId="6DFAAE09">
            <w:pPr>
              <w:widowControl/>
              <w:adjustRightInd w:val="0"/>
              <w:snapToGrid w:val="0"/>
              <w:spacing w:line="300" w:lineRule="auto"/>
              <w:jc w:val="left"/>
              <w:textAlignment w:val="center"/>
              <w:rPr>
                <w:rFonts w:ascii="Calibri" w:hAnsi="Calibri" w:eastAsia="宋体" w:cs="Times New Roman"/>
                <w:color w:val="auto"/>
                <w:szCs w:val="24"/>
                <w:highlight w:val="none"/>
              </w:rPr>
            </w:pPr>
            <w:r>
              <w:rPr>
                <w:rFonts w:hint="eastAsia" w:ascii="宋体" w:hAnsi="宋体" w:eastAsia="宋体" w:cs="宋体"/>
                <w:color w:val="auto"/>
                <w:kern w:val="0"/>
                <w:szCs w:val="21"/>
                <w:highlight w:val="none"/>
              </w:rPr>
              <w:t>★1.所投灭菌器制造商须具有特种设备（压力容器）制造许可证。</w:t>
            </w:r>
          </w:p>
          <w:p w14:paraId="60F065AD">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2.容量:</w:t>
            </w:r>
            <w:r>
              <w:rPr>
                <w:rFonts w:hint="eastAsia" w:ascii="宋体" w:hAnsi="宋体" w:eastAsia="宋体" w:cs="宋体"/>
                <w:color w:val="auto"/>
                <w:szCs w:val="21"/>
                <w:highlight w:val="none"/>
              </w:rPr>
              <w:t>不小于</w:t>
            </w:r>
            <w:r>
              <w:rPr>
                <w:rFonts w:hint="eastAsia" w:ascii="宋体" w:hAnsi="宋体" w:eastAsia="宋体" w:cs="宋体"/>
                <w:color w:val="auto"/>
                <w:kern w:val="0"/>
                <w:szCs w:val="21"/>
                <w:highlight w:val="none"/>
              </w:rPr>
              <w:t>80升,立式结构,配备不锈钢提篮2个。</w:t>
            </w:r>
          </w:p>
          <w:p w14:paraId="16781CA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3.压力容器设计压力不低于0.3Mpa，压力容器设计使用年限</w:t>
            </w:r>
            <w:r>
              <w:rPr>
                <w:rFonts w:hint="eastAsia" w:ascii="宋体" w:hAnsi="宋体" w:eastAsia="宋体" w:cs="宋体"/>
                <w:color w:val="auto"/>
                <w:szCs w:val="21"/>
                <w:highlight w:val="none"/>
              </w:rPr>
              <w:t>不小于</w:t>
            </w:r>
            <w:r>
              <w:rPr>
                <w:rFonts w:hint="eastAsia" w:ascii="宋体" w:hAnsi="宋体" w:eastAsia="宋体" w:cs="宋体"/>
                <w:color w:val="auto"/>
                <w:kern w:val="0"/>
                <w:szCs w:val="21"/>
                <w:highlight w:val="none"/>
              </w:rPr>
              <w:t>10年。</w:t>
            </w:r>
          </w:p>
          <w:p w14:paraId="54A3A7C6">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4.灭菌工作温度105-135度，灭菌时间1-999分钟，安全阀起跳压力≥0.28MPA。</w:t>
            </w:r>
          </w:p>
          <w:p w14:paraId="610537A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■5.干烧保护装置：灭菌腔底同时配备液胀式、铜质温度感应式、离子浓度式三种不同干烧保护装置。</w:t>
            </w:r>
          </w:p>
          <w:p w14:paraId="072E2DA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6.开关盖方式：手轮式开门结构，带有自感应安全联锁装置。</w:t>
            </w:r>
          </w:p>
          <w:p w14:paraId="57CF998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■7.排汽方式：灭菌结束可设定</w:t>
            </w:r>
            <w:r>
              <w:rPr>
                <w:rFonts w:hint="eastAsia" w:ascii="宋体" w:hAnsi="宋体" w:eastAsia="宋体" w:cs="宋体"/>
                <w:color w:val="auto"/>
                <w:szCs w:val="21"/>
                <w:highlight w:val="none"/>
              </w:rPr>
              <w:t>不低于6种</w:t>
            </w:r>
            <w:r>
              <w:rPr>
                <w:rFonts w:hint="eastAsia" w:ascii="宋体" w:hAnsi="宋体" w:eastAsia="宋体" w:cs="宋体"/>
                <w:color w:val="auto"/>
                <w:kern w:val="0"/>
                <w:szCs w:val="21"/>
                <w:highlight w:val="none"/>
              </w:rPr>
              <w:t>不同的排汽速度，通过控制电磁阀的开关，液体培养基灭菌结束排气降温而培养基不会溢出来。</w:t>
            </w:r>
          </w:p>
          <w:p w14:paraId="06E4BFD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8.安全装置：自感应安全联锁、闭盖检查系统、缺水保护、过压双重保护、自动故障检测系统、放干烧保护、过温保护、漏电保护、过流与短路保护。</w:t>
            </w:r>
          </w:p>
          <w:p w14:paraId="32EE927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9.腔盖和扶手均为防烫材料制成。</w:t>
            </w:r>
          </w:p>
          <w:p w14:paraId="69BCCEF1">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10.加热功率：≥4.5kW。</w:t>
            </w:r>
          </w:p>
        </w:tc>
        <w:tc>
          <w:tcPr>
            <w:tcW w:w="974" w:type="dxa"/>
            <w:noWrap w:val="0"/>
            <w:vAlign w:val="center"/>
          </w:tcPr>
          <w:p w14:paraId="329B23AF">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11239E83">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7600AC90">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391BDEB7">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畜牧1</w:t>
            </w:r>
          </w:p>
          <w:p w14:paraId="376694C2">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水产1</w:t>
            </w:r>
          </w:p>
        </w:tc>
      </w:tr>
      <w:tr w14:paraId="2562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08595582">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039A2F83">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高速小型离心机</w:t>
            </w:r>
          </w:p>
        </w:tc>
        <w:tc>
          <w:tcPr>
            <w:tcW w:w="4144" w:type="dxa"/>
            <w:noWrap w:val="0"/>
            <w:vAlign w:val="center"/>
          </w:tcPr>
          <w:p w14:paraId="19A26EA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1.最大容量：不小于50ml(5ml×10)。</w:t>
            </w:r>
          </w:p>
          <w:p w14:paraId="641434B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2.转速范围：100~15000rpm/步增10rpm，转速精确度：±20rpm；最大相对离心力：≥20375×g/步增10×g。</w:t>
            </w:r>
          </w:p>
          <w:p w14:paraId="2F3354E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3.转子可选配5种不同转子：1.5/2.2ml×24孔角式转子、50μl×24孔角式转子、5ml×10孔角式转子、PCR管转头0.2×8×4角式转子、0.5ml×36孔角式转子。</w:t>
            </w:r>
          </w:p>
          <w:p w14:paraId="767DBA7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4.有效离心时间：1-99分钟/1-99秒；两种模式可选；精度±1秒。</w:t>
            </w:r>
          </w:p>
          <w:p w14:paraId="7B15930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5.设有多功能旋钮Home键，可单独设置修改参数。</w:t>
            </w:r>
          </w:p>
          <w:p w14:paraId="5B7FFA8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6.具有自动失衡识别、超速保护、门盖保护、过压保护实时监测，故障报警：声音提示+显示代码。</w:t>
            </w:r>
          </w:p>
          <w:p w14:paraId="3A7E225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■7.升降速设有≥9档级升降速时间。</w:t>
            </w:r>
          </w:p>
          <w:p w14:paraId="1FCC374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8.304不锈钢内腔，特氟龙表面处理。</w:t>
            </w:r>
          </w:p>
          <w:p w14:paraId="398EAEB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9.转子自动识别，自动匹配对应转子号，防止误操作。</w:t>
            </w:r>
          </w:p>
          <w:p w14:paraId="7B49A7C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10.主机及转头可抵御各种化学腐蚀，具有密封性能和无限次耐高温消毒功能。</w:t>
            </w:r>
          </w:p>
          <w:p w14:paraId="0C6E59F0">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11.配置：主机一台，1.5/2.2ml×24孔角式转子一个，0.2ml×8×4排角式转子一个。</w:t>
            </w:r>
          </w:p>
        </w:tc>
        <w:tc>
          <w:tcPr>
            <w:tcW w:w="974" w:type="dxa"/>
            <w:noWrap w:val="0"/>
            <w:vAlign w:val="center"/>
          </w:tcPr>
          <w:p w14:paraId="461EF020">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5E6A27A0">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684A7816">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7CE7C679">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畜牧1</w:t>
            </w:r>
          </w:p>
          <w:p w14:paraId="2C965F20">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水产1</w:t>
            </w:r>
          </w:p>
        </w:tc>
      </w:tr>
      <w:tr w14:paraId="7CAF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6795EFF9">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568612D2">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电子天平</w:t>
            </w:r>
          </w:p>
        </w:tc>
        <w:tc>
          <w:tcPr>
            <w:tcW w:w="4144" w:type="dxa"/>
            <w:noWrap w:val="0"/>
            <w:vAlign w:val="center"/>
          </w:tcPr>
          <w:p w14:paraId="1157C65D">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1.称量范围:≥200g，精度: 0.1mg。</w:t>
            </w:r>
          </w:p>
          <w:p w14:paraId="79D5B5DD">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2.可重复性：≤±0.1mg。</w:t>
            </w:r>
          </w:p>
          <w:p w14:paraId="7996F81F">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3.线性：≤±0.22mg。</w:t>
            </w:r>
          </w:p>
          <w:p w14:paraId="72094DA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4.最小称量：20mg</w:t>
            </w:r>
          </w:p>
          <w:p w14:paraId="058C326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5.称量盘尺寸直径（mm）：90。</w:t>
            </w:r>
          </w:p>
          <w:p w14:paraId="11E8CEC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6.防静电玻璃涂层避免静电干扰。</w:t>
            </w:r>
          </w:p>
          <w:p w14:paraId="075D16CD">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7.下挂钩称重装置，满足轻量大体积称重要求。</w:t>
            </w:r>
          </w:p>
          <w:p w14:paraId="23E37EE9">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8.配备防尘布罩；后置工具箱，可放置砝码手套避免遗失。</w:t>
            </w:r>
          </w:p>
        </w:tc>
        <w:tc>
          <w:tcPr>
            <w:tcW w:w="974" w:type="dxa"/>
            <w:noWrap w:val="0"/>
            <w:vAlign w:val="center"/>
          </w:tcPr>
          <w:p w14:paraId="559BEE87">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42DD4A5E">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29EF21DE">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29DE9E54">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畜牧1</w:t>
            </w:r>
          </w:p>
          <w:p w14:paraId="559FF479">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水产1</w:t>
            </w:r>
          </w:p>
        </w:tc>
      </w:tr>
      <w:tr w14:paraId="3437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5DD004B4">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395FF2F9">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二氧化碳培养箱</w:t>
            </w:r>
          </w:p>
        </w:tc>
        <w:tc>
          <w:tcPr>
            <w:tcW w:w="4144" w:type="dxa"/>
            <w:noWrap w:val="0"/>
            <w:vAlign w:val="center"/>
          </w:tcPr>
          <w:p w14:paraId="29FB3D2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1.采用微电脑温度控制器，适用于细胞、组织、微生物等培养。</w:t>
            </w:r>
          </w:p>
          <w:p w14:paraId="7C0B871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2.气套式加热系统，加热迅速，温度、湿度恢复速度快。</w:t>
            </w:r>
          </w:p>
          <w:p w14:paraId="04FE8EEA">
            <w:pPr>
              <w:widowControl/>
              <w:adjustRightInd w:val="0"/>
              <w:snapToGrid w:val="0"/>
              <w:spacing w:line="300" w:lineRule="auto"/>
              <w:jc w:val="left"/>
              <w:textAlignment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配备</w:t>
            </w:r>
            <w:r>
              <w:rPr>
                <w:rFonts w:hint="eastAsia" w:ascii="宋体" w:hAnsi="宋体" w:eastAsia="宋体" w:cs="宋体"/>
                <w:color w:val="auto"/>
                <w:kern w:val="0"/>
                <w:szCs w:val="21"/>
                <w:highlight w:val="none"/>
              </w:rPr>
              <w:t>环境温度传感器，环境温度监测功能，可根据外界温度调整门加热的功率。</w:t>
            </w:r>
            <w:r>
              <w:rPr>
                <w:rFonts w:hint="eastAsia" w:ascii="宋体" w:hAnsi="宋体" w:eastAsia="宋体" w:cs="宋体"/>
                <w:b/>
                <w:bCs/>
                <w:color w:val="auto"/>
                <w:kern w:val="0"/>
                <w:szCs w:val="21"/>
                <w:highlight w:val="none"/>
              </w:rPr>
              <w:t>（投标文件中提供证明材料）</w:t>
            </w:r>
          </w:p>
          <w:p w14:paraId="5C58D7CF">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4.最低温度控制范围为室温+5℃。</w:t>
            </w:r>
          </w:p>
          <w:p w14:paraId="106C5128">
            <w:pPr>
              <w:widowControl/>
              <w:adjustRightInd w:val="0"/>
              <w:snapToGrid w:val="0"/>
              <w:spacing w:line="30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■5.CO</w:t>
            </w:r>
            <w:r>
              <w:rPr>
                <w:rFonts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浓度传感器具有自动启动功能，保证CO</w:t>
            </w:r>
            <w:r>
              <w:rPr>
                <w:rFonts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浓度的高精确性，能自动校准。</w:t>
            </w:r>
          </w:p>
          <w:p w14:paraId="4544C92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6.内部容积≥151L。</w:t>
            </w:r>
          </w:p>
          <w:p w14:paraId="0773B6C7">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7.CO</w:t>
            </w:r>
            <w:r>
              <w:rPr>
                <w:rFonts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进气口配备HEPA高效过滤器，对粒径≥0.3μm颗粒物过滤效率不低于99.99％。</w:t>
            </w:r>
          </w:p>
          <w:p w14:paraId="5C38E3E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8.Pt1000温度传感器，温度控制精度（℃）：±0.1℃，带独立传感器的超温保护装置。</w:t>
            </w:r>
          </w:p>
          <w:p w14:paraId="6E0D7B7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9.不低于90℃湿热灭菌系统，能有效地清除细菌、霉菌、真菌孢子和支原体。</w:t>
            </w:r>
          </w:p>
          <w:p w14:paraId="0E144CC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10.内腔及附件不锈钢采用电化学处理。</w:t>
            </w:r>
          </w:p>
          <w:p w14:paraId="30D09CE2">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■11.标配3扇小玻璃内门，</w:t>
            </w:r>
          </w:p>
          <w:p w14:paraId="63CA914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12.增加蒸发面积，倾斜式的底盘水库式设计结构，非增湿盘,相对湿度≥95%。</w:t>
            </w:r>
          </w:p>
          <w:p w14:paraId="2DFB307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■13.循环风道设计，非自然对流，保证温度、湿度、CO</w:t>
            </w:r>
            <w:r>
              <w:rPr>
                <w:rFonts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浓度的均一性。</w:t>
            </w:r>
          </w:p>
          <w:p w14:paraId="5E4FB03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14.具有玻璃门加热或外门加热功能。</w:t>
            </w:r>
          </w:p>
          <w:p w14:paraId="1BC9358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15.标配虹吸泵。</w:t>
            </w:r>
          </w:p>
          <w:p w14:paraId="02A80B69">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16.配置4个接口的钢瓶自动切换装置，同时接4个钢瓶，可自动切换。</w:t>
            </w:r>
          </w:p>
        </w:tc>
        <w:tc>
          <w:tcPr>
            <w:tcW w:w="974" w:type="dxa"/>
            <w:noWrap w:val="0"/>
            <w:vAlign w:val="center"/>
          </w:tcPr>
          <w:p w14:paraId="07CE1B18">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09A08C2F">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206819F7">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332DB224">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畜牧1</w:t>
            </w:r>
          </w:p>
          <w:p w14:paraId="3D878E01">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水产1</w:t>
            </w:r>
          </w:p>
        </w:tc>
      </w:tr>
      <w:tr w14:paraId="4683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50BABAB0">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79F1A8C7">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水浴锅</w:t>
            </w:r>
          </w:p>
        </w:tc>
        <w:tc>
          <w:tcPr>
            <w:tcW w:w="4144" w:type="dxa"/>
            <w:noWrap w:val="0"/>
            <w:vAlign w:val="center"/>
          </w:tcPr>
          <w:p w14:paraId="4BA528E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1.采用不锈钢内胆。</w:t>
            </w:r>
          </w:p>
          <w:p w14:paraId="1FB3202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■2.三孔独立控制温度。</w:t>
            </w:r>
          </w:p>
          <w:p w14:paraId="1B5BBC2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3.控温仪采用高速、高性能CPU处理芯片，高灵敏、高精度铂电阻传感器，具有定时开机、定时关闭、定值工作的固定编程控制功能；定时时间不低于99小时。</w:t>
            </w:r>
          </w:p>
          <w:p w14:paraId="72C765D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控温仪自带传感器故障报警、上下限温度偏差报警、超温报警、参数记忆；温度显示校正，自诊断动态控制技术。</w:t>
            </w:r>
          </w:p>
          <w:p w14:paraId="6900F5B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5.控温范围：RT+5～99℃；温度精度：±0.1℃；温度波动度：±0.3℃；温度均匀度：±0.5℃-37℃。</w:t>
            </w:r>
          </w:p>
          <w:p w14:paraId="2BE5FF44">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6.定时时间：定时开、关（1分钟-99小时）。</w:t>
            </w:r>
          </w:p>
          <w:p w14:paraId="5382B1F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7.内部尺寸(mm)：约（Ф165×120）×3。</w:t>
            </w:r>
          </w:p>
          <w:p w14:paraId="176EA2F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8.外部尺寸(mm)：约645×380×300。</w:t>
            </w:r>
          </w:p>
          <w:p w14:paraId="0EAEE8CC">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9.功率：300W×3。</w:t>
            </w:r>
          </w:p>
        </w:tc>
        <w:tc>
          <w:tcPr>
            <w:tcW w:w="974" w:type="dxa"/>
            <w:noWrap w:val="0"/>
            <w:vAlign w:val="center"/>
          </w:tcPr>
          <w:p w14:paraId="14E13D3B">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3147C9FD">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781B8E99">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3CBE7041">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畜牧1</w:t>
            </w:r>
          </w:p>
          <w:p w14:paraId="4F981DD1">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水产1</w:t>
            </w:r>
          </w:p>
        </w:tc>
      </w:tr>
      <w:tr w14:paraId="7D22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4B648B44">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7F3B930C">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烘箱</w:t>
            </w:r>
          </w:p>
        </w:tc>
        <w:tc>
          <w:tcPr>
            <w:tcW w:w="4144" w:type="dxa"/>
            <w:noWrap w:val="0"/>
            <w:vAlign w:val="center"/>
          </w:tcPr>
          <w:p w14:paraId="0353C4AB">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1.容积：≥70L。</w:t>
            </w:r>
          </w:p>
          <w:p w14:paraId="1B6A1BF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■2.控温范围：RT+10-250℃。</w:t>
            </w:r>
          </w:p>
          <w:p w14:paraId="55F3029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3.温度分辨率：0.1℃。</w:t>
            </w:r>
          </w:p>
          <w:p w14:paraId="07D95E4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4.温度波动度：</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w:t>
            </w:r>
          </w:p>
          <w:p w14:paraId="4DC8B4F8">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5.温度均匀度：±3℃（测试点为100℃）。</w:t>
            </w:r>
          </w:p>
          <w:p w14:paraId="19C6A55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6.载物托架（块）（标配）：2。</w:t>
            </w:r>
          </w:p>
          <w:p w14:paraId="2DD93F4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7.定时范围：1-9999min。</w:t>
            </w:r>
          </w:p>
          <w:p w14:paraId="741B0F82">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8.采用具有超温偏差保护、数字显示的微电脑P.I.D温度控制器，带有定时功能。</w:t>
            </w:r>
          </w:p>
        </w:tc>
        <w:tc>
          <w:tcPr>
            <w:tcW w:w="974" w:type="dxa"/>
            <w:noWrap w:val="0"/>
            <w:vAlign w:val="center"/>
          </w:tcPr>
          <w:p w14:paraId="14A98BDF">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75" w:type="dxa"/>
            <w:noWrap w:val="0"/>
            <w:vAlign w:val="center"/>
          </w:tcPr>
          <w:p w14:paraId="6636C182">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3D0AC4A2">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60C953A7">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畜牧1</w:t>
            </w:r>
          </w:p>
          <w:p w14:paraId="73C0F3C2">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水产1</w:t>
            </w:r>
          </w:p>
        </w:tc>
      </w:tr>
      <w:tr w14:paraId="08DE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673B1AFE">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19D93BAA">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酶联免疫检测仪 </w:t>
            </w:r>
          </w:p>
        </w:tc>
        <w:tc>
          <w:tcPr>
            <w:tcW w:w="4144" w:type="dxa"/>
            <w:noWrap w:val="0"/>
            <w:vAlign w:val="top"/>
          </w:tcPr>
          <w:p w14:paraId="7051D935">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■1.嵌入式控制系统控制完成编辑、测试、存储及打印工作；不小于8英寸触摸屏或外接彩色显示，可显示整板样本结果和定标曲线。</w:t>
            </w:r>
            <w:r>
              <w:rPr>
                <w:rFonts w:hint="eastAsia" w:ascii="宋体" w:hAnsi="宋体" w:eastAsia="宋体" w:cs="宋体"/>
                <w:b/>
                <w:bCs/>
                <w:color w:val="auto"/>
                <w:kern w:val="0"/>
                <w:szCs w:val="21"/>
                <w:highlight w:val="none"/>
              </w:rPr>
              <w:t>（投标文件中提供证明材料）</w:t>
            </w:r>
          </w:p>
          <w:p w14:paraId="4ECF1648">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2.具有震荡功能，震荡速度和时间可调。</w:t>
            </w:r>
          </w:p>
          <w:p w14:paraId="56E3753D">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■3.低功率6V10W卤钨灯光源，自动开关节能设计，灯泡易更换。</w:t>
            </w:r>
          </w:p>
          <w:p w14:paraId="0F7A953C">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4.编辑、测试界面同屏可显示样本号、OD值、结果、S/CO值和项目参数。</w:t>
            </w:r>
          </w:p>
          <w:p w14:paraId="7AD77972">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■5.具有定性、半定量和定量参数，布板模式、阴阳性对照值和标准曲线可贮存、调用。</w:t>
            </w:r>
          </w:p>
          <w:p w14:paraId="66817C42">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6.单板多项测试功能，同一板可进行不低于12种不同检验项目的测试。</w:t>
            </w:r>
          </w:p>
          <w:p w14:paraId="2D68A2C0">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■7.测量结果支持重新计算功能，可调用空白值、曲线进行多次拟合计算。</w:t>
            </w:r>
          </w:p>
          <w:p w14:paraId="6B96522F">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8.具备质控功能，任意规则定制，质控图可显示和打印。</w:t>
            </w:r>
          </w:p>
          <w:p w14:paraId="04D049FC">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9.适用于平底、U型和V型底等国内外各种大小不同的96微孔酶标板。</w:t>
            </w:r>
          </w:p>
          <w:p w14:paraId="16D69356">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10.波长范围：400~750nm。</w:t>
            </w:r>
          </w:p>
          <w:p w14:paraId="7BE041DB">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11.标配405，450，492，630nm四片滤光片，最多可装载不低于八片滤光片。</w:t>
            </w:r>
          </w:p>
          <w:p w14:paraId="1867B907">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12.测量方式：单波长、双波长、多波长、终点法、两点法、动力法、外部计算机控制测量。</w:t>
            </w:r>
          </w:p>
          <w:p w14:paraId="213EDF2F">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13.计算方式：光密度、行减、列减、单点定标、线性回归、二次曲线、三次曲线、四参数方程。</w:t>
            </w:r>
          </w:p>
          <w:p w14:paraId="0E9EC8DB">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■14.检测速度：单波长﹤3秒／96孔，双波长﹤6秒／96孔。</w:t>
            </w:r>
          </w:p>
          <w:p w14:paraId="608BDCA9">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■15.测量范围：0.0000-4.5000Abs 分辨率：0.0001A。</w:t>
            </w:r>
          </w:p>
          <w:p w14:paraId="16D05097">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16.灵敏度：≥0.01mg/L。</w:t>
            </w:r>
          </w:p>
          <w:p w14:paraId="1929F397">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17.示值稳定性：±0.002A。</w:t>
            </w:r>
          </w:p>
          <w:p w14:paraId="544BBD63">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18.吸光度重复性：＜0.1%。</w:t>
            </w:r>
          </w:p>
          <w:p w14:paraId="72711BAE">
            <w:pPr>
              <w:widowControl/>
              <w:adjustRightInd w:val="0"/>
              <w:snapToGrid w:val="0"/>
              <w:spacing w:line="300" w:lineRule="auto"/>
              <w:jc w:val="lef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19.通道差异：≤0.02A。</w:t>
            </w:r>
          </w:p>
          <w:p w14:paraId="49B60B01">
            <w:pPr>
              <w:widowControl/>
              <w:adjustRightInd w:val="0"/>
              <w:snapToGrid w:val="0"/>
              <w:spacing w:line="300" w:lineRule="auto"/>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rPr>
              <w:t>■20.存贮：支持5000个以上检测程序和不低于5000块96孔板检测结果，不低于2000种酶标板格式，100000个以上测试结果。</w:t>
            </w:r>
          </w:p>
        </w:tc>
        <w:tc>
          <w:tcPr>
            <w:tcW w:w="974" w:type="dxa"/>
            <w:noWrap w:val="0"/>
            <w:vAlign w:val="center"/>
          </w:tcPr>
          <w:p w14:paraId="322745FC">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65D6E258">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6FE8CE61">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2CF1DAD4">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w:t>
            </w:r>
          </w:p>
        </w:tc>
      </w:tr>
      <w:tr w14:paraId="059A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6FD8D6B5">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7CC6920A">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B型超声波仪</w:t>
            </w:r>
          </w:p>
        </w:tc>
        <w:tc>
          <w:tcPr>
            <w:tcW w:w="4144" w:type="dxa"/>
            <w:noWrap w:val="0"/>
            <w:vAlign w:val="center"/>
          </w:tcPr>
          <w:p w14:paraId="0FC0B56A">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■1.显示器：≥12.1英寸LED显示器。</w:t>
            </w:r>
          </w:p>
          <w:p w14:paraId="42DE6F93">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2.扫描方式：凸阵/线阵/微凸。</w:t>
            </w:r>
          </w:p>
          <w:p w14:paraId="145F98A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3.探头接口：标配2个；支持探头拓展坞，具有自动识别功能支持多种探头工作。</w:t>
            </w:r>
          </w:p>
          <w:p w14:paraId="366978A3">
            <w:pPr>
              <w:spacing w:line="300" w:lineRule="auto"/>
              <w:jc w:val="left"/>
              <w:textAlignment w:val="center"/>
              <w:rPr>
                <w:rFonts w:ascii="宋体" w:hAnsi="宋体" w:eastAsia="宋体" w:cs="宋体"/>
                <w:color w:val="auto"/>
                <w:szCs w:val="24"/>
                <w:highlight w:val="none"/>
              </w:rPr>
            </w:pPr>
            <w:r>
              <w:rPr>
                <w:rFonts w:hint="eastAsia" w:ascii="宋体" w:hAnsi="宋体" w:eastAsia="宋体" w:cs="宋体"/>
                <w:color w:val="auto"/>
                <w:kern w:val="0"/>
                <w:szCs w:val="21"/>
                <w:highlight w:val="none"/>
              </w:rPr>
              <w:t>4.各探头显示深度：凸阵3.5MHz：</w:t>
            </w:r>
          </w:p>
          <w:p w14:paraId="531C131A">
            <w:pPr>
              <w:spacing w:line="300" w:lineRule="auto"/>
              <w:jc w:val="left"/>
              <w:textAlignment w:val="center"/>
              <w:rPr>
                <w:rFonts w:ascii="Calibri" w:hAnsi="Calibri" w:eastAsia="宋体" w:cs="Times New Roman"/>
                <w:color w:val="auto"/>
                <w:szCs w:val="24"/>
                <w:highlight w:val="none"/>
              </w:rPr>
            </w:pPr>
            <w:r>
              <w:rPr>
                <w:rFonts w:hint="eastAsia" w:ascii="宋体" w:hAnsi="宋体" w:eastAsia="宋体" w:cs="宋体"/>
                <w:color w:val="auto"/>
                <w:kern w:val="0"/>
                <w:szCs w:val="21"/>
                <w:highlight w:val="none"/>
              </w:rPr>
              <w:t>126-307mm，背膘3.5MHz：126-307mm，线阵7.5MHz: 48-166mm，微凸6.5MHz:40-189mm。</w:t>
            </w:r>
          </w:p>
          <w:p w14:paraId="0DC01A3E">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5.最大探测深度：≥240mm。</w:t>
            </w:r>
          </w:p>
          <w:p w14:paraId="16EDA221">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6.显示模式：B、B+B、4B、B+M、M。</w:t>
            </w:r>
          </w:p>
          <w:p w14:paraId="3A8ECFD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7.灰阶：256级。</w:t>
            </w:r>
          </w:p>
          <w:p w14:paraId="198DF91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8.测量：距离、周长、面积、体积、心率、专业的动物软件测量包可以通过轨迹球光标，选择功能软件包、测量方式等。</w:t>
            </w:r>
          </w:p>
          <w:p w14:paraId="67C5F73C">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■9.具备≥8种以上产科测量软件包（猪、牛、犬、马、猫、山羊、骆驼、绵羊）。</w:t>
            </w:r>
          </w:p>
          <w:p w14:paraId="78984955">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10.电影回放：≥256帧，可连续回放或逐幅查看。</w:t>
            </w:r>
          </w:p>
          <w:p w14:paraId="2F73F310">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■11.存储：内置不低于32G内存，≥7000幅，支持U盘存储，一键找到保存图像，可以根据日期命名的文件夹快速找到并一键导出,单幅存储图像时间≤6秒。</w:t>
            </w:r>
          </w:p>
          <w:p w14:paraId="17596E8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12.具有穿刺引导功能，两条穿刺线的角度以及位置均可可视可调,具有碎石定位，动态靶区跟踪功能。</w:t>
            </w:r>
          </w:p>
          <w:p w14:paraId="3BDBBEF6">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■13.配置：主机1台，5把探头：6.5MHz电子微凸阵探头；7.5MHz高频线阵探头；3.5MHz凸阵探头；3.5MHz背膘探头；7.5MHz直肠探头；便携台车1台。</w:t>
            </w:r>
          </w:p>
        </w:tc>
        <w:tc>
          <w:tcPr>
            <w:tcW w:w="974" w:type="dxa"/>
            <w:noWrap w:val="0"/>
            <w:vAlign w:val="center"/>
          </w:tcPr>
          <w:p w14:paraId="750B31B0">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7AAB03E4">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6A9B4E7F">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254861AA">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w:t>
            </w:r>
          </w:p>
        </w:tc>
      </w:tr>
      <w:tr w14:paraId="1500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9" w:type="dxa"/>
            <w:noWrap w:val="0"/>
            <w:vAlign w:val="center"/>
          </w:tcPr>
          <w:p w14:paraId="763EA4E5">
            <w:pPr>
              <w:widowControl/>
              <w:numPr>
                <w:ilvl w:val="0"/>
                <w:numId w:val="1"/>
              </w:numPr>
              <w:tabs>
                <w:tab w:val="clear" w:pos="0"/>
              </w:tabs>
              <w:adjustRightInd w:val="0"/>
              <w:snapToGrid w:val="0"/>
              <w:spacing w:line="300" w:lineRule="auto"/>
              <w:jc w:val="center"/>
              <w:textAlignment w:val="center"/>
              <w:rPr>
                <w:rFonts w:ascii="宋体" w:hAnsi="宋体" w:eastAsia="宋体" w:cs="宋体"/>
                <w:color w:val="auto"/>
                <w:szCs w:val="21"/>
                <w:highlight w:val="none"/>
              </w:rPr>
            </w:pPr>
          </w:p>
        </w:tc>
        <w:tc>
          <w:tcPr>
            <w:tcW w:w="1168" w:type="dxa"/>
            <w:noWrap w:val="0"/>
            <w:vAlign w:val="center"/>
          </w:tcPr>
          <w:p w14:paraId="618A03D5">
            <w:pPr>
              <w:widowControl/>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真空吸液器，吸引泵（真空泵）</w:t>
            </w:r>
          </w:p>
        </w:tc>
        <w:tc>
          <w:tcPr>
            <w:tcW w:w="4144" w:type="dxa"/>
            <w:noWrap w:val="0"/>
            <w:vAlign w:val="center"/>
          </w:tcPr>
          <w:p w14:paraId="0C0155C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1.真空度范围：-300至-600mbar。</w:t>
            </w:r>
          </w:p>
          <w:p w14:paraId="72997D4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2.负压调节范围：0.01-0.08mpa（表头显示）。</w:t>
            </w:r>
          </w:p>
          <w:p w14:paraId="51BBA6F9">
            <w:pPr>
              <w:widowControl/>
              <w:adjustRightInd w:val="0"/>
              <w:snapToGrid w:val="0"/>
              <w:spacing w:line="300" w:lineRule="auto"/>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3.最大抽气速度：6L/min(空气)。</w:t>
            </w:r>
          </w:p>
          <w:p w14:paraId="4FF5AD32">
            <w:pPr>
              <w:widowControl/>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4.吸液瓶容量：≥1000ml。</w:t>
            </w:r>
          </w:p>
        </w:tc>
        <w:tc>
          <w:tcPr>
            <w:tcW w:w="974" w:type="dxa"/>
            <w:noWrap w:val="0"/>
            <w:vAlign w:val="center"/>
          </w:tcPr>
          <w:p w14:paraId="35343891">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75" w:type="dxa"/>
            <w:noWrap w:val="0"/>
            <w:vAlign w:val="center"/>
          </w:tcPr>
          <w:p w14:paraId="1BDD90BC">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805" w:type="dxa"/>
            <w:noWrap w:val="0"/>
            <w:vAlign w:val="center"/>
          </w:tcPr>
          <w:p w14:paraId="78D8D909">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650" w:type="dxa"/>
            <w:noWrap w:val="0"/>
            <w:vAlign w:val="center"/>
          </w:tcPr>
          <w:p w14:paraId="78F50BF0">
            <w:pPr>
              <w:widowControl/>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畜牧</w:t>
            </w:r>
          </w:p>
        </w:tc>
      </w:tr>
    </w:tbl>
    <w:p w14:paraId="790E06DB">
      <w:pPr>
        <w:adjustRightInd w:val="0"/>
        <w:snapToGrid w:val="0"/>
        <w:spacing w:beforeLines="50" w:line="360" w:lineRule="auto"/>
        <w:ind w:firstLine="482"/>
        <w:outlineLvl w:val="1"/>
        <w:rPr>
          <w:rFonts w:ascii="宋体" w:hAnsi="宋体" w:eastAsia="宋体"/>
          <w:b/>
          <w:color w:val="auto"/>
          <w:szCs w:val="21"/>
          <w:highlight w:val="none"/>
        </w:rPr>
      </w:pPr>
    </w:p>
    <w:p w14:paraId="509271B5">
      <w:pPr>
        <w:spacing w:line="360" w:lineRule="auto"/>
        <w:outlineLvl w:val="1"/>
        <w:rPr>
          <w:rFonts w:ascii="宋体" w:hAnsi="宋体" w:eastAsia="宋体"/>
          <w:b/>
          <w:bCs/>
          <w:color w:val="auto"/>
          <w:szCs w:val="18"/>
          <w:highlight w:val="none"/>
        </w:rPr>
      </w:pPr>
      <w:bookmarkStart w:id="8" w:name="_Toc7421"/>
      <w:bookmarkStart w:id="9" w:name="_Toc4843"/>
      <w:bookmarkStart w:id="10" w:name="_Toc178465415"/>
      <w:r>
        <w:rPr>
          <w:rFonts w:hint="eastAsia" w:ascii="宋体" w:hAnsi="宋体" w:eastAsia="宋体"/>
          <w:b/>
          <w:bCs/>
          <w:color w:val="auto"/>
          <w:szCs w:val="18"/>
          <w:highlight w:val="none"/>
        </w:rPr>
        <w:t>三、报价要求</w:t>
      </w:r>
      <w:bookmarkEnd w:id="8"/>
      <w:bookmarkEnd w:id="9"/>
      <w:bookmarkEnd w:id="10"/>
    </w:p>
    <w:p w14:paraId="11EE3DD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本项目报投标总价，并同时报出分项报价，投标总价包含完成所投项目所产生的一切费用，投标人自行考虑报价风险</w:t>
      </w:r>
      <w:r>
        <w:rPr>
          <w:rFonts w:ascii="宋体" w:hAnsi="宋体" w:eastAsia="宋体"/>
          <w:color w:val="auto"/>
          <w:highlight w:val="none"/>
        </w:rPr>
        <w:t>。</w:t>
      </w:r>
    </w:p>
    <w:p w14:paraId="31D1D306">
      <w:pPr>
        <w:spacing w:line="360" w:lineRule="auto"/>
        <w:outlineLvl w:val="1"/>
        <w:rPr>
          <w:rFonts w:ascii="宋体" w:hAnsi="宋体" w:eastAsia="宋体"/>
          <w:b/>
          <w:bCs/>
          <w:color w:val="auto"/>
          <w:szCs w:val="18"/>
          <w:highlight w:val="none"/>
        </w:rPr>
      </w:pPr>
      <w:bookmarkStart w:id="11" w:name="_Toc178465416"/>
      <w:r>
        <w:rPr>
          <w:rFonts w:hint="eastAsia" w:ascii="宋体" w:hAnsi="宋体" w:eastAsia="宋体"/>
          <w:b/>
          <w:bCs/>
          <w:color w:val="auto"/>
          <w:szCs w:val="18"/>
          <w:highlight w:val="none"/>
        </w:rPr>
        <w:t>四、安装调试、验收试验及质量保证</w:t>
      </w:r>
      <w:bookmarkEnd w:id="11"/>
    </w:p>
    <w:p w14:paraId="616753EC">
      <w:pPr>
        <w:spacing w:line="360" w:lineRule="auto"/>
        <w:ind w:firstLine="420" w:firstLineChars="200"/>
        <w:rPr>
          <w:rFonts w:ascii="宋体" w:hAnsi="宋体" w:eastAsia="宋体"/>
          <w:color w:val="auto"/>
          <w:highlight w:val="none"/>
        </w:rPr>
      </w:pPr>
      <w:bookmarkStart w:id="12" w:name="_Toc445554754"/>
      <w:bookmarkStart w:id="13" w:name="_Toc455587279"/>
      <w:bookmarkStart w:id="14" w:name="_Toc455587095"/>
      <w:r>
        <w:rPr>
          <w:rFonts w:hint="eastAsia" w:ascii="宋体" w:hAnsi="宋体" w:eastAsia="宋体"/>
          <w:color w:val="auto"/>
          <w:highlight w:val="none"/>
        </w:rPr>
        <w:t>1、中标人在设备安装地点负责安装、调试。</w:t>
      </w:r>
    </w:p>
    <w:p w14:paraId="6210ED1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2、具体设备验收标准和程序按采购人要求执行，下列验收程序可参照执行：</w:t>
      </w:r>
    </w:p>
    <w:p w14:paraId="77043FD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60C674B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5054694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2.3 中标人应根据采购人使用单位的技术要求提供相应的产品。由中标人所提供的设备部件间的连线和插接件均应视为设备内部器件，包含在相应的设备之中。</w:t>
      </w:r>
    </w:p>
    <w:p w14:paraId="646B25C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68EECB4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1C4F808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3、如设备在验收时有一个或多个指标未能达到要求而属于中标人责任时，则中标人自费采取有效措施，在规定时间内使之达到保证指标。如在规定的时间内仍达不到合格标准时，则中标人应向采购人赔偿。</w:t>
      </w:r>
    </w:p>
    <w:p w14:paraId="7C18F24D">
      <w:pPr>
        <w:spacing w:line="360" w:lineRule="auto"/>
        <w:outlineLvl w:val="1"/>
        <w:rPr>
          <w:rFonts w:ascii="宋体" w:hAnsi="宋体" w:eastAsia="宋体"/>
          <w:b/>
          <w:bCs/>
          <w:color w:val="auto"/>
          <w:szCs w:val="18"/>
          <w:highlight w:val="none"/>
        </w:rPr>
      </w:pPr>
      <w:bookmarkStart w:id="15" w:name="_Toc178465417"/>
      <w:bookmarkStart w:id="16" w:name="_Toc532199627"/>
      <w:bookmarkStart w:id="17" w:name="_Toc72431744"/>
      <w:bookmarkStart w:id="18" w:name="_Toc72431420"/>
      <w:r>
        <w:rPr>
          <w:rFonts w:hint="eastAsia" w:ascii="宋体" w:hAnsi="宋体" w:eastAsia="宋体"/>
          <w:b/>
          <w:bCs/>
          <w:color w:val="auto"/>
          <w:szCs w:val="18"/>
          <w:highlight w:val="none"/>
        </w:rPr>
        <w:t>五、备品备件及专用工具</w:t>
      </w:r>
      <w:bookmarkEnd w:id="15"/>
    </w:p>
    <w:p w14:paraId="443CC33C">
      <w:pPr>
        <w:spacing w:line="360" w:lineRule="auto"/>
        <w:ind w:firstLine="420" w:firstLineChars="200"/>
        <w:rPr>
          <w:rFonts w:ascii="宋体" w:hAnsi="宋体" w:eastAsia="宋体"/>
          <w:color w:val="auto"/>
          <w:highlight w:val="none"/>
        </w:rPr>
      </w:pPr>
      <w:r>
        <w:rPr>
          <w:rFonts w:ascii="宋体" w:hAnsi="宋体" w:eastAsia="宋体"/>
          <w:color w:val="auto"/>
          <w:highlight w:val="none"/>
        </w:rPr>
        <w:t>1.备品备件：中标人提供能够满足质量保证期内的设备维修要求的备品备件，备品备件应是新品。</w:t>
      </w:r>
    </w:p>
    <w:p w14:paraId="7019FE61">
      <w:pPr>
        <w:spacing w:line="360" w:lineRule="auto"/>
        <w:ind w:firstLine="420" w:firstLineChars="200"/>
        <w:rPr>
          <w:rFonts w:ascii="宋体" w:hAnsi="宋体" w:eastAsia="宋体"/>
          <w:color w:val="auto"/>
          <w:highlight w:val="none"/>
        </w:rPr>
      </w:pPr>
      <w:r>
        <w:rPr>
          <w:rFonts w:ascii="宋体" w:hAnsi="宋体" w:eastAsia="宋体"/>
          <w:color w:val="auto"/>
          <w:highlight w:val="none"/>
        </w:rPr>
        <w:t>2.专用工具：中标人提供设备安装、调试、验收、维修、保养所必要的专用工具、仪器、仪表等。</w:t>
      </w:r>
    </w:p>
    <w:bookmarkEnd w:id="12"/>
    <w:bookmarkEnd w:id="13"/>
    <w:bookmarkEnd w:id="14"/>
    <w:bookmarkEnd w:id="16"/>
    <w:bookmarkEnd w:id="17"/>
    <w:bookmarkEnd w:id="18"/>
    <w:p w14:paraId="1E1C8D2D">
      <w:pPr>
        <w:spacing w:line="360" w:lineRule="auto"/>
        <w:outlineLvl w:val="1"/>
        <w:rPr>
          <w:rFonts w:ascii="宋体" w:hAnsi="宋体" w:eastAsia="宋体"/>
          <w:b/>
          <w:bCs/>
          <w:color w:val="auto"/>
          <w:szCs w:val="18"/>
          <w:highlight w:val="none"/>
        </w:rPr>
      </w:pPr>
      <w:bookmarkStart w:id="19" w:name="_Toc178465418"/>
      <w:r>
        <w:rPr>
          <w:rFonts w:hint="eastAsia" w:ascii="宋体" w:hAnsi="宋体" w:eastAsia="宋体"/>
          <w:b/>
          <w:bCs/>
          <w:color w:val="auto"/>
          <w:szCs w:val="18"/>
          <w:highlight w:val="none"/>
        </w:rPr>
        <w:t>六、包装运输</w:t>
      </w:r>
      <w:bookmarkEnd w:id="19"/>
    </w:p>
    <w:p w14:paraId="4B250FB9">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1.中标人负责设备包装、办理运输和保险，将设备安全运抵交货地点。</w:t>
      </w:r>
    </w:p>
    <w:p w14:paraId="1238722A">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2.设备制造完成并通过试验后应及时包装，否则应得到切实的保护，确保其不受污损。</w:t>
      </w:r>
    </w:p>
    <w:p w14:paraId="68E411F3">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3.在包装箱外应标明采购人的订货号、发货号。</w:t>
      </w:r>
    </w:p>
    <w:p w14:paraId="3DAC32BE">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4.各种包装应能确保各零部件在运输过程中不致遭到损坏、丢失、变形、受潮和腐蚀。</w:t>
      </w:r>
    </w:p>
    <w:p w14:paraId="26E7A98D">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5.包装箱上应有明显的包装储运图示标志。</w:t>
      </w:r>
    </w:p>
    <w:p w14:paraId="7A7D5988">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6.整体产品或分别运输的部件都要适应运输和装载的要求。</w:t>
      </w:r>
    </w:p>
    <w:p w14:paraId="66029315">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7.随产品提供的技术资料应完整无缺。</w:t>
      </w:r>
    </w:p>
    <w:p w14:paraId="0DBCBBA0">
      <w:pPr>
        <w:spacing w:line="360" w:lineRule="auto"/>
        <w:outlineLvl w:val="1"/>
        <w:rPr>
          <w:rFonts w:ascii="宋体" w:hAnsi="宋体" w:eastAsia="宋体"/>
          <w:b/>
          <w:bCs/>
          <w:color w:val="auto"/>
          <w:szCs w:val="18"/>
          <w:highlight w:val="none"/>
        </w:rPr>
      </w:pPr>
      <w:bookmarkStart w:id="20" w:name="_Toc178465419"/>
      <w:r>
        <w:rPr>
          <w:rFonts w:hint="eastAsia" w:ascii="宋体" w:hAnsi="宋体" w:eastAsia="宋体"/>
          <w:b/>
          <w:bCs/>
          <w:color w:val="auto"/>
          <w:szCs w:val="18"/>
          <w:highlight w:val="none"/>
        </w:rPr>
        <w:t>七、技术培训</w:t>
      </w:r>
      <w:bookmarkEnd w:id="20"/>
    </w:p>
    <w:p w14:paraId="47DBAC4C">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1.为使合同设备能正常安装和运行，由中标人提供相应的技术培训，培训费用包含在投标报价中。中标人负责对采购人技术人员、操作人员进行现场培训，不少于1周。培训内容包括设备操作、设备维护及简单的设备维修等，直至技术人员、操作人员能够独立、熟练掌握为止。同时，其中主要产品的安装及人员培训必须由原生产厂商或其授权有资质的公司的专业工程师完成。</w:t>
      </w:r>
    </w:p>
    <w:p w14:paraId="0237B145">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2.培训的时间、人数、地点等具体内容由买卖双方商定。</w:t>
      </w:r>
    </w:p>
    <w:p w14:paraId="657252E8">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3.采购需求里有特别规定的，以采购需求中的需求为准。</w:t>
      </w:r>
    </w:p>
    <w:p w14:paraId="6CC18503">
      <w:pPr>
        <w:spacing w:line="360" w:lineRule="auto"/>
        <w:outlineLvl w:val="1"/>
        <w:rPr>
          <w:rFonts w:ascii="宋体" w:hAnsi="宋体" w:eastAsia="宋体"/>
          <w:b/>
          <w:bCs/>
          <w:color w:val="auto"/>
          <w:szCs w:val="18"/>
          <w:highlight w:val="none"/>
        </w:rPr>
      </w:pPr>
      <w:bookmarkStart w:id="21" w:name="_Toc178465420"/>
      <w:r>
        <w:rPr>
          <w:rFonts w:hint="eastAsia" w:ascii="宋体" w:hAnsi="宋体" w:eastAsia="宋体"/>
          <w:b/>
          <w:bCs/>
          <w:color w:val="auto"/>
          <w:szCs w:val="18"/>
          <w:highlight w:val="none"/>
        </w:rPr>
        <w:t>八、质保及售后服务</w:t>
      </w:r>
      <w:bookmarkEnd w:id="21"/>
    </w:p>
    <w:p w14:paraId="330A7EE7">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1.自双方签订《验收报告》起进入免费质保期。质保范围：设备整机（除一次性消耗品以外，保修范围包含所有配套设备、消耗性部件、硬件、软件以及外购件等）。</w:t>
      </w:r>
    </w:p>
    <w:p w14:paraId="06F4EB05">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14:paraId="6817F7F7">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3.在质保期间内，全年365天，7×24小时响应，出现故障时，工程师到达现场时间≤</w:t>
      </w:r>
      <w:r>
        <w:rPr>
          <w:rFonts w:hint="eastAsia" w:ascii="宋体" w:hAnsi="宋体" w:eastAsia="宋体" w:cs="Times New Roman"/>
          <w:color w:val="auto"/>
          <w:spacing w:val="-1"/>
          <w:szCs w:val="21"/>
          <w:highlight w:val="none"/>
          <w:lang w:val="en-US" w:eastAsia="zh-CN"/>
        </w:rPr>
        <w:t>24小时</w:t>
      </w:r>
      <w:r>
        <w:rPr>
          <w:rFonts w:hint="eastAsia" w:ascii="宋体" w:hAnsi="宋体" w:eastAsia="宋体" w:cs="Times New Roman"/>
          <w:color w:val="auto"/>
          <w:spacing w:val="-1"/>
          <w:szCs w:val="21"/>
          <w:highlight w:val="none"/>
        </w:rPr>
        <w:t>。</w:t>
      </w:r>
    </w:p>
    <w:p w14:paraId="51D70234">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4.在质保期间内，年度巡检次数≥2次/年。</w:t>
      </w:r>
    </w:p>
    <w:p w14:paraId="1EB3A97A">
      <w:pPr>
        <w:spacing w:line="360" w:lineRule="auto"/>
        <w:ind w:firstLine="420" w:firstLineChars="200"/>
        <w:rPr>
          <w:rFonts w:ascii="宋体" w:hAnsi="宋体" w:eastAsia="宋体"/>
          <w:color w:val="auto"/>
          <w:highlight w:val="none"/>
        </w:rPr>
      </w:pPr>
    </w:p>
    <w:p w14:paraId="5F6E23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B7890"/>
    <w:multiLevelType w:val="singleLevel"/>
    <w:tmpl w:val="6EFB7890"/>
    <w:lvl w:ilvl="0" w:tentative="0">
      <w:start w:val="1"/>
      <w:numFmt w:val="decimal"/>
      <w:suff w:val="nothing"/>
      <w:lvlText w:val="%1"/>
      <w:lvlJc w:val="left"/>
      <w:pPr>
        <w:tabs>
          <w:tab w:val="left" w:pos="0"/>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NDgwOWE2N2Y5MWIyN2U3NzI3YzFkMDFlYTRjYzkifQ=="/>
  </w:docVars>
  <w:rsids>
    <w:rsidRoot w:val="47F056B0"/>
    <w:rsid w:val="47F0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0"/>
    <w:pPr>
      <w:kinsoku w:val="0"/>
      <w:autoSpaceDE w:val="0"/>
      <w:autoSpaceDN w:val="0"/>
      <w:adjustRightInd w:val="0"/>
      <w:snapToGrid w:val="0"/>
      <w:ind w:left="600" w:leftChars="600"/>
      <w:textAlignment w:val="baseline"/>
    </w:pPr>
    <w:rPr>
      <w:rFonts w:ascii="Arial" w:hAnsi="Arial" w:eastAsia="Arial" w:cs="Arial"/>
      <w:snapToGrid w:val="0"/>
      <w:color w:val="000000"/>
      <w:sz w:val="21"/>
      <w:szCs w:val="21"/>
      <w:lang w:val="en-US" w:eastAsia="zh-CN" w:bidi="ar-SA"/>
    </w:rPr>
  </w:style>
  <w:style w:type="paragraph" w:styleId="3">
    <w:name w:val="Body Text"/>
    <w:basedOn w:val="1"/>
    <w:qFormat/>
    <w:uiPriority w:val="99"/>
    <w:pPr>
      <w:spacing w:after="120"/>
    </w:pPr>
    <w:rPr>
      <w:rFonts w:ascii="@微软简标宋" w:hAnsi="@微软简标宋" w:eastAsia="@微软简标宋" w:cs="@微软简标宋"/>
      <w:szCs w:val="24"/>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amp;L"/>
    <w:basedOn w:val="4"/>
    <w:qFormat/>
    <w:uiPriority w:val="0"/>
    <w:pPr>
      <w:pBdr>
        <w:bottom w:val="none" w:color="auto" w:sz="0" w:space="0"/>
      </w:pBdr>
      <w:snapToGrid/>
    </w:pPr>
    <w:rPr>
      <w:rFonts w:ascii="宋体" w:hAnsi="宋体" w:eastAsia="宋体"/>
      <w:bCs/>
      <w:sz w:val="24"/>
      <w:szCs w:val="20"/>
    </w:rPr>
  </w:style>
  <w:style w:type="paragraph" w:customStyle="1" w:styleId="8">
    <w:name w:val="xl31"/>
    <w:basedOn w:val="1"/>
    <w:qFormat/>
    <w:uiPriority w:val="0"/>
    <w:pPr>
      <w:adjustRightInd w:val="0"/>
      <w:snapToGrid w:val="0"/>
      <w:spacing w:line="300" w:lineRule="auto"/>
    </w:pPr>
    <w:rPr>
      <w:rFonts w:ascii="宋体" w:hAnsi="宋体" w:eastAsia="宋体"/>
      <w:bCs/>
      <w:color w:val="FF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2024-10-11T11:38:00Z</dcterms:created>
  <dc:creator>校对-许美玥</dc:creator>
  <cp:lastModifiedBy>校对-许美玥</cp:lastModifiedBy>
  <dcterms:modified xsi:type="dcterms:W3CDTF">2024-10-11T11:38:38Z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61DE6AE18B4B4AAA98BD508CF62E7735_11</vt:lpwstr>
  </property>
</Properties>
</file>