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A6" w:rsidRDefault="003A08A6" w:rsidP="003A08A6">
      <w:pPr>
        <w:spacing w:line="360" w:lineRule="auto"/>
        <w:rPr>
          <w:rFonts w:ascii="宋体" w:eastAsia="宋体" w:hAnsi="宋体" w:hint="eastAsia"/>
          <w:b/>
          <w:szCs w:val="21"/>
        </w:rPr>
      </w:pPr>
      <w:r>
        <w:rPr>
          <w:rFonts w:ascii="宋体" w:eastAsia="宋体" w:hAnsi="宋体" w:hint="eastAsia"/>
          <w:b/>
          <w:szCs w:val="21"/>
        </w:rPr>
        <w:t>前注：</w:t>
      </w:r>
    </w:p>
    <w:p w:rsidR="003A08A6" w:rsidRDefault="003A08A6" w:rsidP="003A08A6">
      <w:pPr>
        <w:spacing w:line="360" w:lineRule="auto"/>
        <w:ind w:firstLine="435"/>
        <w:rPr>
          <w:rFonts w:ascii="宋体" w:eastAsia="宋体" w:hAnsi="宋体" w:cs="宋体" w:hint="eastAsia"/>
          <w:szCs w:val="21"/>
        </w:rPr>
      </w:pPr>
      <w:r>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3A08A6" w:rsidRDefault="003A08A6" w:rsidP="003A08A6">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szCs w:val="21"/>
        </w:rPr>
        <w:t>政府采购政策（包括但不限于下列具体政策要求</w:t>
      </w:r>
      <w:r>
        <w:rPr>
          <w:rFonts w:ascii="宋体" w:eastAsia="宋体" w:hAnsi="宋体" w:cs="宋体" w:hint="eastAsia"/>
          <w:szCs w:val="21"/>
        </w:rPr>
        <w:t>）：</w:t>
      </w:r>
    </w:p>
    <w:p w:rsidR="003A08A6" w:rsidRDefault="003A08A6" w:rsidP="003A08A6">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3A08A6" w:rsidRDefault="003A08A6" w:rsidP="003A08A6">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3A08A6" w:rsidRDefault="003A08A6" w:rsidP="003A08A6">
      <w:pPr>
        <w:spacing w:line="360" w:lineRule="auto"/>
        <w:ind w:firstLineChars="200" w:firstLine="420"/>
        <w:rPr>
          <w:rFonts w:ascii="宋体" w:eastAsia="宋体" w:hAnsi="宋体" w:hint="eastAsia"/>
          <w:bCs/>
          <w:szCs w:val="21"/>
        </w:rPr>
      </w:pPr>
      <w:r>
        <w:rPr>
          <w:rFonts w:ascii="宋体" w:eastAsia="宋体" w:hAnsi="宋体" w:cs="宋体" w:hint="eastAsia"/>
          <w:szCs w:val="21"/>
        </w:rPr>
        <w:t>3.如采购人允许采用分包方式履行合同的，应当明确可以分包履行的相关内容。</w:t>
      </w:r>
    </w:p>
    <w:p w:rsidR="003A08A6" w:rsidRDefault="003A08A6" w:rsidP="003A08A6">
      <w:pPr>
        <w:spacing w:line="360" w:lineRule="auto"/>
        <w:ind w:firstLine="437"/>
        <w:outlineLvl w:val="1"/>
        <w:rPr>
          <w:rFonts w:ascii="宋体" w:eastAsia="宋体" w:hAnsi="宋体" w:hint="eastAsia"/>
          <w:b/>
          <w:szCs w:val="21"/>
        </w:rPr>
      </w:pPr>
      <w:bookmarkStart w:id="0" w:name="_Toc173275127"/>
      <w:bookmarkStart w:id="1" w:name="_Toc21798"/>
      <w:bookmarkStart w:id="2" w:name="_Toc4148"/>
      <w:bookmarkStart w:id="3" w:name="_Hlk23621890"/>
      <w:r>
        <w:rPr>
          <w:rFonts w:ascii="宋体" w:eastAsia="宋体" w:hAnsi="宋体" w:hint="eastAsia"/>
          <w:b/>
          <w:szCs w:val="21"/>
        </w:rPr>
        <w:t>一、采购需求前附表</w:t>
      </w:r>
      <w:bookmarkEnd w:id="0"/>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2032"/>
        <w:gridCol w:w="5483"/>
      </w:tblGrid>
      <w:tr w:rsidR="003A08A6" w:rsidTr="008C1DE4">
        <w:trPr>
          <w:trHeight w:val="502"/>
          <w:jc w:val="center"/>
        </w:trPr>
        <w:tc>
          <w:tcPr>
            <w:tcW w:w="591" w:type="pct"/>
            <w:vAlign w:val="center"/>
          </w:tcPr>
          <w:p w:rsidR="003A08A6" w:rsidRPr="00FF368F" w:rsidRDefault="003A08A6" w:rsidP="008C1DE4">
            <w:pPr>
              <w:pStyle w:val="DL"/>
              <w:rPr>
                <w:rFonts w:cs="@仿宋_GB2312" w:hint="eastAsia"/>
                <w:kern w:val="2"/>
                <w:lang w:val="en-US" w:eastAsia="zh-CN"/>
              </w:rPr>
            </w:pPr>
            <w:r w:rsidRPr="00FF368F">
              <w:rPr>
                <w:rFonts w:cs="@仿宋_GB2312" w:hint="eastAsia"/>
                <w:b/>
                <w:bCs w:val="0"/>
                <w:kern w:val="2"/>
                <w:lang w:val="en-US" w:eastAsia="zh-CN"/>
              </w:rPr>
              <w:t>序号</w:t>
            </w:r>
          </w:p>
        </w:tc>
        <w:tc>
          <w:tcPr>
            <w:tcW w:w="1192" w:type="pct"/>
            <w:vAlign w:val="center"/>
          </w:tcPr>
          <w:p w:rsidR="003A08A6" w:rsidRDefault="003A08A6" w:rsidP="008C1DE4">
            <w:pPr>
              <w:pStyle w:val="xl31"/>
              <w:adjustRightInd w:val="0"/>
              <w:snapToGrid w:val="0"/>
              <w:spacing w:line="300" w:lineRule="auto"/>
              <w:jc w:val="center"/>
              <w:rPr>
                <w:rFonts w:hint="eastAsia"/>
                <w:b/>
                <w:sz w:val="21"/>
                <w:szCs w:val="21"/>
              </w:rPr>
            </w:pPr>
            <w:r>
              <w:rPr>
                <w:rFonts w:hint="eastAsia"/>
                <w:b/>
                <w:sz w:val="21"/>
                <w:szCs w:val="21"/>
              </w:rPr>
              <w:t>条款名称</w:t>
            </w:r>
          </w:p>
        </w:tc>
        <w:tc>
          <w:tcPr>
            <w:tcW w:w="3217" w:type="pct"/>
            <w:vAlign w:val="center"/>
          </w:tcPr>
          <w:p w:rsidR="003A08A6" w:rsidRDefault="003A08A6" w:rsidP="008C1DE4">
            <w:pPr>
              <w:pStyle w:val="xl31"/>
              <w:adjustRightInd w:val="0"/>
              <w:snapToGrid w:val="0"/>
              <w:spacing w:line="300" w:lineRule="auto"/>
              <w:jc w:val="center"/>
              <w:rPr>
                <w:rFonts w:hint="eastAsia"/>
                <w:b/>
                <w:sz w:val="21"/>
                <w:szCs w:val="21"/>
              </w:rPr>
            </w:pPr>
            <w:r>
              <w:rPr>
                <w:rFonts w:hint="eastAsia"/>
                <w:b/>
                <w:sz w:val="21"/>
                <w:szCs w:val="21"/>
              </w:rPr>
              <w:t>内容、说明与要求</w:t>
            </w:r>
          </w:p>
        </w:tc>
      </w:tr>
      <w:tr w:rsidR="003A08A6" w:rsidTr="008C1DE4">
        <w:trPr>
          <w:trHeight w:val="502"/>
          <w:jc w:val="center"/>
        </w:trPr>
        <w:tc>
          <w:tcPr>
            <w:tcW w:w="591" w:type="pct"/>
            <w:vAlign w:val="center"/>
          </w:tcPr>
          <w:p w:rsidR="003A08A6" w:rsidRPr="00FF368F" w:rsidRDefault="003A08A6" w:rsidP="008C1DE4">
            <w:pPr>
              <w:pStyle w:val="DL"/>
              <w:rPr>
                <w:rFonts w:cs="@仿宋_GB2312" w:hint="eastAsia"/>
                <w:kern w:val="2"/>
                <w:lang w:val="en-US" w:eastAsia="zh-CN"/>
              </w:rPr>
            </w:pPr>
            <w:r w:rsidRPr="00FF368F">
              <w:rPr>
                <w:rFonts w:cs="@仿宋_GB2312" w:hint="eastAsia"/>
                <w:kern w:val="2"/>
                <w:lang w:val="en-US" w:eastAsia="zh-CN"/>
              </w:rPr>
              <w:t>1</w:t>
            </w:r>
          </w:p>
        </w:tc>
        <w:tc>
          <w:tcPr>
            <w:tcW w:w="1192" w:type="pct"/>
            <w:vAlign w:val="center"/>
          </w:tcPr>
          <w:p w:rsidR="003A08A6" w:rsidRPr="00555AFC" w:rsidRDefault="003A08A6" w:rsidP="008C1DE4">
            <w:pPr>
              <w:pStyle w:val="xl31"/>
              <w:adjustRightInd w:val="0"/>
              <w:snapToGrid w:val="0"/>
              <w:spacing w:line="300" w:lineRule="auto"/>
              <w:rPr>
                <w:rFonts w:hint="eastAsia"/>
                <w:sz w:val="21"/>
                <w:szCs w:val="21"/>
              </w:rPr>
            </w:pPr>
            <w:r w:rsidRPr="00555AFC">
              <w:rPr>
                <w:rFonts w:hint="eastAsia"/>
                <w:sz w:val="21"/>
                <w:szCs w:val="21"/>
              </w:rPr>
              <w:t>付款方式</w:t>
            </w:r>
          </w:p>
        </w:tc>
        <w:tc>
          <w:tcPr>
            <w:tcW w:w="3217" w:type="pct"/>
            <w:vAlign w:val="center"/>
          </w:tcPr>
          <w:p w:rsidR="003A08A6" w:rsidRPr="00555AFC" w:rsidRDefault="003A08A6" w:rsidP="008C1DE4">
            <w:pPr>
              <w:pStyle w:val="xl31"/>
              <w:adjustRightInd w:val="0"/>
              <w:snapToGrid w:val="0"/>
              <w:spacing w:line="300" w:lineRule="auto"/>
              <w:rPr>
                <w:rFonts w:hint="eastAsia"/>
                <w:sz w:val="21"/>
                <w:szCs w:val="21"/>
              </w:rPr>
            </w:pPr>
            <w:r w:rsidRPr="00555AFC">
              <w:rPr>
                <w:rFonts w:hint="eastAsia"/>
                <w:sz w:val="21"/>
                <w:szCs w:val="21"/>
              </w:rPr>
              <w:t>合同生效并具备实施条件后采购人支付合同价的70%（中标人须提供等额预付款担保），项目经验收合格后付清合同剩余价款。</w:t>
            </w:r>
          </w:p>
          <w:p w:rsidR="003A08A6" w:rsidRPr="00555AFC" w:rsidRDefault="003A08A6" w:rsidP="008C1DE4">
            <w:pPr>
              <w:pStyle w:val="xl31"/>
              <w:adjustRightInd w:val="0"/>
              <w:snapToGrid w:val="0"/>
              <w:spacing w:line="300" w:lineRule="auto"/>
              <w:rPr>
                <w:rFonts w:hint="eastAsia"/>
                <w:sz w:val="21"/>
                <w:szCs w:val="21"/>
              </w:rPr>
            </w:pPr>
            <w:r w:rsidRPr="00555AFC">
              <w:rPr>
                <w:rFonts w:hint="eastAsia"/>
                <w:sz w:val="21"/>
                <w:szCs w:val="21"/>
              </w:rPr>
              <w:t>注：</w:t>
            </w:r>
          </w:p>
          <w:p w:rsidR="003A08A6" w:rsidRPr="00555AFC" w:rsidRDefault="003A08A6" w:rsidP="008C1DE4">
            <w:pPr>
              <w:pStyle w:val="xl31"/>
              <w:adjustRightInd w:val="0"/>
              <w:snapToGrid w:val="0"/>
              <w:spacing w:line="300" w:lineRule="auto"/>
              <w:rPr>
                <w:rFonts w:hint="eastAsia"/>
                <w:sz w:val="21"/>
                <w:szCs w:val="21"/>
              </w:rPr>
            </w:pPr>
            <w:r w:rsidRPr="00555AFC">
              <w:rPr>
                <w:rFonts w:hint="eastAsia"/>
                <w:sz w:val="21"/>
                <w:szCs w:val="21"/>
              </w:rPr>
              <w:t>（1）中标人未按规定提供预付款担保的，视为放弃预付款；</w:t>
            </w:r>
          </w:p>
          <w:p w:rsidR="003A08A6" w:rsidRPr="00555AFC" w:rsidRDefault="003A08A6" w:rsidP="008C1DE4">
            <w:pPr>
              <w:pStyle w:val="xl31"/>
              <w:adjustRightInd w:val="0"/>
              <w:snapToGrid w:val="0"/>
              <w:spacing w:line="300" w:lineRule="auto"/>
              <w:rPr>
                <w:rFonts w:hint="eastAsia"/>
                <w:sz w:val="21"/>
                <w:szCs w:val="21"/>
              </w:rPr>
            </w:pPr>
            <w:r w:rsidRPr="00555AFC">
              <w:rPr>
                <w:rFonts w:hint="eastAsia"/>
                <w:sz w:val="21"/>
                <w:szCs w:val="21"/>
              </w:rPr>
              <w:t>（2）预付款担保要求：如采用银行保函、担保机构出具的保函（担保机构担保）均须满足无条件见索即付条件。</w:t>
            </w:r>
          </w:p>
        </w:tc>
      </w:tr>
      <w:tr w:rsidR="003A08A6" w:rsidTr="008C1DE4">
        <w:trPr>
          <w:trHeight w:val="502"/>
          <w:jc w:val="center"/>
        </w:trPr>
        <w:tc>
          <w:tcPr>
            <w:tcW w:w="591" w:type="pct"/>
            <w:vAlign w:val="center"/>
          </w:tcPr>
          <w:p w:rsidR="003A08A6" w:rsidRPr="00FF368F" w:rsidRDefault="003A08A6" w:rsidP="008C1DE4">
            <w:pPr>
              <w:pStyle w:val="DL"/>
              <w:rPr>
                <w:rFonts w:cs="@仿宋_GB2312" w:hint="eastAsia"/>
                <w:kern w:val="2"/>
                <w:lang w:val="en-US" w:eastAsia="zh-CN"/>
              </w:rPr>
            </w:pPr>
            <w:r w:rsidRPr="00FF368F">
              <w:rPr>
                <w:rFonts w:cs="@仿宋_GB2312" w:hint="eastAsia"/>
                <w:kern w:val="2"/>
                <w:lang w:val="en-US" w:eastAsia="zh-CN"/>
              </w:rPr>
              <w:t>2</w:t>
            </w:r>
          </w:p>
        </w:tc>
        <w:tc>
          <w:tcPr>
            <w:tcW w:w="1192" w:type="pct"/>
            <w:vAlign w:val="center"/>
          </w:tcPr>
          <w:p w:rsidR="003A08A6" w:rsidRPr="00555AFC" w:rsidRDefault="003A08A6" w:rsidP="008C1DE4">
            <w:pPr>
              <w:pStyle w:val="xl31"/>
              <w:adjustRightInd w:val="0"/>
              <w:snapToGrid w:val="0"/>
              <w:spacing w:line="300" w:lineRule="auto"/>
              <w:rPr>
                <w:rFonts w:hint="eastAsia"/>
                <w:b/>
                <w:sz w:val="21"/>
                <w:szCs w:val="21"/>
              </w:rPr>
            </w:pPr>
            <w:r w:rsidRPr="00555AFC">
              <w:rPr>
                <w:rFonts w:hint="eastAsia"/>
                <w:sz w:val="21"/>
                <w:szCs w:val="21"/>
              </w:rPr>
              <w:t>服务地点</w:t>
            </w:r>
          </w:p>
        </w:tc>
        <w:tc>
          <w:tcPr>
            <w:tcW w:w="3217" w:type="pct"/>
            <w:vAlign w:val="center"/>
          </w:tcPr>
          <w:p w:rsidR="003A08A6" w:rsidRPr="00555AFC" w:rsidRDefault="003A08A6" w:rsidP="008C1DE4">
            <w:pPr>
              <w:pStyle w:val="xl31"/>
              <w:adjustRightInd w:val="0"/>
              <w:snapToGrid w:val="0"/>
              <w:spacing w:line="300" w:lineRule="auto"/>
              <w:rPr>
                <w:rFonts w:hint="eastAsia"/>
                <w:b/>
                <w:sz w:val="21"/>
                <w:szCs w:val="21"/>
              </w:rPr>
            </w:pPr>
            <w:r w:rsidRPr="00555AFC">
              <w:rPr>
                <w:sz w:val="21"/>
                <w:szCs w:val="21"/>
              </w:rPr>
              <w:t>安徽省，具体按采购人指定地点。</w:t>
            </w:r>
          </w:p>
        </w:tc>
      </w:tr>
      <w:tr w:rsidR="003A08A6" w:rsidTr="008C1DE4">
        <w:trPr>
          <w:trHeight w:val="502"/>
          <w:jc w:val="center"/>
        </w:trPr>
        <w:tc>
          <w:tcPr>
            <w:tcW w:w="591" w:type="pct"/>
            <w:vAlign w:val="center"/>
          </w:tcPr>
          <w:p w:rsidR="003A08A6" w:rsidRPr="00FF368F" w:rsidRDefault="003A08A6" w:rsidP="008C1DE4">
            <w:pPr>
              <w:pStyle w:val="DL"/>
              <w:rPr>
                <w:rFonts w:cs="@仿宋_GB2312" w:hint="eastAsia"/>
                <w:kern w:val="2"/>
                <w:lang w:val="en-US" w:eastAsia="zh-CN"/>
              </w:rPr>
            </w:pPr>
            <w:r w:rsidRPr="00FF368F">
              <w:rPr>
                <w:rFonts w:cs="@仿宋_GB2312" w:hint="eastAsia"/>
                <w:kern w:val="2"/>
                <w:lang w:val="en-US" w:eastAsia="zh-CN"/>
              </w:rPr>
              <w:t>3</w:t>
            </w:r>
          </w:p>
        </w:tc>
        <w:tc>
          <w:tcPr>
            <w:tcW w:w="1192" w:type="pct"/>
            <w:vAlign w:val="center"/>
          </w:tcPr>
          <w:p w:rsidR="003A08A6" w:rsidRPr="00555AFC" w:rsidRDefault="003A08A6" w:rsidP="008C1DE4">
            <w:pPr>
              <w:pStyle w:val="xl31"/>
              <w:adjustRightInd w:val="0"/>
              <w:snapToGrid w:val="0"/>
              <w:spacing w:line="300" w:lineRule="auto"/>
              <w:rPr>
                <w:rFonts w:hint="eastAsia"/>
                <w:b/>
                <w:sz w:val="21"/>
                <w:szCs w:val="21"/>
              </w:rPr>
            </w:pPr>
            <w:r w:rsidRPr="00555AFC">
              <w:rPr>
                <w:rFonts w:hint="eastAsia"/>
                <w:sz w:val="21"/>
                <w:szCs w:val="21"/>
              </w:rPr>
              <w:t>服务期限</w:t>
            </w:r>
          </w:p>
        </w:tc>
        <w:tc>
          <w:tcPr>
            <w:tcW w:w="3217" w:type="pct"/>
            <w:vAlign w:val="center"/>
          </w:tcPr>
          <w:p w:rsidR="003A08A6" w:rsidRPr="00555AFC" w:rsidRDefault="003A08A6" w:rsidP="008C1DE4">
            <w:pPr>
              <w:pStyle w:val="xl31"/>
              <w:adjustRightInd w:val="0"/>
              <w:snapToGrid w:val="0"/>
              <w:spacing w:line="300" w:lineRule="auto"/>
              <w:rPr>
                <w:rFonts w:hint="eastAsia"/>
                <w:b/>
                <w:sz w:val="21"/>
                <w:szCs w:val="21"/>
              </w:rPr>
            </w:pPr>
            <w:r w:rsidRPr="00555AFC">
              <w:rPr>
                <w:rFonts w:hint="eastAsia"/>
                <w:sz w:val="21"/>
                <w:szCs w:val="21"/>
              </w:rPr>
              <w:t>自合同生效之日起，3个月。</w:t>
            </w:r>
          </w:p>
        </w:tc>
      </w:tr>
      <w:tr w:rsidR="003A08A6" w:rsidTr="008C1DE4">
        <w:trPr>
          <w:trHeight w:val="502"/>
          <w:jc w:val="center"/>
        </w:trPr>
        <w:tc>
          <w:tcPr>
            <w:tcW w:w="591" w:type="pct"/>
            <w:vAlign w:val="center"/>
          </w:tcPr>
          <w:p w:rsidR="003A08A6" w:rsidRPr="00FF368F" w:rsidRDefault="003A08A6" w:rsidP="008C1DE4">
            <w:pPr>
              <w:pStyle w:val="DL"/>
              <w:rPr>
                <w:rFonts w:cs="@仿宋_GB2312" w:hint="eastAsia"/>
                <w:kern w:val="2"/>
                <w:lang w:val="en-US" w:eastAsia="zh-CN"/>
              </w:rPr>
            </w:pPr>
            <w:r w:rsidRPr="00FF368F">
              <w:rPr>
                <w:rFonts w:cs="@仿宋_GB2312" w:hint="eastAsia"/>
                <w:kern w:val="2"/>
                <w:lang w:val="en-US" w:eastAsia="zh-CN"/>
              </w:rPr>
              <w:t>4</w:t>
            </w:r>
          </w:p>
        </w:tc>
        <w:tc>
          <w:tcPr>
            <w:tcW w:w="1192" w:type="pct"/>
            <w:vAlign w:val="center"/>
          </w:tcPr>
          <w:p w:rsidR="003A08A6" w:rsidRPr="00555AFC" w:rsidRDefault="003A08A6" w:rsidP="008C1DE4">
            <w:pPr>
              <w:pStyle w:val="xl31"/>
              <w:adjustRightInd w:val="0"/>
              <w:snapToGrid w:val="0"/>
              <w:spacing w:line="300" w:lineRule="auto"/>
              <w:rPr>
                <w:rFonts w:hint="eastAsia"/>
                <w:b/>
                <w:sz w:val="21"/>
                <w:szCs w:val="21"/>
              </w:rPr>
            </w:pPr>
            <w:r w:rsidRPr="00555AFC">
              <w:rPr>
                <w:rFonts w:hint="eastAsia"/>
                <w:sz w:val="21"/>
                <w:szCs w:val="21"/>
              </w:rPr>
              <w:t>本项目采购标的名称及所属行业</w:t>
            </w:r>
          </w:p>
        </w:tc>
        <w:tc>
          <w:tcPr>
            <w:tcW w:w="3217" w:type="pct"/>
            <w:vAlign w:val="center"/>
          </w:tcPr>
          <w:p w:rsidR="003A08A6" w:rsidRPr="00555AFC" w:rsidRDefault="003A08A6" w:rsidP="008C1DE4">
            <w:pPr>
              <w:adjustRightInd w:val="0"/>
              <w:snapToGrid w:val="0"/>
              <w:spacing w:line="300" w:lineRule="auto"/>
              <w:jc w:val="left"/>
              <w:rPr>
                <w:rFonts w:ascii="宋体" w:eastAsia="宋体" w:hAnsi="宋体" w:hint="eastAsia"/>
                <w:szCs w:val="21"/>
              </w:rPr>
            </w:pPr>
            <w:r w:rsidRPr="00555AFC">
              <w:rPr>
                <w:rFonts w:ascii="宋体" w:eastAsia="宋体" w:hAnsi="宋体" w:hint="eastAsia"/>
                <w:szCs w:val="21"/>
              </w:rPr>
              <w:t>标的名称：智慧基地等级保护建设（二级）与测评（第2包）</w:t>
            </w:r>
          </w:p>
          <w:p w:rsidR="003A08A6" w:rsidRPr="00555AFC" w:rsidRDefault="003A08A6" w:rsidP="008C1DE4">
            <w:pPr>
              <w:adjustRightInd w:val="0"/>
              <w:snapToGrid w:val="0"/>
              <w:spacing w:line="300" w:lineRule="auto"/>
              <w:jc w:val="left"/>
              <w:rPr>
                <w:rFonts w:ascii="宋体" w:eastAsia="宋体" w:hAnsi="宋体" w:hint="eastAsia"/>
                <w:szCs w:val="21"/>
              </w:rPr>
            </w:pPr>
            <w:r w:rsidRPr="00555AFC">
              <w:rPr>
                <w:rFonts w:ascii="宋体" w:eastAsia="宋体" w:hAnsi="宋体" w:hint="eastAsia"/>
                <w:szCs w:val="21"/>
              </w:rPr>
              <w:t>所属行业：其他未列明行业</w:t>
            </w:r>
          </w:p>
        </w:tc>
      </w:tr>
    </w:tbl>
    <w:p w:rsidR="003A08A6" w:rsidRDefault="003A08A6" w:rsidP="003A08A6">
      <w:pPr>
        <w:spacing w:line="360" w:lineRule="auto"/>
        <w:ind w:left="437"/>
        <w:outlineLvl w:val="1"/>
        <w:rPr>
          <w:rFonts w:ascii="宋体" w:eastAsia="宋体" w:hAnsi="宋体" w:hint="eastAsia"/>
          <w:b/>
          <w:szCs w:val="21"/>
        </w:rPr>
      </w:pPr>
      <w:bookmarkStart w:id="4" w:name="_Toc16543"/>
      <w:bookmarkStart w:id="5" w:name="_Hlk16461016"/>
      <w:bookmarkStart w:id="6" w:name="_Toc173275128"/>
      <w:bookmarkStart w:id="7" w:name="_Toc8753"/>
      <w:r>
        <w:rPr>
          <w:rFonts w:ascii="宋体" w:eastAsia="宋体" w:hAnsi="宋体" w:hint="eastAsia"/>
          <w:b/>
          <w:szCs w:val="21"/>
        </w:rPr>
        <w:t>二、</w:t>
      </w:r>
      <w:bookmarkEnd w:id="4"/>
      <w:bookmarkEnd w:id="6"/>
      <w:bookmarkEnd w:id="7"/>
      <w:r>
        <w:rPr>
          <w:rFonts w:ascii="宋体" w:eastAsia="宋体" w:hAnsi="宋体" w:hint="eastAsia"/>
          <w:b/>
          <w:szCs w:val="21"/>
        </w:rPr>
        <w:t>项目概况</w:t>
      </w:r>
    </w:p>
    <w:bookmarkEnd w:id="3"/>
    <w:bookmarkEnd w:id="5"/>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为进一步提高信息系统的保障能力，根据《中华人民共和国网络安全法》（主席令第53号）、《国家网络安全事件应急预案》（中央网信办〔2017〕4号）、《GB/T 22239-2019 信息安全技术网络安全等级保护基本要求》、《GB/T 28448-2019 信息安全技术网络安全等级保护测评要求》等相关法律法规要求和安徽省体育局训练基地管理中心系统网络安全等级</w:t>
      </w:r>
      <w:r w:rsidRPr="00332FCD">
        <w:rPr>
          <w:rFonts w:ascii="宋体" w:eastAsia="宋体" w:hAnsi="宋体" w:cs="Times New Roman" w:hint="eastAsia"/>
          <w:color w:val="000000"/>
          <w:kern w:val="0"/>
          <w:szCs w:val="21"/>
        </w:rPr>
        <w:lastRenderedPageBreak/>
        <w:t>保护相关要求，我单位信息系统需依据等级保护2.0相关要求开展等保测评工作。</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我单位将委托第三方有测评资质的测评机构，对我单位信息系统按照等级保护要求进行测评，测评结束后出具符合公安部门要求的信息系统网络安全测评报告。</w:t>
      </w:r>
    </w:p>
    <w:p w:rsidR="003A08A6" w:rsidRPr="00332FCD" w:rsidRDefault="003A08A6" w:rsidP="003A08A6">
      <w:pPr>
        <w:keepLines/>
        <w:widowControl/>
        <w:tabs>
          <w:tab w:val="left" w:pos="1260"/>
        </w:tabs>
        <w:snapToGrid w:val="0"/>
        <w:spacing w:line="360" w:lineRule="auto"/>
        <w:outlineLvl w:val="1"/>
        <w:rPr>
          <w:rFonts w:ascii="宋体" w:eastAsia="宋体" w:hAnsi="宋体" w:cs="Times New Roman"/>
          <w:color w:val="000000"/>
          <w:kern w:val="0"/>
          <w:szCs w:val="21"/>
        </w:rPr>
      </w:pPr>
      <w:r>
        <w:rPr>
          <w:rFonts w:ascii="宋体" w:eastAsia="宋体" w:hAnsi="宋体" w:cs="Times New Roman"/>
          <w:b/>
          <w:bCs/>
          <w:color w:val="000000"/>
          <w:szCs w:val="21"/>
        </w:rPr>
        <w:t>三</w:t>
      </w:r>
      <w:r w:rsidRPr="00332FCD">
        <w:rPr>
          <w:rFonts w:ascii="宋体" w:eastAsia="宋体" w:hAnsi="宋体" w:cs="Times New Roman"/>
          <w:b/>
          <w:bCs/>
          <w:color w:val="000000"/>
          <w:szCs w:val="21"/>
        </w:rPr>
        <w:t>、项目</w:t>
      </w:r>
      <w:r w:rsidRPr="00332FCD">
        <w:rPr>
          <w:rFonts w:ascii="宋体" w:eastAsia="宋体" w:hAnsi="宋体" w:cs="Times New Roman" w:hint="eastAsia"/>
          <w:b/>
          <w:bCs/>
          <w:color w:val="000000"/>
          <w:szCs w:val="21"/>
        </w:rPr>
        <w:t>目标</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本次信息系统网络安全等级保护测评就本单位安徽省体育局训练基地管理中心系统进行等级保护测评。测评单位应依据相应等级的安全保护测评要求及行业的特殊安全需求，对信息系统网络安全进行等级保护符合性测评。测评内容涵盖物理和环境安全、网络和通信安全、设备和计算安全、应用和数据安全、数据安全与备份恢复、安全策略和管理制度、安全管理机构和人员、系统建设管理、系统运维管理等信息安全的各个层面。</w:t>
      </w:r>
    </w:p>
    <w:p w:rsidR="003A08A6" w:rsidRPr="00332FCD" w:rsidRDefault="003A08A6" w:rsidP="003A08A6">
      <w:pPr>
        <w:keepLines/>
        <w:widowControl/>
        <w:tabs>
          <w:tab w:val="left" w:pos="1260"/>
        </w:tabs>
        <w:snapToGrid w:val="0"/>
        <w:spacing w:line="360" w:lineRule="auto"/>
        <w:outlineLvl w:val="1"/>
        <w:rPr>
          <w:rFonts w:ascii="宋体" w:eastAsia="宋体" w:hAnsi="宋体" w:cs="Times New Roman" w:hint="eastAsia"/>
          <w:b/>
          <w:bCs/>
          <w:color w:val="000000"/>
          <w:szCs w:val="21"/>
        </w:rPr>
      </w:pPr>
      <w:r>
        <w:rPr>
          <w:rFonts w:ascii="宋体" w:eastAsia="宋体" w:hAnsi="宋体" w:cs="Times New Roman" w:hint="eastAsia"/>
          <w:b/>
          <w:bCs/>
          <w:color w:val="000000"/>
          <w:szCs w:val="21"/>
        </w:rPr>
        <w:t>四</w:t>
      </w:r>
      <w:r w:rsidRPr="00332FCD">
        <w:rPr>
          <w:rFonts w:ascii="宋体" w:eastAsia="宋体" w:hAnsi="宋体" w:cs="Times New Roman" w:hint="eastAsia"/>
          <w:b/>
          <w:bCs/>
          <w:color w:val="000000"/>
          <w:szCs w:val="21"/>
        </w:rPr>
        <w:t>、实施原则</w:t>
      </w:r>
    </w:p>
    <w:p w:rsidR="003A08A6" w:rsidRPr="00332FCD" w:rsidRDefault="003A08A6" w:rsidP="003A08A6">
      <w:pPr>
        <w:adjustRightInd w:val="0"/>
        <w:snapToGrid w:val="0"/>
        <w:spacing w:line="360" w:lineRule="auto"/>
        <w:ind w:firstLineChars="200" w:firstLine="420"/>
        <w:rPr>
          <w:rFonts w:ascii="宋体" w:eastAsia="宋体" w:hAnsi="宋体" w:cs="Times New Roman"/>
          <w:color w:val="000000"/>
          <w:kern w:val="0"/>
          <w:szCs w:val="21"/>
        </w:rPr>
      </w:pPr>
      <w:r w:rsidRPr="00332FCD">
        <w:rPr>
          <w:rFonts w:ascii="宋体" w:eastAsia="宋体" w:hAnsi="宋体" w:cs="Times New Roman" w:hint="eastAsia"/>
          <w:color w:val="000000"/>
          <w:kern w:val="0"/>
          <w:szCs w:val="21"/>
        </w:rPr>
        <w:t>1.保密原则。对测评的过程数据和结果数据严格保密，未经授权不得泄露给任何单位和个人，不得利用此数据进行任何侵害招标人的行为，否则招标人有权追究中标人的责任。</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2.标准性原则。测评方案的设计与实施应依据国家等级保护的相关标准进行。</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3.规范性原则。中标人的工作中的过程和文档，具有很好的规范性，可以便于项目的跟踪和控制。</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4.可控性原则。测评服务的进度要跟上进度表的安排，保证招标人对于测评工作的可控性。</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5.整体性原则。测评的范围和内容应当整体全面，包括国家等级保护相关要求涉及的各个层面。</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6.最小影响原则。测评工作应尽可能小的影响系统和网络，并在可控范围内；测评工作不能对现有信息系统的正常运行、业务的正常开展产生任何影响。</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中标人应严格依照上述原则和国家等级保护相关标准开展项目实施工作。</w:t>
      </w:r>
    </w:p>
    <w:p w:rsidR="003A08A6" w:rsidRPr="00332FCD" w:rsidRDefault="003A08A6" w:rsidP="003A08A6">
      <w:pPr>
        <w:keepLines/>
        <w:widowControl/>
        <w:tabs>
          <w:tab w:val="left" w:pos="1260"/>
        </w:tabs>
        <w:snapToGrid w:val="0"/>
        <w:spacing w:line="360" w:lineRule="auto"/>
        <w:outlineLvl w:val="1"/>
        <w:rPr>
          <w:rFonts w:ascii="宋体" w:eastAsia="宋体" w:hAnsi="宋体" w:cs="Times New Roman" w:hint="eastAsia"/>
          <w:b/>
          <w:bCs/>
          <w:color w:val="000000"/>
          <w:szCs w:val="21"/>
        </w:rPr>
      </w:pPr>
      <w:r>
        <w:rPr>
          <w:rFonts w:ascii="宋体" w:eastAsia="宋体" w:hAnsi="宋体" w:cs="Times New Roman" w:hint="eastAsia"/>
          <w:b/>
          <w:bCs/>
          <w:color w:val="000000"/>
          <w:szCs w:val="21"/>
        </w:rPr>
        <w:t>五</w:t>
      </w:r>
      <w:r w:rsidRPr="00332FCD">
        <w:rPr>
          <w:rFonts w:ascii="宋体" w:eastAsia="宋体" w:hAnsi="宋体" w:cs="Times New Roman" w:hint="eastAsia"/>
          <w:b/>
          <w:bCs/>
          <w:color w:val="000000"/>
          <w:szCs w:val="21"/>
        </w:rPr>
        <w:t>、项目需求</w:t>
      </w:r>
    </w:p>
    <w:p w:rsidR="003A08A6" w:rsidRPr="00332FCD" w:rsidRDefault="003A08A6" w:rsidP="003A08A6">
      <w:pPr>
        <w:adjustRightInd w:val="0"/>
        <w:snapToGrid w:val="0"/>
        <w:spacing w:line="360" w:lineRule="auto"/>
        <w:ind w:firstLineChars="200" w:firstLine="420"/>
        <w:rPr>
          <w:rFonts w:ascii="宋体" w:eastAsia="宋体" w:hAnsi="宋体" w:cs="Times New Roman"/>
          <w:color w:val="000000"/>
          <w:kern w:val="0"/>
          <w:szCs w:val="21"/>
        </w:rPr>
      </w:pPr>
      <w:r w:rsidRPr="00332FCD">
        <w:rPr>
          <w:rFonts w:ascii="宋体" w:eastAsia="宋体" w:hAnsi="宋体" w:cs="Times New Roman" w:hint="eastAsia"/>
          <w:color w:val="000000"/>
          <w:kern w:val="0"/>
          <w:szCs w:val="21"/>
        </w:rPr>
        <w:t>1.等级保护测评服务。主要需求如下：</w:t>
      </w: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835"/>
        <w:gridCol w:w="1247"/>
        <w:gridCol w:w="1191"/>
        <w:gridCol w:w="2715"/>
      </w:tblGrid>
      <w:tr w:rsidR="003A08A6" w:rsidRPr="00332FCD" w:rsidTr="008C1DE4">
        <w:trPr>
          <w:trHeight w:val="567"/>
          <w:jc w:val="center"/>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序号</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系统名称</w:t>
            </w:r>
          </w:p>
        </w:tc>
        <w:tc>
          <w:tcPr>
            <w:tcW w:w="1247"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等级</w:t>
            </w:r>
          </w:p>
        </w:tc>
        <w:tc>
          <w:tcPr>
            <w:tcW w:w="1191"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等保测评</w:t>
            </w:r>
          </w:p>
        </w:tc>
        <w:tc>
          <w:tcPr>
            <w:tcW w:w="2715"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备注</w:t>
            </w:r>
          </w:p>
        </w:tc>
      </w:tr>
      <w:tr w:rsidR="003A08A6" w:rsidRPr="00332FCD" w:rsidTr="008C1DE4">
        <w:trPr>
          <w:trHeight w:val="567"/>
          <w:jc w:val="center"/>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1</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安徽省体育局训练基地管理中心系统</w:t>
            </w:r>
          </w:p>
        </w:tc>
        <w:tc>
          <w:tcPr>
            <w:tcW w:w="1247"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二级</w:t>
            </w:r>
          </w:p>
        </w:tc>
        <w:tc>
          <w:tcPr>
            <w:tcW w:w="1191"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w:t>
            </w:r>
          </w:p>
        </w:tc>
        <w:tc>
          <w:tcPr>
            <w:tcW w:w="2715" w:type="dxa"/>
            <w:tcBorders>
              <w:top w:val="single" w:sz="4" w:space="0" w:color="auto"/>
              <w:left w:val="nil"/>
              <w:bottom w:val="single" w:sz="4" w:space="0" w:color="auto"/>
              <w:right w:val="single" w:sz="4" w:space="0" w:color="auto"/>
            </w:tcBorders>
            <w:shd w:val="clear" w:color="auto" w:fill="FFFFFF"/>
            <w:vAlign w:val="center"/>
            <w:hideMark/>
          </w:tcPr>
          <w:p w:rsidR="003A08A6" w:rsidRPr="00332FCD" w:rsidRDefault="003A08A6" w:rsidP="008C1DE4">
            <w:pPr>
              <w:keepLines/>
              <w:widowControl/>
              <w:tabs>
                <w:tab w:val="left" w:pos="1260"/>
              </w:tabs>
              <w:snapToGrid w:val="0"/>
              <w:spacing w:line="360" w:lineRule="auto"/>
              <w:jc w:val="center"/>
              <w:outlineLvl w:val="1"/>
              <w:rPr>
                <w:rFonts w:ascii="宋体" w:eastAsia="宋体" w:hAnsi="宋体" w:cs="Times New Roman"/>
                <w:bCs/>
                <w:color w:val="000000"/>
                <w:szCs w:val="21"/>
              </w:rPr>
            </w:pPr>
            <w:r w:rsidRPr="00332FCD">
              <w:rPr>
                <w:rFonts w:ascii="宋体" w:eastAsia="宋体" w:hAnsi="宋体" w:cs="Times New Roman" w:hint="eastAsia"/>
                <w:bCs/>
                <w:color w:val="000000"/>
                <w:szCs w:val="21"/>
              </w:rPr>
              <w:t>协助完成整改工作</w:t>
            </w:r>
          </w:p>
        </w:tc>
      </w:tr>
    </w:tbl>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2</w:t>
      </w:r>
      <w:r w:rsidRPr="00332FCD" w:rsidDel="00901E95">
        <w:rPr>
          <w:rFonts w:ascii="宋体" w:eastAsia="宋体" w:hAnsi="宋体" w:cs="Times New Roman" w:hint="eastAsia"/>
          <w:color w:val="000000"/>
          <w:kern w:val="0"/>
          <w:szCs w:val="21"/>
        </w:rPr>
        <w:t>.</w:t>
      </w:r>
      <w:r w:rsidRPr="00332FCD">
        <w:rPr>
          <w:rFonts w:ascii="宋体" w:eastAsia="宋体" w:hAnsi="宋体" w:cs="Times New Roman" w:hint="eastAsia"/>
          <w:color w:val="000000"/>
          <w:kern w:val="0"/>
          <w:szCs w:val="21"/>
        </w:rPr>
        <w:t>服务要求。要求测评机构以国家等级保护相关标准《GB/T 22239-2019信息安全技术 网络安全等级保护基本要求》、《GB/T 22240-2020 信息安全技术 网络安全等级保护定级指南》为基础，对采购人整体信息系统的构成、应用情况、网络结构、安全现状加以分析研究、编制信息系统测评技术方案和实施方案，提交差距分析、问题清单及整改意见、测评报告、等一系列技术文档。</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3.技术规格和标准。</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（1）《信息安全技术 网络安全等级保护基本要求》（GB/T 22239-2019）</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lastRenderedPageBreak/>
        <w:t>（2）《信息安全技术 网络安全等级保护测评要求》（GB/T 28448-2019）</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（3）《信息安全技术 网络安全等级保护测评过程指南》（GB/T 28449-2018）</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（4）《计算机信息系统安全保护等级划分准则》（GB 17859-1999）</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（5）《信息安全技术 信息系统安全等级保护定级指南》（GB/T 22240-2020）</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4.项目内容</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w:t>
      </w:r>
      <w:r>
        <w:rPr>
          <w:rFonts w:ascii="宋体" w:eastAsia="宋体" w:hAnsi="宋体" w:cs="Times New Roman" w:hint="eastAsia"/>
          <w:color w:val="000000"/>
          <w:kern w:val="0"/>
          <w:szCs w:val="21"/>
        </w:rPr>
        <w:t>1</w:t>
      </w:r>
      <w:r w:rsidRPr="00332FCD">
        <w:rPr>
          <w:rFonts w:ascii="宋体" w:eastAsia="宋体" w:hAnsi="宋体" w:cs="Times New Roman" w:hint="eastAsia"/>
          <w:color w:val="000000"/>
          <w:kern w:val="0"/>
          <w:szCs w:val="21"/>
        </w:rPr>
        <w:t>）系统定级与备案。协助我单位完成系统的定级（含专家评审）与备案工作，最终取得公安部门下发的备案证明。</w:t>
      </w:r>
    </w:p>
    <w:p w:rsidR="003A08A6" w:rsidRDefault="003A08A6" w:rsidP="003A08A6">
      <w:pPr>
        <w:adjustRightInd w:val="0"/>
        <w:snapToGrid w:val="0"/>
        <w:spacing w:line="360" w:lineRule="auto"/>
        <w:ind w:firstLineChars="200" w:firstLine="420"/>
        <w:rPr>
          <w:rFonts w:ascii="宋体" w:eastAsia="宋体" w:hAnsi="宋体" w:cs="Times New Roman"/>
          <w:color w:val="000000"/>
          <w:kern w:val="0"/>
          <w:szCs w:val="21"/>
        </w:rPr>
      </w:pPr>
      <w:r w:rsidRPr="00332FCD">
        <w:rPr>
          <w:rFonts w:ascii="宋体" w:eastAsia="宋体" w:hAnsi="宋体" w:cs="Times New Roman" w:hint="eastAsia"/>
          <w:color w:val="000000"/>
          <w:kern w:val="0"/>
          <w:szCs w:val="21"/>
        </w:rPr>
        <w:t>（</w:t>
      </w:r>
      <w:r>
        <w:rPr>
          <w:rFonts w:ascii="宋体" w:eastAsia="宋体" w:hAnsi="宋体" w:cs="Times New Roman" w:hint="eastAsia"/>
          <w:color w:val="000000"/>
          <w:kern w:val="0"/>
          <w:szCs w:val="21"/>
        </w:rPr>
        <w:t>2</w:t>
      </w:r>
      <w:r w:rsidRPr="00332FCD">
        <w:rPr>
          <w:rFonts w:ascii="宋体" w:eastAsia="宋体" w:hAnsi="宋体" w:cs="Times New Roman" w:hint="eastAsia"/>
          <w:color w:val="000000"/>
          <w:kern w:val="0"/>
          <w:szCs w:val="21"/>
        </w:rPr>
        <w:t>）等级保护测评。依据《信息安全技术 网络安全等级保护基本要求》（GB/T 22239-2019）、《信息安全技术 网络安全等级保护测评要求》（GB/T 28448-2019）等国家等级保护相关标准，参照《信息安全技术 信息系统安全等级保护定级指南》（GB/T 22240）、《信息安全技术 网络安全等级保护测评过程指南》（GB/T 28449-2018），完成安全技术层面包括安全物理环境、安全通信网络、安全区域边界、安全计算环境和安全管理中心五个方面的安全测评；安全管理层面包括安全管理机构、安全管理制度、安全管理人员、安全建设管理和安全运维管理五个方面的安全测评。完成上述测评工作和整改加固实施后，供应商最后出具符合公安机关要求的各信息系统网络安全等级保护测评报告。</w:t>
      </w:r>
    </w:p>
    <w:p w:rsidR="003A08A6" w:rsidRPr="0074378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w:t>
      </w:r>
      <w:r>
        <w:rPr>
          <w:rFonts w:ascii="宋体" w:eastAsia="宋体" w:hAnsi="宋体" w:cs="Times New Roman" w:hint="eastAsia"/>
          <w:color w:val="000000"/>
          <w:kern w:val="0"/>
          <w:szCs w:val="21"/>
        </w:rPr>
        <w:t>3</w:t>
      </w:r>
      <w:r w:rsidRPr="00332FCD">
        <w:rPr>
          <w:rFonts w:ascii="宋体" w:eastAsia="宋体" w:hAnsi="宋体" w:cs="Times New Roman" w:hint="eastAsia"/>
          <w:color w:val="000000"/>
          <w:kern w:val="0"/>
          <w:szCs w:val="21"/>
        </w:rPr>
        <w:t>）扫描渗透。供应商需针对网络设备，服务器，应用</w:t>
      </w:r>
      <w:r>
        <w:rPr>
          <w:rFonts w:ascii="宋体" w:eastAsia="宋体" w:hAnsi="宋体" w:cs="Times New Roman" w:hint="eastAsia"/>
          <w:color w:val="000000"/>
          <w:kern w:val="0"/>
          <w:szCs w:val="21"/>
        </w:rPr>
        <w:t>系统</w:t>
      </w:r>
      <w:r w:rsidRPr="00332FCD">
        <w:rPr>
          <w:rFonts w:ascii="宋体" w:eastAsia="宋体" w:hAnsi="宋体" w:cs="Times New Roman" w:hint="eastAsia"/>
          <w:color w:val="000000"/>
          <w:kern w:val="0"/>
          <w:szCs w:val="21"/>
        </w:rPr>
        <w:t>等进行漏洞扫描，对</w:t>
      </w:r>
      <w:r>
        <w:rPr>
          <w:rFonts w:ascii="宋体" w:eastAsia="宋体" w:hAnsi="宋体" w:cs="Times New Roman" w:hint="eastAsia"/>
          <w:color w:val="000000"/>
          <w:kern w:val="0"/>
          <w:szCs w:val="21"/>
        </w:rPr>
        <w:t>发现的漏洞</w:t>
      </w:r>
      <w:r w:rsidRPr="00332FCD">
        <w:rPr>
          <w:rFonts w:ascii="宋体" w:eastAsia="宋体" w:hAnsi="宋体" w:cs="Times New Roman" w:hint="eastAsia"/>
          <w:color w:val="000000"/>
          <w:kern w:val="0"/>
          <w:szCs w:val="21"/>
        </w:rPr>
        <w:t>进行验证性渗透测试。</w:t>
      </w:r>
    </w:p>
    <w:p w:rsidR="003A08A6" w:rsidRPr="00332FCD"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sidRPr="00332FCD">
        <w:rPr>
          <w:rFonts w:ascii="宋体" w:eastAsia="宋体" w:hAnsi="宋体" w:cs="Times New Roman" w:hint="eastAsia"/>
          <w:color w:val="000000"/>
          <w:kern w:val="0"/>
          <w:szCs w:val="21"/>
        </w:rPr>
        <w:t>（</w:t>
      </w:r>
      <w:r>
        <w:rPr>
          <w:rFonts w:ascii="宋体" w:eastAsia="宋体" w:hAnsi="宋体" w:cs="Times New Roman" w:hint="eastAsia"/>
          <w:color w:val="000000"/>
          <w:kern w:val="0"/>
          <w:szCs w:val="21"/>
        </w:rPr>
        <w:t>4</w:t>
      </w:r>
      <w:r w:rsidRPr="00332FCD">
        <w:rPr>
          <w:rFonts w:ascii="宋体" w:eastAsia="宋体" w:hAnsi="宋体" w:cs="Times New Roman" w:hint="eastAsia"/>
          <w:color w:val="000000"/>
          <w:kern w:val="0"/>
          <w:szCs w:val="21"/>
        </w:rPr>
        <w:t>）测评结果反馈</w:t>
      </w:r>
      <w:r>
        <w:rPr>
          <w:rFonts w:ascii="宋体" w:eastAsia="宋体" w:hAnsi="宋体" w:cs="Times New Roman" w:hint="eastAsia"/>
          <w:color w:val="000000"/>
          <w:kern w:val="0"/>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78"/>
        <w:gridCol w:w="5283"/>
      </w:tblGrid>
      <w:tr w:rsidR="003A08A6" w:rsidRPr="00332FCD" w:rsidTr="008C1DE4">
        <w:trPr>
          <w:cantSplit/>
          <w:trHeight w:val="454"/>
          <w:jc w:val="center"/>
        </w:trPr>
        <w:tc>
          <w:tcPr>
            <w:tcW w:w="2478" w:type="dxa"/>
            <w:tcBorders>
              <w:top w:val="single" w:sz="4" w:space="0" w:color="000000"/>
              <w:left w:val="single" w:sz="4" w:space="0" w:color="000000"/>
              <w:bottom w:val="single" w:sz="4" w:space="0" w:color="000000"/>
              <w:right w:val="single" w:sz="4" w:space="0" w:color="000000"/>
            </w:tcBorders>
            <w:vAlign w:val="center"/>
            <w:hideMark/>
          </w:tcPr>
          <w:p w:rsidR="003A08A6" w:rsidRPr="00332FCD" w:rsidRDefault="003A08A6" w:rsidP="008C1DE4">
            <w:pPr>
              <w:autoSpaceDE w:val="0"/>
              <w:autoSpaceDN w:val="0"/>
              <w:adjustRightInd w:val="0"/>
              <w:snapToGrid w:val="0"/>
              <w:spacing w:line="300" w:lineRule="auto"/>
              <w:jc w:val="center"/>
              <w:rPr>
                <w:rFonts w:ascii="宋体" w:eastAsia="宋体" w:hAnsi="宋体" w:cs="宋体"/>
                <w:szCs w:val="24"/>
              </w:rPr>
            </w:pPr>
            <w:r w:rsidRPr="00332FCD">
              <w:rPr>
                <w:rFonts w:ascii="Times New Roman" w:eastAsia="宋体" w:hAnsi="Times New Roman" w:cs="Times New Roman" w:hint="eastAsia"/>
                <w:b/>
                <w:bCs/>
                <w:szCs w:val="24"/>
              </w:rPr>
              <w:t>等级保护测评工作</w:t>
            </w:r>
          </w:p>
        </w:tc>
        <w:tc>
          <w:tcPr>
            <w:tcW w:w="5283" w:type="dxa"/>
            <w:tcBorders>
              <w:top w:val="single" w:sz="4" w:space="0" w:color="000000"/>
              <w:left w:val="nil"/>
              <w:bottom w:val="single" w:sz="4" w:space="0" w:color="000000"/>
              <w:right w:val="single" w:sz="4" w:space="0" w:color="000000"/>
            </w:tcBorders>
            <w:vAlign w:val="center"/>
            <w:hideMark/>
          </w:tcPr>
          <w:p w:rsidR="003A08A6" w:rsidRPr="00332FCD" w:rsidRDefault="003A08A6" w:rsidP="008C1DE4">
            <w:pPr>
              <w:widowControl/>
              <w:suppressAutoHyphens/>
              <w:adjustRightInd w:val="0"/>
              <w:snapToGrid w:val="0"/>
              <w:spacing w:line="300" w:lineRule="auto"/>
              <w:rPr>
                <w:rFonts w:ascii="宋体" w:eastAsia="宋体" w:hAnsi="宋体" w:cs="宋体"/>
                <w:kern w:val="1"/>
                <w:szCs w:val="24"/>
                <w:lang w:eastAsia="ar-SA"/>
              </w:rPr>
            </w:pPr>
            <w:r w:rsidRPr="00332FCD">
              <w:rPr>
                <w:rFonts w:ascii="宋体" w:eastAsia="宋体" w:hAnsi="宋体" w:cs="Times New Roman" w:hint="eastAsia"/>
                <w:kern w:val="1"/>
                <w:szCs w:val="24"/>
                <w:lang w:eastAsia="ar-SA"/>
              </w:rPr>
              <w:t>1.问题清单及整改建议。</w:t>
            </w:r>
          </w:p>
          <w:p w:rsidR="003A08A6" w:rsidRPr="00332FCD" w:rsidRDefault="003A08A6" w:rsidP="008C1DE4">
            <w:pPr>
              <w:widowControl/>
              <w:suppressAutoHyphens/>
              <w:adjustRightInd w:val="0"/>
              <w:snapToGrid w:val="0"/>
              <w:spacing w:line="300" w:lineRule="auto"/>
              <w:rPr>
                <w:rFonts w:ascii="宋体" w:eastAsia="宋体" w:hAnsi="宋体" w:cs="Times New Roman"/>
                <w:kern w:val="1"/>
                <w:szCs w:val="24"/>
                <w:lang w:eastAsia="ar-SA"/>
              </w:rPr>
            </w:pPr>
            <w:r w:rsidRPr="00332FCD">
              <w:rPr>
                <w:rFonts w:ascii="宋体" w:eastAsia="宋体" w:hAnsi="宋体" w:cs="Times New Roman" w:hint="eastAsia"/>
                <w:kern w:val="1"/>
                <w:szCs w:val="24"/>
                <w:lang w:eastAsia="ar-SA"/>
              </w:rPr>
              <w:t>2.信息系统网络安全等级保护测评报告。</w:t>
            </w:r>
          </w:p>
        </w:tc>
      </w:tr>
    </w:tbl>
    <w:p w:rsidR="003A08A6" w:rsidRDefault="003A08A6" w:rsidP="003A08A6">
      <w:pPr>
        <w:keepLines/>
        <w:widowControl/>
        <w:tabs>
          <w:tab w:val="left" w:pos="1260"/>
        </w:tabs>
        <w:snapToGrid w:val="0"/>
        <w:spacing w:line="360" w:lineRule="auto"/>
        <w:outlineLvl w:val="1"/>
        <w:rPr>
          <w:rFonts w:ascii="宋体" w:eastAsia="宋体" w:hAnsi="宋体" w:cs="Times New Roman" w:hint="eastAsia"/>
          <w:b/>
          <w:bCs/>
          <w:color w:val="000000"/>
          <w:szCs w:val="21"/>
        </w:rPr>
      </w:pPr>
      <w:r w:rsidRPr="00332FCD">
        <w:rPr>
          <w:rFonts w:ascii="宋体" w:eastAsia="宋体" w:hAnsi="宋体" w:cs="Times New Roman"/>
          <w:b/>
          <w:bCs/>
          <w:color w:val="000000"/>
          <w:szCs w:val="21"/>
        </w:rPr>
        <w:t>六、</w:t>
      </w:r>
      <w:r>
        <w:rPr>
          <w:rFonts w:ascii="宋体" w:eastAsia="宋体" w:hAnsi="宋体" w:cs="Times New Roman" w:hint="eastAsia"/>
          <w:b/>
          <w:bCs/>
          <w:color w:val="000000"/>
          <w:szCs w:val="21"/>
        </w:rPr>
        <w:t>其他要求</w:t>
      </w:r>
    </w:p>
    <w:p w:rsidR="003A08A6" w:rsidRPr="00034C7E" w:rsidRDefault="003A08A6" w:rsidP="003A08A6">
      <w:pPr>
        <w:adjustRightInd w:val="0"/>
        <w:snapToGrid w:val="0"/>
        <w:spacing w:line="360" w:lineRule="auto"/>
        <w:ind w:firstLineChars="200" w:firstLine="420"/>
        <w:rPr>
          <w:rFonts w:ascii="宋体" w:eastAsia="宋体" w:hAnsi="宋体" w:cs="Times New Roman" w:hint="eastAsia"/>
          <w:color w:val="000000"/>
          <w:kern w:val="0"/>
          <w:szCs w:val="21"/>
        </w:rPr>
      </w:pPr>
      <w:r>
        <w:rPr>
          <w:rFonts w:ascii="宋体" w:eastAsia="宋体" w:hAnsi="宋体" w:cs="Times New Roman" w:hint="eastAsia"/>
          <w:color w:val="000000"/>
          <w:kern w:val="0"/>
          <w:szCs w:val="21"/>
        </w:rPr>
        <w:t>无。</w:t>
      </w:r>
    </w:p>
    <w:p w:rsidR="005410BB" w:rsidRDefault="005410BB"/>
    <w:sectPr w:rsidR="005410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0BB" w:rsidRDefault="005410BB" w:rsidP="003A08A6">
      <w:r>
        <w:separator/>
      </w:r>
    </w:p>
  </w:endnote>
  <w:endnote w:type="continuationSeparator" w:id="1">
    <w:p w:rsidR="005410BB" w:rsidRDefault="005410BB" w:rsidP="003A08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0BB" w:rsidRDefault="005410BB" w:rsidP="003A08A6">
      <w:r>
        <w:separator/>
      </w:r>
    </w:p>
  </w:footnote>
  <w:footnote w:type="continuationSeparator" w:id="1">
    <w:p w:rsidR="005410BB" w:rsidRDefault="005410BB" w:rsidP="003A0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08A6"/>
    <w:rsid w:val="003A08A6"/>
    <w:rsid w:val="005410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A6"/>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8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08A6"/>
    <w:rPr>
      <w:sz w:val="18"/>
      <w:szCs w:val="18"/>
    </w:rPr>
  </w:style>
  <w:style w:type="paragraph" w:styleId="a4">
    <w:name w:val="footer"/>
    <w:basedOn w:val="a"/>
    <w:link w:val="Char0"/>
    <w:uiPriority w:val="99"/>
    <w:semiHidden/>
    <w:unhideWhenUsed/>
    <w:rsid w:val="003A08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08A6"/>
    <w:rPr>
      <w:sz w:val="18"/>
      <w:szCs w:val="18"/>
    </w:rPr>
  </w:style>
  <w:style w:type="paragraph" w:customStyle="1" w:styleId="xl31">
    <w:name w:val="xl31"/>
    <w:basedOn w:val="a"/>
    <w:qFormat/>
    <w:rsid w:val="003A08A6"/>
    <w:pPr>
      <w:spacing w:line="360" w:lineRule="auto"/>
    </w:pPr>
    <w:rPr>
      <w:rFonts w:ascii="宋体" w:eastAsia="宋体" w:hAnsi="宋体"/>
      <w:bCs/>
      <w:kern w:val="0"/>
      <w:sz w:val="24"/>
      <w:szCs w:val="28"/>
    </w:rPr>
  </w:style>
  <w:style w:type="paragraph" w:customStyle="1" w:styleId="DL">
    <w:name w:val="D&amp;L"/>
    <w:basedOn w:val="a3"/>
    <w:qFormat/>
    <w:rsid w:val="003A08A6"/>
    <w:pPr>
      <w:pBdr>
        <w:bottom w:val="none" w:sz="0" w:space="0" w:color="auto"/>
      </w:pBdr>
      <w:tabs>
        <w:tab w:val="clear" w:pos="4153"/>
        <w:tab w:val="clear" w:pos="8306"/>
      </w:tabs>
      <w:adjustRightInd w:val="0"/>
      <w:spacing w:line="300" w:lineRule="auto"/>
    </w:pPr>
    <w:rPr>
      <w:rFonts w:ascii="宋体" w:eastAsia="宋体" w:hAnsi="宋体" w:cs="Times New Roman"/>
      <w:bCs/>
      <w:kern w:val="0"/>
      <w:sz w:val="21"/>
      <w:szCs w:val="21"/>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2181</Characters>
  <Application>Microsoft Office Word</Application>
  <DocSecurity>0</DocSecurity>
  <Lines>18</Lines>
  <Paragraphs>5</Paragraphs>
  <ScaleCrop>false</ScaleCrop>
  <Company>Microsoft</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cp:revision>
  <dcterms:created xsi:type="dcterms:W3CDTF">2024-11-19T11:21:00Z</dcterms:created>
  <dcterms:modified xsi:type="dcterms:W3CDTF">2024-11-19T11:22:00Z</dcterms:modified>
</cp:coreProperties>
</file>