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BE3AC">
      <w:pPr>
        <w:spacing w:line="360" w:lineRule="auto"/>
        <w:jc w:val="center"/>
        <w:outlineLvl w:val="0"/>
        <w:rPr>
          <w:rFonts w:ascii="宋体" w:hAnsi="宋体" w:eastAsia="宋体"/>
          <w:b/>
          <w:color w:val="auto"/>
          <w:sz w:val="28"/>
          <w:highlight w:val="none"/>
        </w:rPr>
      </w:pPr>
      <w:bookmarkStart w:id="0" w:name="_Toc178465409"/>
      <w:r>
        <w:rPr>
          <w:rFonts w:hint="eastAsia" w:ascii="宋体" w:hAnsi="宋体" w:eastAsia="宋体"/>
          <w:b/>
          <w:color w:val="auto"/>
          <w:sz w:val="28"/>
          <w:highlight w:val="none"/>
        </w:rPr>
        <w:t>第三章  采购需求</w:t>
      </w:r>
      <w:bookmarkEnd w:id="0"/>
    </w:p>
    <w:p w14:paraId="32FB096C">
      <w:pPr>
        <w:adjustRightInd w:val="0"/>
        <w:snapToGrid w:val="0"/>
        <w:spacing w:line="360" w:lineRule="auto"/>
        <w:ind w:firstLine="422"/>
        <w:rPr>
          <w:rFonts w:ascii="宋体" w:hAnsi="宋体" w:eastAsia="宋体"/>
          <w:b/>
          <w:color w:val="auto"/>
          <w:szCs w:val="21"/>
          <w:highlight w:val="none"/>
        </w:rPr>
      </w:pPr>
      <w:r>
        <w:rPr>
          <w:rFonts w:hint="eastAsia" w:ascii="宋体" w:hAnsi="宋体" w:eastAsia="宋体"/>
          <w:b/>
          <w:color w:val="auto"/>
          <w:szCs w:val="21"/>
          <w:highlight w:val="none"/>
        </w:rPr>
        <w:t>前注：</w:t>
      </w:r>
    </w:p>
    <w:p w14:paraId="693F6B18">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根据《</w:t>
      </w:r>
      <w:r>
        <w:rPr>
          <w:rFonts w:hint="eastAsia" w:ascii="宋体" w:hAnsi="宋体" w:eastAsia="宋体"/>
          <w:color w:val="auto"/>
          <w:szCs w:val="21"/>
          <w:highlight w:val="none"/>
        </w:rPr>
        <w:t>政府采购进口产品管理办法</w:t>
      </w:r>
      <w:r>
        <w:rPr>
          <w:rFonts w:ascii="宋体" w:hAnsi="宋体" w:eastAsia="宋体"/>
          <w:color w:val="auto"/>
          <w:szCs w:val="21"/>
          <w:highlight w:val="none"/>
        </w:rPr>
        <w:t>》及政府采购管理部门的相关规定，下列采购需求中</w:t>
      </w:r>
      <w:r>
        <w:rPr>
          <w:rFonts w:hint="eastAsia" w:ascii="宋体" w:hAnsi="宋体" w:eastAsia="宋体"/>
          <w:color w:val="auto"/>
          <w:szCs w:val="21"/>
          <w:highlight w:val="none"/>
        </w:rPr>
        <w:t>标注进口产品的货物均</w:t>
      </w:r>
      <w:r>
        <w:rPr>
          <w:rFonts w:ascii="宋体" w:hAnsi="宋体" w:eastAsia="宋体"/>
          <w:color w:val="auto"/>
          <w:szCs w:val="21"/>
          <w:highlight w:val="none"/>
        </w:rPr>
        <w:t>已履行相关论证手续，经核准采购进口</w:t>
      </w:r>
      <w:r>
        <w:rPr>
          <w:rFonts w:hint="eastAsia" w:ascii="宋体" w:hAnsi="宋体" w:eastAsia="宋体"/>
          <w:color w:val="auto"/>
          <w:szCs w:val="21"/>
          <w:highlight w:val="none"/>
        </w:rPr>
        <w:t>产品</w:t>
      </w:r>
      <w:r>
        <w:rPr>
          <w:rFonts w:ascii="宋体" w:hAnsi="宋体" w:eastAsia="宋体"/>
          <w:color w:val="auto"/>
          <w:szCs w:val="21"/>
          <w:highlight w:val="none"/>
        </w:rPr>
        <w:t>，但不限制满足招标文件要求的国内产品参与竞争</w:t>
      </w:r>
      <w:r>
        <w:rPr>
          <w:rFonts w:hint="eastAsia" w:ascii="宋体" w:hAnsi="宋体" w:eastAsia="宋体"/>
          <w:color w:val="auto"/>
          <w:szCs w:val="21"/>
          <w:highlight w:val="none"/>
        </w:rPr>
        <w:t>。未标注进口产品的货物均</w:t>
      </w:r>
      <w:r>
        <w:rPr>
          <w:rFonts w:ascii="宋体" w:hAnsi="宋体" w:eastAsia="宋体"/>
          <w:color w:val="auto"/>
          <w:szCs w:val="21"/>
          <w:highlight w:val="none"/>
        </w:rPr>
        <w:t>为拒绝采购进口产品</w:t>
      </w:r>
      <w:r>
        <w:rPr>
          <w:rFonts w:hint="eastAsia" w:ascii="宋体" w:hAnsi="宋体" w:eastAsia="宋体"/>
          <w:color w:val="auto"/>
          <w:szCs w:val="21"/>
          <w:highlight w:val="none"/>
        </w:rPr>
        <w:t>。</w:t>
      </w:r>
    </w:p>
    <w:p w14:paraId="142D21AC">
      <w:pPr>
        <w:adjustRightInd w:val="0"/>
        <w:snapToGrid w:val="0"/>
        <w:spacing w:line="360" w:lineRule="auto"/>
        <w:ind w:firstLine="420"/>
        <w:rPr>
          <w:rFonts w:ascii="宋体" w:hAnsi="宋体" w:eastAsia="宋体"/>
          <w:color w:val="auto"/>
          <w:szCs w:val="21"/>
          <w:highlight w:val="none"/>
        </w:rPr>
      </w:pPr>
      <w:r>
        <w:rPr>
          <w:rFonts w:hint="eastAsia" w:ascii="宋体" w:hAnsi="宋体" w:eastAsia="宋体"/>
          <w:color w:val="auto"/>
          <w:szCs w:val="21"/>
          <w:highlight w:val="none"/>
        </w:rPr>
        <w:t>2.</w:t>
      </w:r>
      <w:r>
        <w:rPr>
          <w:rFonts w:ascii="宋体" w:hAnsi="宋体" w:eastAsia="宋体" w:cs="宋体"/>
          <w:color w:val="auto"/>
          <w:szCs w:val="21"/>
          <w:highlight w:val="none"/>
        </w:rPr>
        <w:t>政府采购政策（包括但不限于下列具体政策要求</w:t>
      </w:r>
      <w:r>
        <w:rPr>
          <w:rFonts w:hint="eastAsia" w:ascii="宋体" w:hAnsi="宋体" w:eastAsia="宋体" w:cs="宋体"/>
          <w:color w:val="auto"/>
          <w:szCs w:val="21"/>
          <w:highlight w:val="none"/>
        </w:rPr>
        <w:t>）</w:t>
      </w:r>
      <w:r>
        <w:rPr>
          <w:rFonts w:hint="eastAsia" w:ascii="宋体" w:hAnsi="宋体" w:eastAsia="宋体"/>
          <w:color w:val="auto"/>
          <w:szCs w:val="21"/>
          <w:highlight w:val="none"/>
        </w:rPr>
        <w:t>：</w:t>
      </w:r>
    </w:p>
    <w:p w14:paraId="5198F852">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243C4837">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F8DA496">
      <w:pPr>
        <w:adjustRightInd w:val="0"/>
        <w:snapToGri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olor w:val="auto"/>
          <w:szCs w:val="21"/>
          <w:highlight w:val="none"/>
        </w:rPr>
        <w:t>如采购人允许采用分包方式履行合同的，应当明确可以分包履行的相关内容</w:t>
      </w:r>
      <w:r>
        <w:rPr>
          <w:rFonts w:hint="eastAsia" w:ascii="宋体" w:hAnsi="宋体" w:eastAsia="宋体" w:cs="宋体"/>
          <w:color w:val="auto"/>
          <w:szCs w:val="21"/>
          <w:highlight w:val="none"/>
        </w:rPr>
        <w:t>。</w:t>
      </w:r>
    </w:p>
    <w:p w14:paraId="2042AA06">
      <w:pPr>
        <w:adjustRightInd w:val="0"/>
        <w:snapToGrid w:val="0"/>
        <w:spacing w:line="360" w:lineRule="auto"/>
        <w:ind w:firstLine="420"/>
        <w:rPr>
          <w:color w:val="auto"/>
          <w:szCs w:val="21"/>
          <w:highlight w:val="none"/>
        </w:rPr>
      </w:pPr>
      <w:r>
        <w:rPr>
          <w:rFonts w:hint="eastAsia" w:ascii="宋体" w:hAnsi="宋体" w:eastAsia="宋体" w:cs="宋体"/>
          <w:color w:val="auto"/>
          <w:szCs w:val="21"/>
          <w:highlight w:val="none"/>
        </w:rPr>
        <w:t>4.下列采购需求中：标注▲的产品（核心产品），投标人在投标文件《主要中标标的承诺函》中填写名称、品牌、规格、型号、数量、单价等信息。</w:t>
      </w:r>
    </w:p>
    <w:p w14:paraId="011011A7">
      <w:pPr>
        <w:adjustRightInd w:val="0"/>
        <w:snapToGrid w:val="0"/>
        <w:spacing w:line="360" w:lineRule="auto"/>
        <w:ind w:firstLine="482"/>
        <w:outlineLvl w:val="1"/>
        <w:rPr>
          <w:rFonts w:ascii="宋体" w:hAnsi="宋体" w:eastAsia="宋体"/>
          <w:b/>
          <w:color w:val="auto"/>
          <w:szCs w:val="21"/>
          <w:highlight w:val="none"/>
        </w:rPr>
      </w:pPr>
      <w:bookmarkStart w:id="1" w:name="_Toc32151"/>
      <w:bookmarkStart w:id="2" w:name="_Toc2554"/>
      <w:bookmarkStart w:id="3" w:name="_Toc178465410"/>
      <w:r>
        <w:rPr>
          <w:rFonts w:hint="eastAsia" w:ascii="宋体" w:hAnsi="宋体" w:eastAsia="宋体"/>
          <w:b/>
          <w:color w:val="auto"/>
          <w:szCs w:val="21"/>
          <w:highlight w:val="none"/>
        </w:rPr>
        <w:t>一、采购需求前附表</w:t>
      </w:r>
      <w:bookmarkEnd w:id="1"/>
      <w:bookmarkEnd w:id="2"/>
      <w:bookmarkEnd w:id="3"/>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14:paraId="3A426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4D1B07BA">
            <w:pPr>
              <w:pStyle w:val="7"/>
              <w:adjustRightInd w:val="0"/>
              <w:snapToGrid w:val="0"/>
              <w:spacing w:line="300" w:lineRule="auto"/>
              <w:rPr>
                <w:b/>
                <w:color w:val="auto"/>
                <w:sz w:val="21"/>
                <w:szCs w:val="21"/>
                <w:highlight w:val="none"/>
              </w:rPr>
            </w:pPr>
            <w:r>
              <w:rPr>
                <w:rFonts w:hint="eastAsia"/>
                <w:b/>
                <w:color w:val="auto"/>
                <w:sz w:val="21"/>
                <w:szCs w:val="21"/>
                <w:highlight w:val="none"/>
              </w:rPr>
              <w:t>序号</w:t>
            </w:r>
          </w:p>
        </w:tc>
        <w:tc>
          <w:tcPr>
            <w:tcW w:w="2032" w:type="dxa"/>
            <w:noWrap w:val="0"/>
            <w:vAlign w:val="center"/>
          </w:tcPr>
          <w:p w14:paraId="44F56430">
            <w:pPr>
              <w:pStyle w:val="8"/>
              <w:jc w:val="center"/>
              <w:rPr>
                <w:b/>
                <w:color w:val="auto"/>
                <w:highlight w:val="none"/>
              </w:rPr>
            </w:pPr>
            <w:r>
              <w:rPr>
                <w:rFonts w:hint="eastAsia"/>
                <w:b/>
                <w:color w:val="auto"/>
                <w:highlight w:val="none"/>
              </w:rPr>
              <w:t>条款名称</w:t>
            </w:r>
          </w:p>
        </w:tc>
        <w:tc>
          <w:tcPr>
            <w:tcW w:w="5483" w:type="dxa"/>
            <w:noWrap w:val="0"/>
            <w:vAlign w:val="center"/>
          </w:tcPr>
          <w:p w14:paraId="707DA2E3">
            <w:pPr>
              <w:pStyle w:val="8"/>
              <w:jc w:val="center"/>
              <w:rPr>
                <w:b/>
                <w:color w:val="auto"/>
                <w:highlight w:val="none"/>
              </w:rPr>
            </w:pPr>
            <w:r>
              <w:rPr>
                <w:rFonts w:hint="eastAsia"/>
                <w:b/>
                <w:color w:val="auto"/>
                <w:highlight w:val="none"/>
              </w:rPr>
              <w:t>内容、说明与要求</w:t>
            </w:r>
          </w:p>
        </w:tc>
      </w:tr>
      <w:tr w14:paraId="7890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316EAB3E">
            <w:pPr>
              <w:pStyle w:val="7"/>
              <w:adjustRightInd w:val="0"/>
              <w:snapToGrid w:val="0"/>
              <w:spacing w:line="300" w:lineRule="auto"/>
              <w:rPr>
                <w:color w:val="auto"/>
                <w:sz w:val="21"/>
                <w:szCs w:val="21"/>
                <w:highlight w:val="none"/>
              </w:rPr>
            </w:pPr>
            <w:r>
              <w:rPr>
                <w:rFonts w:hint="eastAsia"/>
                <w:color w:val="auto"/>
                <w:sz w:val="21"/>
                <w:szCs w:val="21"/>
                <w:highlight w:val="none"/>
              </w:rPr>
              <w:t>1</w:t>
            </w:r>
          </w:p>
        </w:tc>
        <w:tc>
          <w:tcPr>
            <w:tcW w:w="2032" w:type="dxa"/>
            <w:noWrap w:val="0"/>
            <w:vAlign w:val="center"/>
          </w:tcPr>
          <w:p w14:paraId="68A44201">
            <w:pPr>
              <w:pStyle w:val="8"/>
              <w:rPr>
                <w:b/>
                <w:color w:val="auto"/>
                <w:highlight w:val="none"/>
              </w:rPr>
            </w:pPr>
            <w:r>
              <w:rPr>
                <w:rFonts w:hint="eastAsia"/>
                <w:color w:val="auto"/>
                <w:highlight w:val="none"/>
              </w:rPr>
              <w:t>付款方式</w:t>
            </w:r>
          </w:p>
        </w:tc>
        <w:tc>
          <w:tcPr>
            <w:tcW w:w="5483" w:type="dxa"/>
            <w:noWrap w:val="0"/>
            <w:vAlign w:val="center"/>
          </w:tcPr>
          <w:p w14:paraId="4FCEF747">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合同生效并具备实施条件后，采购人支付合同价款的5</w:t>
            </w:r>
            <w:r>
              <w:rPr>
                <w:rFonts w:ascii="宋体" w:hAnsi="宋体" w:eastAsia="宋体" w:cs="Calibri"/>
                <w:color w:val="auto"/>
                <w:szCs w:val="21"/>
                <w:highlight w:val="none"/>
              </w:rPr>
              <w:t>0</w:t>
            </w:r>
            <w:r>
              <w:rPr>
                <w:rFonts w:hint="eastAsia" w:ascii="宋体" w:hAnsi="宋体" w:eastAsia="宋体" w:cs="Calibri"/>
                <w:color w:val="auto"/>
                <w:szCs w:val="21"/>
                <w:highlight w:val="none"/>
              </w:rPr>
              <w:t>%（中标人向采购人支付等额的预付款担保），</w:t>
            </w:r>
            <w:r>
              <w:rPr>
                <w:rFonts w:ascii="Times New Roman" w:hAnsi="宋体" w:eastAsia="宋体" w:cs="Times New Roman"/>
                <w:color w:val="auto"/>
                <w:szCs w:val="21"/>
                <w:highlight w:val="none"/>
              </w:rPr>
              <w:t>验收合格后一次性付清合同</w:t>
            </w:r>
            <w:r>
              <w:rPr>
                <w:rFonts w:hint="eastAsia" w:ascii="Times New Roman" w:hAnsi="宋体" w:eastAsia="宋体" w:cs="Times New Roman"/>
                <w:color w:val="auto"/>
                <w:szCs w:val="21"/>
                <w:highlight w:val="none"/>
              </w:rPr>
              <w:t>余</w:t>
            </w:r>
            <w:r>
              <w:rPr>
                <w:rFonts w:ascii="Times New Roman" w:hAnsi="宋体" w:eastAsia="宋体" w:cs="Times New Roman"/>
                <w:color w:val="auto"/>
                <w:szCs w:val="21"/>
                <w:highlight w:val="none"/>
              </w:rPr>
              <w:t>款</w:t>
            </w:r>
            <w:r>
              <w:rPr>
                <w:rFonts w:hint="eastAsia" w:ascii="宋体" w:hAnsi="宋体" w:eastAsia="宋体" w:cs="Calibri"/>
                <w:color w:val="auto"/>
                <w:szCs w:val="21"/>
                <w:highlight w:val="none"/>
              </w:rPr>
              <w:t>。</w:t>
            </w:r>
          </w:p>
          <w:p w14:paraId="0940EFF1">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注：</w:t>
            </w:r>
          </w:p>
          <w:p w14:paraId="0F9DFB7B">
            <w:pPr>
              <w:widowControl/>
              <w:wordWrap w:val="0"/>
              <w:adjustRightInd w:val="0"/>
              <w:snapToGrid w:val="0"/>
              <w:spacing w:line="288" w:lineRule="auto"/>
              <w:rPr>
                <w:rFonts w:ascii="宋体" w:hAnsi="宋体" w:eastAsia="宋体" w:cs="Calibri"/>
                <w:color w:val="auto"/>
                <w:szCs w:val="21"/>
                <w:highlight w:val="none"/>
              </w:rPr>
            </w:pPr>
            <w:r>
              <w:rPr>
                <w:rFonts w:hint="eastAsia" w:ascii="宋体" w:hAnsi="宋体" w:eastAsia="宋体" w:cs="Calibri"/>
                <w:color w:val="auto"/>
                <w:szCs w:val="21"/>
                <w:highlight w:val="none"/>
              </w:rPr>
              <w:t>①中标人未按规定提供预付款担保的，视为放弃预付款。</w:t>
            </w:r>
          </w:p>
          <w:p w14:paraId="789AD23C">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cs="Calibri"/>
                <w:color w:val="auto"/>
                <w:szCs w:val="21"/>
                <w:highlight w:val="none"/>
              </w:rPr>
              <w:t>②如采用银行保函、担保机构出具的保函（担保机构担保），均须满足无条件见索即付条件，须提供明确有效的查询途径(网址链接及查询方式)。</w:t>
            </w:r>
          </w:p>
        </w:tc>
      </w:tr>
      <w:tr w14:paraId="000F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2CAD8126">
            <w:pPr>
              <w:pStyle w:val="7"/>
              <w:adjustRightInd w:val="0"/>
              <w:snapToGrid w:val="0"/>
              <w:spacing w:line="300" w:lineRule="auto"/>
              <w:rPr>
                <w:color w:val="auto"/>
                <w:sz w:val="21"/>
                <w:szCs w:val="21"/>
                <w:highlight w:val="none"/>
              </w:rPr>
            </w:pPr>
            <w:r>
              <w:rPr>
                <w:rFonts w:hint="eastAsia"/>
                <w:color w:val="auto"/>
                <w:sz w:val="21"/>
                <w:szCs w:val="21"/>
                <w:highlight w:val="none"/>
              </w:rPr>
              <w:t>2</w:t>
            </w:r>
          </w:p>
        </w:tc>
        <w:tc>
          <w:tcPr>
            <w:tcW w:w="2032" w:type="dxa"/>
            <w:noWrap w:val="0"/>
            <w:vAlign w:val="center"/>
          </w:tcPr>
          <w:p w14:paraId="5101CEE1">
            <w:pPr>
              <w:pStyle w:val="8"/>
              <w:rPr>
                <w:b/>
                <w:color w:val="auto"/>
                <w:highlight w:val="none"/>
              </w:rPr>
            </w:pPr>
            <w:r>
              <w:rPr>
                <w:rFonts w:hint="eastAsia"/>
                <w:color w:val="auto"/>
                <w:highlight w:val="none"/>
              </w:rPr>
              <w:t>供货及安装地点</w:t>
            </w:r>
          </w:p>
        </w:tc>
        <w:tc>
          <w:tcPr>
            <w:tcW w:w="5483" w:type="dxa"/>
            <w:noWrap w:val="0"/>
            <w:vAlign w:val="center"/>
          </w:tcPr>
          <w:p w14:paraId="61529AE3">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安徽省农业科学院</w:t>
            </w:r>
            <w:r>
              <w:rPr>
                <w:rFonts w:ascii="宋体" w:hAnsi="宋体" w:eastAsia="宋体"/>
                <w:bCs/>
                <w:color w:val="auto"/>
                <w:kern w:val="0"/>
                <w:szCs w:val="21"/>
                <w:highlight w:val="none"/>
              </w:rPr>
              <w:t>，具体按采购人指定地点。</w:t>
            </w:r>
          </w:p>
        </w:tc>
      </w:tr>
      <w:tr w14:paraId="48DF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04090C72">
            <w:pPr>
              <w:pStyle w:val="7"/>
              <w:adjustRightInd w:val="0"/>
              <w:snapToGrid w:val="0"/>
              <w:spacing w:line="300" w:lineRule="auto"/>
              <w:rPr>
                <w:color w:val="auto"/>
                <w:sz w:val="21"/>
                <w:szCs w:val="21"/>
                <w:highlight w:val="none"/>
              </w:rPr>
            </w:pPr>
            <w:r>
              <w:rPr>
                <w:rFonts w:hint="eastAsia"/>
                <w:color w:val="auto"/>
                <w:sz w:val="21"/>
                <w:szCs w:val="21"/>
                <w:highlight w:val="none"/>
              </w:rPr>
              <w:t>3</w:t>
            </w:r>
          </w:p>
        </w:tc>
        <w:tc>
          <w:tcPr>
            <w:tcW w:w="2032" w:type="dxa"/>
            <w:noWrap w:val="0"/>
            <w:vAlign w:val="center"/>
          </w:tcPr>
          <w:p w14:paraId="2CCB6CC3">
            <w:pPr>
              <w:pStyle w:val="8"/>
              <w:rPr>
                <w:b/>
                <w:color w:val="auto"/>
                <w:highlight w:val="none"/>
              </w:rPr>
            </w:pPr>
            <w:r>
              <w:rPr>
                <w:rFonts w:hint="eastAsia"/>
                <w:color w:val="auto"/>
                <w:highlight w:val="none"/>
              </w:rPr>
              <w:t>供货及安装期限</w:t>
            </w:r>
          </w:p>
        </w:tc>
        <w:tc>
          <w:tcPr>
            <w:tcW w:w="5483" w:type="dxa"/>
            <w:noWrap w:val="0"/>
            <w:vAlign w:val="center"/>
          </w:tcPr>
          <w:p w14:paraId="7DE35273">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合同生效之日起，</w:t>
            </w:r>
            <w:r>
              <w:rPr>
                <w:rFonts w:hint="eastAsia" w:ascii="宋体" w:hAnsi="宋体" w:eastAsia="宋体"/>
                <w:bCs/>
                <w:color w:val="auto"/>
                <w:kern w:val="0"/>
                <w:szCs w:val="21"/>
                <w:highlight w:val="none"/>
                <w:lang w:eastAsia="zh-CN"/>
              </w:rPr>
              <w:t>90个日历日完成供货、安装、调试、培训等所有工作内容</w:t>
            </w:r>
            <w:r>
              <w:rPr>
                <w:rFonts w:hint="eastAsia" w:ascii="宋体" w:hAnsi="宋体" w:eastAsia="宋体"/>
                <w:bCs/>
                <w:color w:val="auto"/>
                <w:kern w:val="0"/>
                <w:szCs w:val="21"/>
                <w:highlight w:val="none"/>
              </w:rPr>
              <w:t>。</w:t>
            </w:r>
          </w:p>
        </w:tc>
      </w:tr>
      <w:tr w14:paraId="34CE0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noWrap w:val="0"/>
            <w:vAlign w:val="center"/>
          </w:tcPr>
          <w:p w14:paraId="0A4C06AC">
            <w:pPr>
              <w:pStyle w:val="7"/>
              <w:adjustRightInd w:val="0"/>
              <w:snapToGrid w:val="0"/>
              <w:spacing w:line="300" w:lineRule="auto"/>
              <w:rPr>
                <w:color w:val="auto"/>
                <w:sz w:val="21"/>
                <w:szCs w:val="21"/>
                <w:highlight w:val="none"/>
              </w:rPr>
            </w:pPr>
            <w:r>
              <w:rPr>
                <w:rFonts w:hint="eastAsia"/>
                <w:color w:val="auto"/>
                <w:sz w:val="21"/>
                <w:szCs w:val="21"/>
                <w:highlight w:val="none"/>
              </w:rPr>
              <w:t>4</w:t>
            </w:r>
          </w:p>
        </w:tc>
        <w:tc>
          <w:tcPr>
            <w:tcW w:w="2032" w:type="dxa"/>
            <w:noWrap w:val="0"/>
            <w:vAlign w:val="center"/>
          </w:tcPr>
          <w:p w14:paraId="0BE9FD7E">
            <w:pPr>
              <w:pStyle w:val="8"/>
              <w:rPr>
                <w:b/>
                <w:color w:val="auto"/>
                <w:highlight w:val="none"/>
              </w:rPr>
            </w:pPr>
            <w:r>
              <w:rPr>
                <w:rFonts w:hint="eastAsia"/>
                <w:color w:val="auto"/>
                <w:highlight w:val="none"/>
              </w:rPr>
              <w:t>免费质保期</w:t>
            </w:r>
          </w:p>
        </w:tc>
        <w:tc>
          <w:tcPr>
            <w:tcW w:w="5483" w:type="dxa"/>
            <w:noWrap w:val="0"/>
            <w:vAlign w:val="center"/>
          </w:tcPr>
          <w:p w14:paraId="3E9AB262">
            <w:pPr>
              <w:adjustRightInd w:val="0"/>
              <w:snapToGrid w:val="0"/>
              <w:spacing w:line="300" w:lineRule="auto"/>
              <w:rPr>
                <w:rFonts w:ascii="宋体" w:hAnsi="宋体" w:eastAsia="宋体"/>
                <w:bCs/>
                <w:color w:val="auto"/>
                <w:kern w:val="0"/>
                <w:szCs w:val="21"/>
                <w:highlight w:val="none"/>
              </w:rPr>
            </w:pPr>
            <w:r>
              <w:rPr>
                <w:rFonts w:hint="eastAsia" w:ascii="宋体" w:hAnsi="宋体" w:eastAsia="宋体"/>
                <w:bCs/>
                <w:color w:val="auto"/>
                <w:kern w:val="0"/>
                <w:szCs w:val="21"/>
                <w:highlight w:val="none"/>
              </w:rPr>
              <w:t>货物需求中未明确的，质保期为自验收合格之日起1年原厂质保，货物需求中明确的，质保期按货物需求执行。</w:t>
            </w:r>
          </w:p>
        </w:tc>
      </w:tr>
    </w:tbl>
    <w:p w14:paraId="603B861F">
      <w:pPr>
        <w:adjustRightInd w:val="0"/>
        <w:snapToGrid w:val="0"/>
        <w:spacing w:beforeLines="50" w:line="360" w:lineRule="auto"/>
        <w:ind w:firstLine="482"/>
        <w:outlineLvl w:val="1"/>
        <w:rPr>
          <w:rFonts w:ascii="宋体" w:hAnsi="宋体" w:eastAsia="宋体"/>
          <w:b/>
          <w:color w:val="auto"/>
          <w:szCs w:val="21"/>
          <w:highlight w:val="none"/>
        </w:rPr>
      </w:pPr>
      <w:bookmarkStart w:id="4" w:name="_Toc5944"/>
      <w:bookmarkStart w:id="5" w:name="_Toc7671"/>
    </w:p>
    <w:p w14:paraId="680F87DC">
      <w:pPr>
        <w:widowControl/>
        <w:jc w:val="left"/>
        <w:rPr>
          <w:rFonts w:ascii="宋体" w:hAnsi="宋体" w:eastAsia="宋体"/>
          <w:b/>
          <w:color w:val="auto"/>
          <w:szCs w:val="21"/>
          <w:highlight w:val="none"/>
        </w:rPr>
      </w:pPr>
      <w:r>
        <w:rPr>
          <w:rFonts w:ascii="宋体" w:hAnsi="宋体" w:eastAsia="宋体"/>
          <w:b/>
          <w:color w:val="auto"/>
          <w:szCs w:val="21"/>
          <w:highlight w:val="none"/>
        </w:rPr>
        <w:br w:type="page"/>
      </w:r>
    </w:p>
    <w:p w14:paraId="4529CD9E">
      <w:pPr>
        <w:adjustRightInd w:val="0"/>
        <w:snapToGrid w:val="0"/>
        <w:spacing w:beforeLines="50" w:line="360" w:lineRule="auto"/>
        <w:ind w:firstLine="482"/>
        <w:outlineLvl w:val="1"/>
        <w:rPr>
          <w:rFonts w:ascii="宋体" w:hAnsi="宋体" w:eastAsia="宋体"/>
          <w:b/>
          <w:color w:val="auto"/>
          <w:szCs w:val="21"/>
          <w:highlight w:val="none"/>
        </w:rPr>
      </w:pPr>
      <w:bookmarkStart w:id="6" w:name="_Toc178465411"/>
      <w:r>
        <w:rPr>
          <w:rFonts w:hint="eastAsia" w:ascii="宋体" w:hAnsi="宋体" w:eastAsia="宋体"/>
          <w:b/>
          <w:color w:val="auto"/>
          <w:szCs w:val="21"/>
          <w:highlight w:val="none"/>
        </w:rPr>
        <w:t>二、货物需求</w:t>
      </w:r>
      <w:bookmarkEnd w:id="4"/>
      <w:bookmarkEnd w:id="5"/>
      <w:bookmarkEnd w:id="6"/>
    </w:p>
    <w:p w14:paraId="7926C24D">
      <w:pPr>
        <w:adjustRightInd w:val="0"/>
        <w:snapToGrid w:val="0"/>
        <w:spacing w:beforeLines="50" w:line="360" w:lineRule="auto"/>
        <w:ind w:firstLine="482"/>
        <w:outlineLvl w:val="1"/>
        <w:rPr>
          <w:rFonts w:ascii="宋体" w:hAnsi="宋体" w:eastAsia="宋体"/>
          <w:b/>
          <w:color w:val="auto"/>
          <w:szCs w:val="21"/>
          <w:highlight w:val="none"/>
        </w:rPr>
      </w:pPr>
      <w:bookmarkStart w:id="7" w:name="_Toc178465412"/>
      <w:r>
        <w:rPr>
          <w:rFonts w:hint="eastAsia" w:ascii="宋体" w:hAnsi="宋体" w:eastAsia="宋体"/>
          <w:b/>
          <w:color w:val="auto"/>
          <w:szCs w:val="21"/>
          <w:highlight w:val="none"/>
        </w:rPr>
        <w:t>（一）指标重要性表述</w:t>
      </w:r>
      <w:bookmarkEnd w:id="7"/>
    </w:p>
    <w:tbl>
      <w:tblPr>
        <w:tblStyle w:val="4"/>
        <w:tblpPr w:leftFromText="180" w:rightFromText="180" w:vertAnchor="text" w:horzAnchor="margin" w:tblpXSpec="center" w:tblpY="308"/>
        <w:tblOverlap w:val="never"/>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366"/>
        <w:gridCol w:w="5202"/>
      </w:tblGrid>
      <w:tr w14:paraId="2C7D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985" w:type="dxa"/>
            <w:noWrap w:val="0"/>
            <w:vAlign w:val="center"/>
          </w:tcPr>
          <w:p w14:paraId="7FDDE6F6">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标识重要性</w:t>
            </w:r>
          </w:p>
        </w:tc>
        <w:tc>
          <w:tcPr>
            <w:tcW w:w="1366" w:type="dxa"/>
            <w:noWrap w:val="0"/>
            <w:vAlign w:val="center"/>
          </w:tcPr>
          <w:p w14:paraId="5885B141">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标识符号</w:t>
            </w:r>
          </w:p>
        </w:tc>
        <w:tc>
          <w:tcPr>
            <w:tcW w:w="5202" w:type="dxa"/>
            <w:noWrap w:val="0"/>
            <w:vAlign w:val="center"/>
          </w:tcPr>
          <w:p w14:paraId="11BFF026">
            <w:pPr>
              <w:adjustRightInd w:val="0"/>
              <w:snapToGrid w:val="0"/>
              <w:spacing w:line="300" w:lineRule="auto"/>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代表意思</w:t>
            </w:r>
          </w:p>
        </w:tc>
      </w:tr>
      <w:tr w14:paraId="3CD8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985" w:type="dxa"/>
            <w:noWrap w:val="0"/>
            <w:vAlign w:val="center"/>
          </w:tcPr>
          <w:p w14:paraId="3F7D6A66">
            <w:pPr>
              <w:adjustRightInd w:val="0"/>
              <w:snapToGrid w:val="0"/>
              <w:spacing w:line="300" w:lineRule="auto"/>
              <w:jc w:val="center"/>
              <w:rPr>
                <w:rFonts w:hint="eastAsia" w:ascii="宋体" w:hAnsi="宋体" w:eastAsia="宋体" w:cs="Times New Roman"/>
                <w:color w:val="auto"/>
                <w:szCs w:val="21"/>
                <w:highlight w:val="none"/>
                <w:lang w:eastAsia="zh-CN"/>
              </w:rPr>
            </w:pPr>
            <w:r>
              <w:rPr>
                <w:rFonts w:hint="eastAsia" w:ascii="宋体" w:hAnsi="宋体" w:eastAsia="宋体" w:cs="宋体"/>
                <w:color w:val="auto"/>
                <w:szCs w:val="21"/>
                <w:highlight w:val="none"/>
                <w:lang w:eastAsia="zh-CN"/>
              </w:rPr>
              <w:t>关键性指标项</w:t>
            </w:r>
          </w:p>
        </w:tc>
        <w:tc>
          <w:tcPr>
            <w:tcW w:w="1366" w:type="dxa"/>
            <w:noWrap w:val="0"/>
            <w:vAlign w:val="center"/>
          </w:tcPr>
          <w:p w14:paraId="6E22A2D9">
            <w:pPr>
              <w:adjustRightInd w:val="0"/>
              <w:snapToGrid w:val="0"/>
              <w:spacing w:line="300" w:lineRule="auto"/>
              <w:jc w:val="center"/>
              <w:rPr>
                <w:rFonts w:ascii="宋体" w:hAnsi="宋体" w:eastAsia="宋体" w:cs="Times New Roman"/>
                <w:bCs/>
                <w:color w:val="auto"/>
                <w:szCs w:val="21"/>
                <w:highlight w:val="none"/>
              </w:rPr>
            </w:pPr>
            <w:r>
              <w:rPr>
                <w:rFonts w:hint="eastAsia" w:ascii="宋体" w:hAnsi="宋体" w:eastAsia="宋体" w:cs="宋体"/>
                <w:color w:val="auto"/>
                <w:szCs w:val="21"/>
                <w:highlight w:val="none"/>
              </w:rPr>
              <w:t>■</w:t>
            </w:r>
          </w:p>
        </w:tc>
        <w:tc>
          <w:tcPr>
            <w:tcW w:w="5202" w:type="dxa"/>
            <w:noWrap w:val="0"/>
            <w:vAlign w:val="center"/>
          </w:tcPr>
          <w:p w14:paraId="5822B277">
            <w:pPr>
              <w:adjustRightInd w:val="0"/>
              <w:snapToGrid w:val="0"/>
              <w:spacing w:line="300" w:lineRule="auto"/>
              <w:jc w:val="left"/>
              <w:rPr>
                <w:rFonts w:ascii="宋体" w:hAnsi="宋体" w:eastAsia="宋体" w:cs="宋体"/>
                <w:color w:val="auto"/>
                <w:szCs w:val="21"/>
                <w:highlight w:val="none"/>
              </w:rPr>
            </w:pPr>
            <w:r>
              <w:rPr>
                <w:rFonts w:hint="eastAsia" w:ascii="宋体" w:hAnsi="宋体" w:eastAsia="宋体" w:cs="宋体"/>
                <w:bCs/>
                <w:color w:val="auto"/>
                <w:szCs w:val="21"/>
                <w:highlight w:val="none"/>
              </w:rPr>
              <w:t>作为评分项，每满足1项得2分，共20项。</w:t>
            </w:r>
          </w:p>
        </w:tc>
      </w:tr>
      <w:tr w14:paraId="5902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985" w:type="dxa"/>
            <w:noWrap w:val="0"/>
            <w:vAlign w:val="center"/>
          </w:tcPr>
          <w:p w14:paraId="0DBD55FD">
            <w:pPr>
              <w:adjustRightInd w:val="0"/>
              <w:snapToGrid w:val="0"/>
              <w:spacing w:line="300" w:lineRule="auto"/>
              <w:jc w:val="center"/>
              <w:rPr>
                <w:rFonts w:ascii="宋体" w:hAnsi="宋体" w:eastAsia="宋体" w:cs="Times New Roman"/>
                <w:color w:val="auto"/>
                <w:szCs w:val="21"/>
                <w:highlight w:val="none"/>
              </w:rPr>
            </w:pPr>
            <w:r>
              <w:rPr>
                <w:rFonts w:hint="eastAsia" w:ascii="宋体" w:hAnsi="宋体" w:eastAsia="宋体" w:cs="宋体"/>
                <w:color w:val="auto"/>
                <w:szCs w:val="21"/>
                <w:highlight w:val="none"/>
              </w:rPr>
              <w:t>无标识项</w:t>
            </w:r>
          </w:p>
        </w:tc>
        <w:tc>
          <w:tcPr>
            <w:tcW w:w="1366" w:type="dxa"/>
            <w:noWrap w:val="0"/>
            <w:vAlign w:val="center"/>
          </w:tcPr>
          <w:p w14:paraId="6167D0B5">
            <w:pPr>
              <w:adjustRightInd w:val="0"/>
              <w:snapToGrid w:val="0"/>
              <w:spacing w:line="300" w:lineRule="auto"/>
              <w:jc w:val="center"/>
              <w:rPr>
                <w:rFonts w:ascii="宋体" w:hAnsi="宋体" w:eastAsia="宋体" w:cs="Times New Roman"/>
                <w:b/>
                <w:bCs/>
                <w:color w:val="auto"/>
                <w:szCs w:val="21"/>
                <w:highlight w:val="none"/>
              </w:rPr>
            </w:pPr>
          </w:p>
        </w:tc>
        <w:tc>
          <w:tcPr>
            <w:tcW w:w="5202" w:type="dxa"/>
            <w:noWrap w:val="0"/>
            <w:vAlign w:val="center"/>
          </w:tcPr>
          <w:p w14:paraId="7A5E550F">
            <w:pPr>
              <w:adjustRightInd w:val="0"/>
              <w:snapToGrid w:val="0"/>
              <w:spacing w:line="300" w:lineRule="auto"/>
              <w:jc w:val="left"/>
              <w:rPr>
                <w:rFonts w:ascii="宋体" w:hAnsi="宋体" w:eastAsia="宋体" w:cs="Times New Roman"/>
                <w:bCs/>
                <w:color w:val="auto"/>
                <w:szCs w:val="21"/>
                <w:highlight w:val="none"/>
              </w:rPr>
            </w:pPr>
            <w:r>
              <w:rPr>
                <w:rFonts w:hint="eastAsia" w:ascii="宋体" w:hAnsi="宋体" w:eastAsia="宋体" w:cs="宋体"/>
                <w:bCs/>
                <w:color w:val="auto"/>
                <w:szCs w:val="21"/>
                <w:highlight w:val="none"/>
              </w:rPr>
              <w:t>符合性审查项，10条（含）及以上负偏离的将导致投标无效。</w:t>
            </w:r>
          </w:p>
        </w:tc>
      </w:tr>
      <w:tr w14:paraId="5775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3" w:type="dxa"/>
            <w:gridSpan w:val="3"/>
            <w:noWrap w:val="0"/>
            <w:vAlign w:val="center"/>
          </w:tcPr>
          <w:p w14:paraId="25602FA0">
            <w:pPr>
              <w:adjustRightInd w:val="0"/>
              <w:snapToGrid w:val="0"/>
              <w:spacing w:line="30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注：</w:t>
            </w:r>
          </w:p>
          <w:p w14:paraId="6F9DF9BD">
            <w:pPr>
              <w:adjustRightInd w:val="0"/>
              <w:snapToGrid w:val="0"/>
              <w:spacing w:line="300" w:lineRule="auto"/>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1、如某项标识中包含多条技术参数或要求，则该项标识所含内容均需满足或优于招标文件要求，否则不予认可。</w:t>
            </w:r>
          </w:p>
          <w:p w14:paraId="0CFBC8C3">
            <w:pPr>
              <w:adjustRightInd w:val="0"/>
              <w:snapToGrid w:val="0"/>
              <w:spacing w:line="300" w:lineRule="auto"/>
              <w:jc w:val="left"/>
              <w:rPr>
                <w:rFonts w:ascii="宋体" w:hAnsi="宋体" w:eastAsia="宋体" w:cs="宋体"/>
                <w:bCs/>
                <w:color w:val="auto"/>
                <w:szCs w:val="21"/>
                <w:highlight w:val="none"/>
              </w:rPr>
            </w:pPr>
            <w:r>
              <w:rPr>
                <w:rFonts w:hint="eastAsia" w:ascii="宋体" w:hAnsi="宋体" w:eastAsia="宋体" w:cs="宋体"/>
                <w:b/>
                <w:color w:val="auto"/>
                <w:szCs w:val="21"/>
                <w:highlight w:val="none"/>
              </w:rPr>
              <w:t>2、针对“技术参数及要求”中要求投标文件中提供证明材料的条款：技术参数中明确证明材料类型的，按技术参数中的要求</w:t>
            </w:r>
            <w:r>
              <w:rPr>
                <w:rFonts w:hint="eastAsia" w:ascii="宋体" w:hAnsi="宋体" w:eastAsia="宋体" w:cs="宋体"/>
                <w:b/>
                <w:color w:val="auto"/>
                <w:szCs w:val="21"/>
                <w:highlight w:val="none"/>
                <w:lang w:val="en-US" w:eastAsia="zh-CN"/>
              </w:rPr>
              <w:t>提供</w:t>
            </w:r>
            <w:r>
              <w:rPr>
                <w:rFonts w:hint="eastAsia" w:ascii="宋体" w:hAnsi="宋体" w:eastAsia="宋体" w:cs="宋体"/>
                <w:b/>
                <w:color w:val="auto"/>
                <w:szCs w:val="21"/>
                <w:highlight w:val="none"/>
              </w:rPr>
              <w:t>；技术参数中未明确证明材料类型的，证明材料包括：技术白皮书、产品彩页、官网截图、功能界面截图、说明书功能截图等,提供其中之一即可。未按以上要求提供证明材料的视为负偏离（为便于评审，建议投标人对证明材料中的关键参数进行标注）。</w:t>
            </w:r>
          </w:p>
        </w:tc>
      </w:tr>
    </w:tbl>
    <w:p w14:paraId="5F57F258">
      <w:pPr>
        <w:pStyle w:val="2"/>
        <w:adjustRightInd w:val="0"/>
        <w:snapToGrid w:val="0"/>
        <w:ind w:firstLine="422" w:firstLineChars="200"/>
        <w:rPr>
          <w:rFonts w:ascii="宋体" w:hAnsi="宋体" w:eastAsia="宋体" w:cs="宋体"/>
          <w:b/>
          <w:bCs/>
          <w:color w:val="auto"/>
          <w:szCs w:val="21"/>
          <w:highlight w:val="none"/>
          <w:lang w:val="en-US"/>
        </w:rPr>
      </w:pPr>
    </w:p>
    <w:p w14:paraId="1314898D">
      <w:pPr>
        <w:adjustRightInd w:val="0"/>
        <w:snapToGrid w:val="0"/>
        <w:spacing w:beforeLines="50" w:line="360" w:lineRule="auto"/>
        <w:ind w:firstLine="482"/>
        <w:outlineLvl w:val="1"/>
        <w:rPr>
          <w:rFonts w:ascii="宋体" w:hAnsi="宋体" w:eastAsia="宋体"/>
          <w:b/>
          <w:color w:val="auto"/>
          <w:szCs w:val="21"/>
          <w:highlight w:val="none"/>
        </w:rPr>
      </w:pPr>
      <w:bookmarkStart w:id="8" w:name="_Toc178465413"/>
      <w:r>
        <w:rPr>
          <w:rFonts w:hint="eastAsia" w:ascii="宋体" w:hAnsi="宋体" w:eastAsia="宋体"/>
          <w:b/>
          <w:color w:val="auto"/>
          <w:szCs w:val="21"/>
          <w:highlight w:val="none"/>
        </w:rPr>
        <w:t>（二）货物技术参数及要求</w:t>
      </w:r>
      <w:bookmarkEnd w:id="8"/>
    </w:p>
    <w:tbl>
      <w:tblPr>
        <w:tblStyle w:val="4"/>
        <w:tblW w:w="53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184"/>
        <w:gridCol w:w="4183"/>
        <w:gridCol w:w="984"/>
        <w:gridCol w:w="682"/>
        <w:gridCol w:w="717"/>
        <w:gridCol w:w="657"/>
      </w:tblGrid>
      <w:tr w14:paraId="76BA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7C4920D3">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序号</w:t>
            </w:r>
          </w:p>
        </w:tc>
        <w:tc>
          <w:tcPr>
            <w:tcW w:w="1184" w:type="dxa"/>
            <w:noWrap w:val="0"/>
            <w:vAlign w:val="center"/>
          </w:tcPr>
          <w:p w14:paraId="65FBA68E">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货物名称</w:t>
            </w:r>
          </w:p>
        </w:tc>
        <w:tc>
          <w:tcPr>
            <w:tcW w:w="4183" w:type="dxa"/>
            <w:noWrap w:val="0"/>
            <w:vAlign w:val="center"/>
          </w:tcPr>
          <w:p w14:paraId="740A0DC5">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技术参数及要求</w:t>
            </w:r>
          </w:p>
        </w:tc>
        <w:tc>
          <w:tcPr>
            <w:tcW w:w="984" w:type="dxa"/>
            <w:noWrap w:val="0"/>
            <w:vAlign w:val="center"/>
          </w:tcPr>
          <w:p w14:paraId="0992C383">
            <w:pPr>
              <w:adjustRightInd w:val="0"/>
              <w:snapToGrid w:val="0"/>
              <w:spacing w:line="30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p w14:paraId="27291FF9">
            <w:pPr>
              <w:wordWrap w:val="0"/>
              <w:topLinePunct/>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（台/套）</w:t>
            </w:r>
          </w:p>
        </w:tc>
        <w:tc>
          <w:tcPr>
            <w:tcW w:w="682" w:type="dxa"/>
            <w:noWrap w:val="0"/>
            <w:vAlign w:val="center"/>
          </w:tcPr>
          <w:p w14:paraId="00EF00CD">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所属行业</w:t>
            </w:r>
          </w:p>
        </w:tc>
        <w:tc>
          <w:tcPr>
            <w:tcW w:w="717" w:type="dxa"/>
            <w:noWrap w:val="0"/>
            <w:vAlign w:val="center"/>
          </w:tcPr>
          <w:p w14:paraId="6F339755">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是否为核心产品</w:t>
            </w:r>
          </w:p>
        </w:tc>
        <w:tc>
          <w:tcPr>
            <w:tcW w:w="657" w:type="dxa"/>
            <w:noWrap w:val="0"/>
            <w:vAlign w:val="center"/>
          </w:tcPr>
          <w:p w14:paraId="371A02BA">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b/>
                <w:bCs/>
                <w:color w:val="auto"/>
                <w:szCs w:val="21"/>
                <w:highlight w:val="none"/>
              </w:rPr>
              <w:t>备注</w:t>
            </w:r>
          </w:p>
        </w:tc>
      </w:tr>
      <w:tr w14:paraId="407E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5567F6FA">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0BFEDF2A">
            <w:pPr>
              <w:widowControl/>
              <w:adjustRightInd w:val="0"/>
              <w:snapToGrid w:val="0"/>
              <w:spacing w:line="300" w:lineRule="auto"/>
              <w:jc w:val="center"/>
              <w:textAlignment w:val="top"/>
              <w:rPr>
                <w:rFonts w:ascii="宋体" w:hAnsi="宋体" w:eastAsia="宋体" w:cs="宋体"/>
                <w:color w:val="auto"/>
                <w:szCs w:val="21"/>
                <w:highlight w:val="none"/>
              </w:rPr>
            </w:pPr>
            <w:r>
              <w:rPr>
                <w:rFonts w:hint="eastAsia" w:ascii="宋体" w:hAnsi="宋体" w:eastAsia="宋体" w:cs="宋体"/>
                <w:color w:val="auto"/>
                <w:kern w:val="0"/>
                <w:szCs w:val="21"/>
                <w:highlight w:val="none"/>
              </w:rPr>
              <w:t>荧光倒置显微镜（进口）</w:t>
            </w:r>
          </w:p>
        </w:tc>
        <w:tc>
          <w:tcPr>
            <w:tcW w:w="4183" w:type="dxa"/>
            <w:noWrap w:val="0"/>
            <w:vAlign w:val="top"/>
          </w:tcPr>
          <w:p w14:paraId="6103B010">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1.研究级倒置显微镜</w:t>
            </w:r>
          </w:p>
          <w:p w14:paraId="0DA893EC">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■1.1显微镜镜体，双层光路，第一层接编码型8孔荧光激发块转盘，第二层可提供中间变倍体、右光口、荧光激发块转盘等部件，功能可拓展。</w:t>
            </w:r>
            <w:r>
              <w:rPr>
                <w:rFonts w:hint="eastAsia" w:ascii="宋体" w:hAnsi="宋体" w:eastAsia="宋体" w:cs="宋体"/>
                <w:b/>
                <w:bCs/>
                <w:color w:val="auto"/>
                <w:kern w:val="0"/>
                <w:szCs w:val="21"/>
                <w:highlight w:val="none"/>
              </w:rPr>
              <w:t>（投标文件中提供证明材料）</w:t>
            </w:r>
          </w:p>
          <w:p w14:paraId="1E9C691E">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 编码型物镜转换器：≥6孔物镜转盘。</w:t>
            </w:r>
          </w:p>
          <w:p w14:paraId="57C279C3">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 聚焦机构：聚焦机构同轴粗、微调旋钮（最小微调刻度单位：1μm），行程≤10mm，粗调旋钮扭矩可调，有聚焦上限调节。</w:t>
            </w:r>
          </w:p>
          <w:p w14:paraId="61D914C8">
            <w:pPr>
              <w:widowControl/>
              <w:adjustRightInd w:val="0"/>
              <w:snapToGrid w:val="0"/>
              <w:spacing w:line="300" w:lineRule="auto"/>
              <w:jc w:val="left"/>
              <w:textAlignment w:val="top"/>
              <w:rPr>
                <w:rFonts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■1.4 光学系统：无限远校正光学系统，齐焦距离为≤45mm。</w:t>
            </w:r>
          </w:p>
          <w:p w14:paraId="7B4E2E43">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 透射光照明：≥100W卤素灯透射光照明装置，视场可变光阑可调。</w:t>
            </w:r>
          </w:p>
          <w:p w14:paraId="7A370BA0">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 观察镜筒：正象、可倾斜式观察筒，观察角度35-85°，眼点高度调节范围0－65mm可调，瞳距50-76mm,视场数≥22。</w:t>
            </w:r>
          </w:p>
          <w:p w14:paraId="216D6A4A">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 精确定位功能手动载物台，具备XY锁定和复位功能；控制手柄扭力可调；移动范围Y≥75mm，X≥114mm。</w:t>
            </w:r>
            <w:r>
              <w:rPr>
                <w:rFonts w:hint="eastAsia" w:ascii="宋体" w:hAnsi="宋体" w:eastAsia="宋体" w:cs="宋体"/>
                <w:b/>
                <w:bCs/>
                <w:color w:val="auto"/>
                <w:kern w:val="0"/>
                <w:szCs w:val="21"/>
                <w:highlight w:val="none"/>
              </w:rPr>
              <w:t>（投标文件中提供证明材料）</w:t>
            </w:r>
          </w:p>
          <w:p w14:paraId="5D70D274">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 聚光镜：5孔聚光镜；NA≥0.55；WD≥27mm。</w:t>
            </w:r>
          </w:p>
          <w:p w14:paraId="6ACC26AE">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 物镜：</w:t>
            </w:r>
          </w:p>
          <w:p w14:paraId="5394B91C">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万能平场半复消色差相差物镜4×（N.A.≥0.13, W.D. ≥17.0mm）。</w:t>
            </w:r>
          </w:p>
          <w:p w14:paraId="79B157C6">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万能平场半复消色差相差物镜10×（N.A.≥0.3, W.D. ≥10mm）；</w:t>
            </w:r>
          </w:p>
          <w:p w14:paraId="47895697">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长工作距离平场半复消色差相差物镜20×（N.A.≥0.45, W.D.≥6.6-7.8mm）；</w:t>
            </w:r>
          </w:p>
          <w:p w14:paraId="2D8B4FBA">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长工作距离平场半复消色差相差物镜40×（N.A.≥0.6, W.D.≥3.0-4.2mm）。</w:t>
            </w:r>
          </w:p>
          <w:p w14:paraId="3E19063C">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1.10 目镜：高眼点目镜，10×，视场直径≥22</w:t>
            </w:r>
            <w:r>
              <w:rPr>
                <w:rFonts w:hint="eastAsia" w:ascii="宋体" w:hAnsi="宋体" w:eastAsia="宋体" w:cs="宋体"/>
                <w:color w:val="auto"/>
                <w:szCs w:val="24"/>
                <w:highlight w:val="none"/>
              </w:rPr>
              <w:t>mm</w:t>
            </w:r>
            <w:r>
              <w:rPr>
                <w:rFonts w:hint="eastAsia" w:ascii="宋体" w:hAnsi="宋体" w:eastAsia="宋体" w:cs="宋体"/>
                <w:color w:val="auto"/>
                <w:kern w:val="0"/>
                <w:szCs w:val="21"/>
                <w:highlight w:val="none"/>
              </w:rPr>
              <w:t>。</w:t>
            </w:r>
          </w:p>
          <w:p w14:paraId="7BBE9103">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1.11反射荧光系统</w:t>
            </w:r>
          </w:p>
          <w:p w14:paraId="1ECD97AC">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■1.11.1编码型激发块转盘：≥8孔位激发块转盘，无需拆卸即可更换激发块，内置光闸，防水设计。</w:t>
            </w:r>
          </w:p>
          <w:p w14:paraId="341FE944">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1.11.2 荧光激发块：蓝色（B）、绿色（G）、紫外（U）三个激发块，防止窜色。</w:t>
            </w:r>
          </w:p>
          <w:p w14:paraId="3380811C">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1.11.3 荧光照明器：直型荧光照明支柱。</w:t>
            </w:r>
          </w:p>
          <w:p w14:paraId="210CB68C">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1.11.4 长效荧光光源：金属卤化物长效荧光光源，通过光纤导入显微镜，功率130W，灯泡寿命3000小时以上，免对中调节，光纤及显微镜适配器，光强≥9档调节。</w:t>
            </w:r>
          </w:p>
          <w:p w14:paraId="678225FA">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2.高分辨率彩色数字显微相机。</w:t>
            </w:r>
          </w:p>
          <w:p w14:paraId="074A0396">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 高分辨率彩色数字显微相机，最大像素：≥640万，采用背照式彩色芯片。</w:t>
            </w:r>
            <w:r>
              <w:rPr>
                <w:rFonts w:hint="eastAsia" w:ascii="宋体" w:hAnsi="宋体" w:eastAsia="宋体" w:cs="宋体"/>
                <w:b/>
                <w:bCs/>
                <w:color w:val="auto"/>
                <w:kern w:val="0"/>
                <w:szCs w:val="21"/>
                <w:highlight w:val="none"/>
              </w:rPr>
              <w:t>（投标文件中提供证明材料）</w:t>
            </w:r>
          </w:p>
          <w:p w14:paraId="2A2858A9">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 芯片大小：≥1/1.8英寸。</w:t>
            </w:r>
          </w:p>
          <w:p w14:paraId="4505B483">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 像素大小：≥2.4微米×2.4微米。</w:t>
            </w:r>
          </w:p>
          <w:p w14:paraId="414966DB">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 像素融合：支持2×2。</w:t>
            </w:r>
          </w:p>
          <w:p w14:paraId="528FA6E3">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 曝光时间：13μs-15s。</w:t>
            </w:r>
          </w:p>
          <w:p w14:paraId="70162B39">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 预览帧速：≥60fps@1920×1080pixels；≥45fps@3080×2070pixels。</w:t>
            </w:r>
            <w:r>
              <w:rPr>
                <w:rFonts w:hint="eastAsia" w:ascii="宋体" w:hAnsi="宋体" w:eastAsia="宋体" w:cs="宋体"/>
                <w:b/>
                <w:bCs/>
                <w:color w:val="auto"/>
                <w:kern w:val="0"/>
                <w:szCs w:val="21"/>
                <w:highlight w:val="none"/>
              </w:rPr>
              <w:t>（投标文件中提供证明材料）</w:t>
            </w:r>
          </w:p>
          <w:p w14:paraId="1638CED0">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2.7 数据传输：USB3.1。</w:t>
            </w:r>
          </w:p>
          <w:p w14:paraId="33CE2908">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 色彩空间：支持专用的ICC配置文件。</w:t>
            </w:r>
          </w:p>
          <w:p w14:paraId="0E4A3740">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2.9 相机接口：标准C接口。</w:t>
            </w:r>
          </w:p>
          <w:p w14:paraId="1A34F178">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2.10 大视野采集：可一次采集FN25的目镜观察视野。</w:t>
            </w:r>
          </w:p>
          <w:p w14:paraId="7D75CE35">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2.11 软件:原厂正版软件，具有图像获取，处理，分析，视图的功能，具有用于图像分析软件的手动处理模块。</w:t>
            </w:r>
          </w:p>
          <w:p w14:paraId="4D7BB550">
            <w:pPr>
              <w:widowControl/>
              <w:adjustRightInd w:val="0"/>
              <w:snapToGrid w:val="0"/>
              <w:spacing w:line="300" w:lineRule="auto"/>
              <w:jc w:val="left"/>
              <w:textAlignment w:val="top"/>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3.控制终端配置不低于:</w:t>
            </w:r>
          </w:p>
          <w:p w14:paraId="77F20A2A">
            <w:pPr>
              <w:widowControl/>
              <w:adjustRightInd w:val="0"/>
              <w:snapToGrid w:val="0"/>
              <w:spacing w:line="300" w:lineRule="auto"/>
              <w:jc w:val="left"/>
              <w:textAlignment w:val="top"/>
              <w:rPr>
                <w:rFonts w:ascii="宋体" w:hAnsi="宋体" w:eastAsia="宋体" w:cs="宋体"/>
                <w:color w:val="auto"/>
                <w:szCs w:val="21"/>
                <w:highlight w:val="none"/>
              </w:rPr>
            </w:pPr>
            <w:r>
              <w:rPr>
                <w:rFonts w:hint="eastAsia" w:ascii="宋体" w:hAnsi="宋体" w:eastAsia="宋体" w:cs="宋体"/>
                <w:color w:val="auto"/>
                <w:kern w:val="0"/>
                <w:szCs w:val="21"/>
                <w:highlight w:val="none"/>
              </w:rPr>
              <w:t>CPU：四核；内存：4GB；显卡：独立显卡（PCI Express×16 VGA card），满足32位显示下的1280×1024分辨率或更高；硬盘：至少1TB空闲空间；显示器：23英寸显示器。</w:t>
            </w:r>
          </w:p>
        </w:tc>
        <w:tc>
          <w:tcPr>
            <w:tcW w:w="984" w:type="dxa"/>
            <w:noWrap w:val="0"/>
            <w:vAlign w:val="center"/>
          </w:tcPr>
          <w:p w14:paraId="202B3C5E">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2" w:type="dxa"/>
            <w:noWrap w:val="0"/>
            <w:vAlign w:val="center"/>
          </w:tcPr>
          <w:p w14:paraId="7BD0AC25">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60AC73F6">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c>
          <w:tcPr>
            <w:tcW w:w="657" w:type="dxa"/>
            <w:noWrap w:val="0"/>
            <w:vAlign w:val="center"/>
          </w:tcPr>
          <w:p w14:paraId="1B030BB9">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共用</w:t>
            </w:r>
          </w:p>
        </w:tc>
      </w:tr>
      <w:tr w14:paraId="6020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4B8C7062">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50B28750">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多功能酶标仪（进口）</w:t>
            </w:r>
          </w:p>
        </w:tc>
        <w:tc>
          <w:tcPr>
            <w:tcW w:w="4183" w:type="dxa"/>
            <w:noWrap w:val="0"/>
            <w:vAlign w:val="center"/>
          </w:tcPr>
          <w:p w14:paraId="1DFAA3A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1.应用范围：基于四光栅技术：吸收光、荧光强度、化学发光和荧光共振能量转移。</w:t>
            </w:r>
          </w:p>
          <w:p w14:paraId="71549A9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■2.检测类型：6-384孔微孔板，24孔或64孔超微量检测板（2μl或4μl），比色皿（适配器）。</w:t>
            </w:r>
          </w:p>
          <w:p w14:paraId="5678521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3.光源：高能氙闪灯光。</w:t>
            </w:r>
          </w:p>
          <w:p w14:paraId="06C5005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■4.温度控制：室温+5℃-66℃。</w:t>
            </w:r>
          </w:p>
          <w:p w14:paraId="3CD13D5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5.温度均一性：±0.75℃。</w:t>
            </w:r>
          </w:p>
          <w:p w14:paraId="7FEB12E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6.温度准确度：±1℃@37℃。</w:t>
            </w:r>
          </w:p>
          <w:p w14:paraId="1924273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7.震荡方式：线性、圆周、双圆周（强度和速度可调）。</w:t>
            </w:r>
          </w:p>
          <w:p w14:paraId="31F2F1B6">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■8.检测器：-5℃制冷PMT。</w:t>
            </w:r>
            <w:r>
              <w:rPr>
                <w:rFonts w:hint="eastAsia" w:ascii="宋体" w:hAnsi="宋体" w:eastAsia="宋体" w:cs="宋体"/>
                <w:b/>
                <w:bCs/>
                <w:color w:val="auto"/>
                <w:kern w:val="0"/>
                <w:szCs w:val="21"/>
                <w:highlight w:val="none"/>
              </w:rPr>
              <w:t>（投标文件中提供证明材料）</w:t>
            </w:r>
          </w:p>
          <w:p w14:paraId="3E1F157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9.检测模式：终点法（所有模式），动力学（所有模式），全波长扫描（所有模式），区域扫描（可达20×20密度/孔）。</w:t>
            </w:r>
          </w:p>
          <w:p w14:paraId="275DAAA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10.电脑连接方式：网线（直接接入局域网）；允许一台工作站控制多台仪器，同时数据可以存入网络中的任何终端电脑，进行数据共享和分析。</w:t>
            </w:r>
          </w:p>
          <w:p w14:paraId="7B9911F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11.吸收光：</w:t>
            </w:r>
          </w:p>
          <w:p w14:paraId="427328D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11.1 波长范围：230nm-1000nm，1nm可调。</w:t>
            </w:r>
          </w:p>
          <w:p w14:paraId="6A7BD53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11.2 波长带宽：4.0nm。</w:t>
            </w:r>
          </w:p>
          <w:p w14:paraId="0AEC9DC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 波长准确度：±2.0nm。</w:t>
            </w:r>
          </w:p>
          <w:p w14:paraId="2DA7911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波长重复性：±1nm。</w:t>
            </w:r>
          </w:p>
          <w:p w14:paraId="40E3291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11.5 光度量范围：0-4.0(OD)。</w:t>
            </w:r>
          </w:p>
          <w:p w14:paraId="4FDCC4A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11.6 分光检测分辨率：0.001OD。</w:t>
            </w:r>
          </w:p>
          <w:p w14:paraId="1904AA5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11.7 测定准确度：＜±0.010OD±1.0%，0-3.0OD。</w:t>
            </w:r>
          </w:p>
          <w:p w14:paraId="118F521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11.8 测定精确度：＜±0.003OD±1.0%，0-3.0OD。</w:t>
            </w:r>
          </w:p>
          <w:p w14:paraId="0B84D29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■11.9 光程校正技术：配有光径传感器技术，可以将实测的光密度值校正为1cm光径下的吸光度值，使对微孔板的测读达到分光光度计的精度，校正结果不随温度变化而变化。</w:t>
            </w:r>
            <w:r>
              <w:rPr>
                <w:rFonts w:hint="eastAsia" w:ascii="宋体" w:hAnsi="宋体" w:eastAsia="宋体" w:cs="宋体"/>
                <w:b/>
                <w:bCs/>
                <w:color w:val="auto"/>
                <w:kern w:val="0"/>
                <w:szCs w:val="21"/>
                <w:highlight w:val="none"/>
              </w:rPr>
              <w:t>（投标文件中提供证明材料）</w:t>
            </w:r>
          </w:p>
          <w:p w14:paraId="27047B6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12.荧光强度：</w:t>
            </w:r>
          </w:p>
          <w:p w14:paraId="10774E5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12.1 荧光检测支持：微孔板顶部及底部检测。</w:t>
            </w:r>
          </w:p>
          <w:p w14:paraId="179FE69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12.2 波长范围：250nm—850nm，1nm可调。</w:t>
            </w:r>
          </w:p>
          <w:p w14:paraId="061A996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12.3 带宽：(EX)15nm；(EM)25nm。</w:t>
            </w:r>
          </w:p>
          <w:p w14:paraId="58D4B890">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12.4 动态学范围：＞6个数量级。</w:t>
            </w:r>
          </w:p>
          <w:p w14:paraId="096E120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12.5 灵敏度(优化)：＜1pM荧光素，96孔板顶读；＜2pM荧光素，96孔板底读；＜1pM荧光素，384孔板顶读；＜2.5pM荧光素，384孔板底读。</w:t>
            </w:r>
          </w:p>
          <w:p w14:paraId="7835EE0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13.化学发光：</w:t>
            </w:r>
          </w:p>
          <w:p w14:paraId="66B5327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13.1 化学发光检测支持：微孔板顶部检测。</w:t>
            </w:r>
          </w:p>
          <w:p w14:paraId="0AE73BE2">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■13.2 波长范围：300nm—850nm，1nm可调。</w:t>
            </w:r>
          </w:p>
          <w:p w14:paraId="742A598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■13.3 灵敏度（辉光）：＜2pM ATP，96孔板；＜4pM ATP，384孔板。</w:t>
            </w:r>
            <w:r>
              <w:rPr>
                <w:rFonts w:hint="eastAsia" w:ascii="宋体" w:hAnsi="宋体" w:eastAsia="宋体" w:cs="宋体"/>
                <w:b/>
                <w:bCs/>
                <w:color w:val="auto"/>
                <w:kern w:val="0"/>
                <w:szCs w:val="21"/>
                <w:highlight w:val="none"/>
              </w:rPr>
              <w:t>（投标文件中提供证明材料）</w:t>
            </w:r>
          </w:p>
          <w:p w14:paraId="12B5DA8C">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13.4 灵敏度（闪光）：＜20amol ATP。</w:t>
            </w:r>
          </w:p>
          <w:p w14:paraId="1B5AA193">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 检测时间：</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132"/>
              <w:gridCol w:w="758"/>
              <w:gridCol w:w="990"/>
            </w:tblGrid>
            <w:tr w14:paraId="5FA4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56526B26">
                  <w:pPr>
                    <w:widowControl w:val="0"/>
                    <w:kinsoku w:val="0"/>
                    <w:autoSpaceDE w:val="0"/>
                    <w:autoSpaceDN w:val="0"/>
                    <w:adjustRightInd w:val="0"/>
                    <w:snapToGrid w:val="0"/>
                    <w:ind w:left="0" w:leftChars="0"/>
                    <w:jc w:val="center"/>
                    <w:textAlignment w:val="baseline"/>
                    <w:rPr>
                      <w:rFonts w:ascii="Arial" w:hAnsi="Arial" w:eastAsia="Arial" w:cs="Arial"/>
                      <w:snapToGrid w:val="0"/>
                      <w:color w:val="auto"/>
                      <w:sz w:val="21"/>
                      <w:szCs w:val="21"/>
                      <w:highlight w:val="none"/>
                      <w:lang w:val="en-US" w:eastAsia="zh-CN" w:bidi="ar-SA"/>
                    </w:rPr>
                  </w:pPr>
                  <w:r>
                    <w:rPr>
                      <w:rFonts w:hint="eastAsia" w:ascii="Arial" w:hAnsi="Arial" w:eastAsia="Arial" w:cs="Arial"/>
                      <w:snapToGrid w:val="0"/>
                      <w:color w:val="auto"/>
                      <w:sz w:val="21"/>
                      <w:szCs w:val="21"/>
                      <w:highlight w:val="none"/>
                      <w:lang w:val="en-US" w:eastAsia="zh-CN" w:bidi="ar-SA"/>
                    </w:rPr>
                    <w:t>检测时间</w:t>
                  </w:r>
                </w:p>
              </w:tc>
              <w:tc>
                <w:tcPr>
                  <w:tcW w:w="1132" w:type="dxa"/>
                  <w:noWrap w:val="0"/>
                  <w:vAlign w:val="center"/>
                </w:tcPr>
                <w:p w14:paraId="441CEA2E">
                  <w:pPr>
                    <w:widowControl w:val="0"/>
                    <w:kinsoku w:val="0"/>
                    <w:autoSpaceDE w:val="0"/>
                    <w:autoSpaceDN w:val="0"/>
                    <w:adjustRightInd w:val="0"/>
                    <w:snapToGrid w:val="0"/>
                    <w:ind w:left="0" w:leftChars="0"/>
                    <w:jc w:val="center"/>
                    <w:textAlignment w:val="baseline"/>
                    <w:rPr>
                      <w:rFonts w:ascii="Arial" w:hAnsi="Arial" w:eastAsia="Arial" w:cs="Arial"/>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96孔板</w:t>
                  </w:r>
                </w:p>
              </w:tc>
              <w:tc>
                <w:tcPr>
                  <w:tcW w:w="758" w:type="dxa"/>
                  <w:noWrap w:val="0"/>
                  <w:vAlign w:val="center"/>
                </w:tcPr>
                <w:p w14:paraId="227FD66A">
                  <w:pPr>
                    <w:widowControl w:val="0"/>
                    <w:kinsoku w:val="0"/>
                    <w:autoSpaceDE w:val="0"/>
                    <w:autoSpaceDN w:val="0"/>
                    <w:adjustRightInd w:val="0"/>
                    <w:snapToGrid w:val="0"/>
                    <w:ind w:left="0" w:leftChars="0"/>
                    <w:jc w:val="center"/>
                    <w:textAlignment w:val="baseline"/>
                    <w:rPr>
                      <w:rFonts w:ascii="Arial" w:hAnsi="Arial" w:eastAsia="Arial" w:cs="Arial"/>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96孔板</w:t>
                  </w:r>
                </w:p>
              </w:tc>
              <w:tc>
                <w:tcPr>
                  <w:tcW w:w="990" w:type="dxa"/>
                  <w:noWrap w:val="0"/>
                  <w:vAlign w:val="center"/>
                </w:tcPr>
                <w:p w14:paraId="42F95007">
                  <w:pPr>
                    <w:widowControl w:val="0"/>
                    <w:kinsoku w:val="0"/>
                    <w:autoSpaceDE w:val="0"/>
                    <w:autoSpaceDN w:val="0"/>
                    <w:adjustRightInd w:val="0"/>
                    <w:snapToGrid w:val="0"/>
                    <w:ind w:left="0" w:leftChars="0"/>
                    <w:jc w:val="center"/>
                    <w:textAlignment w:val="baseline"/>
                    <w:rPr>
                      <w:rFonts w:ascii="Arial" w:hAnsi="Arial" w:eastAsia="Arial" w:cs="Arial"/>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96孔板</w:t>
                  </w:r>
                </w:p>
              </w:tc>
            </w:tr>
            <w:tr w14:paraId="646B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52EA716D">
                  <w:pPr>
                    <w:widowControl w:val="0"/>
                    <w:kinsoku w:val="0"/>
                    <w:autoSpaceDE w:val="0"/>
                    <w:autoSpaceDN w:val="0"/>
                    <w:adjustRightInd w:val="0"/>
                    <w:snapToGrid w:val="0"/>
                    <w:ind w:left="0" w:leftChars="0"/>
                    <w:jc w:val="center"/>
                    <w:textAlignment w:val="baseline"/>
                    <w:rPr>
                      <w:rFonts w:ascii="Arial" w:hAnsi="Arial" w:eastAsia="Arial" w:cs="Arial"/>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吸收光</w:t>
                  </w:r>
                </w:p>
              </w:tc>
              <w:tc>
                <w:tcPr>
                  <w:tcW w:w="1132" w:type="dxa"/>
                  <w:noWrap w:val="0"/>
                  <w:vAlign w:val="center"/>
                </w:tcPr>
                <w:p w14:paraId="07A49F0A">
                  <w:pPr>
                    <w:widowControl w:val="0"/>
                    <w:kinsoku w:val="0"/>
                    <w:autoSpaceDE w:val="0"/>
                    <w:autoSpaceDN w:val="0"/>
                    <w:adjustRightInd w:val="0"/>
                    <w:snapToGrid w:val="0"/>
                    <w:ind w:left="0" w:leftChars="0"/>
                    <w:jc w:val="center"/>
                    <w:textAlignment w:val="baseline"/>
                    <w:rPr>
                      <w:rFonts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28秒</w:t>
                  </w:r>
                </w:p>
                <w:p w14:paraId="74A16F09">
                  <w:pPr>
                    <w:widowControl w:val="0"/>
                    <w:kinsoku w:val="0"/>
                    <w:autoSpaceDE w:val="0"/>
                    <w:autoSpaceDN w:val="0"/>
                    <w:adjustRightInd w:val="0"/>
                    <w:snapToGrid w:val="0"/>
                    <w:ind w:left="0" w:leftChars="0"/>
                    <w:jc w:val="center"/>
                    <w:textAlignment w:val="baseline"/>
                    <w:rPr>
                      <w:rFonts w:ascii="Arial" w:hAnsi="Arial" w:eastAsia="Arial" w:cs="Arial"/>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（优化）</w:t>
                  </w:r>
                </w:p>
              </w:tc>
              <w:tc>
                <w:tcPr>
                  <w:tcW w:w="758" w:type="dxa"/>
                  <w:noWrap w:val="0"/>
                  <w:vAlign w:val="center"/>
                </w:tcPr>
                <w:p w14:paraId="0FB811EC">
                  <w:pPr>
                    <w:widowControl w:val="0"/>
                    <w:kinsoku w:val="0"/>
                    <w:autoSpaceDE w:val="0"/>
                    <w:autoSpaceDN w:val="0"/>
                    <w:adjustRightInd w:val="0"/>
                    <w:snapToGrid w:val="0"/>
                    <w:ind w:left="0" w:leftChars="0"/>
                    <w:jc w:val="center"/>
                    <w:textAlignment w:val="baseline"/>
                    <w:rPr>
                      <w:rFonts w:ascii="Arial" w:hAnsi="Arial" w:eastAsia="Arial" w:cs="Arial"/>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30秒</w:t>
                  </w:r>
                </w:p>
              </w:tc>
              <w:tc>
                <w:tcPr>
                  <w:tcW w:w="990" w:type="dxa"/>
                  <w:noWrap w:val="0"/>
                  <w:vAlign w:val="center"/>
                </w:tcPr>
                <w:p w14:paraId="4C137028">
                  <w:pPr>
                    <w:widowControl w:val="0"/>
                    <w:kinsoku w:val="0"/>
                    <w:autoSpaceDE w:val="0"/>
                    <w:autoSpaceDN w:val="0"/>
                    <w:adjustRightInd w:val="0"/>
                    <w:snapToGrid w:val="0"/>
                    <w:ind w:left="0" w:leftChars="0"/>
                    <w:jc w:val="center"/>
                    <w:textAlignment w:val="baseline"/>
                    <w:rPr>
                      <w:rFonts w:ascii="Arial" w:hAnsi="Arial" w:eastAsia="Arial" w:cs="Arial"/>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1分25秒</w:t>
                  </w:r>
                </w:p>
              </w:tc>
            </w:tr>
            <w:tr w14:paraId="087D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2C7095A1">
                  <w:pPr>
                    <w:widowControl w:val="0"/>
                    <w:kinsoku w:val="0"/>
                    <w:autoSpaceDE w:val="0"/>
                    <w:autoSpaceDN w:val="0"/>
                    <w:adjustRightInd w:val="0"/>
                    <w:snapToGrid w:val="0"/>
                    <w:ind w:left="0" w:leftChars="0"/>
                    <w:jc w:val="center"/>
                    <w:textAlignment w:val="baseline"/>
                    <w:rPr>
                      <w:rFonts w:ascii="Arial" w:hAnsi="Arial" w:eastAsia="Arial" w:cs="Arial"/>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荧光强度</w:t>
                  </w:r>
                </w:p>
              </w:tc>
              <w:tc>
                <w:tcPr>
                  <w:tcW w:w="1132" w:type="dxa"/>
                  <w:noWrap w:val="0"/>
                  <w:vAlign w:val="center"/>
                </w:tcPr>
                <w:p w14:paraId="25A3BAE9">
                  <w:pPr>
                    <w:widowControl w:val="0"/>
                    <w:kinsoku w:val="0"/>
                    <w:autoSpaceDE w:val="0"/>
                    <w:autoSpaceDN w:val="0"/>
                    <w:adjustRightInd w:val="0"/>
                    <w:snapToGrid w:val="0"/>
                    <w:ind w:left="0" w:leftChars="0"/>
                    <w:jc w:val="center"/>
                    <w:textAlignment w:val="baseline"/>
                    <w:rPr>
                      <w:rFonts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21秒</w:t>
                  </w:r>
                </w:p>
                <w:p w14:paraId="6DB5C51F">
                  <w:pPr>
                    <w:widowControl w:val="0"/>
                    <w:kinsoku w:val="0"/>
                    <w:autoSpaceDE w:val="0"/>
                    <w:autoSpaceDN w:val="0"/>
                    <w:adjustRightInd w:val="0"/>
                    <w:snapToGrid w:val="0"/>
                    <w:ind w:left="0" w:leftChars="0"/>
                    <w:jc w:val="center"/>
                    <w:textAlignment w:val="baseline"/>
                    <w:rPr>
                      <w:rFonts w:ascii="Arial" w:hAnsi="Arial" w:eastAsia="Arial" w:cs="Arial"/>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（优化）</w:t>
                  </w:r>
                </w:p>
              </w:tc>
              <w:tc>
                <w:tcPr>
                  <w:tcW w:w="758" w:type="dxa"/>
                  <w:noWrap w:val="0"/>
                  <w:vAlign w:val="center"/>
                </w:tcPr>
                <w:p w14:paraId="6C9C05BF">
                  <w:pPr>
                    <w:widowControl w:val="0"/>
                    <w:kinsoku w:val="0"/>
                    <w:autoSpaceDE w:val="0"/>
                    <w:autoSpaceDN w:val="0"/>
                    <w:adjustRightInd w:val="0"/>
                    <w:snapToGrid w:val="0"/>
                    <w:ind w:left="0" w:leftChars="0"/>
                    <w:jc w:val="center"/>
                    <w:textAlignment w:val="baseline"/>
                    <w:rPr>
                      <w:rFonts w:ascii="Arial" w:hAnsi="Arial" w:eastAsia="Arial" w:cs="Arial"/>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30秒</w:t>
                  </w:r>
                </w:p>
              </w:tc>
              <w:tc>
                <w:tcPr>
                  <w:tcW w:w="990" w:type="dxa"/>
                  <w:noWrap w:val="0"/>
                  <w:vAlign w:val="center"/>
                </w:tcPr>
                <w:p w14:paraId="29D149E9">
                  <w:pPr>
                    <w:widowControl w:val="0"/>
                    <w:kinsoku w:val="0"/>
                    <w:autoSpaceDE w:val="0"/>
                    <w:autoSpaceDN w:val="0"/>
                    <w:adjustRightInd w:val="0"/>
                    <w:snapToGrid w:val="0"/>
                    <w:ind w:left="0" w:leftChars="0"/>
                    <w:jc w:val="center"/>
                    <w:textAlignment w:val="baseline"/>
                    <w:rPr>
                      <w:rFonts w:ascii="Arial" w:hAnsi="Arial" w:eastAsia="Arial" w:cs="Arial"/>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53秒</w:t>
                  </w:r>
                </w:p>
              </w:tc>
            </w:tr>
            <w:tr w14:paraId="421C0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noWrap w:val="0"/>
                  <w:vAlign w:val="center"/>
                </w:tcPr>
                <w:p w14:paraId="7FDC082B">
                  <w:pPr>
                    <w:widowControl w:val="0"/>
                    <w:kinsoku w:val="0"/>
                    <w:autoSpaceDE w:val="0"/>
                    <w:autoSpaceDN w:val="0"/>
                    <w:adjustRightInd w:val="0"/>
                    <w:snapToGrid w:val="0"/>
                    <w:ind w:left="0" w:leftChars="0"/>
                    <w:jc w:val="center"/>
                    <w:textAlignment w:val="baseline"/>
                    <w:rPr>
                      <w:rFonts w:ascii="Arial" w:hAnsi="Arial" w:eastAsia="Arial" w:cs="Arial"/>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化学发光</w:t>
                  </w:r>
                </w:p>
              </w:tc>
              <w:tc>
                <w:tcPr>
                  <w:tcW w:w="1132" w:type="dxa"/>
                  <w:noWrap w:val="0"/>
                  <w:vAlign w:val="center"/>
                </w:tcPr>
                <w:p w14:paraId="009DADC5">
                  <w:pPr>
                    <w:widowControl w:val="0"/>
                    <w:kinsoku w:val="0"/>
                    <w:autoSpaceDE w:val="0"/>
                    <w:autoSpaceDN w:val="0"/>
                    <w:adjustRightInd w:val="0"/>
                    <w:snapToGrid w:val="0"/>
                    <w:ind w:left="0" w:leftChars="0"/>
                    <w:jc w:val="center"/>
                    <w:textAlignment w:val="baseline"/>
                    <w:rPr>
                      <w:rFonts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21秒</w:t>
                  </w:r>
                </w:p>
                <w:p w14:paraId="5F512FE9">
                  <w:pPr>
                    <w:widowControl w:val="0"/>
                    <w:kinsoku w:val="0"/>
                    <w:autoSpaceDE w:val="0"/>
                    <w:autoSpaceDN w:val="0"/>
                    <w:adjustRightInd w:val="0"/>
                    <w:snapToGrid w:val="0"/>
                    <w:ind w:left="0" w:leftChars="0"/>
                    <w:jc w:val="center"/>
                    <w:textAlignment w:val="baseline"/>
                    <w:rPr>
                      <w:rFonts w:ascii="Arial" w:hAnsi="Arial" w:eastAsia="Arial" w:cs="Arial"/>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（优化）</w:t>
                  </w:r>
                </w:p>
              </w:tc>
              <w:tc>
                <w:tcPr>
                  <w:tcW w:w="758" w:type="dxa"/>
                  <w:noWrap w:val="0"/>
                  <w:vAlign w:val="center"/>
                </w:tcPr>
                <w:p w14:paraId="0C803BFD">
                  <w:pPr>
                    <w:widowControl w:val="0"/>
                    <w:kinsoku w:val="0"/>
                    <w:autoSpaceDE w:val="0"/>
                    <w:autoSpaceDN w:val="0"/>
                    <w:adjustRightInd w:val="0"/>
                    <w:snapToGrid w:val="0"/>
                    <w:ind w:left="0" w:leftChars="0"/>
                    <w:jc w:val="center"/>
                    <w:textAlignment w:val="baseline"/>
                    <w:rPr>
                      <w:rFonts w:ascii="Arial" w:hAnsi="Arial" w:eastAsia="Arial" w:cs="Arial"/>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30秒</w:t>
                  </w:r>
                </w:p>
              </w:tc>
              <w:tc>
                <w:tcPr>
                  <w:tcW w:w="990" w:type="dxa"/>
                  <w:noWrap w:val="0"/>
                  <w:vAlign w:val="center"/>
                </w:tcPr>
                <w:p w14:paraId="0E8D35AA">
                  <w:pPr>
                    <w:widowControl w:val="0"/>
                    <w:kinsoku w:val="0"/>
                    <w:autoSpaceDE w:val="0"/>
                    <w:autoSpaceDN w:val="0"/>
                    <w:adjustRightInd w:val="0"/>
                    <w:snapToGrid w:val="0"/>
                    <w:ind w:left="0" w:leftChars="0"/>
                    <w:jc w:val="center"/>
                    <w:textAlignment w:val="baseline"/>
                    <w:rPr>
                      <w:rFonts w:ascii="Arial" w:hAnsi="Arial" w:eastAsia="Arial" w:cs="Arial"/>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1分01秒</w:t>
                  </w:r>
                </w:p>
              </w:tc>
            </w:tr>
          </w:tbl>
          <w:p w14:paraId="5184EE71">
            <w:pPr>
              <w:kinsoku w:val="0"/>
              <w:autoSpaceDE w:val="0"/>
              <w:autoSpaceDN w:val="0"/>
              <w:adjustRightInd w:val="0"/>
              <w:snapToGrid w:val="0"/>
              <w:ind w:left="1260" w:leftChars="600"/>
              <w:textAlignment w:val="baseline"/>
              <w:rPr>
                <w:rFonts w:ascii="Arial" w:hAnsi="Arial" w:eastAsia="Arial" w:cs="Arial"/>
                <w:snapToGrid w:val="0"/>
                <w:color w:val="auto"/>
                <w:sz w:val="21"/>
                <w:szCs w:val="21"/>
                <w:highlight w:val="none"/>
                <w:lang w:val="en-US" w:eastAsia="zh-CN" w:bidi="ar-SA"/>
              </w:rPr>
            </w:pPr>
          </w:p>
          <w:p w14:paraId="2E5D081B">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■15.近场芯片感应通讯和身份识别功能：仪器自动识别用户身份，进入用户界面，调出和执行程序，达到无纸化化的仪器登记使用管理。</w:t>
            </w:r>
            <w:r>
              <w:rPr>
                <w:rFonts w:hint="eastAsia" w:ascii="宋体" w:hAnsi="宋体" w:eastAsia="宋体" w:cs="宋体"/>
                <w:b/>
                <w:bCs/>
                <w:color w:val="auto"/>
                <w:kern w:val="0"/>
                <w:szCs w:val="21"/>
                <w:highlight w:val="none"/>
              </w:rPr>
              <w:t>（投标文件中提供证明材料）</w:t>
            </w:r>
          </w:p>
          <w:p w14:paraId="2F9082DF">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■16.仪器主机面板具有嵌入式大屏幕触摸屏：无需电脑，直接使用在线触屏，即可进行程序、参数设置、读板、存储数据（至USB或网络路径）、数据展示和浏览；同时机器内置培训视频可在线可调用观看。</w:t>
            </w:r>
            <w:r>
              <w:rPr>
                <w:rFonts w:hint="eastAsia" w:ascii="宋体" w:hAnsi="宋体" w:eastAsia="宋体" w:cs="宋体"/>
                <w:b/>
                <w:bCs/>
                <w:color w:val="auto"/>
                <w:kern w:val="0"/>
                <w:szCs w:val="21"/>
                <w:highlight w:val="none"/>
              </w:rPr>
              <w:t>（投标文件中提供证明材料）</w:t>
            </w:r>
          </w:p>
          <w:p w14:paraId="304AC5F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17.软件</w:t>
            </w:r>
          </w:p>
          <w:p w14:paraId="272684FE">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数据分析软件可自动进行数据的运算及存储；可完成图表曲线制作，并可完成坐标轴的自由定义和转换，≥21种曲线拟合方式；完成自编公式和程序的存储及运行；仪器的各种功能均可通过计算机控制完成。</w:t>
            </w:r>
          </w:p>
        </w:tc>
        <w:tc>
          <w:tcPr>
            <w:tcW w:w="984" w:type="dxa"/>
            <w:noWrap w:val="0"/>
            <w:vAlign w:val="center"/>
          </w:tcPr>
          <w:p w14:paraId="5E66D81A">
            <w:pPr>
              <w:adjustRightInd w:val="0"/>
              <w:snapToGrid w:val="0"/>
              <w:spacing w:line="30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2" w:type="dxa"/>
            <w:noWrap w:val="0"/>
            <w:vAlign w:val="center"/>
          </w:tcPr>
          <w:p w14:paraId="14F3043A">
            <w:pPr>
              <w:widowControl/>
              <w:adjustRightInd w:val="0"/>
              <w:snapToGrid w:val="0"/>
              <w:spacing w:line="300" w:lineRule="auto"/>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0CED242E">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否</w:t>
            </w:r>
          </w:p>
        </w:tc>
        <w:tc>
          <w:tcPr>
            <w:tcW w:w="657" w:type="dxa"/>
            <w:noWrap w:val="0"/>
            <w:vAlign w:val="center"/>
          </w:tcPr>
          <w:p w14:paraId="3533CEAB">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共用</w:t>
            </w:r>
          </w:p>
        </w:tc>
      </w:tr>
      <w:tr w14:paraId="14B1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8" w:type="dxa"/>
            <w:noWrap w:val="0"/>
            <w:vAlign w:val="center"/>
          </w:tcPr>
          <w:p w14:paraId="408F7B57">
            <w:pPr>
              <w:widowControl/>
              <w:numPr>
                <w:ilvl w:val="0"/>
                <w:numId w:val="1"/>
              </w:numPr>
              <w:tabs>
                <w:tab w:val="clear" w:pos="0"/>
              </w:tabs>
              <w:adjustRightInd w:val="0"/>
              <w:snapToGrid w:val="0"/>
              <w:spacing w:line="300" w:lineRule="auto"/>
              <w:jc w:val="center"/>
              <w:textAlignment w:val="center"/>
              <w:rPr>
                <w:rFonts w:ascii="宋体" w:hAnsi="宋体" w:eastAsia="宋体" w:cs="宋体"/>
                <w:color w:val="auto"/>
                <w:szCs w:val="21"/>
                <w:highlight w:val="none"/>
              </w:rPr>
            </w:pPr>
          </w:p>
        </w:tc>
        <w:tc>
          <w:tcPr>
            <w:tcW w:w="1184" w:type="dxa"/>
            <w:noWrap w:val="0"/>
            <w:vAlign w:val="center"/>
          </w:tcPr>
          <w:p w14:paraId="448EEA52">
            <w:pPr>
              <w:widowControl/>
              <w:adjustRightInd w:val="0"/>
              <w:snapToGrid w:val="0"/>
              <w:spacing w:line="30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▲程序化冷冻仪（进口）</w:t>
            </w:r>
          </w:p>
        </w:tc>
        <w:tc>
          <w:tcPr>
            <w:tcW w:w="4183" w:type="dxa"/>
            <w:noWrap w:val="0"/>
            <w:vAlign w:val="center"/>
          </w:tcPr>
          <w:p w14:paraId="18C2E4B5">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■1.电脑控制冷冻箱（程序化冷冻仪），可在监控器上输入数据，并自动记录冷冻曲线。</w:t>
            </w:r>
            <w:r>
              <w:rPr>
                <w:rFonts w:hint="eastAsia" w:ascii="宋体" w:hAnsi="宋体" w:eastAsia="宋体" w:cs="宋体"/>
                <w:b/>
                <w:bCs/>
                <w:color w:val="auto"/>
                <w:kern w:val="0"/>
                <w:szCs w:val="21"/>
                <w:highlight w:val="none"/>
              </w:rPr>
              <w:t>（投标文件中提供软件截图，及控制软件显示所有温度曲线证明材料和实验报告</w:t>
            </w:r>
            <w:r>
              <w:rPr>
                <w:rFonts w:hint="eastAsia" w:ascii="宋体" w:hAnsi="宋体" w:eastAsia="宋体" w:cs="宋体"/>
                <w:b/>
                <w:bCs/>
                <w:color w:val="auto"/>
                <w:kern w:val="0"/>
                <w:szCs w:val="21"/>
                <w:highlight w:val="none"/>
                <w:lang w:val="en-US" w:eastAsia="zh-CN"/>
              </w:rPr>
              <w:t>截图</w:t>
            </w:r>
            <w:r>
              <w:rPr>
                <w:rFonts w:hint="eastAsia" w:ascii="宋体" w:hAnsi="宋体" w:eastAsia="宋体" w:cs="宋体"/>
                <w:b/>
                <w:bCs/>
                <w:color w:val="auto"/>
                <w:kern w:val="0"/>
                <w:szCs w:val="21"/>
                <w:highlight w:val="none"/>
              </w:rPr>
              <w:t>等作为证明材料）</w:t>
            </w:r>
          </w:p>
          <w:p w14:paraId="3BF72619">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2.温度范围：+40至-180℃。</w:t>
            </w:r>
          </w:p>
          <w:p w14:paraId="761557FE">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■3.冷却速度：0.01至60℃/min。</w:t>
            </w:r>
            <w:r>
              <w:rPr>
                <w:rFonts w:hint="eastAsia" w:ascii="宋体" w:hAnsi="宋体" w:eastAsia="宋体" w:cs="宋体"/>
                <w:b/>
                <w:bCs/>
                <w:color w:val="auto"/>
                <w:kern w:val="0"/>
                <w:szCs w:val="21"/>
                <w:highlight w:val="none"/>
              </w:rPr>
              <w:t>（投标文件中提供证明材料）</w:t>
            </w:r>
          </w:p>
          <w:p w14:paraId="0FFF9B1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■4.加热速率：0.01至15℃/min。</w:t>
            </w:r>
            <w:r>
              <w:rPr>
                <w:rFonts w:hint="eastAsia" w:ascii="宋体" w:hAnsi="宋体" w:eastAsia="宋体" w:cs="宋体"/>
                <w:b/>
                <w:bCs/>
                <w:color w:val="auto"/>
                <w:kern w:val="0"/>
                <w:szCs w:val="21"/>
                <w:highlight w:val="none"/>
              </w:rPr>
              <w:t>（投标文件中提供证明材料）</w:t>
            </w:r>
          </w:p>
          <w:p w14:paraId="23AC8E9D">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■5.温度精度：≤0.01℃。</w:t>
            </w:r>
          </w:p>
          <w:p w14:paraId="722D832A">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■6.容积：可放置≥900个0.5ml或0.25ml细管。</w:t>
            </w:r>
          </w:p>
          <w:p w14:paraId="4B2714A7">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7.采用2个Pt-100电阻温度计测量温度</w:t>
            </w:r>
          </w:p>
          <w:p w14:paraId="06554F6A">
            <w:pPr>
              <w:widowControl/>
              <w:adjustRightInd w:val="0"/>
              <w:snapToGrid w:val="0"/>
              <w:spacing w:line="300" w:lineRule="auto"/>
              <w:jc w:val="left"/>
              <w:textAlignment w:val="center"/>
              <w:rPr>
                <w:rFonts w:ascii="Calibri" w:hAnsi="Calibri" w:eastAsia="宋体" w:cs="Times New Roman"/>
                <w:color w:val="auto"/>
                <w:szCs w:val="24"/>
                <w:highlight w:val="none"/>
              </w:rPr>
            </w:pPr>
            <w:r>
              <w:rPr>
                <w:rFonts w:hint="eastAsia" w:ascii="宋体" w:hAnsi="宋体" w:eastAsia="宋体" w:cs="宋体"/>
                <w:color w:val="auto"/>
                <w:kern w:val="0"/>
                <w:szCs w:val="21"/>
                <w:highlight w:val="none"/>
              </w:rPr>
              <w:t>8.</w:t>
            </w:r>
            <w:r>
              <w:rPr>
                <w:rFonts w:hint="eastAsia" w:ascii="Calibri" w:hAnsi="Calibri" w:eastAsia="宋体" w:cs="Times New Roman"/>
                <w:color w:val="auto"/>
                <w:szCs w:val="24"/>
                <w:highlight w:val="none"/>
              </w:rPr>
              <w:t>可以使用系统预设的精液和胚胎的标准冷冻曲线，也可创建新的冷冻程序</w:t>
            </w:r>
          </w:p>
          <w:p w14:paraId="3EED59BA">
            <w:pPr>
              <w:widowControl/>
              <w:adjustRightInd w:val="0"/>
              <w:snapToGrid w:val="0"/>
              <w:spacing w:line="300" w:lineRule="auto"/>
              <w:jc w:val="left"/>
              <w:textAlignment w:val="center"/>
              <w:rPr>
                <w:rFonts w:ascii="Calibri" w:hAnsi="Calibri" w:eastAsia="宋体" w:cs="Times New Roman"/>
                <w:color w:val="auto"/>
                <w:szCs w:val="24"/>
                <w:highlight w:val="none"/>
              </w:rPr>
            </w:pPr>
            <w:r>
              <w:rPr>
                <w:rFonts w:hint="eastAsia" w:ascii="宋体" w:hAnsi="宋体" w:eastAsia="宋体" w:cs="宋体"/>
                <w:color w:val="auto"/>
                <w:kern w:val="0"/>
                <w:szCs w:val="21"/>
                <w:highlight w:val="none"/>
              </w:rPr>
              <w:t>9.冷冻程序设计和控制软件，无限制的程序储存和处理文件，彩色图形显示所有温度曲线，多种参数设置。</w:t>
            </w:r>
          </w:p>
          <w:p w14:paraId="56D64969">
            <w:pPr>
              <w:widowControl/>
              <w:adjustRightInd w:val="0"/>
              <w:snapToGrid w:val="0"/>
              <w:spacing w:line="300" w:lineRule="auto"/>
              <w:jc w:val="left"/>
              <w:textAlignment w:val="center"/>
              <w:rPr>
                <w:rFonts w:ascii="Calibri" w:hAnsi="Calibri" w:eastAsia="宋体" w:cs="Times New Roman"/>
                <w:color w:val="auto"/>
                <w:szCs w:val="24"/>
                <w:highlight w:val="none"/>
              </w:rPr>
            </w:pPr>
            <w:r>
              <w:rPr>
                <w:rFonts w:hint="eastAsia" w:ascii="宋体" w:hAnsi="宋体" w:eastAsia="宋体" w:cs="宋体"/>
                <w:color w:val="auto"/>
                <w:szCs w:val="24"/>
                <w:highlight w:val="none"/>
              </w:rPr>
              <w:t>10.</w:t>
            </w:r>
            <w:r>
              <w:rPr>
                <w:rFonts w:hint="eastAsia" w:ascii="Calibri" w:hAnsi="Calibri" w:eastAsia="宋体" w:cs="Times New Roman"/>
                <w:color w:val="auto"/>
                <w:szCs w:val="24"/>
                <w:highlight w:val="none"/>
              </w:rPr>
              <w:t>防护控制系统</w:t>
            </w:r>
          </w:p>
          <w:p w14:paraId="7A196ADE">
            <w:pPr>
              <w:widowControl/>
              <w:adjustRightInd w:val="0"/>
              <w:snapToGrid w:val="0"/>
              <w:spacing w:line="300" w:lineRule="auto"/>
              <w:jc w:val="left"/>
              <w:textAlignment w:val="center"/>
              <w:rPr>
                <w:rFonts w:ascii="Calibri" w:hAnsi="Calibri" w:eastAsia="宋体" w:cs="Times New Roman"/>
                <w:color w:val="auto"/>
                <w:szCs w:val="24"/>
                <w:highlight w:val="none"/>
              </w:rPr>
            </w:pPr>
            <w:r>
              <w:rPr>
                <w:rFonts w:hint="eastAsia" w:ascii="Calibri" w:hAnsi="Calibri" w:eastAsia="宋体" w:cs="Times New Roman"/>
                <w:color w:val="auto"/>
                <w:szCs w:val="24"/>
                <w:highlight w:val="none"/>
              </w:rPr>
              <w:t>防护系统配有全自动操控装置，有效隔离外部干扰。单向水平氮气流动。</w:t>
            </w:r>
          </w:p>
          <w:p w14:paraId="61C8FE82">
            <w:pPr>
              <w:widowControl/>
              <w:adjustRightInd w:val="0"/>
              <w:snapToGrid w:val="0"/>
              <w:spacing w:line="300" w:lineRule="auto"/>
              <w:jc w:val="left"/>
              <w:textAlignment w:val="center"/>
              <w:rPr>
                <w:rFonts w:ascii="Calibri" w:hAnsi="Calibri" w:eastAsia="宋体" w:cs="Times New Roman"/>
                <w:color w:val="auto"/>
                <w:szCs w:val="24"/>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4"/>
                <w:highlight w:val="none"/>
              </w:rPr>
              <w:t>11.</w:t>
            </w:r>
            <w:r>
              <w:rPr>
                <w:rFonts w:hint="eastAsia" w:ascii="Calibri" w:hAnsi="Calibri" w:eastAsia="宋体" w:cs="Times New Roman"/>
                <w:color w:val="auto"/>
                <w:szCs w:val="24"/>
                <w:highlight w:val="none"/>
              </w:rPr>
              <w:t>配备样品实验结果分析管理系统，用于冷冻样品，冷冻条件，实验人员，耗材的管理和冷冻样品的分析等。</w:t>
            </w:r>
            <w:r>
              <w:rPr>
                <w:rFonts w:hint="eastAsia" w:ascii="宋体" w:hAnsi="宋体" w:eastAsia="宋体" w:cs="宋体"/>
                <w:b/>
                <w:bCs/>
                <w:color w:val="auto"/>
                <w:kern w:val="0"/>
                <w:szCs w:val="21"/>
                <w:highlight w:val="none"/>
              </w:rPr>
              <w:t>（投标文件中提供证明材料）</w:t>
            </w:r>
          </w:p>
          <w:p w14:paraId="73E14E84">
            <w:pPr>
              <w:widowControl/>
              <w:adjustRightInd w:val="0"/>
              <w:snapToGrid w:val="0"/>
              <w:spacing w:line="300" w:lineRule="auto"/>
              <w:jc w:val="left"/>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12.带不小于10英寸平板终端。</w:t>
            </w:r>
          </w:p>
          <w:p w14:paraId="09DA1E31">
            <w:pPr>
              <w:widowControl/>
              <w:adjustRightInd w:val="0"/>
              <w:snapToGrid w:val="0"/>
              <w:spacing w:line="300" w:lineRule="auto"/>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13.含≥60升自增压液氮罐。</w:t>
            </w:r>
          </w:p>
        </w:tc>
        <w:tc>
          <w:tcPr>
            <w:tcW w:w="984" w:type="dxa"/>
            <w:noWrap w:val="0"/>
            <w:vAlign w:val="center"/>
          </w:tcPr>
          <w:p w14:paraId="6E0E3796">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2" w:type="dxa"/>
            <w:noWrap w:val="0"/>
            <w:vAlign w:val="center"/>
          </w:tcPr>
          <w:p w14:paraId="61CB8567">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工业</w:t>
            </w:r>
          </w:p>
        </w:tc>
        <w:tc>
          <w:tcPr>
            <w:tcW w:w="717" w:type="dxa"/>
            <w:noWrap w:val="0"/>
            <w:vAlign w:val="center"/>
          </w:tcPr>
          <w:p w14:paraId="77FDA466">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是</w:t>
            </w:r>
          </w:p>
        </w:tc>
        <w:tc>
          <w:tcPr>
            <w:tcW w:w="657" w:type="dxa"/>
            <w:noWrap w:val="0"/>
            <w:vAlign w:val="center"/>
          </w:tcPr>
          <w:p w14:paraId="7894EFBB">
            <w:pPr>
              <w:widowControl/>
              <w:adjustRightInd w:val="0"/>
              <w:snapToGrid w:val="0"/>
              <w:spacing w:line="300" w:lineRule="auto"/>
              <w:jc w:val="center"/>
              <w:textAlignment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共用</w:t>
            </w:r>
          </w:p>
        </w:tc>
      </w:tr>
    </w:tbl>
    <w:p w14:paraId="56BB1D91">
      <w:pPr>
        <w:adjustRightInd w:val="0"/>
        <w:snapToGrid w:val="0"/>
        <w:spacing w:beforeLines="50" w:line="360" w:lineRule="auto"/>
        <w:ind w:firstLine="482"/>
        <w:outlineLvl w:val="1"/>
        <w:rPr>
          <w:rFonts w:ascii="宋体" w:hAnsi="宋体" w:eastAsia="宋体"/>
          <w:b/>
          <w:color w:val="auto"/>
          <w:szCs w:val="21"/>
          <w:highlight w:val="none"/>
        </w:rPr>
      </w:pPr>
    </w:p>
    <w:p w14:paraId="47EE690D">
      <w:pPr>
        <w:spacing w:line="360" w:lineRule="auto"/>
        <w:outlineLvl w:val="1"/>
        <w:rPr>
          <w:rFonts w:ascii="宋体" w:hAnsi="宋体" w:eastAsia="宋体"/>
          <w:b/>
          <w:bCs/>
          <w:color w:val="auto"/>
          <w:szCs w:val="18"/>
          <w:highlight w:val="none"/>
        </w:rPr>
      </w:pPr>
      <w:bookmarkStart w:id="9" w:name="_Toc178465415"/>
      <w:bookmarkStart w:id="10" w:name="_Toc4843"/>
      <w:bookmarkStart w:id="11" w:name="_Toc7421"/>
      <w:r>
        <w:rPr>
          <w:rFonts w:hint="eastAsia" w:ascii="宋体" w:hAnsi="宋体" w:eastAsia="宋体"/>
          <w:b/>
          <w:bCs/>
          <w:color w:val="auto"/>
          <w:szCs w:val="18"/>
          <w:highlight w:val="none"/>
        </w:rPr>
        <w:t>三、报价要求</w:t>
      </w:r>
      <w:bookmarkEnd w:id="9"/>
      <w:bookmarkEnd w:id="10"/>
      <w:bookmarkEnd w:id="11"/>
    </w:p>
    <w:p w14:paraId="6EE74FB0">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本项目报投标总价，并同时报出分项报价，投标总价包含完成所投项目所产生的一切费用，投标人自行考虑报价风险</w:t>
      </w:r>
      <w:r>
        <w:rPr>
          <w:rFonts w:ascii="宋体" w:hAnsi="宋体" w:eastAsia="宋体"/>
          <w:color w:val="auto"/>
          <w:highlight w:val="none"/>
        </w:rPr>
        <w:t>。</w:t>
      </w:r>
    </w:p>
    <w:p w14:paraId="2137161F">
      <w:pPr>
        <w:spacing w:line="360" w:lineRule="auto"/>
        <w:outlineLvl w:val="1"/>
        <w:rPr>
          <w:rFonts w:ascii="宋体" w:hAnsi="宋体" w:eastAsia="宋体"/>
          <w:b/>
          <w:bCs/>
          <w:color w:val="auto"/>
          <w:szCs w:val="18"/>
          <w:highlight w:val="none"/>
        </w:rPr>
      </w:pPr>
      <w:bookmarkStart w:id="12" w:name="_Toc178465416"/>
      <w:r>
        <w:rPr>
          <w:rFonts w:hint="eastAsia" w:ascii="宋体" w:hAnsi="宋体" w:eastAsia="宋体"/>
          <w:b/>
          <w:bCs/>
          <w:color w:val="auto"/>
          <w:szCs w:val="18"/>
          <w:highlight w:val="none"/>
        </w:rPr>
        <w:t>四、安装调试、验收试验及质量保证</w:t>
      </w:r>
      <w:bookmarkEnd w:id="12"/>
    </w:p>
    <w:p w14:paraId="7B388B71">
      <w:pPr>
        <w:spacing w:line="360" w:lineRule="auto"/>
        <w:ind w:firstLine="420" w:firstLineChars="200"/>
        <w:rPr>
          <w:rFonts w:ascii="宋体" w:hAnsi="宋体" w:eastAsia="宋体"/>
          <w:color w:val="auto"/>
          <w:highlight w:val="none"/>
        </w:rPr>
      </w:pPr>
      <w:bookmarkStart w:id="13" w:name="_Toc455587095"/>
      <w:bookmarkStart w:id="14" w:name="_Toc455587279"/>
      <w:bookmarkStart w:id="15" w:name="_Toc445554754"/>
      <w:r>
        <w:rPr>
          <w:rFonts w:hint="eastAsia" w:ascii="宋体" w:hAnsi="宋体" w:eastAsia="宋体"/>
          <w:color w:val="auto"/>
          <w:highlight w:val="none"/>
        </w:rPr>
        <w:t>1、中标人在设备安装地点负责安装、调试。</w:t>
      </w:r>
    </w:p>
    <w:p w14:paraId="4D5D169A">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2、具体设备验收标准和程序按采购人要求执行，下列验收程序可参照执行：</w:t>
      </w:r>
    </w:p>
    <w:p w14:paraId="0E587426">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1F66CB8D">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0B78A29C">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2.3 中标人应根据采购人使用单位的技术要求提供相应的产品。由中标人所提供的设备部件间的连线和插接件均应视为设备内部器件，包含在相应的设备之中。</w:t>
      </w:r>
    </w:p>
    <w:p w14:paraId="7F86E40B">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03561F6E">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096EFDBF">
      <w:pPr>
        <w:spacing w:line="360" w:lineRule="auto"/>
        <w:ind w:firstLine="420" w:firstLineChars="200"/>
        <w:rPr>
          <w:rFonts w:ascii="宋体" w:hAnsi="宋体" w:eastAsia="宋体"/>
          <w:color w:val="auto"/>
          <w:highlight w:val="none"/>
        </w:rPr>
      </w:pPr>
      <w:r>
        <w:rPr>
          <w:rFonts w:hint="eastAsia" w:ascii="宋体" w:hAnsi="宋体" w:eastAsia="宋体"/>
          <w:color w:val="auto"/>
          <w:highlight w:val="none"/>
        </w:rPr>
        <w:t>3、如设备在验收时有一个或多个指标未能达到要求而属于中标人责任时，则中标人自费采取有效措施，在规定时间内使之达到保证指标。如在规定的时间内仍达不到合格标准时，则中标人应向采购人赔偿。</w:t>
      </w:r>
    </w:p>
    <w:p w14:paraId="714A838F">
      <w:pPr>
        <w:spacing w:line="360" w:lineRule="auto"/>
        <w:outlineLvl w:val="1"/>
        <w:rPr>
          <w:rFonts w:ascii="宋体" w:hAnsi="宋体" w:eastAsia="宋体"/>
          <w:b/>
          <w:bCs/>
          <w:color w:val="auto"/>
          <w:szCs w:val="18"/>
          <w:highlight w:val="none"/>
        </w:rPr>
      </w:pPr>
      <w:bookmarkStart w:id="16" w:name="_Toc178465417"/>
      <w:bookmarkStart w:id="17" w:name="_Toc72431744"/>
      <w:bookmarkStart w:id="18" w:name="_Toc532199627"/>
      <w:bookmarkStart w:id="19" w:name="_Toc72431420"/>
      <w:r>
        <w:rPr>
          <w:rFonts w:hint="eastAsia" w:ascii="宋体" w:hAnsi="宋体" w:eastAsia="宋体"/>
          <w:b/>
          <w:bCs/>
          <w:color w:val="auto"/>
          <w:szCs w:val="18"/>
          <w:highlight w:val="none"/>
        </w:rPr>
        <w:t>五、备品备件及专用工具</w:t>
      </w:r>
      <w:bookmarkEnd w:id="16"/>
    </w:p>
    <w:p w14:paraId="1D1B7FA1">
      <w:pPr>
        <w:spacing w:line="360" w:lineRule="auto"/>
        <w:ind w:firstLine="420" w:firstLineChars="200"/>
        <w:rPr>
          <w:rFonts w:ascii="宋体" w:hAnsi="宋体" w:eastAsia="宋体"/>
          <w:color w:val="auto"/>
          <w:highlight w:val="none"/>
        </w:rPr>
      </w:pPr>
      <w:r>
        <w:rPr>
          <w:rFonts w:ascii="宋体" w:hAnsi="宋体" w:eastAsia="宋体"/>
          <w:color w:val="auto"/>
          <w:highlight w:val="none"/>
        </w:rPr>
        <w:t>1.备品备件：中标人提供能够满足质量保证期内的设备维修要求的备品备件，备品备件应是新品。</w:t>
      </w:r>
    </w:p>
    <w:p w14:paraId="47AAF913">
      <w:pPr>
        <w:spacing w:line="360" w:lineRule="auto"/>
        <w:ind w:firstLine="420" w:firstLineChars="200"/>
        <w:rPr>
          <w:rFonts w:ascii="宋体" w:hAnsi="宋体" w:eastAsia="宋体"/>
          <w:color w:val="auto"/>
          <w:highlight w:val="none"/>
        </w:rPr>
      </w:pPr>
      <w:r>
        <w:rPr>
          <w:rFonts w:ascii="宋体" w:hAnsi="宋体" w:eastAsia="宋体"/>
          <w:color w:val="auto"/>
          <w:highlight w:val="none"/>
        </w:rPr>
        <w:t>2.专用工具：中标人提供设备安装、调试、验收、维修、保养所必要的专用工具、仪器、仪表等。</w:t>
      </w:r>
    </w:p>
    <w:bookmarkEnd w:id="13"/>
    <w:bookmarkEnd w:id="14"/>
    <w:bookmarkEnd w:id="15"/>
    <w:bookmarkEnd w:id="17"/>
    <w:bookmarkEnd w:id="18"/>
    <w:bookmarkEnd w:id="19"/>
    <w:p w14:paraId="27E2AF36">
      <w:pPr>
        <w:spacing w:line="360" w:lineRule="auto"/>
        <w:outlineLvl w:val="1"/>
        <w:rPr>
          <w:rFonts w:ascii="宋体" w:hAnsi="宋体" w:eastAsia="宋体"/>
          <w:b/>
          <w:bCs/>
          <w:color w:val="auto"/>
          <w:szCs w:val="18"/>
          <w:highlight w:val="none"/>
        </w:rPr>
      </w:pPr>
      <w:bookmarkStart w:id="20" w:name="_Toc178465418"/>
      <w:r>
        <w:rPr>
          <w:rFonts w:hint="eastAsia" w:ascii="宋体" w:hAnsi="宋体" w:eastAsia="宋体"/>
          <w:b/>
          <w:bCs/>
          <w:color w:val="auto"/>
          <w:szCs w:val="18"/>
          <w:highlight w:val="none"/>
        </w:rPr>
        <w:t>六、包装运输</w:t>
      </w:r>
      <w:bookmarkEnd w:id="20"/>
    </w:p>
    <w:p w14:paraId="3CD58990">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1.中标人负责设备包装、办理运输和保险，将设备安全运抵交货地点。</w:t>
      </w:r>
    </w:p>
    <w:p w14:paraId="4FFA3915">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2.设备制造完成并通过试验后应及时包装，否则应得到切实的保护，确保其不受污损。</w:t>
      </w:r>
    </w:p>
    <w:p w14:paraId="6C36436B">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3.在包装箱外应标明采购人的订货号、发货号。</w:t>
      </w:r>
    </w:p>
    <w:p w14:paraId="1701BAA4">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4.各种包装应能确保各零部件在运输过程中不致遭到损坏、丢失、变形、受潮和腐蚀。</w:t>
      </w:r>
    </w:p>
    <w:p w14:paraId="42839FF4">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5.包装箱上应有明显的包装储运图示标志。</w:t>
      </w:r>
    </w:p>
    <w:p w14:paraId="089F2B1C">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6.整体产品或分别运输的部件都要适应运输和装载的要求。</w:t>
      </w:r>
    </w:p>
    <w:p w14:paraId="2B61ED13">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7.随产品提供的技术资料应完整无缺。</w:t>
      </w:r>
    </w:p>
    <w:p w14:paraId="3A56A9B1">
      <w:pPr>
        <w:spacing w:line="360" w:lineRule="auto"/>
        <w:outlineLvl w:val="1"/>
        <w:rPr>
          <w:rFonts w:ascii="宋体" w:hAnsi="宋体" w:eastAsia="宋体"/>
          <w:b/>
          <w:bCs/>
          <w:color w:val="auto"/>
          <w:szCs w:val="18"/>
          <w:highlight w:val="none"/>
        </w:rPr>
      </w:pPr>
      <w:bookmarkStart w:id="21" w:name="_Toc178465419"/>
      <w:r>
        <w:rPr>
          <w:rFonts w:hint="eastAsia" w:ascii="宋体" w:hAnsi="宋体" w:eastAsia="宋体"/>
          <w:b/>
          <w:bCs/>
          <w:color w:val="auto"/>
          <w:szCs w:val="18"/>
          <w:highlight w:val="none"/>
        </w:rPr>
        <w:t>七、技术培训</w:t>
      </w:r>
      <w:bookmarkEnd w:id="21"/>
    </w:p>
    <w:p w14:paraId="3D1E1D30">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为使合同设备能正常安装和运行，由中标人提供相应的技术培训，培训费用包含在投标报价中。中标人负责对采购人技术人员、操作人员进行现场培训，不少于1周。培训内容包括设备操作、设备维护及简单的设备维修等，直至技术人员、操作人员能够独立、熟练掌握为止。同时，其中主要产品的安装及人员培训必须由原生产厂商或其授权有资质的公司的专业工程师完成。</w:t>
      </w:r>
    </w:p>
    <w:p w14:paraId="7A667E33">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2.培训的时间、人数、地点等具体内容由买卖双方商定。</w:t>
      </w:r>
    </w:p>
    <w:p w14:paraId="341699FC">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3.采购需求里有特别规定的，以采购需求中的需求为准。</w:t>
      </w:r>
    </w:p>
    <w:p w14:paraId="47F37976">
      <w:pPr>
        <w:spacing w:line="360" w:lineRule="auto"/>
        <w:outlineLvl w:val="1"/>
        <w:rPr>
          <w:rFonts w:ascii="宋体" w:hAnsi="宋体" w:eastAsia="宋体"/>
          <w:b/>
          <w:bCs/>
          <w:color w:val="auto"/>
          <w:szCs w:val="18"/>
          <w:highlight w:val="none"/>
        </w:rPr>
      </w:pPr>
      <w:bookmarkStart w:id="22" w:name="_Toc178465420"/>
      <w:r>
        <w:rPr>
          <w:rFonts w:hint="eastAsia" w:ascii="宋体" w:hAnsi="宋体" w:eastAsia="宋体"/>
          <w:b/>
          <w:bCs/>
          <w:color w:val="auto"/>
          <w:szCs w:val="18"/>
          <w:highlight w:val="none"/>
        </w:rPr>
        <w:t>八、质保及售后服务</w:t>
      </w:r>
      <w:bookmarkEnd w:id="22"/>
    </w:p>
    <w:p w14:paraId="3B072D3C">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1.自双方签订《验收报告》起进入免费质保期。质保范围：设备整机（除一次性消耗品以外，保修范围包含所有配套设备、消耗性部件、硬件、软件以及外购件等）。</w:t>
      </w:r>
    </w:p>
    <w:p w14:paraId="0D7CAFA7">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1457F6F6">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3.在质保期间内，全年365天，7×24小时响应，出现故障时，工程师到达现场时间≤</w:t>
      </w:r>
      <w:r>
        <w:rPr>
          <w:rFonts w:hint="eastAsia" w:ascii="宋体" w:hAnsi="宋体" w:eastAsia="宋体" w:cs="Times New Roman"/>
          <w:color w:val="auto"/>
          <w:spacing w:val="-1"/>
          <w:szCs w:val="21"/>
          <w:highlight w:val="none"/>
          <w:lang w:val="en-US" w:eastAsia="zh-CN"/>
        </w:rPr>
        <w:t>24小时</w:t>
      </w:r>
      <w:r>
        <w:rPr>
          <w:rFonts w:hint="eastAsia" w:ascii="宋体" w:hAnsi="宋体" w:eastAsia="宋体" w:cs="Times New Roman"/>
          <w:color w:val="auto"/>
          <w:spacing w:val="-1"/>
          <w:szCs w:val="21"/>
          <w:highlight w:val="none"/>
        </w:rPr>
        <w:t>。</w:t>
      </w:r>
    </w:p>
    <w:p w14:paraId="5B0ED112">
      <w:pPr>
        <w:adjustRightInd w:val="0"/>
        <w:snapToGrid w:val="0"/>
        <w:spacing w:line="360" w:lineRule="auto"/>
        <w:ind w:firstLine="416" w:firstLineChars="200"/>
        <w:rPr>
          <w:rFonts w:ascii="宋体" w:hAnsi="宋体" w:eastAsia="宋体" w:cs="Times New Roman"/>
          <w:color w:val="auto"/>
          <w:spacing w:val="-1"/>
          <w:szCs w:val="21"/>
          <w:highlight w:val="none"/>
        </w:rPr>
      </w:pPr>
      <w:r>
        <w:rPr>
          <w:rFonts w:hint="eastAsia" w:ascii="宋体" w:hAnsi="宋体" w:eastAsia="宋体" w:cs="Times New Roman"/>
          <w:color w:val="auto"/>
          <w:spacing w:val="-1"/>
          <w:szCs w:val="21"/>
          <w:highlight w:val="none"/>
        </w:rPr>
        <w:t>4.在质保期间内，年度巡检次数≥2次/年。</w:t>
      </w:r>
    </w:p>
    <w:p w14:paraId="37A5C39E">
      <w:bookmarkStart w:id="23" w:name="_GoBack"/>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FB7890"/>
    <w:multiLevelType w:val="singleLevel"/>
    <w:tmpl w:val="6EFB7890"/>
    <w:lvl w:ilvl="0" w:tentative="0">
      <w:start w:val="1"/>
      <w:numFmt w:val="decimal"/>
      <w:suff w:val="nothing"/>
      <w:lvlText w:val="%1"/>
      <w:lvlJc w:val="left"/>
      <w:pPr>
        <w:tabs>
          <w:tab w:val="left" w:pos="0"/>
        </w:tabs>
        <w:ind w:left="66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ZTg1OTFkZTAyODc5YWFmZTNkYzUyODIzNWE2NTAifQ=="/>
  </w:docVars>
  <w:rsids>
    <w:rsidRoot w:val="00000000"/>
    <w:rsid w:val="7E060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ascii="@微软简标宋" w:hAnsi="@微软简标宋" w:eastAsia="@微软简标宋" w:cs="@微软简标宋"/>
      <w:szCs w:val="24"/>
      <w:lang w:val="zh-CN"/>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amp;L"/>
    <w:basedOn w:val="3"/>
    <w:qFormat/>
    <w:uiPriority w:val="0"/>
    <w:pPr>
      <w:pBdr>
        <w:bottom w:val="none" w:color="auto" w:sz="0" w:space="0"/>
      </w:pBdr>
      <w:snapToGrid/>
    </w:pPr>
    <w:rPr>
      <w:rFonts w:ascii="宋体" w:hAnsi="宋体" w:eastAsia="宋体"/>
      <w:bCs/>
      <w:sz w:val="24"/>
      <w:szCs w:val="20"/>
    </w:rPr>
  </w:style>
  <w:style w:type="paragraph" w:customStyle="1" w:styleId="8">
    <w:name w:val="xl31"/>
    <w:basedOn w:val="1"/>
    <w:qFormat/>
    <w:uiPriority w:val="0"/>
    <w:pPr>
      <w:adjustRightInd w:val="0"/>
      <w:snapToGrid w:val="0"/>
      <w:spacing w:line="300" w:lineRule="auto"/>
    </w:pPr>
    <w:rPr>
      <w:rFonts w:ascii="宋体" w:hAnsi="宋体" w:eastAsia="宋体"/>
      <w:bCs/>
      <w:color w:val="FF0000"/>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2024-10-12T01:45:13Z</dcterms:created>
  <dc:creator>Lenovo</dc:creator>
  <cp:lastModifiedBy>初审-李真</cp:lastModifiedBy>
  <dcterms:modified xsi:type="dcterms:W3CDTF">2024-10-12T01:45:38Z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78E69C12323C4EC9AD5D735E45141D93_12</vt:lpwstr>
  </property>
</Properties>
</file>